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江西赣州技师学院2024年面向全国公开选调高层次专业教师岗位表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126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24"/>
        <w:gridCol w:w="1260"/>
        <w:gridCol w:w="915"/>
        <w:gridCol w:w="795"/>
        <w:gridCol w:w="900"/>
        <w:gridCol w:w="5001"/>
        <w:gridCol w:w="844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岗位基本条件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其他条件（必须符合下列条件之一）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1.机械类省级高技能领军人才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（0802机械工程）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，或机械类高级技师及以上职业技能等级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3.全国一类（机械类）大赛前10名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省级一类（机械类）大赛前6名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新能源汽车制造与装配专业教师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1.机械类省级高技能领军人才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（0802机械工程）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，或机械类高级技师及以上职业技能等级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3.全国一类（机械类）大赛前10名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省级一类（机械类）大赛前6名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岗位基本条件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其他条件（必须符合下列条件之一）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J03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  <w:r>
              <w:rPr>
                <w:rStyle w:val="6"/>
                <w:lang w:val="en-US" w:eastAsia="zh-CN" w:bidi="ar"/>
              </w:rPr>
              <w:t>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1.电工电子类省级高技能领军人才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（0808电气工程、0809电子科学与技术、0810信息与通信工程）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，或电工电子类高级技师及以上职业技能等级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J04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计算机广告制作</w:t>
            </w:r>
            <w:r>
              <w:rPr>
                <w:rStyle w:val="6"/>
                <w:lang w:val="en-US" w:eastAsia="zh-CN" w:bidi="ar"/>
              </w:rPr>
              <w:t>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1.信息类省级高技能领军人才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（0812计算机科学与技术、0835软件工程、0839网络空间安全）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，或信息类高级技师及以上职业技能等级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信息类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信息类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</w:t>
            </w:r>
            <w:r>
              <w:rPr>
                <w:rStyle w:val="6"/>
                <w:lang w:val="en-US" w:eastAsia="zh-CN" w:bidi="ar"/>
              </w:rPr>
              <w:t>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1.电工电子类省级高技能领军人才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（0808电气工程、0809电子科学与技术、0810信息与通信工程）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，或电工电子类高级技师及以上职业技能等级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岗位基本条件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其他条件（必须符合下列条件之一）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</w:t>
            </w:r>
            <w:r>
              <w:rPr>
                <w:rStyle w:val="6"/>
                <w:lang w:val="en-US" w:eastAsia="zh-CN" w:bidi="ar"/>
              </w:rPr>
              <w:t>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1.信息类省级高技能领军人才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（0812计算机科学与技术、0835软件工程、0839网络空间安全）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，或信息类高级技师及以上职业技能等级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信息类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信息类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J07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光电技术</w:t>
            </w:r>
            <w:r>
              <w:rPr>
                <w:rStyle w:val="6"/>
                <w:lang w:val="en-US" w:eastAsia="zh-CN" w:bidi="ar"/>
              </w:rPr>
              <w:t>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1.电工电子类省级高技能领军人才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（0808电气工程、0809电子科学与技术、0810信息与通信工程）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，或电工电子类高级技师及以上职业技能等级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J08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1.机械类省级高技能领军人才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（0802机械工程）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，或机械类高级技师及以上职业技能等级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3.全国一类（机械类）大赛前10名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省级一类（机械类）大赛前6名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岗位基本条件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其他条件（必须符合下列条件之一）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数控机床装配与维修专业教师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中级及以上专业技术职称</w:t>
            </w:r>
          </w:p>
        </w:tc>
        <w:tc>
          <w:tcPr>
            <w:tcW w:w="5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1.机械类省级高技能领军人才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2.全日制硕士及以上学历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（0802机械工程）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且具有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与招聘岗位相近的市级及以上荣誉证书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，或机械类高级技师及以上职业技能等级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3.全国一类（机械类）大赛前10名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省级一类（机械类）大赛前6名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市级及以上技能大师工作室领办人。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3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方正仿宋_GB2312" w:hAnsi="方正仿宋_GB2312" w:eastAsia="方正仿宋_GB2312" w:cs="方正仿宋_GB2312"/>
          <w:color w:val="000000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587" w:right="2098" w:bottom="1587" w:left="2098" w:header="851" w:footer="1417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default" w:ascii="方正仿宋_GB2312" w:hAnsi="方正仿宋_GB2312" w:eastAsia="方正仿宋_GB2312" w:cs="方正仿宋_GB2312"/>
          <w:color w:val="000000"/>
          <w:kern w:val="0"/>
          <w:sz w:val="22"/>
          <w:szCs w:val="22"/>
          <w:highlight w:val="none"/>
          <w:lang w:val="en-US" w:eastAsia="zh-CN" w:bidi="ar"/>
        </w:rPr>
        <w:t>备注：技师学院全日制预备技师班毕业生，可视同本科学历报考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E5A91"/>
    <w:rsid w:val="5D3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customStyle="1" w:styleId="6">
    <w:name w:val="font31"/>
    <w:basedOn w:val="4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2024-08-09T11:03:00Z</dcterms:created>
  <dc:creator>user1</dc:creator>
  <cp:lastModifiedBy>user1</cp:lastModifiedBy>
  <dcterms:modified xsi:type="dcterms:W3CDTF">2024-08-09T11:04:37Z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BA1A0E19621173791C87B566E4267F4A</vt:lpwstr>
  </property>
</Properties>
</file>