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center"/>
        <w:textAlignment w:val="auto"/>
        <w:rPr>
          <w:rFonts w:hint="eastAsia" w:ascii="Arial" w:hAnsi="Arial" w:eastAsia="宋体" w:cs="Arial"/>
          <w:b/>
          <w:sz w:val="36"/>
          <w:szCs w:val="44"/>
          <w:lang w:eastAsia="zh-CN"/>
        </w:rPr>
      </w:pPr>
      <w:r>
        <w:rPr>
          <w:rFonts w:hint="eastAsia" w:ascii="Arial" w:hAnsi="Arial" w:eastAsia="宋体" w:cs="Arial"/>
          <w:b/>
          <w:sz w:val="36"/>
          <w:szCs w:val="44"/>
          <w:lang w:eastAsia="zh-CN"/>
        </w:rPr>
        <w:t>关于</w:t>
      </w:r>
      <w:r>
        <w:rPr>
          <w:rFonts w:hint="eastAsia" w:ascii="Arial" w:hAnsi="Arial" w:eastAsia="宋体" w:cs="Arial"/>
          <w:b/>
          <w:sz w:val="36"/>
          <w:szCs w:val="44"/>
          <w:lang w:val="en-US" w:eastAsia="zh-CN"/>
        </w:rPr>
        <w:t>20</w:t>
      </w:r>
      <w:r>
        <w:rPr>
          <w:rFonts w:hint="eastAsia" w:ascii="Arial" w:hAnsi="Arial" w:cs="Arial"/>
          <w:b/>
          <w:sz w:val="36"/>
          <w:szCs w:val="44"/>
          <w:lang w:val="en-US" w:eastAsia="zh-CN"/>
        </w:rPr>
        <w:t>20</w:t>
      </w:r>
      <w:r>
        <w:rPr>
          <w:rFonts w:hint="eastAsia" w:ascii="Arial" w:hAnsi="Arial" w:eastAsia="宋体" w:cs="Arial"/>
          <w:b/>
          <w:sz w:val="36"/>
          <w:szCs w:val="44"/>
          <w:lang w:eastAsia="zh-CN"/>
        </w:rPr>
        <w:t>年度</w:t>
      </w:r>
      <w:r>
        <w:rPr>
          <w:rFonts w:hint="eastAsia" w:ascii="Arial" w:hAnsi="Arial" w:cs="Arial"/>
          <w:b/>
          <w:sz w:val="36"/>
          <w:szCs w:val="44"/>
          <w:lang w:eastAsia="zh-CN"/>
        </w:rPr>
        <w:t>培训费</w:t>
      </w:r>
      <w:r>
        <w:rPr>
          <w:rFonts w:hint="eastAsia" w:ascii="Arial" w:hAnsi="Arial" w:eastAsia="宋体" w:cs="Arial"/>
          <w:b/>
          <w:sz w:val="36"/>
          <w:szCs w:val="44"/>
          <w:lang w:eastAsia="zh-CN"/>
        </w:rPr>
        <w:t>项目资金的绩效评价报告</w:t>
      </w:r>
    </w:p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  <w:t>一、项目基本情况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02" w:firstLineChars="200"/>
        <w:jc w:val="both"/>
        <w:textAlignment w:val="auto"/>
        <w:rPr>
          <w:rFonts w:hint="default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（一）项目概况：立项背景及目的、资金来源及使用情况、项目完成情况、组织及管理情况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1、立项背景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 xml:space="preserve">    为不断提升干部职工的综合素质，适应经济社会发展，做好金融业务工作。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立项目的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为了更好的做好金融业务各项工作，故此设立培训费专项经费10.61万元。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资金来源及使用情况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培训费项目资金支出范围主要包括干部职工培训学费、培训差旅费等费用，所有资金都由国库集中支付中心直接支付。本局严格控制资金使用情况，做到专款专用，严格管控。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根据区财政局下达的部门预算批复数，项目预算资金7.61万元，全年预算数10.61万元，实际使用资金约为9.1万元，结余结转数约为1.51万元。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项目完成情况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2020年，我中心已组织好干部职工参加了业务培训。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项目组织管理情况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我中心领导班子成员共同制定了干部职工培训工作计划，并且按照分期安排了干部职工参加了培训。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（二）绩效目标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2020年培训总目标为：科学合理安排干部职工参加培训，不断提升干部政治能力和金融业务能力，激发干部干事创业热情。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  <w:t>二、绩效评价工作开展情况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（一）绩效评价目的、对象和范围。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主要通过对此本部门培训费专项立项情况、资金来源、使用等情况，了解资金使用是否达到预期目标，以及资金使用的最终效果如何，以及总结其成功的经验、分析该项目存在的问题与不足，及时采取相应的措施，不断完善绩效管理机制，提高资金使用效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（二）绩效评价原则、评价指标体系（附表说明）、评价方法、评价标准等。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本次评价项目的主要原则为：定量与定性分析相结合的原则、真实性、可靠性、经济性、及时性等原则。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评价方法为：数据收集、讨论等方法进行绩效自评工作。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培训费项目年度总体完成情况优秀，在预算资金内，较好地完成了培训任务。项目自评为96分，自评等级为优秀。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（三）绩效评价工作过程。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1、前期准备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根据项目绩效评价要求，区金融服务中心指定综合处牵头，以财务主管为负责人，组成绩效评价工作小组，召开专门会议学习与布置工作任务。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2、组织实施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highlight w:val="none"/>
          <w:lang w:val="en-US" w:eastAsia="zh-CN"/>
        </w:rPr>
        <w:t>根据《关于开展2020年度区本级预算项目和部门整体支出绩效评价工作的通知》（赣经开财预字[2021]3号）文件，按照要求逐项评估。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highlight w:val="none"/>
          <w:lang w:val="en-US" w:eastAsia="zh-CN"/>
        </w:rPr>
        <w:t>3、分析评价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从项目产出指标、效益指标、满意度指标等方面进行对项目进行绩效评价。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综合评价情况及评价结论（附相关评分表）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楷体_GB2312" w:hAnsi="楷体_GB2312" w:eastAsia="楷体_GB2312" w:cs="楷体_GB2312"/>
          <w:b w:val="0"/>
          <w:bCs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/>
          <w:sz w:val="30"/>
          <w:szCs w:val="32"/>
          <w:lang w:val="en-US" w:eastAsia="zh-CN"/>
        </w:rPr>
        <w:t>本部门</w:t>
      </w: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培训费</w:t>
      </w:r>
      <w:r>
        <w:rPr>
          <w:rFonts w:hint="eastAsia" w:ascii="楷体_GB2312" w:hAnsi="楷体_GB2312" w:eastAsia="楷体_GB2312" w:cs="楷体_GB2312"/>
          <w:b w:val="0"/>
          <w:bCs/>
          <w:sz w:val="30"/>
          <w:szCs w:val="32"/>
          <w:lang w:val="en-US" w:eastAsia="zh-CN"/>
        </w:rPr>
        <w:t>专项经费绩效自评已经全部完成，目前所有指标已经全部完成，评价结果为96分。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default" w:ascii="楷体_GB2312" w:hAnsi="楷体_GB2312" w:eastAsia="楷体_GB2312" w:cs="楷体_GB2312"/>
          <w:b w:val="0"/>
          <w:bCs/>
          <w:sz w:val="30"/>
          <w:szCs w:val="32"/>
          <w:lang w:val="en-US" w:eastAsia="zh-CN"/>
        </w:rPr>
      </w:pPr>
      <w:r>
        <w:rPr>
          <w:rFonts w:hint="default" w:ascii="楷体_GB2312" w:hAnsi="楷体_GB2312" w:eastAsia="楷体_GB2312" w:cs="楷体_GB2312"/>
          <w:b w:val="0"/>
          <w:bCs/>
          <w:sz w:val="30"/>
          <w:szCs w:val="32"/>
          <w:lang w:val="en-US" w:eastAsia="zh-CN"/>
        </w:rPr>
        <w:drawing>
          <wp:inline distT="0" distB="0" distL="114300" distR="114300">
            <wp:extent cx="5267960" cy="3253105"/>
            <wp:effectExtent l="0" t="0" r="8890" b="4445"/>
            <wp:docPr id="1" name="图片 1" descr="162132150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21321505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25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2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绩效评价指标分析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项目决策情况。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我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中心严格按照要求开展干部职工培训工作。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0" w:firstLineChars="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项目过程情况。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项目执行过程中，项目管理方面较为规范，项目运行较好。在企业上市及新三板项目管理方面，严格规范资金审批支付流程，确保专款专用，提高资金使用效率。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0" w:firstLineChars="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项目产出情况。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我中心基本完成干部职工培训工作任务。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（四）项目效益情况。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培训做到了所有干部职工全覆盖，按层次递进式、差别化思路，明确工作任务，做好工作分工。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  <w:t>主要经验及做法、存在的问题及原因分析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在区党工委、管委会的坚强领导下，以及区金融服务中心领导班子带领下，我中心各科室严格按照资金审批程序，严格把关，确保资金专款专用。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预算绩效管理工作还处于初始阶段，预算绩效管理工作还有待改善提高。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  <w:t>六、有关建议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今后在日常工作中，需进一步加强对绩效项目的管控，确保各个绩效项目按照预算安排计划完成任务。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right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right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center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 xml:space="preserve">                                    区金融服务中心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right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2021年5月12日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0071B8"/>
    <w:multiLevelType w:val="singleLevel"/>
    <w:tmpl w:val="890071B8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B821303"/>
    <w:multiLevelType w:val="singleLevel"/>
    <w:tmpl w:val="AB821303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CDD0A416"/>
    <w:multiLevelType w:val="singleLevel"/>
    <w:tmpl w:val="CDD0A416"/>
    <w:lvl w:ilvl="0" w:tentative="0">
      <w:start w:val="3"/>
      <w:numFmt w:val="decimal"/>
      <w:suff w:val="nothing"/>
      <w:lvlText w:val="%1、"/>
      <w:lvlJc w:val="left"/>
    </w:lvl>
  </w:abstractNum>
  <w:abstractNum w:abstractNumId="3">
    <w:nsid w:val="D31739F0"/>
    <w:multiLevelType w:val="singleLevel"/>
    <w:tmpl w:val="D31739F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560EB3"/>
    <w:rsid w:val="20160D5A"/>
    <w:rsid w:val="20DA2693"/>
    <w:rsid w:val="2CC069BE"/>
    <w:rsid w:val="448473C1"/>
    <w:rsid w:val="58A5477D"/>
    <w:rsid w:val="60C1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qFormat/>
    <w:uiPriority w:val="0"/>
    <w:pPr>
      <w:ind w:left="420" w:leftChars="200" w:firstLine="21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2021-05-18T06:37:00Z</dcterms:created>
  <dc:creator>Administrator</dc:creator>
  <cp:lastModifiedBy>羊咩咩</cp:lastModifiedBy>
  <dcterms:modified xsi:type="dcterms:W3CDTF">2021-09-15T07:46:21Z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CC68EA4C952447AE9EF14433391DE547</vt:lpwstr>
  </property>
</Properties>
</file>