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关于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cs="Arial"/>
          <w:b/>
          <w:sz w:val="36"/>
          <w:szCs w:val="44"/>
          <w:lang w:val="en-US" w:eastAsia="zh-CN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年度</w:t>
      </w:r>
      <w:r>
        <w:rPr>
          <w:rFonts w:hint="eastAsia" w:ascii="Arial" w:hAnsi="Arial" w:cs="Arial"/>
          <w:b/>
          <w:sz w:val="36"/>
          <w:szCs w:val="44"/>
          <w:lang w:eastAsia="zh-CN"/>
        </w:rPr>
        <w:t>上市及新三板挂牌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项目资金的绩效评价报告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（一）项目概况：立项背景及目的、资金来源及使用情况、项目完成情况、组织及管理情况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近年来，在省委省政府，市委市政府的坚强领导下，赣州经开区贯彻落实新发展理念，牢固树立 “抓上市就是抓项目”“上市就是上台阶”的意识，把企业上市作为推动经济高质量发展的强力引擎，坚持“政府引导、企业主体、分类指导、整体推动”，自2017年至今以每年新增一家境内外上市企业的发展态势，不断奏响企业上市“映山红行动”的“赣州经开区篇章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为了更好的指导企业上市，促进企业上市工作提升。我中心积极响应省市区上市政策，用心做好企业上市工作，故此设立上市及新三板挂牌专项经费34.47万元。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资金来源及使用情况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上市及新三板项目资金支出范围主要包括培训拟上市企业经费、走进上交所、深交所等费用，所有资金都由国库集中支付中心直接支付。本局严格控制资金使用情况，做到专款专用，严格管控。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根据区财政局下达的部门预算批复数，项目预算资金22万元，全年预算数34.47万元，实际使用资金约为32.69万元，结余结转数约为1.78万元。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2020年，我区新增上市企业1家，迁址引进新三板挂牌企业2家。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项目组织管理情况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我中心领导班子成员共同制定了上市及新三板挂牌工作规划，并且按照计划组织了走进上交所、走进深交所活动。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2020年企业上市及新三板挂牌总目标为：新增上市企业2家，迁址引进新三板挂牌企业1家。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主要通过对此本部门上市及新三板挂牌专项立项情况、资金来源、使用等情况，了解资金使用是否达到预期目标，以及资金使用的最终效果如何，以及总结其成功的经验、分析该项目存在的问题与不足，及时采取相应的措施，不断完善绩效管理机制，提高资金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本次评价项目的主要原则为：定量与定性分析相结合的原则、真实性、可靠性、经济性、及时性等原则。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评价方法为：数据收集、讨论等方法进行绩效自评工作。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企业上市项目年度总体完成情况优秀，在预算资金内，较好地完成各项工作任务。项目自评为98分，自评等级为优秀。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1、前期准备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根据项目绩效评价要求，区金融服务中心指定综合处牵头，以财务主管为负责人，组成绩效评价工作小组，召开专门会议学习与布置工作任务。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根据《关于开展2020年度区本级预算项目和部门整体支出绩效评价工作的通知》（赣经开财预字[2021]3号）文件，按照要求逐项评估。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3、分析评价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从项目产出指标、效益指标、满意度指标等方面进行对项目进行绩效评价。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综合评价情况及评价结论（附相关评分表）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上市及新三板挂牌</w:t>
      </w:r>
      <w:r>
        <w:rPr>
          <w:rFonts w:hint="eastAsia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t>经费专项经费绩效自评已经全部完成，目前所有指标已经全部完成，评价结果为98分。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/>
          <w:sz w:val="30"/>
          <w:szCs w:val="32"/>
          <w:lang w:val="en-US" w:eastAsia="zh-CN"/>
        </w:rPr>
        <w:drawing>
          <wp:inline distT="0" distB="0" distL="114300" distR="114300">
            <wp:extent cx="5271135" cy="3178810"/>
            <wp:effectExtent l="0" t="0" r="5715" b="2540"/>
            <wp:docPr id="1" name="图片 1" descr="162139016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1390166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7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我中心严格遵照</w:t>
      </w: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《赣州经济技术开发区2020年推进企业上市“映山红行动”工作方案》(赣经开办字（2020〕24号）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文件要求，开展企业上市及新三板挂牌工作。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项目执行过程中，项目管理方面较为规范，项目运行较好。在企业上市及新三板项目管理方面，严格规范资金审批支付流程，确保专款专用，提高资金使用效率。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我中心基本完成区里下达的企业上市及新三板挂牌工作任务。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牵头制定出台了《</w:t>
      </w: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赣州经济技术开发区2020年推进企业上市“映山红行动”工作方案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》，按层次递进式、差别化思路，明确工作任务，做好工作分工。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主要经验及做法、存在的问题及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在工作过程中，我中心严格按照《</w:t>
      </w:r>
      <w:r>
        <w:rPr>
          <w:rFonts w:hint="eastAsia" w:ascii="仿宋_GB2312" w:hAnsi="仿宋_GB2312" w:eastAsia="仿宋_GB2312" w:cs="仿宋_GB2312"/>
          <w:bCs/>
          <w:sz w:val="30"/>
          <w:szCs w:val="32"/>
          <w:highlight w:val="none"/>
          <w:lang w:val="en-US" w:eastAsia="zh-CN"/>
        </w:rPr>
        <w:t>赣州经济技术开发区2020年推进企业上市“映山红行动”工作方案</w:t>
      </w: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》，积极协调解决企业上市遇到的问题。在区党工委、管委会的坚强领导下，以及区金融服务中心领导班子带领下，我中心各科室严格按照资金审批程序，严格把关，确保资金专款专用。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预算绩效管理工作还处于初始阶段，预算绩效管理工作还有待改善提高。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今后在日常工作中，需进一步加强对绩效项目的管控，确保各个绩效项目按照预算安排计划完成任务。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 xml:space="preserve">                                    区金融服务中心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bCs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2"/>
          <w:lang w:val="en-US" w:eastAsia="zh-CN"/>
        </w:rPr>
        <w:t>2021年5月12日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071B8"/>
    <w:multiLevelType w:val="singleLevel"/>
    <w:tmpl w:val="890071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821303"/>
    <w:multiLevelType w:val="singleLevel"/>
    <w:tmpl w:val="AB82130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CDD0A416"/>
    <w:multiLevelType w:val="singleLevel"/>
    <w:tmpl w:val="CDD0A416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D31739F0"/>
    <w:multiLevelType w:val="singleLevel"/>
    <w:tmpl w:val="D31739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6640C"/>
    <w:rsid w:val="02CE0303"/>
    <w:rsid w:val="03596313"/>
    <w:rsid w:val="052C2C44"/>
    <w:rsid w:val="0F7D50A4"/>
    <w:rsid w:val="1663374C"/>
    <w:rsid w:val="19825628"/>
    <w:rsid w:val="1BFF1F84"/>
    <w:rsid w:val="1D6C54CB"/>
    <w:rsid w:val="20C36841"/>
    <w:rsid w:val="23486CDC"/>
    <w:rsid w:val="23A143BF"/>
    <w:rsid w:val="27092A76"/>
    <w:rsid w:val="2D4F54C6"/>
    <w:rsid w:val="2E814457"/>
    <w:rsid w:val="36A85449"/>
    <w:rsid w:val="39D934AE"/>
    <w:rsid w:val="404B4547"/>
    <w:rsid w:val="418C6B8F"/>
    <w:rsid w:val="445417F2"/>
    <w:rsid w:val="467746B6"/>
    <w:rsid w:val="469900B9"/>
    <w:rsid w:val="46E34D7A"/>
    <w:rsid w:val="478749EF"/>
    <w:rsid w:val="528E255F"/>
    <w:rsid w:val="538A1536"/>
    <w:rsid w:val="56457400"/>
    <w:rsid w:val="57846F7F"/>
    <w:rsid w:val="5A1F5A75"/>
    <w:rsid w:val="5CB05159"/>
    <w:rsid w:val="5F632FE7"/>
    <w:rsid w:val="61B04670"/>
    <w:rsid w:val="627D3E9A"/>
    <w:rsid w:val="63984F2F"/>
    <w:rsid w:val="676C7F52"/>
    <w:rsid w:val="67CE74C4"/>
    <w:rsid w:val="69240BC9"/>
    <w:rsid w:val="6AB84E95"/>
    <w:rsid w:val="6C224F94"/>
    <w:rsid w:val="6FCD10D6"/>
    <w:rsid w:val="70D12D61"/>
    <w:rsid w:val="7A340A6E"/>
    <w:rsid w:val="7DA8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left="420" w:leftChars="200" w:firstLine="2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2021-05-13T02:38:00Z</dcterms:created>
  <dc:creator>Administrator</dc:creator>
  <cp:lastModifiedBy>羊咩咩</cp:lastModifiedBy>
  <dcterms:modified xsi:type="dcterms:W3CDTF">2021-09-15T07:41:58Z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DB233AA36A704036B4FF61A7FCEA71D1</vt:lpwstr>
  </property>
</Properties>
</file>