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hint="eastAsia" w:ascii="Arial" w:hAnsi="Arial" w:eastAsia="宋体" w:cs="Arial"/>
          <w:b/>
          <w:sz w:val="36"/>
          <w:szCs w:val="44"/>
          <w:lang w:eastAsia="zh-CN"/>
        </w:rPr>
      </w:pP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关于</w:t>
      </w:r>
      <w:r>
        <w:rPr>
          <w:rFonts w:hint="eastAsia" w:ascii="Arial" w:hAnsi="Arial" w:eastAsia="宋体" w:cs="Arial"/>
          <w:b/>
          <w:sz w:val="36"/>
          <w:szCs w:val="44"/>
          <w:lang w:val="en-US" w:eastAsia="zh-CN"/>
        </w:rPr>
        <w:t>20</w:t>
      </w:r>
      <w:r>
        <w:rPr>
          <w:rFonts w:hint="eastAsia" w:ascii="Arial" w:hAnsi="Arial" w:cs="Arial"/>
          <w:b/>
          <w:sz w:val="36"/>
          <w:szCs w:val="44"/>
          <w:lang w:val="en-US" w:eastAsia="zh-CN"/>
        </w:rPr>
        <w:t>20</w:t>
      </w: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年度</w:t>
      </w:r>
      <w:r>
        <w:rPr>
          <w:rFonts w:hint="eastAsia" w:ascii="Arial" w:hAnsi="Arial" w:cs="Arial"/>
          <w:b/>
          <w:sz w:val="36"/>
          <w:szCs w:val="44"/>
          <w:lang w:eastAsia="zh-CN"/>
        </w:rPr>
        <w:t>金融业态建设</w:t>
      </w: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项目资金的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hint="eastAsia" w:ascii="Arial" w:hAnsi="Arial" w:eastAsia="宋体" w:cs="Arial"/>
          <w:b/>
          <w:sz w:val="36"/>
          <w:szCs w:val="44"/>
          <w:lang w:eastAsia="zh-CN"/>
        </w:rPr>
      </w:pP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绩效评价报告</w:t>
      </w:r>
    </w:p>
    <w:p>
      <w:pPr>
        <w:pStyle w:val="3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（一）项目概况：立项背景及目的、资金来源及使用情况、项目完成情况、组织及管理情况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1、立项背景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 xml:space="preserve"> 为进一步促进赣州市普惠金融综合改革试验区发展,加快省域副中心城市建设。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立项目的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为了促进金融业态发展，让金融真正服务实体经济，故此设立专项经费31.14万元。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资金来源及使用情况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金融业态建设项目资金支出范围主要用于普惠金融宣传、开展政银担企对接活动，所有资金都由国库集中支付中心直接支付。我中心严格控制资金使用情况，做到专款专用，严格管控。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根据区财政局下达的部门预算批复数，项目预算资金16.14万元，全年预算数31.14万元，实际使用资金约为29.83万元，结余结转数约为1.31万元。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项目完成情况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2020年，根据2020年服务企业融资方案，建立“政、银、担、企”对接会的机制，共召开7次政银担企对接会；三是开展“金融产品地摊”活动。设立普惠金融服务中心，并开展“金融产品地摊”活动。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项目组织管理情况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我中心领导班子成员共同推进区块链金融产业沙盒园发展，制订了《赣州经开区区块链金融产业沙盒园（赣州区块链技术产业园）发展扶持政策（试行）》，并且按照要求发放了园区运营补贴。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（二）绩效目标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2020年总目标为：服务企业融资，建设普惠金融试验区。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（一）绩效评价目的、对象和范围。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主要通过对此本部门金融业态建设经费专项立项情况、资金来源、使用等情况，了解资金使用是否达到预期目标，以及资金使用的最终效果如何，以及总结其成功的经验、分析该项目存在的问题与不足，及时采取相应的措施，不断完善绩效管理机制，提高资金使用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（二）绩效评价原则、评价指标体系（附表说明）、评价方法、评价标准等。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本次评价项目的主要原则为：定量与定性分析相结合的原则、真实性、可靠性、经济性、及时性等原则。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评价方法为：数据收集、讨论等方法进行绩效自评工作。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金融业态建设项目年度总体完成情况优秀，在预算资金内，超额完成任务。项目自评为98分，自评等级为优秀。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（三）绩效评价工作过程。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1、前期准备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根据项目绩效评价要求，区金融服务中心指定综合处牵头，以财务主管为负责人，组成绩效评价工作小组，召开专门会议学习与布置工作任务。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2、组织实施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  <w:t>根据《关于开展2020年度区本级预算项目和部门整体支出绩效评价工作的通知》（赣经开财预字[2021]3号）文件，按照要求逐项评估。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  <w:t>3、分析评价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从项目产出指标、效益指标、满意度指标等方面进行对项目进行绩效评价。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综合评价情况及评价结论（附相关评分表）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本部门金融业态建设经费绩效自评已经全部完成，目前所有指标已经全部完成，评价结果为98分。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default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</w:pPr>
      <w:r>
        <w:rPr>
          <w:rFonts w:hint="default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  <w:drawing>
          <wp:inline distT="0" distB="0" distL="114300" distR="114300">
            <wp:extent cx="5267325" cy="3221990"/>
            <wp:effectExtent l="0" t="0" r="9525" b="16510"/>
            <wp:docPr id="1" name="图片 1" descr="162138730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1387304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项目决策情况。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中心严格按照要求开展金融业态建设工作。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0" w:firstLineChars="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项目过程情况。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项目执行过程中，项目管理方面较为规范，项目运行较好。严格规范资金审批支付流程，确保专款专用，提高资金使用效率。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0" w:firstLineChars="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项目产出情况。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通过银行机构向我区中小微企业提供的资金支持1762笔、金额224.12亿元；通过供应链解决企业融资需求40.71亿元；通过融资租赁支持企业0.17亿元；通过资本市场支持企业100.3亿元。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（四）项目效益情况。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有效帮助企业解决融资问题。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主要经验及做法、存在的问题及原因分析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在区党工委、管委会的坚强领导下，以及区金融服务中心领导班子带领下，我中心各科室严格按照资金审批程序，严格把关，确保资金专款专用。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预算绩效管理工作还处于初始阶段，预算绩效管理工作还有待改善提高。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六、有关建议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今后在日常工作中，需进一步加强对绩效项目的管控，确保各个绩效项目按照预算安排计划完成任务。</w:t>
      </w:r>
    </w:p>
    <w:p>
      <w:pPr>
        <w:pStyle w:val="3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 xml:space="preserve">                                    区金融服务中心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right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2021年5月12日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0071B8"/>
    <w:multiLevelType w:val="singleLevel"/>
    <w:tmpl w:val="890071B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B821303"/>
    <w:multiLevelType w:val="singleLevel"/>
    <w:tmpl w:val="AB821303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CDD0A416"/>
    <w:multiLevelType w:val="singleLevel"/>
    <w:tmpl w:val="CDD0A416"/>
    <w:lvl w:ilvl="0" w:tentative="0">
      <w:start w:val="3"/>
      <w:numFmt w:val="decimal"/>
      <w:suff w:val="nothing"/>
      <w:lvlText w:val="%1、"/>
      <w:lvlJc w:val="left"/>
    </w:lvl>
  </w:abstractNum>
  <w:abstractNum w:abstractNumId="3">
    <w:nsid w:val="D31739F0"/>
    <w:multiLevelType w:val="singleLevel"/>
    <w:tmpl w:val="D31739F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5A61CD"/>
    <w:rsid w:val="015A61CD"/>
    <w:rsid w:val="197D2EBD"/>
    <w:rsid w:val="1FD16B2E"/>
    <w:rsid w:val="264D1729"/>
    <w:rsid w:val="39C2001D"/>
    <w:rsid w:val="3CE25717"/>
    <w:rsid w:val="41091DA5"/>
    <w:rsid w:val="64F91CF5"/>
    <w:rsid w:val="7A27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 First Indent 2"/>
    <w:basedOn w:val="1"/>
    <w:qFormat/>
    <w:uiPriority w:val="0"/>
    <w:pPr>
      <w:ind w:left="420" w:leftChars="200" w:firstLine="21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2021-05-18T08:13:00Z</dcterms:created>
  <dc:creator>Administrator</dc:creator>
  <cp:lastModifiedBy>羊咩咩</cp:lastModifiedBy>
  <dcterms:modified xsi:type="dcterms:W3CDTF">2021-09-15T07:46:06Z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9CA48AD5A98E4AF3A05696E12689540B</vt:lpwstr>
  </property>
</Properties>
</file>