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黑体" w:hAnsi="黑体" w:eastAsia="黑体"/>
          <w:b/>
          <w:sz w:val="44"/>
          <w:szCs w:val="44"/>
        </w:rPr>
      </w:pPr>
      <w:r>
        <w:rPr>
          <w:rFonts w:hint="eastAsia" w:ascii="黑体" w:hAnsi="黑体" w:eastAsia="黑体"/>
          <w:b/>
          <w:sz w:val="44"/>
          <w:szCs w:val="44"/>
        </w:rPr>
        <w:t>2020年赣州经开区</w:t>
      </w:r>
      <w:r>
        <w:rPr>
          <w:rFonts w:hint="eastAsia" w:ascii="黑体" w:hAnsi="黑体" w:eastAsia="黑体"/>
          <w:b/>
          <w:sz w:val="44"/>
          <w:szCs w:val="44"/>
          <w:lang w:eastAsia="zh-CN"/>
        </w:rPr>
        <w:t>金融服务中心</w:t>
      </w:r>
      <w:r>
        <w:rPr>
          <w:rFonts w:hint="eastAsia" w:ascii="黑体" w:hAnsi="黑体" w:eastAsia="黑体"/>
          <w:b/>
          <w:sz w:val="44"/>
          <w:szCs w:val="44"/>
        </w:rPr>
        <w:t>整体支出</w:t>
      </w:r>
    </w:p>
    <w:p>
      <w:pPr>
        <w:spacing w:line="220" w:lineRule="atLeast"/>
        <w:jc w:val="center"/>
        <w:rPr>
          <w:rFonts w:ascii="黑体" w:hAnsi="黑体" w:eastAsia="黑体"/>
          <w:b/>
          <w:sz w:val="44"/>
          <w:szCs w:val="44"/>
        </w:rPr>
      </w:pPr>
      <w:r>
        <w:rPr>
          <w:rFonts w:hint="eastAsia" w:ascii="黑体" w:hAnsi="黑体" w:eastAsia="黑体"/>
          <w:b/>
          <w:sz w:val="44"/>
          <w:szCs w:val="44"/>
        </w:rPr>
        <w:t>绩效自评报告</w:t>
      </w:r>
    </w:p>
    <w:p>
      <w:pPr>
        <w:spacing w:line="220" w:lineRule="atLeast"/>
        <w:jc w:val="center"/>
        <w:rPr>
          <w:rFonts w:ascii="黑体" w:hAnsi="黑体" w:eastAsia="黑体"/>
          <w:b/>
          <w:sz w:val="44"/>
          <w:szCs w:val="44"/>
        </w:rPr>
      </w:pPr>
    </w:p>
    <w:p>
      <w:pPr>
        <w:autoSpaceDE w:val="0"/>
        <w:spacing w:after="0" w:line="520" w:lineRule="exact"/>
        <w:ind w:firstLine="640" w:firstLineChars="200"/>
        <w:jc w:val="both"/>
        <w:rPr>
          <w:rFonts w:ascii="仿宋_GB2312" w:hAnsi="黑体" w:eastAsia="仿宋_GB2312"/>
          <w:sz w:val="32"/>
          <w:szCs w:val="32"/>
        </w:rPr>
      </w:pPr>
      <w:r>
        <w:rPr>
          <w:rFonts w:hint="eastAsia" w:ascii="仿宋_GB2312" w:hAnsi="Calibri" w:eastAsia="仿宋_GB2312" w:cs="Times New Roman"/>
          <w:color w:val="000000" w:themeColor="text1"/>
          <w:sz w:val="32"/>
          <w:szCs w:val="32"/>
        </w:rPr>
        <w:t>为深入贯彻落实《中共中央 国务院关于全面实施预算绩效管理的意见》（中发[2018]34号）精神，按照《赣州市财政局关于开展2020年度市本级预算项目和部门整体支出绩效评价工作的通知》（赣市财评字[2021]4号）文件要求，我局于2021年5月对2020年部门整体支出开展绩效评价，现将评价工作总结如下：</w:t>
      </w:r>
      <w:r>
        <w:rPr>
          <w:rFonts w:hint="eastAsia" w:ascii="仿宋_GB2312" w:hAnsi="黑体" w:eastAsia="仿宋_GB2312"/>
          <w:sz w:val="32"/>
          <w:szCs w:val="32"/>
        </w:rPr>
        <w:cr/>
      </w:r>
      <w:r>
        <w:rPr>
          <w:rFonts w:hint="eastAsia" w:ascii="黑体" w:hAnsi="黑体" w:eastAsia="黑体"/>
          <w:sz w:val="32"/>
          <w:szCs w:val="32"/>
        </w:rPr>
        <w:t>一、部门概况</w:t>
      </w:r>
      <w:r>
        <w:rPr>
          <w:rFonts w:hint="eastAsia" w:ascii="黑体" w:hAnsi="黑体" w:eastAsia="黑体"/>
          <w:sz w:val="32"/>
          <w:szCs w:val="32"/>
        </w:rPr>
        <w:cr/>
      </w:r>
      <w:r>
        <w:rPr>
          <w:rFonts w:hint="eastAsia" w:ascii="仿宋_GB2312" w:hAnsi="黑体" w:eastAsia="仿宋_GB2312"/>
          <w:b/>
          <w:sz w:val="32"/>
          <w:szCs w:val="32"/>
        </w:rPr>
        <w:t xml:space="preserve">   （一）部门主要职责职能，组织架构、人员及资产等基本情况。</w:t>
      </w:r>
      <w:r>
        <w:rPr>
          <w:rFonts w:hint="eastAsia" w:ascii="仿宋_GB2312" w:hAnsi="黑体" w:eastAsia="仿宋_GB2312"/>
          <w:b/>
          <w:sz w:val="32"/>
          <w:szCs w:val="32"/>
        </w:rPr>
        <w:cr/>
      </w:r>
      <w:r>
        <w:rPr>
          <w:rFonts w:hint="eastAsia" w:ascii="仿宋_GB2312" w:hAnsi="黑体" w:eastAsia="仿宋_GB2312"/>
          <w:sz w:val="32"/>
          <w:szCs w:val="32"/>
        </w:rPr>
        <w:t xml:space="preserve">    1.主要职能。</w:t>
      </w:r>
      <w:r>
        <w:rPr>
          <w:rFonts w:hint="eastAsia" w:ascii="仿宋_GB2312" w:hAnsi="黑体" w:eastAsia="仿宋_GB2312"/>
          <w:sz w:val="32"/>
          <w:szCs w:val="32"/>
        </w:rPr>
        <w:cr/>
      </w:r>
      <w:r>
        <w:rPr>
          <w:rFonts w:hint="eastAsia" w:ascii="仿宋_GB2312" w:hAnsi="黑体" w:eastAsia="仿宋_GB2312"/>
          <w:sz w:val="32"/>
          <w:szCs w:val="32"/>
        </w:rPr>
        <w:t xml:space="preserve">    负责研究拟订我区金融发展中长期规划和工作计划;研究分析经济金融形势,提出优化金融环境、改善金融服务、促进我区金融业发展的政策建议。负责我区企业上市工作,指导和推动拟上市公司资产重组及融资;协助做好证券期货机构和上市公司规范发展工作。承担对地方金融机构的相关业务管理工作,参与对地方金融机构及其高管人员的业绩考,对区委关于区属国有金融企业高管人员的提名、任免意见提出意见。指导全区小额贷款公司的设立初审和监管工作,负责辖区内小额贷款公司设立的复审和日常监管工作。 </w:t>
      </w:r>
      <w:r>
        <w:rPr>
          <w:rFonts w:hint="eastAsia" w:ascii="仿宋_GB2312" w:hAnsi="黑体" w:eastAsia="仿宋_GB2312"/>
          <w:sz w:val="32"/>
          <w:szCs w:val="32"/>
        </w:rPr>
        <w:cr/>
      </w:r>
      <w:r>
        <w:rPr>
          <w:rFonts w:hint="eastAsia" w:ascii="仿宋_GB2312" w:hAnsi="黑体" w:eastAsia="仿宋_GB2312"/>
          <w:sz w:val="32"/>
          <w:szCs w:val="32"/>
        </w:rPr>
        <w:t xml:space="preserve">    2.机构情况。</w:t>
      </w:r>
      <w:r>
        <w:rPr>
          <w:rFonts w:hint="eastAsia" w:ascii="仿宋_GB2312" w:hAnsi="黑体" w:eastAsia="仿宋_GB2312"/>
          <w:sz w:val="32"/>
          <w:szCs w:val="32"/>
        </w:rPr>
        <w:cr/>
      </w:r>
      <w:r>
        <w:rPr>
          <w:rFonts w:hint="eastAsia" w:ascii="仿宋_GB2312" w:hAnsi="黑体" w:eastAsia="仿宋_GB2312"/>
          <w:sz w:val="32"/>
          <w:szCs w:val="32"/>
        </w:rPr>
        <w:t xml:space="preserve">    根据上述职责，区</w:t>
      </w:r>
      <w:r>
        <w:rPr>
          <w:rFonts w:hint="eastAsia" w:ascii="仿宋_GB2312" w:hAnsi="黑体" w:eastAsia="仿宋_GB2312"/>
          <w:sz w:val="32"/>
          <w:szCs w:val="32"/>
          <w:lang w:eastAsia="zh-CN"/>
        </w:rPr>
        <w:t>金融服务中心</w:t>
      </w:r>
      <w:r>
        <w:rPr>
          <w:rFonts w:hint="eastAsia" w:ascii="仿宋_GB2312" w:hAnsi="黑体" w:eastAsia="仿宋_GB2312"/>
          <w:sz w:val="32"/>
          <w:szCs w:val="32"/>
        </w:rPr>
        <w:t>内设综合</w:t>
      </w:r>
      <w:r>
        <w:rPr>
          <w:rFonts w:hint="eastAsia" w:ascii="仿宋_GB2312" w:hAnsi="黑体" w:eastAsia="仿宋_GB2312"/>
          <w:sz w:val="32"/>
          <w:szCs w:val="32"/>
          <w:lang w:eastAsia="zh-CN"/>
        </w:rPr>
        <w:t>科、业务</w:t>
      </w:r>
      <w:r>
        <w:rPr>
          <w:rFonts w:hint="eastAsia" w:ascii="仿宋_GB2312" w:hAnsi="黑体" w:eastAsia="仿宋_GB2312"/>
          <w:sz w:val="32"/>
          <w:szCs w:val="32"/>
        </w:rPr>
        <w:t>科、</w:t>
      </w:r>
      <w:r>
        <w:rPr>
          <w:rFonts w:hint="eastAsia" w:ascii="仿宋_GB2312" w:hAnsi="黑体" w:eastAsia="仿宋_GB2312"/>
          <w:sz w:val="32"/>
          <w:szCs w:val="32"/>
          <w:lang w:eastAsia="zh-CN"/>
        </w:rPr>
        <w:t>处非办</w:t>
      </w:r>
      <w:r>
        <w:rPr>
          <w:rFonts w:hint="eastAsia" w:ascii="仿宋_GB2312" w:hAnsi="黑体" w:eastAsia="仿宋_GB2312"/>
          <w:sz w:val="32"/>
          <w:szCs w:val="32"/>
        </w:rPr>
        <w:t>3个</w:t>
      </w:r>
      <w:r>
        <w:rPr>
          <w:rFonts w:hint="eastAsia" w:ascii="仿宋_GB2312" w:hAnsi="黑体" w:eastAsia="仿宋_GB2312"/>
          <w:sz w:val="32"/>
          <w:szCs w:val="32"/>
          <w:lang w:eastAsia="zh-CN"/>
        </w:rPr>
        <w:t>科</w:t>
      </w:r>
      <w:r>
        <w:rPr>
          <w:rFonts w:hint="eastAsia" w:ascii="仿宋_GB2312" w:hAnsi="黑体" w:eastAsia="仿宋_GB2312"/>
          <w:sz w:val="32"/>
          <w:szCs w:val="32"/>
        </w:rPr>
        <w:t xml:space="preserve">室。 </w:t>
      </w:r>
      <w:r>
        <w:rPr>
          <w:rFonts w:hint="eastAsia" w:ascii="仿宋_GB2312" w:hAnsi="黑体" w:eastAsia="仿宋_GB2312"/>
          <w:sz w:val="32"/>
          <w:szCs w:val="32"/>
        </w:rPr>
        <w:cr/>
      </w:r>
      <w:r>
        <w:rPr>
          <w:rFonts w:hint="eastAsia" w:ascii="仿宋_GB2312" w:hAnsi="黑体" w:eastAsia="仿宋_GB2312"/>
          <w:sz w:val="32"/>
          <w:szCs w:val="32"/>
        </w:rPr>
        <w:t xml:space="preserve">    3.人员情况</w:t>
      </w:r>
      <w:r>
        <w:rPr>
          <w:rFonts w:hint="eastAsia" w:ascii="仿宋_GB2312" w:hAnsi="黑体" w:eastAsia="仿宋_GB2312"/>
          <w:sz w:val="32"/>
          <w:szCs w:val="32"/>
        </w:rPr>
        <w:cr/>
      </w:r>
      <w:r>
        <w:rPr>
          <w:rFonts w:hint="eastAsia" w:ascii="仿宋_GB2312" w:hAnsi="黑体" w:eastAsia="仿宋_GB2312"/>
          <w:sz w:val="32"/>
          <w:szCs w:val="32"/>
        </w:rPr>
        <w:t xml:space="preserve">    本部门2020年末在编人数</w:t>
      </w:r>
      <w:r>
        <w:rPr>
          <w:rFonts w:hint="eastAsia" w:ascii="仿宋_GB2312" w:hAnsi="黑体" w:eastAsia="仿宋_GB2312"/>
          <w:sz w:val="32"/>
          <w:szCs w:val="32"/>
          <w:lang w:val="en-US" w:eastAsia="zh-CN"/>
        </w:rPr>
        <w:t>5</w:t>
      </w:r>
      <w:r>
        <w:rPr>
          <w:rFonts w:hint="eastAsia" w:ascii="仿宋_GB2312" w:hAnsi="黑体" w:eastAsia="仿宋_GB2312"/>
          <w:sz w:val="32"/>
          <w:szCs w:val="32"/>
        </w:rPr>
        <w:t>人，实有</w:t>
      </w:r>
      <w:r>
        <w:rPr>
          <w:rFonts w:hint="eastAsia" w:ascii="仿宋_GB2312" w:hAnsi="黑体" w:eastAsia="仿宋_GB2312"/>
          <w:sz w:val="32"/>
          <w:szCs w:val="32"/>
          <w:lang w:val="en-US" w:eastAsia="zh-CN"/>
        </w:rPr>
        <w:t>10</w:t>
      </w:r>
      <w:r>
        <w:rPr>
          <w:rFonts w:hint="eastAsia" w:ascii="仿宋_GB2312" w:hAnsi="黑体" w:eastAsia="仿宋_GB2312"/>
          <w:sz w:val="32"/>
          <w:szCs w:val="32"/>
        </w:rPr>
        <w:t>人。其中</w:t>
      </w:r>
      <w:r>
        <w:rPr>
          <w:rFonts w:hint="eastAsia" w:ascii="仿宋_GB2312" w:hAnsi="黑体" w:eastAsia="仿宋_GB2312"/>
          <w:sz w:val="32"/>
          <w:szCs w:val="32"/>
          <w:lang w:eastAsia="zh-CN"/>
        </w:rPr>
        <w:t>事业编制</w:t>
      </w:r>
      <w:r>
        <w:rPr>
          <w:rFonts w:hint="eastAsia" w:ascii="仿宋_GB2312" w:hAnsi="黑体" w:eastAsia="仿宋_GB2312"/>
          <w:sz w:val="32"/>
          <w:szCs w:val="32"/>
          <w:lang w:val="en-US" w:eastAsia="zh-CN"/>
        </w:rPr>
        <w:t>5人</w:t>
      </w:r>
      <w:r>
        <w:rPr>
          <w:rFonts w:hint="eastAsia" w:ascii="仿宋_GB2312" w:hAnsi="黑体" w:eastAsia="仿宋_GB2312"/>
          <w:sz w:val="32"/>
          <w:szCs w:val="32"/>
        </w:rPr>
        <w:t>,雇员</w:t>
      </w:r>
      <w:r>
        <w:rPr>
          <w:rFonts w:hint="eastAsia" w:ascii="仿宋_GB2312" w:hAnsi="黑体" w:eastAsia="仿宋_GB2312"/>
          <w:sz w:val="32"/>
          <w:szCs w:val="32"/>
          <w:lang w:val="en-US" w:eastAsia="zh-CN"/>
        </w:rPr>
        <w:t>4</w:t>
      </w:r>
      <w:r>
        <w:rPr>
          <w:rFonts w:hint="eastAsia" w:ascii="仿宋_GB2312" w:hAnsi="黑体" w:eastAsia="仿宋_GB2312"/>
          <w:sz w:val="32"/>
          <w:szCs w:val="32"/>
        </w:rPr>
        <w:t>人，</w:t>
      </w:r>
      <w:r>
        <w:rPr>
          <w:rFonts w:hint="eastAsia" w:ascii="仿宋_GB2312" w:hAnsi="黑体" w:eastAsia="仿宋_GB2312"/>
          <w:sz w:val="32"/>
          <w:szCs w:val="32"/>
          <w:lang w:eastAsia="zh-CN"/>
        </w:rPr>
        <w:t>特岗</w:t>
      </w:r>
      <w:r>
        <w:rPr>
          <w:rFonts w:hint="eastAsia" w:ascii="仿宋_GB2312" w:hAnsi="黑体" w:eastAsia="仿宋_GB2312"/>
          <w:sz w:val="32"/>
          <w:szCs w:val="32"/>
          <w:lang w:val="en-US" w:eastAsia="zh-CN"/>
        </w:rPr>
        <w:t>1</w:t>
      </w:r>
      <w:r>
        <w:rPr>
          <w:rFonts w:hint="eastAsia" w:ascii="仿宋_GB2312" w:hAnsi="黑体" w:eastAsia="仿宋_GB2312"/>
          <w:sz w:val="32"/>
          <w:szCs w:val="32"/>
        </w:rPr>
        <w:t>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val="0"/>
          <w:bCs w:val="0"/>
          <w:sz w:val="32"/>
          <w:szCs w:val="32"/>
          <w:lang w:val="en-US" w:eastAsia="zh-CN"/>
        </w:rPr>
      </w:pPr>
      <w:r>
        <w:rPr>
          <w:rFonts w:hint="eastAsia" w:ascii="仿宋_GB2312" w:hAnsi="黑体" w:eastAsia="仿宋_GB2312"/>
          <w:b/>
          <w:sz w:val="32"/>
          <w:szCs w:val="32"/>
        </w:rPr>
        <w:t>（二）当年部门履职总体目标、工作任务。</w:t>
      </w:r>
      <w:r>
        <w:rPr>
          <w:rFonts w:hint="eastAsia" w:ascii="仿宋_GB2312" w:hAnsi="黑体" w:eastAsia="仿宋_GB2312"/>
          <w:b/>
          <w:sz w:val="32"/>
          <w:szCs w:val="32"/>
        </w:rPr>
        <w:cr/>
      </w:r>
      <w:r>
        <w:rPr>
          <w:rFonts w:hint="eastAsia" w:ascii="仿宋_GB2312" w:hAnsi="黑体" w:eastAsia="仿宋_GB2312"/>
          <w:b/>
          <w:bCs/>
          <w:sz w:val="32"/>
          <w:szCs w:val="32"/>
        </w:rPr>
        <w:t xml:space="preserve">    </w:t>
      </w:r>
      <w:r>
        <w:rPr>
          <w:rFonts w:hint="eastAsia" w:ascii="楷体_GB2312" w:hAnsi="楷体_GB2312" w:eastAsia="楷体_GB2312" w:cs="楷体_GB2312"/>
          <w:b w:val="0"/>
          <w:bCs w:val="0"/>
          <w:sz w:val="32"/>
          <w:szCs w:val="32"/>
          <w:lang w:val="en-US" w:eastAsia="zh-CN"/>
        </w:rPr>
        <w:t>（一）推进企业上市“映山红行动”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我局扎实推进企业上市“映山红行动”，</w:t>
      </w:r>
      <w:r>
        <w:rPr>
          <w:rFonts w:hint="eastAsia" w:ascii="仿宋_GB2312" w:hAnsi="仿宋_GB2312" w:eastAsia="仿宋_GB2312" w:cs="仿宋_GB2312"/>
          <w:b/>
          <w:bCs/>
          <w:sz w:val="32"/>
          <w:szCs w:val="32"/>
          <w:lang w:val="en-US" w:eastAsia="zh-CN"/>
        </w:rPr>
        <w:t>一是科学谋划，全力推进企业上市。</w:t>
      </w:r>
      <w:r>
        <w:rPr>
          <w:rFonts w:hint="eastAsia" w:ascii="仿宋_GB2312" w:hAnsi="仿宋_GB2312" w:eastAsia="仿宋_GB2312" w:cs="仿宋_GB2312"/>
          <w:sz w:val="32"/>
          <w:szCs w:val="32"/>
          <w:lang w:val="en-US" w:eastAsia="zh-CN"/>
        </w:rPr>
        <w:t>为深入贯彻省、市企业上市“映山红行动”相关要求，我区于年初制定出台了《赣州经济技术开发区2020年推进企业上市“映山红行动”工作方案》，对全年企业上市工作进行科学谋划。</w:t>
      </w:r>
      <w:r>
        <w:rPr>
          <w:rFonts w:hint="eastAsia" w:ascii="仿宋_GB2312" w:hAnsi="仿宋_GB2312" w:eastAsia="仿宋_GB2312" w:cs="仿宋_GB2312"/>
          <w:b/>
          <w:bCs/>
          <w:sz w:val="32"/>
          <w:szCs w:val="32"/>
          <w:lang w:val="en-US" w:eastAsia="zh-CN"/>
        </w:rPr>
        <w:t>二是夯实基础，全面培育上市后备资源。</w:t>
      </w:r>
      <w:r>
        <w:rPr>
          <w:rFonts w:hint="eastAsia" w:ascii="仿宋_GB2312" w:hAnsi="仿宋_GB2312" w:eastAsia="仿宋_GB2312" w:cs="仿宋_GB2312"/>
          <w:sz w:val="32"/>
          <w:szCs w:val="32"/>
          <w:lang w:val="en-US" w:eastAsia="zh-CN"/>
        </w:rPr>
        <w:t>我区对上市后备库企业按“拟上市企业、重点培育企业、后备企业”分类，梯队建立企业挂牌上市动态后备库，结合实施“预见独角兽”计划，充实企业上市后备资源。</w:t>
      </w:r>
      <w:r>
        <w:rPr>
          <w:rFonts w:hint="eastAsia" w:ascii="仿宋_GB2312" w:hAnsi="仿宋_GB2312" w:eastAsia="仿宋_GB2312" w:cs="仿宋_GB2312"/>
          <w:b/>
          <w:bCs/>
          <w:sz w:val="32"/>
          <w:szCs w:val="32"/>
          <w:lang w:val="en-US" w:eastAsia="zh-CN"/>
        </w:rPr>
        <w:t>三是抓住关键，扎实推动企业股改工作。</w:t>
      </w:r>
      <w:r>
        <w:rPr>
          <w:rFonts w:hint="eastAsia" w:ascii="仿宋_GB2312" w:hAnsi="仿宋_GB2312" w:eastAsia="仿宋_GB2312" w:cs="仿宋_GB2312"/>
          <w:sz w:val="32"/>
          <w:szCs w:val="32"/>
          <w:lang w:val="en-US" w:eastAsia="zh-CN"/>
        </w:rPr>
        <w:t>为帮助区内优质企业加快股改，夯实上市基础，我区制定了《赣州经济技术开发区关于推进企业股份制改造三年行动方案（2020-2022年）》。通过实施方案，协调相关专业机构，深入区内各优质企业，积极帮助企业解决现阶段在财务规范、股权架构等方面的问题，对完成股改的企业给予50万元的奖励，加快启动股改工作。同时，我局牵头编制了《赣州经开区企业上市业务合规性指导汇编》，为企业在用人、消防、土地、环保等方面提供指导意见，避免出现因企业不合规而延缓上市工作进程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（二）优化企业融资服务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今年以来，我区积极搭建银担企沟通桥梁，帮助企业缓解融资难题，</w:t>
      </w:r>
      <w:r>
        <w:rPr>
          <w:rFonts w:hint="eastAsia" w:ascii="仿宋_GB2312" w:hAnsi="仿宋_GB2312" w:eastAsia="仿宋_GB2312" w:cs="仿宋_GB2312"/>
          <w:b/>
          <w:bCs/>
          <w:sz w:val="32"/>
          <w:szCs w:val="32"/>
          <w:lang w:val="en-US" w:eastAsia="zh-CN"/>
        </w:rPr>
        <w:t>一是加大政策支持。</w:t>
      </w:r>
      <w:r>
        <w:rPr>
          <w:rFonts w:hint="eastAsia" w:ascii="仿宋_GB2312" w:hAnsi="仿宋_GB2312" w:eastAsia="仿宋_GB2312" w:cs="仿宋_GB2312"/>
          <w:sz w:val="32"/>
          <w:szCs w:val="32"/>
          <w:lang w:val="en-US" w:eastAsia="zh-CN"/>
        </w:rPr>
        <w:t>我区制定出台了《赣州经济技术开发区2020年服务企业融资工作方案》，以缓解企业融资难为核心，重点围绕区双首位产业，充分发挥政府引导作用，搭建企业融资服务桥梁，通过摸清企业融资需求及金融政策、重点开展“两融资平台”推广运用工作、打通金融服务渠道、大力推广普惠金融、充分运用过桥基金、积极协调重点企业开展融资工作、督促金融机构落实不抽贷、不断贷、不压贷等方式，帮助企业缓解融资困难</w:t>
      </w:r>
      <w:r>
        <w:rPr>
          <w:rFonts w:hint="eastAsia" w:ascii="仿宋_GB2312" w:hAnsi="仿宋_GB2312" w:cs="仿宋_GB2312"/>
          <w:sz w:val="32"/>
          <w:szCs w:val="32"/>
          <w:lang w:val="en-US" w:eastAsia="zh-CN"/>
        </w:rPr>
        <w:t>；</w:t>
      </w:r>
      <w:r>
        <w:rPr>
          <w:rFonts w:hint="eastAsia" w:ascii="仿宋_GB2312" w:hAnsi="仿宋_GB2312" w:eastAsia="仿宋_GB2312" w:cs="仿宋_GB2312"/>
          <w:b/>
          <w:bCs/>
          <w:sz w:val="32"/>
          <w:szCs w:val="32"/>
          <w:lang w:val="en-US" w:eastAsia="zh-CN"/>
        </w:rPr>
        <w:t>二是畅通融资渠道。</w:t>
      </w:r>
      <w:r>
        <w:rPr>
          <w:rFonts w:hint="eastAsia" w:ascii="仿宋_GB2312" w:hAnsi="仿宋_GB2312" w:eastAsia="仿宋_GB2312" w:cs="仿宋_GB2312"/>
          <w:sz w:val="32"/>
          <w:szCs w:val="32"/>
          <w:lang w:val="en-US" w:eastAsia="zh-CN"/>
        </w:rPr>
        <w:t>根据2020年服务企业融资方案，建立“政、银、</w:t>
      </w:r>
      <w:r>
        <w:rPr>
          <w:rFonts w:hint="eastAsia" w:ascii="仿宋_GB2312" w:hAnsi="仿宋_GB2312" w:cs="仿宋_GB2312"/>
          <w:sz w:val="32"/>
          <w:szCs w:val="32"/>
          <w:lang w:val="en-US" w:eastAsia="zh-CN"/>
        </w:rPr>
        <w:t>担、</w:t>
      </w:r>
      <w:r>
        <w:rPr>
          <w:rFonts w:hint="eastAsia" w:ascii="仿宋_GB2312" w:hAnsi="仿宋_GB2312" w:eastAsia="仿宋_GB2312" w:cs="仿宋_GB2312"/>
          <w:sz w:val="32"/>
          <w:szCs w:val="32"/>
          <w:lang w:val="en-US" w:eastAsia="zh-CN"/>
        </w:rPr>
        <w:t>企”对接会的机制，共召开7次政银</w:t>
      </w:r>
      <w:r>
        <w:rPr>
          <w:rFonts w:hint="eastAsia" w:ascii="仿宋_GB2312" w:hAnsi="仿宋_GB2312" w:cs="仿宋_GB2312"/>
          <w:sz w:val="32"/>
          <w:szCs w:val="32"/>
          <w:lang w:val="en-US" w:eastAsia="zh-CN"/>
        </w:rPr>
        <w:t>担</w:t>
      </w:r>
      <w:r>
        <w:rPr>
          <w:rFonts w:hint="eastAsia" w:ascii="仿宋_GB2312" w:hAnsi="仿宋_GB2312" w:eastAsia="仿宋_GB2312" w:cs="仿宋_GB2312"/>
          <w:sz w:val="32"/>
          <w:szCs w:val="32"/>
          <w:lang w:val="en-US" w:eastAsia="zh-CN"/>
        </w:rPr>
        <w:t>企对接会</w:t>
      </w:r>
      <w:r>
        <w:rPr>
          <w:rFonts w:hint="eastAsia" w:ascii="仿宋_GB2312" w:hAnsi="仿宋_GB2312" w:cs="仿宋_GB2312"/>
          <w:sz w:val="32"/>
          <w:szCs w:val="32"/>
          <w:lang w:val="en-US" w:eastAsia="zh-CN"/>
        </w:rPr>
        <w:t>；</w:t>
      </w:r>
      <w:r>
        <w:rPr>
          <w:rFonts w:hint="eastAsia" w:ascii="仿宋_GB2312" w:hAnsi="仿宋_GB2312" w:eastAsia="仿宋_GB2312" w:cs="仿宋_GB2312"/>
          <w:b/>
          <w:bCs/>
          <w:sz w:val="32"/>
          <w:szCs w:val="32"/>
          <w:lang w:val="en-US" w:eastAsia="zh-CN"/>
        </w:rPr>
        <w:t>三是开展“金融产品地摊”活动。</w:t>
      </w:r>
      <w:r>
        <w:rPr>
          <w:rFonts w:hint="eastAsia" w:ascii="仿宋_GB2312" w:hAnsi="仿宋_GB2312" w:eastAsia="仿宋_GB2312" w:cs="仿宋_GB2312"/>
          <w:sz w:val="32"/>
          <w:szCs w:val="32"/>
          <w:lang w:val="en-US" w:eastAsia="zh-CN"/>
        </w:rPr>
        <w:t>设立普惠金融服务中心，并开展“金融产品地摊”活动。按照“固定时间、固定地点、固定地点、固定模式”开展，依托赣州银行社区网点，在区企服中心大厅设立金融产品宣传区、金融服务区、银企洽谈签约区及配套自助服务区，金融机构每天安排人员进驻并常态化开展宣传讲解金融政策和产品。金融产品地摊活动的开展，进一步帮助金融机构和企业搭建沟通平台，让群众和企业得到最接地气的金融服务，为企业与金融机构搭建平台，实现金融机构与民营企业、金融产品与融资需求的有效对接</w:t>
      </w:r>
      <w:r>
        <w:rPr>
          <w:rFonts w:hint="eastAsia" w:ascii="仿宋_GB2312" w:hAnsi="仿宋_GB2312" w:cs="仿宋_GB2312"/>
          <w:sz w:val="32"/>
          <w:szCs w:val="32"/>
          <w:lang w:val="en-US" w:eastAsia="zh-CN"/>
        </w:rPr>
        <w:t>；</w:t>
      </w:r>
      <w:r>
        <w:rPr>
          <w:rFonts w:hint="eastAsia" w:ascii="仿宋_GB2312" w:hAnsi="仿宋_GB2312" w:eastAsia="仿宋_GB2312" w:cs="仿宋_GB2312"/>
          <w:b/>
          <w:bCs/>
          <w:sz w:val="32"/>
          <w:szCs w:val="32"/>
          <w:lang w:val="en-US" w:eastAsia="zh-CN"/>
        </w:rPr>
        <w:t>四是创新建设“</w:t>
      </w:r>
      <w:r>
        <w:rPr>
          <w:rFonts w:hint="eastAsia" w:ascii="仿宋_GB2312" w:hAnsi="仿宋_GB2312" w:eastAsia="仿宋_GB2312" w:cs="仿宋_GB2312"/>
          <w:b/>
          <w:bCs/>
          <w:sz w:val="32"/>
          <w:szCs w:val="32"/>
        </w:rPr>
        <w:t>中小微企业融资撮合平台</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解决“银行找企业、企业找银行”的问题，实现政银企信息共享，实现对市场主体信用的“精准画像”，同时，引入银行、信托、基金等金融资源，实现各类市场主体信息与金融机构产品的智能匹配撮合，增强银企对接的精准度，更好的缓解企业融资慢、融资难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（三）扎实防控金融风险</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黑体" w:eastAsia="仿宋_GB2312"/>
          <w:sz w:val="32"/>
          <w:szCs w:val="32"/>
        </w:rPr>
      </w:pPr>
      <w:r>
        <w:rPr>
          <w:rFonts w:hint="eastAsia" w:ascii="仿宋_GB2312" w:hAnsi="仿宋_GB2312" w:eastAsia="仿宋_GB2312" w:cs="仿宋_GB2312"/>
          <w:sz w:val="32"/>
          <w:szCs w:val="32"/>
          <w:lang w:val="en-US" w:eastAsia="zh-CN"/>
        </w:rPr>
        <w:t>为维护金融稳定，我区坚持预防为主，防治结合，重点做好以下工作，</w:t>
      </w:r>
      <w:r>
        <w:rPr>
          <w:rFonts w:hint="eastAsia" w:ascii="仿宋_GB2312" w:hAnsi="仿宋_GB2312" w:eastAsia="仿宋_GB2312" w:cs="仿宋_GB2312"/>
          <w:b/>
          <w:bCs/>
          <w:sz w:val="32"/>
          <w:szCs w:val="32"/>
          <w:lang w:val="en-US" w:eastAsia="zh-CN"/>
        </w:rPr>
        <w:t>一是全面覆盖，强化宣传。</w:t>
      </w:r>
      <w:r>
        <w:rPr>
          <w:rFonts w:hint="eastAsia" w:ascii="仿宋_GB2312" w:hAnsi="仿宋_GB2312" w:eastAsia="仿宋_GB2312" w:cs="仿宋_GB2312"/>
          <w:sz w:val="32"/>
          <w:szCs w:val="32"/>
          <w:lang w:val="en-US" w:eastAsia="zh-CN"/>
        </w:rPr>
        <w:t>对辖区内的银行机构、小贷公司、融资租赁公司、典当行等47家机构进行金融放贷领域突出问题专项整治宣传，将防范非法金融放贷活动列入对区内中职和高校的安全教育，引导学生提高识别和防范“套路贷”“校园贷”“非法集资”的能力，从源头上遏制非法金融放贷活动，有效保障师生群众的合法权益。</w:t>
      </w:r>
      <w:r>
        <w:rPr>
          <w:rFonts w:hint="eastAsia" w:ascii="仿宋_GB2312" w:hAnsi="仿宋_GB2312" w:eastAsia="仿宋_GB2312" w:cs="仿宋_GB2312"/>
          <w:b/>
          <w:bCs/>
          <w:sz w:val="32"/>
          <w:szCs w:val="32"/>
          <w:lang w:val="en-US" w:eastAsia="zh-CN"/>
        </w:rPr>
        <w:t>二是联合作战，重拳打击。</w:t>
      </w:r>
      <w:r>
        <w:rPr>
          <w:rFonts w:hint="eastAsia" w:ascii="仿宋_GB2312" w:hAnsi="仿宋_GB2312" w:eastAsia="仿宋_GB2312" w:cs="仿宋_GB2312"/>
          <w:sz w:val="32"/>
          <w:szCs w:val="32"/>
          <w:lang w:val="en-US" w:eastAsia="zh-CN"/>
        </w:rPr>
        <w:t>联合市监、公安等相关部门对千微科技、联豪创投及卓竣建筑非法集资线索进行了排查整改。</w:t>
      </w:r>
      <w:r>
        <w:rPr>
          <w:rFonts w:hint="eastAsia" w:ascii="仿宋_GB2312" w:hAnsi="仿宋_GB2312" w:eastAsia="仿宋_GB2312" w:cs="仿宋_GB2312"/>
          <w:b/>
          <w:bCs/>
          <w:sz w:val="32"/>
          <w:szCs w:val="32"/>
          <w:lang w:val="en-US" w:eastAsia="zh-CN"/>
        </w:rPr>
        <w:t>三是部门协同，化解积案。</w:t>
      </w:r>
      <w:r>
        <w:rPr>
          <w:rFonts w:hint="eastAsia" w:ascii="仿宋_GB2312" w:hAnsi="仿宋_GB2312" w:eastAsia="仿宋_GB2312" w:cs="仿宋_GB2312"/>
          <w:b w:val="0"/>
          <w:bCs w:val="0"/>
          <w:sz w:val="32"/>
          <w:szCs w:val="32"/>
          <w:lang w:val="en-US" w:eastAsia="zh-CN"/>
        </w:rPr>
        <w:t>妥善解决博鑫地产债务遗留问题，联合区法院、区公安分局、区税务分局等有关部门进行协调。</w:t>
      </w:r>
    </w:p>
    <w:p>
      <w:pPr>
        <w:spacing w:after="0" w:line="520" w:lineRule="exact"/>
        <w:rPr>
          <w:rFonts w:ascii="仿宋_GB2312" w:hAnsi="黑体" w:eastAsia="仿宋_GB2312"/>
          <w:b/>
          <w:sz w:val="32"/>
          <w:szCs w:val="32"/>
        </w:rPr>
      </w:pPr>
      <w:r>
        <w:rPr>
          <w:rFonts w:hint="eastAsia" w:ascii="仿宋_GB2312" w:hAnsi="黑体" w:eastAsia="仿宋_GB2312"/>
          <w:b/>
          <w:sz w:val="32"/>
          <w:szCs w:val="32"/>
        </w:rPr>
        <w:t>（三）当年部门年度整体支出绩效目标。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金融创新举措有力。为进一步加强我区金融工作，牵头制定了《金融服务业发展扶持奖励办法》、《加强金融工作的实施意见》、《促进供应链金融发展的若干措施》等3个金融政策文件，进一步完善了我区金融创新政策体系，推动金融业态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精准帮扶扎实推进。积极入户开展政策宣传、落实各项政策、了解每户生产生活情况、解决贫困户实际困难。2020年村集体收入稳步提高，收入达到10.7万元。在持续做好产业扶贫信贷通应贷尽贷的同时，重点牵头做好了到期贷款的清收工作，2020年到期的1863户，11405万元已全部归还，未产生逾期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企业上市新突破。2020年，新增境内上市企业1家，迁入新三板挂牌企业2家，其中，孚能科技于7月17日在科创板上市，打响我省企业进军科创板的第一枪；组织区内40余家重点拟上市企业开展了“走进上交所”、“走进深交所”活动，进一步激发了企业上市热情，鼓励引导优质企业积极对接多层次资本市场，上市工作得到省、市有关部门的肯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企业融资渠道进一步拓宽。积极贯彻落实省、市有关“六稳”“六保”政策，全年举办了7次政银担企对接会，通过银行机构向我区中小微企业提供的资金支持1762笔、金额224.12亿元；通过供应链解决企业融资需求40.71亿元；通过融资租赁支持企业0.17亿元；通过资本市场支持企业100.3亿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金融风险防控得稳控。坚持预防为主，防治结合原则，积极联合有关部门开展了金融风险防范进校园、进社区、进企业等活动，从源头上预防非法金融放贷活动；在化解博鑫地产债务遗留问题上，联合有关部门多次与广州中院协商，最终解决了1096户购房业主无法办理不动产权证的堵点难点问题，有力服务了全区社会稳定大局。</w:t>
      </w:r>
    </w:p>
    <w:p>
      <w:pPr>
        <w:spacing w:after="0" w:line="520" w:lineRule="exact"/>
        <w:ind w:left="110" w:leftChars="50"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6.招商引资成效明显。围绕区块链、轻资产等科技金融企业，积极开展招商工作，成功引进金融、类金融公司19家，引进基金类公司6家，拟上市企业3家，签约项目2个。</w:t>
      </w:r>
    </w:p>
    <w:p>
      <w:pPr>
        <w:spacing w:after="0" w:line="520" w:lineRule="exact"/>
        <w:ind w:left="110" w:leftChars="50" w:firstLine="643" w:firstLineChars="200"/>
        <w:rPr>
          <w:rFonts w:ascii="仿宋_GB2312" w:hAnsi="黑体" w:eastAsia="仿宋_GB2312"/>
          <w:color w:val="auto"/>
          <w:sz w:val="32"/>
          <w:szCs w:val="32"/>
        </w:rPr>
      </w:pPr>
      <w:r>
        <w:rPr>
          <w:rFonts w:hint="eastAsia" w:ascii="仿宋_GB2312" w:hAnsi="黑体" w:eastAsia="仿宋_GB2312"/>
          <w:b/>
          <w:sz w:val="32"/>
          <w:szCs w:val="32"/>
        </w:rPr>
        <w:t>（四）部门预算绩效管理开展情况。</w:t>
      </w:r>
      <w:r>
        <w:rPr>
          <w:rFonts w:hint="eastAsia" w:ascii="仿宋_GB2312" w:hAnsi="黑体" w:eastAsia="仿宋_GB2312"/>
          <w:sz w:val="32"/>
          <w:szCs w:val="32"/>
        </w:rPr>
        <w:cr/>
      </w:r>
      <w:r>
        <w:rPr>
          <w:rFonts w:hint="eastAsia" w:ascii="仿宋_GB2312" w:hAnsi="黑体" w:eastAsia="仿宋_GB2312"/>
          <w:sz w:val="32"/>
          <w:szCs w:val="32"/>
        </w:rPr>
        <w:t xml:space="preserve">    本单位按照财政局的要求，及时对2020年的所有项目经费开展了绩效目标评价，范围涵盖所有的项目经费，绩效评价得到了局领导的高度重视，召开了会议，组建了评价工作小组，明确了具体责任人。绩效评价采取自评与他评相结合方式，做到有计划，有安排，扎实开展本次自评工作。按照上级下达的项目支出绩效评价指标体系，自评小组针对申报内容、实施情况、产出指标、效益指标、满意度指标等做出自我评价。经自评，部门整体支出绩效自</w:t>
      </w:r>
      <w:r>
        <w:rPr>
          <w:rFonts w:hint="eastAsia" w:ascii="仿宋_GB2312" w:hAnsi="黑体" w:eastAsia="仿宋_GB2312"/>
          <w:b/>
          <w:sz w:val="32"/>
          <w:szCs w:val="32"/>
        </w:rPr>
        <w:t>评分</w:t>
      </w:r>
      <w:r>
        <w:rPr>
          <w:rFonts w:hint="eastAsia" w:ascii="仿宋_GB2312" w:hAnsi="黑体" w:eastAsia="仿宋_GB2312"/>
          <w:b/>
          <w:color w:val="auto"/>
          <w:sz w:val="32"/>
          <w:szCs w:val="32"/>
        </w:rPr>
        <w:t>为85.50分。</w:t>
      </w:r>
    </w:p>
    <w:p>
      <w:pPr>
        <w:spacing w:after="0" w:line="520" w:lineRule="exact"/>
        <w:ind w:left="110" w:leftChars="50"/>
        <w:rPr>
          <w:rFonts w:hint="eastAsia" w:ascii="仿宋_GB2312" w:hAnsi="黑体" w:eastAsia="仿宋_GB2312"/>
          <w:color w:val="auto"/>
          <w:sz w:val="32"/>
          <w:szCs w:val="32"/>
        </w:rPr>
      </w:pPr>
      <w:r>
        <w:rPr>
          <w:rFonts w:hint="eastAsia" w:ascii="仿宋_GB2312" w:hAnsi="黑体" w:eastAsia="仿宋_GB2312"/>
          <w:b/>
          <w:sz w:val="32"/>
          <w:szCs w:val="32"/>
        </w:rPr>
        <w:t>（五）当年部门预算及执行情况。</w:t>
      </w:r>
      <w:r>
        <w:rPr>
          <w:rFonts w:hint="eastAsia" w:ascii="仿宋_GB2312" w:hAnsi="黑体" w:eastAsia="仿宋_GB2312"/>
          <w:b/>
          <w:sz w:val="32"/>
          <w:szCs w:val="32"/>
        </w:rPr>
        <w:cr/>
      </w:r>
      <w:r>
        <w:rPr>
          <w:rFonts w:hint="eastAsia" w:ascii="仿宋_GB2312" w:hAnsi="黑体" w:eastAsia="仿宋_GB2312"/>
          <w:sz w:val="32"/>
          <w:szCs w:val="32"/>
        </w:rPr>
        <w:t xml:space="preserve">    本单位2020年度实际收入总计</w:t>
      </w:r>
      <w:r>
        <w:rPr>
          <w:rFonts w:hint="eastAsia" w:ascii="仿宋_GB2312" w:hAnsi="黑体" w:eastAsia="仿宋_GB2312"/>
          <w:sz w:val="32"/>
          <w:szCs w:val="32"/>
          <w:lang w:val="en-US" w:eastAsia="zh-CN"/>
        </w:rPr>
        <w:t>1059.24</w:t>
      </w:r>
      <w:r>
        <w:rPr>
          <w:rFonts w:hint="eastAsia" w:ascii="仿宋_GB2312" w:hAnsi="黑体" w:eastAsia="仿宋_GB2312"/>
          <w:sz w:val="32"/>
          <w:szCs w:val="32"/>
        </w:rPr>
        <w:t>万元，预算收入</w:t>
      </w:r>
      <w:r>
        <w:rPr>
          <w:rFonts w:hint="eastAsia" w:ascii="仿宋_GB2312" w:hAnsi="黑体" w:eastAsia="仿宋_GB2312"/>
          <w:sz w:val="32"/>
          <w:szCs w:val="32"/>
          <w:lang w:val="en-US" w:eastAsia="zh-CN"/>
        </w:rPr>
        <w:t>522.2万</w:t>
      </w:r>
      <w:r>
        <w:rPr>
          <w:rFonts w:hint="eastAsia" w:ascii="仿宋_GB2312" w:hAnsi="黑体" w:eastAsia="仿宋_GB2312"/>
          <w:sz w:val="32"/>
          <w:szCs w:val="32"/>
        </w:rPr>
        <w:t>元，实际收入较预算收入增加</w:t>
      </w:r>
      <w:r>
        <w:rPr>
          <w:rFonts w:hint="eastAsia" w:ascii="仿宋_GB2312" w:hAnsi="黑体" w:eastAsia="仿宋_GB2312"/>
          <w:sz w:val="32"/>
          <w:szCs w:val="32"/>
          <w:lang w:val="en-US" w:eastAsia="zh-CN"/>
        </w:rPr>
        <w:t>537.04</w:t>
      </w:r>
      <w:r>
        <w:rPr>
          <w:rFonts w:hint="eastAsia" w:ascii="仿宋_GB2312" w:hAnsi="黑体" w:eastAsia="仿宋_GB2312"/>
          <w:sz w:val="32"/>
          <w:szCs w:val="32"/>
        </w:rPr>
        <w:t>万元，</w:t>
      </w:r>
      <w:r>
        <w:rPr>
          <w:rFonts w:hint="eastAsia" w:ascii="仿宋_GB2312" w:hAnsi="黑体" w:eastAsia="仿宋_GB2312"/>
          <w:color w:val="auto"/>
          <w:sz w:val="32"/>
          <w:szCs w:val="32"/>
        </w:rPr>
        <w:t>增长</w:t>
      </w:r>
      <w:r>
        <w:rPr>
          <w:rFonts w:hint="eastAsia" w:ascii="仿宋_GB2312" w:hAnsi="黑体" w:eastAsia="仿宋_GB2312"/>
          <w:color w:val="auto"/>
          <w:sz w:val="32"/>
          <w:szCs w:val="32"/>
          <w:lang w:val="en-US" w:eastAsia="zh-CN"/>
        </w:rPr>
        <w:t>102.84</w:t>
      </w:r>
      <w:r>
        <w:rPr>
          <w:rFonts w:hint="eastAsia" w:ascii="仿宋_GB2312" w:hAnsi="黑体" w:eastAsia="仿宋_GB2312"/>
          <w:color w:val="auto"/>
          <w:sz w:val="32"/>
          <w:szCs w:val="32"/>
        </w:rPr>
        <w:t>3%，主要上级单位补助资金拨付我局，主要集中在</w:t>
      </w:r>
      <w:r>
        <w:rPr>
          <w:rFonts w:hint="eastAsia" w:ascii="仿宋_GB2312" w:hAnsi="黑体" w:eastAsia="仿宋_GB2312"/>
          <w:color w:val="auto"/>
          <w:sz w:val="32"/>
          <w:szCs w:val="32"/>
          <w:lang w:eastAsia="zh-CN"/>
        </w:rPr>
        <w:t>企业上市、挂牌奖励方面</w:t>
      </w:r>
      <w:r>
        <w:rPr>
          <w:rFonts w:hint="eastAsia" w:ascii="仿宋_GB2312" w:hAnsi="黑体" w:eastAsia="仿宋_GB2312"/>
          <w:color w:val="auto"/>
          <w:sz w:val="32"/>
          <w:szCs w:val="32"/>
        </w:rPr>
        <w:t>。</w:t>
      </w:r>
    </w:p>
    <w:p>
      <w:pPr>
        <w:spacing w:after="0" w:line="520" w:lineRule="exact"/>
        <w:ind w:left="110" w:leftChars="50" w:firstLine="640" w:firstLineChars="200"/>
        <w:rPr>
          <w:rFonts w:ascii="仿宋_GB2312" w:hAnsi="黑体" w:eastAsia="仿宋_GB2312"/>
          <w:color w:val="0000FF"/>
          <w:sz w:val="32"/>
          <w:szCs w:val="32"/>
        </w:rPr>
      </w:pPr>
      <w:r>
        <w:rPr>
          <w:rFonts w:hint="eastAsia" w:ascii="仿宋_GB2312" w:hAnsi="黑体" w:eastAsia="仿宋_GB2312"/>
          <w:color w:val="auto"/>
          <w:sz w:val="32"/>
          <w:szCs w:val="32"/>
        </w:rPr>
        <w:t>本部门2020年度实际支出总计</w:t>
      </w:r>
      <w:r>
        <w:rPr>
          <w:rFonts w:hint="eastAsia" w:ascii="仿宋_GB2312" w:hAnsi="黑体" w:eastAsia="仿宋_GB2312"/>
          <w:color w:val="auto"/>
          <w:sz w:val="32"/>
          <w:szCs w:val="32"/>
          <w:lang w:val="en-US" w:eastAsia="zh-CN"/>
        </w:rPr>
        <w:t>1105.94</w:t>
      </w:r>
      <w:r>
        <w:rPr>
          <w:rFonts w:hint="eastAsia" w:ascii="仿宋_GB2312" w:hAnsi="黑体" w:eastAsia="仿宋_GB2312"/>
          <w:color w:val="auto"/>
          <w:sz w:val="32"/>
          <w:szCs w:val="32"/>
        </w:rPr>
        <w:t>万元，预算支出合计</w:t>
      </w:r>
      <w:r>
        <w:rPr>
          <w:rFonts w:hint="eastAsia" w:ascii="仿宋_GB2312" w:hAnsi="黑体" w:eastAsia="仿宋_GB2312"/>
          <w:color w:val="auto"/>
          <w:sz w:val="32"/>
          <w:szCs w:val="32"/>
          <w:lang w:val="en-US" w:eastAsia="zh-CN"/>
        </w:rPr>
        <w:t>522.2</w:t>
      </w:r>
      <w:r>
        <w:rPr>
          <w:rFonts w:hint="eastAsia" w:ascii="仿宋_GB2312" w:hAnsi="黑体" w:eastAsia="仿宋_GB2312"/>
          <w:color w:val="auto"/>
          <w:sz w:val="32"/>
          <w:szCs w:val="32"/>
        </w:rPr>
        <w:t>万元，实际支出较预算支出增加</w:t>
      </w:r>
      <w:r>
        <w:rPr>
          <w:rFonts w:hint="eastAsia" w:ascii="仿宋_GB2312" w:hAnsi="黑体" w:eastAsia="仿宋_GB2312"/>
          <w:color w:val="auto"/>
          <w:sz w:val="32"/>
          <w:szCs w:val="32"/>
          <w:lang w:val="en-US" w:eastAsia="zh-CN"/>
        </w:rPr>
        <w:t>583.74</w:t>
      </w:r>
      <w:r>
        <w:rPr>
          <w:rFonts w:hint="eastAsia" w:ascii="仿宋_GB2312" w:hAnsi="黑体" w:eastAsia="仿宋_GB2312"/>
          <w:color w:val="auto"/>
          <w:sz w:val="32"/>
          <w:szCs w:val="32"/>
        </w:rPr>
        <w:t>万元，增长</w:t>
      </w:r>
      <w:r>
        <w:rPr>
          <w:rFonts w:hint="eastAsia" w:ascii="仿宋_GB2312" w:hAnsi="黑体" w:eastAsia="仿宋_GB2312"/>
          <w:color w:val="auto"/>
          <w:sz w:val="32"/>
          <w:szCs w:val="32"/>
          <w:lang w:val="en-US" w:eastAsia="zh-CN"/>
        </w:rPr>
        <w:t>111.78</w:t>
      </w:r>
      <w:r>
        <w:rPr>
          <w:rFonts w:hint="eastAsia" w:ascii="仿宋_GB2312" w:hAnsi="黑体" w:eastAsia="仿宋_GB2312"/>
          <w:color w:val="auto"/>
          <w:sz w:val="32"/>
          <w:szCs w:val="32"/>
        </w:rPr>
        <w:t xml:space="preserve">%。变化原因同上。 </w:t>
      </w:r>
    </w:p>
    <w:p>
      <w:pPr>
        <w:spacing w:after="0" w:line="520" w:lineRule="exact"/>
        <w:ind w:left="110" w:leftChars="50"/>
        <w:rPr>
          <w:rFonts w:ascii="仿宋_GB2312" w:hAnsi="黑体" w:eastAsia="仿宋_GB2312"/>
          <w:sz w:val="32"/>
          <w:szCs w:val="32"/>
        </w:rPr>
      </w:pPr>
      <w:r>
        <w:rPr>
          <w:rFonts w:hint="eastAsia" w:ascii="黑体" w:hAnsi="黑体" w:eastAsia="黑体"/>
          <w:sz w:val="32"/>
          <w:szCs w:val="32"/>
        </w:rPr>
        <w:t>二、部门整体支出绩效实现情况</w:t>
      </w:r>
      <w:r>
        <w:rPr>
          <w:rFonts w:hint="eastAsia" w:ascii="黑体" w:hAnsi="黑体" w:eastAsia="黑体"/>
          <w:sz w:val="32"/>
          <w:szCs w:val="32"/>
        </w:rPr>
        <w:cr/>
      </w:r>
      <w:r>
        <w:rPr>
          <w:rFonts w:hint="eastAsia" w:ascii="仿宋_GB2312" w:hAnsi="黑体" w:eastAsia="仿宋_GB2312"/>
          <w:b/>
          <w:sz w:val="32"/>
          <w:szCs w:val="32"/>
        </w:rPr>
        <w:t>（一）履职完成情况：</w:t>
      </w:r>
    </w:p>
    <w:p>
      <w:pPr>
        <w:spacing w:after="0" w:line="520" w:lineRule="exact"/>
        <w:ind w:left="110" w:leftChars="50" w:firstLine="640" w:firstLineChars="200"/>
        <w:rPr>
          <w:rFonts w:ascii="仿宋_GB2312" w:hAnsi="黑体" w:eastAsia="仿宋_GB2312"/>
          <w:color w:val="auto"/>
          <w:sz w:val="32"/>
          <w:szCs w:val="32"/>
        </w:rPr>
      </w:pPr>
      <w:r>
        <w:rPr>
          <w:rFonts w:hint="eastAsia" w:ascii="仿宋_GB2312" w:hAnsi="黑体" w:eastAsia="仿宋_GB2312"/>
          <w:sz w:val="32"/>
          <w:szCs w:val="32"/>
        </w:rPr>
        <w:t>区</w:t>
      </w:r>
      <w:r>
        <w:rPr>
          <w:rFonts w:hint="eastAsia" w:ascii="仿宋_GB2312" w:hAnsi="黑体" w:eastAsia="仿宋_GB2312"/>
          <w:sz w:val="32"/>
          <w:szCs w:val="32"/>
          <w:lang w:eastAsia="zh-CN"/>
        </w:rPr>
        <w:t>金融服务中心</w:t>
      </w:r>
      <w:r>
        <w:rPr>
          <w:rFonts w:hint="eastAsia" w:ascii="仿宋_GB2312" w:hAnsi="黑体" w:eastAsia="仿宋_GB2312"/>
          <w:sz w:val="32"/>
          <w:szCs w:val="32"/>
        </w:rPr>
        <w:t>2020年度部门整体支出与年初预期绩效目标基本一致，内部控制制度健全，预算管理、资产管理非常规范，财务各项支出合理合法，有效的保障了各项业务工作的圆满完成，并取得了较好的社会效益。</w:t>
      </w:r>
      <w:r>
        <w:rPr>
          <w:rFonts w:hint="eastAsia" w:ascii="仿宋_GB2312" w:hAnsi="黑体" w:eastAsia="仿宋_GB2312"/>
          <w:color w:val="auto"/>
          <w:sz w:val="32"/>
          <w:szCs w:val="32"/>
        </w:rPr>
        <w:t>年度自评得分</w:t>
      </w:r>
      <w:r>
        <w:rPr>
          <w:rFonts w:hint="eastAsia" w:ascii="仿宋_GB2312" w:hAnsi="黑体" w:eastAsia="仿宋_GB2312"/>
          <w:color w:val="auto"/>
          <w:sz w:val="32"/>
          <w:szCs w:val="32"/>
          <w:lang w:val="en-US" w:eastAsia="zh-CN"/>
        </w:rPr>
        <w:t>85.5</w:t>
      </w:r>
      <w:r>
        <w:rPr>
          <w:rFonts w:hint="eastAsia" w:ascii="仿宋_GB2312" w:hAnsi="黑体" w:eastAsia="仿宋_GB2312"/>
          <w:color w:val="auto"/>
          <w:sz w:val="32"/>
          <w:szCs w:val="32"/>
        </w:rPr>
        <w:t>分。</w:t>
      </w:r>
    </w:p>
    <w:p>
      <w:pPr>
        <w:spacing w:after="0" w:line="520" w:lineRule="exact"/>
        <w:rPr>
          <w:rFonts w:ascii="仿宋_GB2312" w:hAnsi="黑体" w:eastAsia="仿宋_GB2312"/>
          <w:b/>
          <w:color w:val="auto"/>
          <w:sz w:val="32"/>
          <w:szCs w:val="32"/>
        </w:rPr>
      </w:pPr>
      <w:r>
        <w:rPr>
          <w:rFonts w:hint="eastAsia" w:ascii="仿宋_GB2312" w:hAnsi="黑体" w:eastAsia="仿宋_GB2312"/>
          <w:b/>
          <w:color w:val="auto"/>
          <w:sz w:val="32"/>
          <w:szCs w:val="32"/>
        </w:rPr>
        <w:t>（二）履职效果情况：</w:t>
      </w:r>
    </w:p>
    <w:p>
      <w:pPr>
        <w:spacing w:after="0" w:line="520" w:lineRule="exact"/>
        <w:ind w:left="110" w:leftChars="50" w:firstLine="640" w:firstLineChars="200"/>
        <w:rPr>
          <w:rFonts w:ascii="仿宋_GB2312" w:hAnsi="黑体" w:eastAsia="仿宋_GB2312"/>
          <w:sz w:val="32"/>
          <w:szCs w:val="32"/>
        </w:rPr>
      </w:pPr>
      <w:r>
        <w:rPr>
          <w:rFonts w:hint="eastAsia" w:ascii="仿宋_GB2312" w:hAnsi="黑体" w:eastAsia="仿宋_GB2312"/>
          <w:sz w:val="32"/>
          <w:szCs w:val="32"/>
        </w:rPr>
        <w:t>本部门履职情况良好。一是对各项支出严格按照预算进行控制、下大力气整治浪费现象，严格控制日常办公用水、电、纸等。二是各科室的业务工作能够及时完成，做到保质保量。三是部门整体支出使用效果达到了预期。四是</w:t>
      </w:r>
      <w:r>
        <w:rPr>
          <w:rFonts w:hint="eastAsia" w:ascii="仿宋_GB2312" w:hAnsi="黑体" w:eastAsia="仿宋_GB2312"/>
          <w:sz w:val="32"/>
          <w:szCs w:val="32"/>
          <w:lang w:eastAsia="zh-CN"/>
        </w:rPr>
        <w:t>区内企业融资已经有效得到解决</w:t>
      </w:r>
      <w:r>
        <w:rPr>
          <w:rFonts w:hint="eastAsia" w:ascii="仿宋_GB2312" w:hAnsi="黑体" w:eastAsia="仿宋_GB2312"/>
          <w:sz w:val="32"/>
          <w:szCs w:val="32"/>
        </w:rPr>
        <w:t>。</w:t>
      </w:r>
    </w:p>
    <w:p>
      <w:pPr>
        <w:spacing w:after="0" w:line="520" w:lineRule="exact"/>
        <w:rPr>
          <w:rFonts w:ascii="仿宋_GB2312" w:hAnsi="黑体" w:eastAsia="仿宋_GB2312"/>
          <w:b/>
          <w:sz w:val="32"/>
          <w:szCs w:val="32"/>
        </w:rPr>
      </w:pPr>
      <w:r>
        <w:rPr>
          <w:rFonts w:hint="eastAsia" w:ascii="仿宋_GB2312" w:hAnsi="黑体" w:eastAsia="仿宋_GB2312"/>
          <w:b/>
          <w:sz w:val="32"/>
          <w:szCs w:val="32"/>
        </w:rPr>
        <w:t>（三）社会满意度及可持续性影响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FF"/>
          <w:sz w:val="32"/>
          <w:szCs w:val="32"/>
        </w:rPr>
      </w:pPr>
      <w:r>
        <w:rPr>
          <w:rFonts w:hint="eastAsia" w:ascii="仿宋_GB2312" w:hAnsi="黑体" w:eastAsia="仿宋_GB2312"/>
          <w:color w:val="auto"/>
          <w:sz w:val="32"/>
          <w:szCs w:val="32"/>
        </w:rPr>
        <w:t>本单位在2020年度实际支出</w:t>
      </w:r>
      <w:r>
        <w:rPr>
          <w:rFonts w:hint="eastAsia" w:ascii="仿宋_GB2312" w:hAnsi="黑体" w:eastAsia="仿宋_GB2312"/>
          <w:color w:val="auto"/>
          <w:sz w:val="32"/>
          <w:szCs w:val="32"/>
          <w:lang w:val="en-US" w:eastAsia="zh-CN"/>
        </w:rPr>
        <w:t>1105.94</w:t>
      </w:r>
      <w:r>
        <w:rPr>
          <w:rFonts w:hint="eastAsia" w:ascii="仿宋_GB2312" w:hAnsi="黑体" w:eastAsia="仿宋_GB2312"/>
          <w:color w:val="auto"/>
          <w:sz w:val="32"/>
          <w:szCs w:val="32"/>
        </w:rPr>
        <w:t>万元，产生了较高的社会效益，主要表现在：</w:t>
      </w:r>
      <w:r>
        <w:rPr>
          <w:rFonts w:hint="eastAsia" w:ascii="Times New Roman" w:hAnsi="Times New Roman" w:eastAsia="仿宋_GB2312" w:cs="Times New Roman"/>
          <w:kern w:val="2"/>
          <w:sz w:val="32"/>
          <w:szCs w:val="32"/>
          <w:lang w:val="en-US" w:eastAsia="zh-CN" w:bidi="ar-SA"/>
        </w:rPr>
        <w:t>1.企业上市新突破。2020年，新增境内上市企业1家，迁入新三板挂牌企业2家，其中，孚能科技于7月17日在科创板上市，打响我省企业进军科创板的第一枪，上市工作得到省、市有关部门的肯定。2.企业融资渠道进一步拓宽。积极贯彻落实省、市有关“六稳”“六保”政策，全年举办了7次政银担企对接会，通过银行机构向我区中小微企业提供的资金支持1762笔、金额224.12亿元；通过供应链解决企业融资需求40.71亿元；通过融资租赁支持企业0.17亿元；通过资本市场支持企业100.3亿元。3.金融风险防控得稳控。在化解博鑫地产债务遗留问题上，联合有关部门多次与广州中院协商，最终解决了1096户购房业主无法办理不动产权证的堵点难点问题，有力服务了全区社会稳定大局。</w:t>
      </w:r>
    </w:p>
    <w:p>
      <w:pPr>
        <w:spacing w:after="0" w:line="520" w:lineRule="exact"/>
        <w:rPr>
          <w:rFonts w:ascii="仿宋_GB2312" w:hAnsi="黑体" w:eastAsia="仿宋_GB2312"/>
          <w:sz w:val="32"/>
          <w:szCs w:val="32"/>
        </w:rPr>
      </w:pPr>
      <w:r>
        <w:rPr>
          <w:rFonts w:hint="eastAsia" w:ascii="黑体" w:hAnsi="黑体" w:eastAsia="黑体"/>
          <w:sz w:val="32"/>
          <w:szCs w:val="32"/>
        </w:rPr>
        <w:t>三、部门整体支出绩效中存在问题及改进措施</w:t>
      </w:r>
      <w:r>
        <w:rPr>
          <w:rFonts w:hint="eastAsia" w:ascii="黑体" w:hAnsi="黑体" w:eastAsia="黑体"/>
          <w:sz w:val="32"/>
          <w:szCs w:val="32"/>
        </w:rPr>
        <w:cr/>
      </w:r>
      <w:r>
        <w:rPr>
          <w:rFonts w:hint="eastAsia" w:ascii="仿宋_GB2312" w:hAnsi="黑体" w:eastAsia="仿宋_GB2312"/>
          <w:b/>
          <w:sz w:val="32"/>
          <w:szCs w:val="32"/>
        </w:rPr>
        <w:t>（一）主要问题及原因分析</w:t>
      </w:r>
      <w:r>
        <w:rPr>
          <w:rFonts w:hint="eastAsia" w:ascii="仿宋_GB2312" w:hAnsi="黑体" w:eastAsia="仿宋_GB2312"/>
          <w:b/>
          <w:sz w:val="32"/>
          <w:szCs w:val="32"/>
        </w:rPr>
        <w:cr/>
      </w:r>
      <w:r>
        <w:rPr>
          <w:rFonts w:hint="eastAsia" w:ascii="仿宋_GB2312" w:hAnsi="黑体" w:eastAsia="仿宋_GB2312"/>
          <w:sz w:val="32"/>
          <w:szCs w:val="32"/>
        </w:rPr>
        <w:t xml:space="preserve">    总的来看，我局支出绩效评价工作虽然取得了一些成绩，但也存在一些不足之处有待完善，其中既有面上普遍存在的，也有实际工作中遇到的个性问题。</w:t>
      </w:r>
    </w:p>
    <w:p>
      <w:pPr>
        <w:spacing w:after="0" w:line="520" w:lineRule="exact"/>
        <w:rPr>
          <w:rFonts w:ascii="仿宋_GB2312" w:hAnsi="黑体" w:eastAsia="仿宋_GB2312"/>
          <w:sz w:val="32"/>
          <w:szCs w:val="32"/>
        </w:rPr>
      </w:pPr>
      <w:r>
        <w:rPr>
          <w:rFonts w:hint="eastAsia" w:ascii="仿宋_GB2312" w:hAnsi="黑体" w:eastAsia="仿宋_GB2312"/>
          <w:sz w:val="32"/>
          <w:szCs w:val="32"/>
        </w:rPr>
        <w:t xml:space="preserve">    1.存在的主要问题。在绩效评价指标体系中指标权重的确定、定性指标的计分等缺乏科学的依据，绩效指标体系不科学、细化程度不够深。造成这方面的主要原因是各科室负责人员预算绩效专业知识欠缺和经验不足等因素的影响，导致预算绩效目标填报不规范，绩效目标指标评价体系缺乏科学性、合理性。</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2.绩效评价的个别指标设置难度较大、不够明晰，绩效目标申报的时效性受资金下达时间的影响。</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3.由于支出绩效管理工作开展时间较短，加上缺乏系统的培训，相关工作人员对支出绩效管理认识不到位、理解不充分，对支出绩效管理业务不了解、不熟悉，对工作重点把握不到位，从而影响了支出绩效管理工作的效率。</w:t>
      </w:r>
    </w:p>
    <w:p>
      <w:pPr>
        <w:spacing w:after="0" w:line="520" w:lineRule="exact"/>
        <w:rPr>
          <w:rFonts w:ascii="仿宋_GB2312" w:hAnsi="黑体" w:eastAsia="仿宋_GB2312"/>
          <w:b/>
          <w:sz w:val="32"/>
          <w:szCs w:val="32"/>
        </w:rPr>
      </w:pPr>
      <w:r>
        <w:rPr>
          <w:rFonts w:hint="eastAsia" w:ascii="仿宋_GB2312" w:hAnsi="黑体" w:eastAsia="仿宋_GB2312"/>
          <w:b/>
          <w:sz w:val="32"/>
          <w:szCs w:val="32"/>
        </w:rPr>
        <w:t>（二）改进的方向和具体措施</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为进一步规范和加强预算资金及资产管理，提高财政资金使用效益，我局将继续严格执行财务管理的规章制度，遵循先有预算、后有支出的原则，加强财务管理和内部控制。严禁超预算和无预算安排支出，严格开支范围和标准，严格支出报销审核，不报销任何超范围、超标准的费用，在全局上下积极营造勤俭节约的良好氛围，努力建设节约型机关单位，具体来说有如下三点：</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一是加强预算绩效的目标管理。要根据单位事业发展规划编制预算绩效计划，科学合理设定绩效目标目标设定要具体、明确、量化，并在一定时期实现。</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二是加强预算绩效的运行监控。要不断加强预算绩效信息的适时跟踪监控，重点监控预算支出是否符合预算批复时确定的绩效目标，发现预算支出绩效运行与原定的目标发生偏离时，予以纠正，情况严重的，暂缓或停止该项目的执行，确保结果不偏离方向。</w:t>
      </w:r>
    </w:p>
    <w:p>
      <w:pPr>
        <w:spacing w:after="0"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三是加强预算支出的绩效评价。要逐步完善绩效评价主体，合理运用评价方式方法，建立预算安排与绩效评价结果有机结合机制，把绩效理念融入预算编制、执行、监督管理全过程，实施多层次的绩效评价。</w:t>
      </w:r>
    </w:p>
    <w:p>
      <w:pPr>
        <w:spacing w:after="0" w:line="520" w:lineRule="exact"/>
        <w:jc w:val="both"/>
        <w:rPr>
          <w:rFonts w:ascii="黑体" w:hAnsi="黑体" w:eastAsia="黑体"/>
          <w:sz w:val="32"/>
          <w:szCs w:val="32"/>
        </w:rPr>
      </w:pPr>
      <w:r>
        <w:rPr>
          <w:rFonts w:hint="eastAsia" w:ascii="黑体" w:hAnsi="黑体" w:eastAsia="黑体"/>
          <w:sz w:val="32"/>
          <w:szCs w:val="32"/>
        </w:rPr>
        <w:t xml:space="preserve">四、绩效自评结果拟应用和公开情况 </w:t>
      </w:r>
    </w:p>
    <w:p>
      <w:pPr>
        <w:spacing w:line="520" w:lineRule="exact"/>
        <w:ind w:firstLine="640" w:firstLineChars="200"/>
        <w:jc w:val="both"/>
        <w:rPr>
          <w:rFonts w:ascii="仿宋_GB2312" w:hAnsi="黑体" w:eastAsia="仿宋_GB2312"/>
          <w:sz w:val="32"/>
          <w:szCs w:val="32"/>
        </w:rPr>
      </w:pPr>
      <w:r>
        <w:rPr>
          <w:rFonts w:hint="eastAsia" w:ascii="仿宋_GB2312" w:hAnsi="黑体" w:eastAsia="仿宋_GB2312"/>
          <w:sz w:val="32"/>
          <w:szCs w:val="32"/>
        </w:rPr>
        <w:t>我</w:t>
      </w:r>
      <w:r>
        <w:rPr>
          <w:rFonts w:hint="eastAsia" w:ascii="仿宋_GB2312" w:hAnsi="黑体" w:eastAsia="仿宋_GB2312"/>
          <w:sz w:val="32"/>
          <w:szCs w:val="32"/>
          <w:lang w:eastAsia="zh-CN"/>
        </w:rPr>
        <w:t>中心</w:t>
      </w:r>
      <w:r>
        <w:rPr>
          <w:rFonts w:hint="eastAsia" w:ascii="仿宋_GB2312" w:hAnsi="黑体" w:eastAsia="仿宋_GB2312"/>
          <w:sz w:val="32"/>
          <w:szCs w:val="32"/>
        </w:rPr>
        <w:t>本次绩效自评结果将作为2021年度项目资金申报的依据，加强绩效目标管理和审核，将绩效目标设置作为预算安排的前置条件，并在2020年度部门决算报告中公开。</w:t>
      </w:r>
      <w:bookmarkStart w:id="0" w:name="_GoBack"/>
      <w:bookmarkEnd w:id="0"/>
    </w:p>
    <w:sectPr>
      <w:foot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04144"/>
      <w:docPartObj>
        <w:docPartGallery w:val="autotext"/>
      </w:docPartObj>
    </w:sdtPr>
    <w:sdtContent>
      <w:p>
        <w:pPr>
          <w:pStyle w:val="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75C85"/>
    <w:rsid w:val="0009562F"/>
    <w:rsid w:val="00111A76"/>
    <w:rsid w:val="00197B98"/>
    <w:rsid w:val="001A74A5"/>
    <w:rsid w:val="001F476C"/>
    <w:rsid w:val="00200AAE"/>
    <w:rsid w:val="00210F25"/>
    <w:rsid w:val="002A19D0"/>
    <w:rsid w:val="002E333C"/>
    <w:rsid w:val="00323B43"/>
    <w:rsid w:val="00325C64"/>
    <w:rsid w:val="003D37D8"/>
    <w:rsid w:val="0040376B"/>
    <w:rsid w:val="00426133"/>
    <w:rsid w:val="004358AB"/>
    <w:rsid w:val="004800F4"/>
    <w:rsid w:val="00522777"/>
    <w:rsid w:val="00557DF9"/>
    <w:rsid w:val="00567FB2"/>
    <w:rsid w:val="005A55C3"/>
    <w:rsid w:val="005E3857"/>
    <w:rsid w:val="00624808"/>
    <w:rsid w:val="00625C64"/>
    <w:rsid w:val="00646D14"/>
    <w:rsid w:val="006E648F"/>
    <w:rsid w:val="006F2D4D"/>
    <w:rsid w:val="0079509B"/>
    <w:rsid w:val="007C133E"/>
    <w:rsid w:val="00861261"/>
    <w:rsid w:val="008B7726"/>
    <w:rsid w:val="008E146F"/>
    <w:rsid w:val="0091425C"/>
    <w:rsid w:val="009C4B07"/>
    <w:rsid w:val="00A77C66"/>
    <w:rsid w:val="00A9389D"/>
    <w:rsid w:val="00B039A2"/>
    <w:rsid w:val="00B31091"/>
    <w:rsid w:val="00B55E81"/>
    <w:rsid w:val="00B91CEE"/>
    <w:rsid w:val="00BD4847"/>
    <w:rsid w:val="00BF5CBF"/>
    <w:rsid w:val="00C04F68"/>
    <w:rsid w:val="00C35A15"/>
    <w:rsid w:val="00D246E7"/>
    <w:rsid w:val="00D31D50"/>
    <w:rsid w:val="00D82134"/>
    <w:rsid w:val="00DC7382"/>
    <w:rsid w:val="00E15728"/>
    <w:rsid w:val="00E23F0F"/>
    <w:rsid w:val="00E469A6"/>
    <w:rsid w:val="00E46D14"/>
    <w:rsid w:val="00E641AA"/>
    <w:rsid w:val="00E854B4"/>
    <w:rsid w:val="00E90CC7"/>
    <w:rsid w:val="00E97EE6"/>
    <w:rsid w:val="00ED00E8"/>
    <w:rsid w:val="00ED5B61"/>
    <w:rsid w:val="00F34912"/>
    <w:rsid w:val="00F416B6"/>
    <w:rsid w:val="00F738E0"/>
    <w:rsid w:val="00F829DD"/>
    <w:rsid w:val="00F87E70"/>
    <w:rsid w:val="045A3494"/>
    <w:rsid w:val="06674030"/>
    <w:rsid w:val="09F134DB"/>
    <w:rsid w:val="12F4168E"/>
    <w:rsid w:val="229A2425"/>
    <w:rsid w:val="3C7963C6"/>
    <w:rsid w:val="43DA583E"/>
    <w:rsid w:val="47D92DF1"/>
    <w:rsid w:val="51380FF3"/>
    <w:rsid w:val="559B5055"/>
    <w:rsid w:val="65E41E73"/>
    <w:rsid w:val="68C02186"/>
    <w:rsid w:val="6B9A4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Indent"/>
    <w:basedOn w:val="1"/>
    <w:link w:val="11"/>
    <w:semiHidden/>
    <w:unhideWhenUsed/>
    <w:qFormat/>
    <w:uiPriority w:val="99"/>
    <w:pPr>
      <w:spacing w:after="120"/>
      <w:ind w:left="420" w:leftChars="200"/>
    </w:pPr>
  </w:style>
  <w:style w:type="paragraph" w:styleId="5">
    <w:name w:val="footer"/>
    <w:basedOn w:val="1"/>
    <w:link w:val="16"/>
    <w:unhideWhenUsed/>
    <w:qFormat/>
    <w:uiPriority w:val="99"/>
    <w:pPr>
      <w:tabs>
        <w:tab w:val="center" w:pos="4153"/>
        <w:tab w:val="right" w:pos="8306"/>
      </w:tabs>
    </w:pPr>
    <w:rPr>
      <w:sz w:val="18"/>
      <w:szCs w:val="18"/>
    </w:rPr>
  </w:style>
  <w:style w:type="paragraph" w:styleId="6">
    <w:name w:val="header"/>
    <w:basedOn w:val="1"/>
    <w:link w:val="15"/>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rPr>
      <w:rFonts w:ascii="Times New Roman" w:hAnsi="Times New Roman" w:cs="Times New Roman"/>
      <w:sz w:val="24"/>
      <w:szCs w:val="24"/>
    </w:rPr>
  </w:style>
  <w:style w:type="paragraph" w:styleId="8">
    <w:name w:val="Body Text First Indent 2"/>
    <w:basedOn w:val="4"/>
    <w:link w:val="12"/>
    <w:semiHidden/>
    <w:unhideWhenUsed/>
    <w:qFormat/>
    <w:uiPriority w:val="99"/>
    <w:pPr>
      <w:ind w:firstLine="420" w:firstLineChars="200"/>
    </w:pPr>
  </w:style>
  <w:style w:type="character" w:customStyle="1" w:styleId="11">
    <w:name w:val="正文文本缩进 Char"/>
    <w:basedOn w:val="10"/>
    <w:link w:val="4"/>
    <w:semiHidden/>
    <w:qFormat/>
    <w:uiPriority w:val="99"/>
    <w:rPr>
      <w:rFonts w:ascii="Tahoma" w:hAnsi="Tahoma"/>
    </w:rPr>
  </w:style>
  <w:style w:type="character" w:customStyle="1" w:styleId="12">
    <w:name w:val="正文首行缩进 2 Char"/>
    <w:basedOn w:val="11"/>
    <w:link w:val="8"/>
    <w:semiHidden/>
    <w:qFormat/>
    <w:uiPriority w:val="99"/>
  </w:style>
  <w:style w:type="character" w:customStyle="1" w:styleId="13">
    <w:name w:val="font11"/>
    <w:basedOn w:val="10"/>
    <w:qFormat/>
    <w:uiPriority w:val="0"/>
    <w:rPr>
      <w:rFonts w:hint="eastAsia" w:ascii="宋体" w:hAnsi="宋体" w:eastAsia="宋体" w:cs="宋体"/>
      <w:color w:val="000000"/>
      <w:sz w:val="21"/>
      <w:szCs w:val="21"/>
      <w:u w:val="none"/>
    </w:rPr>
  </w:style>
  <w:style w:type="character" w:customStyle="1" w:styleId="14">
    <w:name w:val="font21"/>
    <w:basedOn w:val="10"/>
    <w:qFormat/>
    <w:uiPriority w:val="0"/>
    <w:rPr>
      <w:rFonts w:hint="default" w:ascii="Times New Roman" w:hAnsi="Times New Roman" w:cs="Times New Roman"/>
      <w:color w:val="000000"/>
      <w:sz w:val="21"/>
      <w:szCs w:val="21"/>
      <w:u w:val="none"/>
    </w:rPr>
  </w:style>
  <w:style w:type="character" w:customStyle="1" w:styleId="15">
    <w:name w:val="页眉 Char"/>
    <w:basedOn w:val="10"/>
    <w:link w:val="6"/>
    <w:semiHidden/>
    <w:qFormat/>
    <w:uiPriority w:val="99"/>
    <w:rPr>
      <w:rFonts w:ascii="Tahoma" w:hAnsi="Tahoma"/>
      <w:sz w:val="18"/>
      <w:szCs w:val="18"/>
    </w:rPr>
  </w:style>
  <w:style w:type="character" w:customStyle="1" w:styleId="16">
    <w:name w:val="页脚 Char"/>
    <w:basedOn w:val="10"/>
    <w:link w:val="5"/>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987</Words>
  <Characters>5632</Characters>
  <Lines>46</Lines>
  <Paragraphs>13</Paragraphs>
  <TotalTime>2</TotalTime>
  <ScaleCrop>false</ScaleCrop>
  <LinksUpToDate>false</LinksUpToDate>
  <CharactersWithSpaces>6606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羊咩咩</cp:lastModifiedBy>
  <cp:lastPrinted>2021-05-16T05:32:00Z</cp:lastPrinted>
  <dcterms:modified xsi:type="dcterms:W3CDTF">2021-09-15T07:39:30Z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8FC74389B0CE4F218E8E5CD4812DE93C</vt:lpwstr>
  </property>
</Properties>
</file>