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2"/>
          <w:szCs w:val="32"/>
        </w:rPr>
      </w:pPr>
      <w:bookmarkStart w:id="0" w:name="_GoBack"/>
      <w:bookmarkEnd w:id="0"/>
      <w:r>
        <w:rPr>
          <w:rFonts w:hint="eastAsia" w:ascii="方正小标宋简体" w:hAnsi="方正小标宋简体" w:eastAsia="方正小标宋简体" w:cs="方正小标宋简体"/>
          <w:sz w:val="32"/>
          <w:szCs w:val="32"/>
        </w:rPr>
        <w:t>2020年“金融十四五”规划编制项目自评报告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sz w:val="30"/>
          <w:szCs w:val="32"/>
          <w:lang w:val="en-US" w:eastAsia="zh-CN"/>
        </w:rPr>
      </w:pPr>
      <w:r>
        <w:rPr>
          <w:rFonts w:hint="eastAsia" w:ascii="黑体" w:hAnsi="黑体" w:eastAsia="黑体" w:cs="黑体"/>
          <w:bCs/>
          <w:sz w:val="30"/>
          <w:szCs w:val="32"/>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02" w:firstLineChars="200"/>
        <w:jc w:val="both"/>
        <w:textAlignment w:val="auto"/>
        <w:rPr>
          <w:rFonts w:hint="default" w:ascii="楷体_GB2312" w:hAnsi="楷体_GB2312" w:eastAsia="楷体_GB2312" w:cs="楷体_GB2312"/>
          <w:b/>
          <w:bCs w:val="0"/>
          <w:sz w:val="30"/>
          <w:szCs w:val="32"/>
          <w:lang w:val="en-US" w:eastAsia="zh-CN"/>
        </w:rPr>
      </w:pPr>
      <w:r>
        <w:rPr>
          <w:rFonts w:hint="eastAsia" w:ascii="楷体_GB2312" w:hAnsi="楷体_GB2312" w:eastAsia="楷体_GB2312" w:cs="楷体_GB2312"/>
          <w:b/>
          <w:bCs w:val="0"/>
          <w:sz w:val="30"/>
          <w:szCs w:val="32"/>
          <w:lang w:val="en-US" w:eastAsia="zh-CN"/>
        </w:rPr>
        <w:t>（一）项目概况：立项背景及目的、资金来源及使用情况、项目完成情况、组织及管理情况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1、立项背景</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根据全面贯彻党的十九大和十九届二中、三中、四中、五中全会精神要求以及省、市国民经济和社会发展第十四个五年规划和二〇三五年远景目标的建议，在“十四五”期间，做强做大现代金融体系，对于深入推进赣州经济技术开发区产业高质量升级、建设高质量数字金融聚集区具有重要的意义。为了深入贯彻落实省、市建设革命老区高质量发展示范区，赣州普惠金融改革试验区发展战略，实现打造国内一流的国家级经济技术开发区、全面对接建设粤港澳大湾区桥头堡建设目标，特编制本规划，规划期限到2025年，远景规划展望到2035年。</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立项目的</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为做好金融“十四五”规划编制工作，高质量完成此次任务。故此设立“十四五”规划重点研究课题编制专项经费8万元。</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资金来源及使用情况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“十四五”规划重点研究课题编制专项经费资金支出范围主要包括邀请专业人士研究课题经费、调研费用，所有资金都由国库集中支付中心直接支付。本局严格控制资金使用情况，做到专款专用，严格管控。</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根据区财政局下达的部门预算批复数，项目预算资金8万元，全年预算数8万元，实际使用资金约为4万元，结余结转数约为4万元。项目资金结余较多主要是按照课题编制进度进行了付费，剩余4万元已于2021年课题编制完成后进行了支付。</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项目完成情况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2020年，进过多次调研和沟通，我区金融“十四五”规划初稿已完成，并进入完善、修订阶段。</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项目组织管理情况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我中心领导班子成员共同制定了“十四五”规划重点研究课题编制工作规划，并且按照计划进行了多次调研。</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楷体_GB2312" w:hAnsi="楷体_GB2312" w:eastAsia="楷体_GB2312" w:cs="楷体_GB2312"/>
          <w:b/>
          <w:bCs w:val="0"/>
          <w:sz w:val="30"/>
          <w:szCs w:val="32"/>
          <w:lang w:val="en-US" w:eastAsia="zh-CN"/>
        </w:rPr>
      </w:pPr>
      <w:r>
        <w:rPr>
          <w:rFonts w:hint="eastAsia" w:ascii="楷体_GB2312" w:hAnsi="楷体_GB2312" w:eastAsia="楷体_GB2312" w:cs="楷体_GB2312"/>
          <w:b/>
          <w:bCs w:val="0"/>
          <w:sz w:val="30"/>
          <w:szCs w:val="32"/>
          <w:lang w:val="en-US" w:eastAsia="zh-CN"/>
        </w:rPr>
        <w:t>（二）绩效目标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高质量完成金融“十四五”规划编制工作。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黑体"/>
          <w:bCs/>
          <w:sz w:val="30"/>
          <w:szCs w:val="32"/>
          <w:lang w:val="en-US" w:eastAsia="zh-CN"/>
        </w:rPr>
      </w:pPr>
      <w:r>
        <w:rPr>
          <w:rFonts w:hint="eastAsia" w:ascii="黑体" w:hAnsi="黑体" w:eastAsia="黑体" w:cs="黑体"/>
          <w:bCs/>
          <w:sz w:val="30"/>
          <w:szCs w:val="32"/>
          <w:lang w:val="en-US" w:eastAsia="zh-CN"/>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楷体_GB2312" w:hAnsi="楷体_GB2312" w:eastAsia="楷体_GB2312" w:cs="楷体_GB2312"/>
          <w:b/>
          <w:bCs w:val="0"/>
          <w:sz w:val="30"/>
          <w:szCs w:val="32"/>
          <w:lang w:val="en-US" w:eastAsia="zh-CN"/>
        </w:rPr>
      </w:pPr>
      <w:r>
        <w:rPr>
          <w:rFonts w:hint="eastAsia" w:ascii="楷体_GB2312" w:hAnsi="楷体_GB2312" w:eastAsia="楷体_GB2312" w:cs="楷体_GB2312"/>
          <w:b/>
          <w:bCs w:val="0"/>
          <w:sz w:val="30"/>
          <w:szCs w:val="32"/>
          <w:lang w:val="en-US" w:eastAsia="zh-CN"/>
        </w:rPr>
        <w:t>（一）绩效评价目的、对象和范围。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主要通过对金融“十四五”规划编制专项立项情况、资金来源、使用等情况，了解资金使用是否达到预期目标，以及资金使用的最终效果如何，以及总结其成功的经验、分析该项目存在的问题与不足，及时采取相应的措施，不断完善绩效管理机制，提高资金使用效率。</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楷体_GB2312" w:hAnsi="楷体_GB2312" w:eastAsia="楷体_GB2312" w:cs="楷体_GB2312"/>
          <w:b/>
          <w:bCs w:val="0"/>
          <w:sz w:val="30"/>
          <w:szCs w:val="32"/>
          <w:lang w:val="en-US" w:eastAsia="zh-CN"/>
        </w:rPr>
      </w:pPr>
      <w:r>
        <w:rPr>
          <w:rFonts w:hint="eastAsia" w:ascii="楷体_GB2312" w:hAnsi="楷体_GB2312" w:eastAsia="楷体_GB2312" w:cs="楷体_GB2312"/>
          <w:b/>
          <w:bCs w:val="0"/>
          <w:sz w:val="30"/>
          <w:szCs w:val="32"/>
          <w:lang w:val="en-US" w:eastAsia="zh-CN"/>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本次评价项目的主要原则为：定量与定性分析相结合的原则、真实性、可靠性、经济性、及时性等原则。</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评价方法为：数据收集、讨论等方法进行绩效自评工作。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金融“十四五”规划编制项目年度总体完成情况优秀，在预算资金内，圆满完成任务。项目自评为85分，自评等级为优秀。</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黑体" w:hAnsi="黑体" w:eastAsia="黑体" w:cs="黑体"/>
          <w:bCs/>
          <w:sz w:val="30"/>
          <w:szCs w:val="32"/>
          <w:lang w:val="en-US" w:eastAsia="zh-CN"/>
        </w:rPr>
      </w:pPr>
      <w:r>
        <w:rPr>
          <w:rFonts w:hint="eastAsia" w:ascii="楷体_GB2312" w:hAnsi="楷体_GB2312" w:eastAsia="楷体_GB2312" w:cs="楷体_GB2312"/>
          <w:b/>
          <w:bCs w:val="0"/>
          <w:sz w:val="30"/>
          <w:szCs w:val="32"/>
          <w:lang w:val="en-US" w:eastAsia="zh-CN"/>
        </w:rPr>
        <w:t>（三）绩效评价工作过程。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1、前期准备</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根据项目绩效评价要求，区金融服务中心指定综合处牵头，以财务主管为负责人，组成绩效评价工作小组，召开专门会议学习与布置工作任务。</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2、组织实施</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Cs/>
          <w:sz w:val="30"/>
          <w:szCs w:val="32"/>
          <w:highlight w:val="none"/>
          <w:lang w:val="en-US" w:eastAsia="zh-CN"/>
        </w:rPr>
      </w:pPr>
      <w:r>
        <w:rPr>
          <w:rFonts w:hint="eastAsia" w:ascii="仿宋_GB2312" w:hAnsi="仿宋_GB2312" w:eastAsia="仿宋_GB2312" w:cs="仿宋_GB2312"/>
          <w:bCs/>
          <w:sz w:val="30"/>
          <w:szCs w:val="32"/>
          <w:highlight w:val="none"/>
          <w:lang w:val="en-US" w:eastAsia="zh-CN"/>
        </w:rPr>
        <w:t>根据《关于开展2020年度区本级预算项目和部门整体支出绩效评价工作的通知》（赣经开财预字[2021]3号）文件，按照要求逐项评估。</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Cs/>
          <w:sz w:val="30"/>
          <w:szCs w:val="32"/>
          <w:highlight w:val="none"/>
          <w:lang w:val="en-US" w:eastAsia="zh-CN"/>
        </w:rPr>
      </w:pPr>
      <w:r>
        <w:rPr>
          <w:rFonts w:hint="eastAsia" w:ascii="仿宋_GB2312" w:hAnsi="仿宋_GB2312" w:eastAsia="仿宋_GB2312" w:cs="仿宋_GB2312"/>
          <w:bCs/>
          <w:sz w:val="30"/>
          <w:szCs w:val="32"/>
          <w:highlight w:val="none"/>
          <w:lang w:val="en-US" w:eastAsia="zh-CN"/>
        </w:rPr>
        <w:t>3、分析评价</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从项目产出指标、效益指标、满意度指标等方面进行对项目进行绩效评价。</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02" w:firstLineChars="200"/>
        <w:textAlignment w:val="auto"/>
        <w:rPr>
          <w:rFonts w:hint="eastAsia" w:ascii="楷体_GB2312" w:hAnsi="楷体_GB2312" w:eastAsia="楷体_GB2312" w:cs="楷体_GB2312"/>
          <w:b/>
          <w:bCs w:val="0"/>
          <w:sz w:val="30"/>
          <w:szCs w:val="32"/>
          <w:lang w:val="en-US" w:eastAsia="zh-CN"/>
        </w:rPr>
      </w:pPr>
      <w:r>
        <w:rPr>
          <w:rFonts w:hint="eastAsia" w:ascii="楷体_GB2312" w:hAnsi="楷体_GB2312" w:eastAsia="楷体_GB2312" w:cs="楷体_GB2312"/>
          <w:b/>
          <w:bCs w:val="0"/>
          <w:sz w:val="30"/>
          <w:szCs w:val="32"/>
          <w:lang w:val="en-US" w:eastAsia="zh-CN"/>
        </w:rPr>
        <w:t>综合评价情况及评价结论（附相关评分表）</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本部门金融“十四五”规划编制经费专项经费绩效自评已经全部完成，目前所有指标已经全部完成，评价结果为85分。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default" w:ascii="楷体_GB2312" w:hAnsi="楷体_GB2312" w:eastAsia="楷体_GB2312" w:cs="楷体_GB2312"/>
          <w:b w:val="0"/>
          <w:bCs/>
          <w:sz w:val="30"/>
          <w:szCs w:val="32"/>
          <w:lang w:val="en-US" w:eastAsia="zh-CN"/>
        </w:rPr>
      </w:pPr>
      <w:r>
        <w:rPr>
          <w:rFonts w:hint="default" w:ascii="楷体_GB2312" w:hAnsi="楷体_GB2312" w:eastAsia="楷体_GB2312" w:cs="楷体_GB2312"/>
          <w:b w:val="0"/>
          <w:bCs/>
          <w:sz w:val="30"/>
          <w:szCs w:val="32"/>
          <w:lang w:val="en-US" w:eastAsia="zh-CN"/>
        </w:rPr>
        <w:drawing>
          <wp:inline distT="0" distB="0" distL="114300" distR="114300">
            <wp:extent cx="5269865" cy="3470910"/>
            <wp:effectExtent l="0" t="0" r="6985" b="15240"/>
            <wp:docPr id="1" name="图片 1" descr="16316904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31690478(1)"/>
                    <pic:cNvPicPr>
                      <a:picLocks noChangeAspect="1"/>
                    </pic:cNvPicPr>
                  </pic:nvPicPr>
                  <pic:blipFill>
                    <a:blip r:embed="rId4"/>
                    <a:stretch>
                      <a:fillRect/>
                    </a:stretch>
                  </pic:blipFill>
                  <pic:spPr>
                    <a:xfrm>
                      <a:off x="0" y="0"/>
                      <a:ext cx="5269865" cy="3470910"/>
                    </a:xfrm>
                    <a:prstGeom prst="rect">
                      <a:avLst/>
                    </a:prstGeom>
                  </pic:spPr>
                </pic:pic>
              </a:graphicData>
            </a:graphic>
          </wp:inline>
        </w:drawing>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02" w:firstLineChars="200"/>
        <w:textAlignment w:val="auto"/>
        <w:rPr>
          <w:rFonts w:hint="eastAsia" w:ascii="楷体_GB2312" w:hAnsi="楷体_GB2312" w:eastAsia="楷体_GB2312" w:cs="楷体_GB2312"/>
          <w:b/>
          <w:bCs w:val="0"/>
          <w:sz w:val="30"/>
          <w:szCs w:val="32"/>
          <w:lang w:val="en-US" w:eastAsia="zh-CN"/>
        </w:rPr>
      </w:pPr>
      <w:r>
        <w:rPr>
          <w:rFonts w:hint="eastAsia" w:ascii="楷体_GB2312" w:hAnsi="楷体_GB2312" w:eastAsia="楷体_GB2312" w:cs="楷体_GB2312"/>
          <w:b/>
          <w:bCs w:val="0"/>
          <w:sz w:val="30"/>
          <w:szCs w:val="32"/>
          <w:lang w:val="en-US" w:eastAsia="zh-CN"/>
        </w:rPr>
        <w:t>绩效评价指标分析</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Chars="200"/>
        <w:textAlignment w:val="auto"/>
        <w:rPr>
          <w:rFonts w:hint="eastAsia" w:ascii="楷体_GB2312" w:hAnsi="楷体_GB2312" w:eastAsia="楷体_GB2312" w:cs="楷体_GB2312"/>
          <w:b/>
          <w:bCs w:val="0"/>
          <w:sz w:val="30"/>
          <w:szCs w:val="32"/>
          <w:lang w:val="en-US" w:eastAsia="zh-CN"/>
        </w:rPr>
      </w:pPr>
      <w:r>
        <w:rPr>
          <w:rFonts w:hint="eastAsia" w:ascii="楷体_GB2312" w:hAnsi="楷体_GB2312" w:eastAsia="楷体_GB2312" w:cs="楷体_GB2312"/>
          <w:b/>
          <w:bCs w:val="0"/>
          <w:sz w:val="30"/>
          <w:szCs w:val="32"/>
          <w:lang w:val="en-US" w:eastAsia="zh-CN"/>
        </w:rPr>
        <w:t>项目决策情况。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楷体_GB2312" w:hAnsi="楷体_GB2312" w:eastAsia="楷体_GB2312" w:cs="楷体_GB2312"/>
          <w:b/>
          <w:bCs w:val="0"/>
          <w:sz w:val="30"/>
          <w:szCs w:val="32"/>
          <w:lang w:val="en-US" w:eastAsia="zh-CN"/>
        </w:rPr>
      </w:pPr>
      <w:r>
        <w:rPr>
          <w:rFonts w:hint="eastAsia" w:ascii="仿宋_GB2312" w:hAnsi="仿宋_GB2312" w:eastAsia="仿宋_GB2312" w:cs="仿宋_GB2312"/>
          <w:bCs/>
          <w:sz w:val="30"/>
          <w:szCs w:val="32"/>
          <w:lang w:val="en-US" w:eastAsia="zh-CN"/>
        </w:rPr>
        <w:t>我中心严格遵照</w:t>
      </w:r>
      <w:r>
        <w:rPr>
          <w:rFonts w:hint="eastAsia" w:ascii="仿宋_GB2312" w:hAnsi="仿宋_GB2312" w:eastAsia="仿宋_GB2312" w:cs="仿宋_GB2312"/>
          <w:bCs/>
          <w:sz w:val="30"/>
          <w:szCs w:val="32"/>
          <w:highlight w:val="none"/>
          <w:lang w:val="en-US" w:eastAsia="zh-CN"/>
        </w:rPr>
        <w:t>《赣州经开区“十四五”规划编制工作方案》(赣经开办字（2020〕1号）</w:t>
      </w:r>
      <w:r>
        <w:rPr>
          <w:rFonts w:hint="eastAsia" w:ascii="仿宋_GB2312" w:hAnsi="仿宋_GB2312" w:eastAsia="仿宋_GB2312" w:cs="仿宋_GB2312"/>
          <w:bCs/>
          <w:sz w:val="30"/>
          <w:szCs w:val="32"/>
          <w:lang w:val="en-US" w:eastAsia="zh-CN"/>
        </w:rPr>
        <w:t>文件要求，开展金融“十四五”规划编制工作。</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420" w:leftChars="200" w:firstLine="0" w:firstLineChars="0"/>
        <w:textAlignment w:val="auto"/>
        <w:rPr>
          <w:rFonts w:hint="eastAsia" w:ascii="楷体_GB2312" w:hAnsi="楷体_GB2312" w:eastAsia="楷体_GB2312" w:cs="楷体_GB2312"/>
          <w:b/>
          <w:bCs w:val="0"/>
          <w:sz w:val="30"/>
          <w:szCs w:val="32"/>
          <w:lang w:val="en-US" w:eastAsia="zh-CN"/>
        </w:rPr>
      </w:pPr>
      <w:r>
        <w:rPr>
          <w:rFonts w:hint="eastAsia" w:ascii="楷体_GB2312" w:hAnsi="楷体_GB2312" w:eastAsia="楷体_GB2312" w:cs="楷体_GB2312"/>
          <w:b/>
          <w:bCs w:val="0"/>
          <w:sz w:val="30"/>
          <w:szCs w:val="32"/>
          <w:lang w:val="en-US" w:eastAsia="zh-CN"/>
        </w:rPr>
        <w:t>项目过程情况。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楷体_GB2312" w:hAnsi="楷体_GB2312" w:eastAsia="楷体_GB2312" w:cs="楷体_GB2312"/>
          <w:b/>
          <w:bCs w:val="0"/>
          <w:sz w:val="30"/>
          <w:szCs w:val="32"/>
          <w:lang w:val="en-US" w:eastAsia="zh-CN"/>
        </w:rPr>
      </w:pPr>
      <w:r>
        <w:rPr>
          <w:rFonts w:hint="eastAsia" w:ascii="仿宋_GB2312" w:hAnsi="仿宋_GB2312" w:eastAsia="仿宋_GB2312" w:cs="仿宋_GB2312"/>
          <w:bCs/>
          <w:sz w:val="30"/>
          <w:szCs w:val="32"/>
          <w:lang w:val="en-US" w:eastAsia="zh-CN"/>
        </w:rPr>
        <w:t>项目执行过程中，项目管理方面较为规范，项目运行较好。在金融“十四五”规划编制项目管理方面，严格规范资金审批支付流程，确保专款专用，提高资金使用效率。</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420" w:leftChars="200" w:firstLine="0" w:firstLineChars="0"/>
        <w:textAlignment w:val="auto"/>
        <w:rPr>
          <w:rFonts w:hint="eastAsia" w:ascii="楷体_GB2312" w:hAnsi="楷体_GB2312" w:eastAsia="楷体_GB2312" w:cs="楷体_GB2312"/>
          <w:b/>
          <w:bCs w:val="0"/>
          <w:sz w:val="30"/>
          <w:szCs w:val="32"/>
          <w:lang w:val="en-US" w:eastAsia="zh-CN"/>
        </w:rPr>
      </w:pPr>
      <w:r>
        <w:rPr>
          <w:rFonts w:hint="eastAsia" w:ascii="楷体_GB2312" w:hAnsi="楷体_GB2312" w:eastAsia="楷体_GB2312" w:cs="楷体_GB2312"/>
          <w:b/>
          <w:bCs w:val="0"/>
          <w:sz w:val="30"/>
          <w:szCs w:val="32"/>
          <w:lang w:val="en-US" w:eastAsia="zh-CN"/>
        </w:rPr>
        <w:t>项目产出情况。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我中心基本完成区里下达的金融“十四五”规划编制工作任务。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楷体_GB2312" w:hAnsi="楷体_GB2312" w:eastAsia="楷体_GB2312" w:cs="楷体_GB2312"/>
          <w:b/>
          <w:bCs w:val="0"/>
          <w:sz w:val="30"/>
          <w:szCs w:val="32"/>
          <w:lang w:val="en-US" w:eastAsia="zh-CN"/>
        </w:rPr>
      </w:pPr>
      <w:r>
        <w:rPr>
          <w:rFonts w:hint="eastAsia" w:ascii="楷体_GB2312" w:hAnsi="楷体_GB2312" w:eastAsia="楷体_GB2312" w:cs="楷体_GB2312"/>
          <w:b/>
          <w:bCs w:val="0"/>
          <w:sz w:val="30"/>
          <w:szCs w:val="32"/>
          <w:lang w:val="en-US" w:eastAsia="zh-CN"/>
        </w:rPr>
        <w:t>（四）项目效益情况。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2020年完成了金融“十四五”规划初稿，并于2021年3月印发了终稿，按层次递进式、差别化思路，明确工作任务，做好工作分工。</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00" w:firstLineChars="200"/>
        <w:textAlignment w:val="auto"/>
        <w:rPr>
          <w:rFonts w:hint="eastAsia" w:ascii="黑体" w:hAnsi="黑体" w:eastAsia="黑体" w:cs="黑体"/>
          <w:bCs/>
          <w:sz w:val="30"/>
          <w:szCs w:val="32"/>
          <w:lang w:val="en-US" w:eastAsia="zh-CN"/>
        </w:rPr>
      </w:pPr>
      <w:r>
        <w:rPr>
          <w:rFonts w:hint="eastAsia" w:ascii="黑体" w:hAnsi="黑体" w:eastAsia="黑体" w:cs="黑体"/>
          <w:bCs/>
          <w:sz w:val="30"/>
          <w:szCs w:val="32"/>
          <w:lang w:val="en-US" w:eastAsia="zh-CN"/>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在工作过程中，我中心严格按照《</w:t>
      </w:r>
      <w:r>
        <w:rPr>
          <w:rFonts w:hint="eastAsia" w:ascii="仿宋_GB2312" w:hAnsi="仿宋_GB2312" w:eastAsia="仿宋_GB2312" w:cs="仿宋_GB2312"/>
          <w:bCs/>
          <w:sz w:val="30"/>
          <w:szCs w:val="32"/>
          <w:highlight w:val="none"/>
          <w:lang w:val="en-US" w:eastAsia="zh-CN"/>
        </w:rPr>
        <w:t>赣州经开区“十四五”规划编制工作方案</w:t>
      </w:r>
      <w:r>
        <w:rPr>
          <w:rFonts w:hint="eastAsia" w:ascii="仿宋_GB2312" w:hAnsi="仿宋_GB2312" w:eastAsia="仿宋_GB2312" w:cs="仿宋_GB2312"/>
          <w:bCs/>
          <w:sz w:val="30"/>
          <w:szCs w:val="32"/>
          <w:lang w:val="en-US" w:eastAsia="zh-CN"/>
        </w:rPr>
        <w:t>》，积极协调解决课题编制遇到的问题。在区党工委、管委会的坚强领导下，以及区金融服务中心领导班子带领下，我中心各科室严格按照资金审批程序，严格把关，确保资金专款专用。</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预算绩效管理工作还处于初始阶段，预算绩效管理工作还有待改善提高。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楷体_GB2312" w:hAnsi="楷体_GB2312" w:eastAsia="楷体_GB2312" w:cs="楷体_GB2312"/>
          <w:b/>
          <w:bCs w:val="0"/>
          <w:sz w:val="30"/>
          <w:szCs w:val="32"/>
          <w:lang w:val="en-US" w:eastAsia="zh-CN"/>
        </w:rPr>
      </w:pPr>
      <w:r>
        <w:rPr>
          <w:rFonts w:hint="eastAsia" w:ascii="黑体" w:hAnsi="黑体" w:eastAsia="黑体" w:cs="黑体"/>
          <w:bCs/>
          <w:sz w:val="30"/>
          <w:szCs w:val="32"/>
          <w:lang w:val="en-US" w:eastAsia="zh-CN"/>
        </w:rPr>
        <w:t>六、有关建议</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今后在日常工作中，需进一步加强对绩效项目的管控，同时加快项目进度，确保各个绩效项目按照预算安排计划完成任务。</w:t>
      </w:r>
    </w:p>
    <w:p>
      <w:pPr>
        <w:pStyle w:val="3"/>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right"/>
        <w:textAlignment w:val="auto"/>
        <w:rPr>
          <w:rFonts w:hint="eastAsia" w:ascii="仿宋_GB2312" w:hAnsi="仿宋_GB2312" w:eastAsia="仿宋_GB2312" w:cs="仿宋_GB2312"/>
          <w:bCs/>
          <w:sz w:val="30"/>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right"/>
        <w:textAlignment w:val="auto"/>
        <w:rPr>
          <w:rFonts w:hint="eastAsia" w:ascii="仿宋_GB2312" w:hAnsi="仿宋_GB2312" w:eastAsia="仿宋_GB2312" w:cs="仿宋_GB2312"/>
          <w:bCs/>
          <w:sz w:val="30"/>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eastAsia"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 xml:space="preserve">                                    区金融服务中心</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right"/>
        <w:textAlignment w:val="auto"/>
        <w:rPr>
          <w:rFonts w:hint="default" w:ascii="仿宋_GB2312" w:hAnsi="仿宋_GB2312" w:eastAsia="仿宋_GB2312" w:cs="仿宋_GB2312"/>
          <w:bCs/>
          <w:sz w:val="30"/>
          <w:szCs w:val="32"/>
          <w:lang w:val="en-US" w:eastAsia="zh-CN"/>
        </w:rPr>
      </w:pPr>
      <w:r>
        <w:rPr>
          <w:rFonts w:hint="eastAsia" w:ascii="仿宋_GB2312" w:hAnsi="仿宋_GB2312" w:eastAsia="仿宋_GB2312" w:cs="仿宋_GB2312"/>
          <w:bCs/>
          <w:sz w:val="30"/>
          <w:szCs w:val="32"/>
          <w:lang w:val="en-US" w:eastAsia="zh-CN"/>
        </w:rPr>
        <w:t>2021年5月12日</w:t>
      </w:r>
    </w:p>
    <w:p>
      <w:pPr>
        <w:jc w:val="left"/>
        <w:rPr>
          <w:rFonts w:hint="eastAsia" w:ascii="方正小标宋简体" w:hAnsi="方正小标宋简体" w:eastAsia="方正小标宋简体" w:cs="方正小标宋简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0071B8"/>
    <w:multiLevelType w:val="singleLevel"/>
    <w:tmpl w:val="890071B8"/>
    <w:lvl w:ilvl="0" w:tentative="0">
      <w:start w:val="3"/>
      <w:numFmt w:val="chineseCounting"/>
      <w:suff w:val="nothing"/>
      <w:lvlText w:val="%1、"/>
      <w:lvlJc w:val="left"/>
      <w:rPr>
        <w:rFonts w:hint="eastAsia"/>
      </w:rPr>
    </w:lvl>
  </w:abstractNum>
  <w:abstractNum w:abstractNumId="1">
    <w:nsid w:val="AB821303"/>
    <w:multiLevelType w:val="singleLevel"/>
    <w:tmpl w:val="AB821303"/>
    <w:lvl w:ilvl="0" w:tentative="0">
      <w:start w:val="2"/>
      <w:numFmt w:val="decimal"/>
      <w:suff w:val="nothing"/>
      <w:lvlText w:val="%1、"/>
      <w:lvlJc w:val="left"/>
    </w:lvl>
  </w:abstractNum>
  <w:abstractNum w:abstractNumId="2">
    <w:nsid w:val="CDD0A416"/>
    <w:multiLevelType w:val="singleLevel"/>
    <w:tmpl w:val="CDD0A416"/>
    <w:lvl w:ilvl="0" w:tentative="0">
      <w:start w:val="3"/>
      <w:numFmt w:val="decimal"/>
      <w:suff w:val="nothing"/>
      <w:lvlText w:val="%1、"/>
      <w:lvlJc w:val="left"/>
    </w:lvl>
  </w:abstractNum>
  <w:abstractNum w:abstractNumId="3">
    <w:nsid w:val="D31739F0"/>
    <w:multiLevelType w:val="singleLevel"/>
    <w:tmpl w:val="D31739F0"/>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2MjJhMGU2ZGY3ZmM1MjIwYjJiNjFhMmZiMmMzNzUifQ=="/>
    <w:docVar w:name="KSO_WPS_MARK_KEY" w:val="1b17a4b1-f933-429b-be4b-398c60526db8"/>
  </w:docVars>
  <w:rsids>
    <w:rsidRoot w:val="00000000"/>
    <w:rsid w:val="04816C61"/>
    <w:rsid w:val="07B37E12"/>
    <w:rsid w:val="11606251"/>
    <w:rsid w:val="17892757"/>
    <w:rsid w:val="24DF148A"/>
    <w:rsid w:val="34453D09"/>
    <w:rsid w:val="37260AFC"/>
    <w:rsid w:val="3FCB5575"/>
    <w:rsid w:val="43374F2D"/>
    <w:rsid w:val="747F622A"/>
    <w:rsid w:val="76FC2E78"/>
    <w:rsid w:val="77311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First Indent 2"/>
    <w:basedOn w:val="1"/>
    <w:qFormat/>
    <w:uiPriority w:val="0"/>
    <w:pPr>
      <w:ind w:left="420" w:leftChars="200" w:firstLine="21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2021-05-14T08:15:00Z</dcterms:created>
  <dc:creator>Administrator</dc:creator>
  <cp:lastModifiedBy>jessiegg</cp:lastModifiedBy>
  <dcterms:modified xsi:type="dcterms:W3CDTF">2024-03-22T08:29:48Z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6AEF253685F64D4FB3AA61A86CA1748B</vt:lpwstr>
  </property>
</Properties>
</file>