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margin" w:tblpXSpec="center" w:tblpY="324"/>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96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rPr>
          <w:trHeight w:val="1385" w:hRule="atLeast"/>
        </w:trPr>
        <w:tc>
          <w:tcPr>
            <w:tcW w:w="8960" w:type="dxa"/>
            <w:noWrap w:val="0"/>
            <w:vAlign w:val="top"/>
          </w:tcPr>
          <w:p>
            <w:pPr>
              <w:spacing w:line="1400" w:lineRule="exact"/>
              <w:rPr>
                <w:rFonts w:hint="eastAsia" w:ascii="方正小标宋简体" w:hAnsi="仿宋_GB2312" w:eastAsia="方正小标宋简体" w:cs="仿宋_GB2312"/>
                <w:b/>
                <w:bCs/>
                <w:sz w:val="68"/>
                <w:szCs w:val="68"/>
                <w:lang w:eastAsia="zh-CN"/>
              </w:rPr>
            </w:pPr>
            <w:r>
              <w:rPr>
                <w:rFonts w:hint="eastAsia" w:ascii="方正小标宋简体" w:hAnsi="华文中宋" w:eastAsia="方正小标宋简体"/>
                <w:b/>
                <w:color w:val="FF0000"/>
                <w:spacing w:val="0"/>
                <w:w w:val="45"/>
                <w:kern w:val="0"/>
                <w:sz w:val="120"/>
                <w:szCs w:val="120"/>
                <w:fitText w:val="8640" w:id="1586920910"/>
              </w:rPr>
              <w:t>赣州经济技术开发区社会事务管理</w:t>
            </w:r>
            <w:r>
              <w:rPr>
                <w:rFonts w:hint="eastAsia" w:ascii="方正小标宋简体" w:hAnsi="华文中宋" w:eastAsia="方正小标宋简体"/>
                <w:b/>
                <w:color w:val="FF0000"/>
                <w:spacing w:val="-37"/>
                <w:w w:val="45"/>
                <w:kern w:val="0"/>
                <w:sz w:val="120"/>
                <w:szCs w:val="120"/>
                <w:fitText w:val="8640" w:id="1586920910"/>
              </w:rPr>
              <w:t>局</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385" w:hRule="atLeast"/>
        </w:trPr>
        <w:tc>
          <w:tcPr>
            <w:tcW w:w="8960" w:type="dxa"/>
            <w:noWrap w:val="0"/>
            <w:vAlign w:val="top"/>
          </w:tcPr>
          <w:p>
            <w:pPr>
              <w:spacing w:line="1400" w:lineRule="exact"/>
              <w:rPr>
                <w:rFonts w:hint="eastAsia" w:ascii="方正小标宋简体" w:hAnsi="仿宋_GB2312" w:eastAsia="方正小标宋简体" w:cs="仿宋_GB2312"/>
                <w:b/>
                <w:bCs/>
                <w:sz w:val="68"/>
                <w:szCs w:val="68"/>
              </w:rPr>
            </w:pPr>
            <w:r>
              <w:rPr>
                <w:rFonts w:hint="eastAsia" w:ascii="方正小标宋简体" w:hAnsi="华文中宋" w:eastAsia="方正小标宋简体"/>
                <w:b/>
                <w:color w:val="FF0000"/>
                <w:spacing w:val="0"/>
                <w:w w:val="60"/>
                <w:kern w:val="0"/>
                <w:sz w:val="120"/>
                <w:szCs w:val="120"/>
                <w:fitText w:val="8640" w:id="464535896"/>
              </w:rPr>
              <w:t>赣州经济技术开发区财政</w:t>
            </w:r>
            <w:r>
              <w:rPr>
                <w:rFonts w:hint="eastAsia" w:ascii="方正小标宋简体" w:hAnsi="华文中宋" w:eastAsia="方正小标宋简体"/>
                <w:b/>
                <w:color w:val="FF0000"/>
                <w:spacing w:val="-27"/>
                <w:w w:val="60"/>
                <w:kern w:val="0"/>
                <w:sz w:val="120"/>
                <w:szCs w:val="120"/>
                <w:fitText w:val="8640" w:id="464535896"/>
              </w:rPr>
              <w:t>局</w:t>
            </w:r>
          </w:p>
        </w:tc>
      </w:tr>
    </w:tbl>
    <w:p>
      <w:pPr>
        <w:spacing w:line="560" w:lineRule="exact"/>
        <w:jc w:val="center"/>
        <w:rPr>
          <w:rFonts w:hint="eastAsia" w:ascii="仿宋_GB2312" w:hAnsi="仿宋_GB2312" w:eastAsia="仿宋_GB2312" w:cs="仿宋_GB2312"/>
          <w:bCs/>
          <w:kern w:val="144"/>
          <w:sz w:val="32"/>
          <w:szCs w:val="32"/>
        </w:rPr>
      </w:pPr>
    </w:p>
    <w:p>
      <w:pPr>
        <w:spacing w:line="560" w:lineRule="exact"/>
        <w:jc w:val="center"/>
        <w:rPr>
          <w:rFonts w:hint="eastAsia" w:ascii="仿宋_GB2312" w:hAnsi="仿宋_GB2312" w:eastAsia="仿宋_GB2312" w:cs="仿宋_GB2312"/>
          <w:bCs/>
          <w:kern w:val="144"/>
          <w:sz w:val="32"/>
          <w:szCs w:val="32"/>
        </w:rPr>
      </w:pPr>
      <w:bookmarkStart w:id="0" w:name="_GoBack"/>
      <w:bookmarkEnd w:id="0"/>
    </w:p>
    <w:p>
      <w:pPr>
        <w:pStyle w:val="10"/>
        <w:rPr>
          <w:rFonts w:hint="eastAsia" w:ascii="宋体" w:hAnsi="宋体"/>
          <w:bCs/>
          <w:color w:val="FF0000"/>
          <w:sz w:val="32"/>
          <w:szCs w:val="32"/>
        </w:rPr>
      </w:pPr>
      <w:r>
        <w:rPr>
          <w:rFonts w:hint="eastAsia" w:ascii="宋体" w:hAnsi="宋体"/>
          <w:color w:val="FF0000"/>
          <w:sz w:val="32"/>
          <w:szCs w:val="32"/>
          <w:u w:val="single"/>
        </w:rPr>
        <w:t xml:space="preserve">             </w:t>
      </w:r>
      <w:r>
        <w:rPr>
          <w:rFonts w:hint="eastAsia" w:ascii="宋体" w:hAnsi="宋体" w:eastAsia="仿宋_GB2312"/>
          <w:color w:val="FF0000"/>
          <w:sz w:val="32"/>
          <w:szCs w:val="32"/>
          <w:u w:val="single"/>
        </w:rPr>
        <w:t xml:space="preserve">      </w:t>
      </w:r>
      <w:r>
        <w:rPr>
          <w:rFonts w:hint="eastAsia" w:ascii="宋体" w:hAnsi="宋体"/>
          <w:color w:val="FF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关于做好我区</w:t>
      </w:r>
      <w:r>
        <w:rPr>
          <w:rFonts w:hint="eastAsia" w:ascii="方正小标宋简体" w:hAnsi="方正小标宋简体" w:eastAsia="方正小标宋简体" w:cs="方正小标宋简体"/>
          <w:sz w:val="44"/>
          <w:szCs w:val="44"/>
          <w:lang w:val="en-US" w:eastAsia="zh-CN"/>
        </w:rPr>
        <w:t>2023年城乡困难群众提标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提补工作的通知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 w:hAnsi="仿宋" w:eastAsia="仿宋" w:cs="仿宋"/>
          <w:sz w:val="32"/>
          <w:szCs w:val="32"/>
          <w:lang w:val="en-US" w:eastAsia="zh-CN"/>
        </w:rPr>
      </w:pPr>
      <w:r>
        <w:rPr>
          <w:rFonts w:hint="eastAsia" w:ascii="宋体" w:hAnsi="宋体" w:eastAsia="仿宋_GB2312"/>
          <w:sz w:val="32"/>
          <w:szCs w:val="32"/>
        </w:rPr>
        <w:t>各乡（镇</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街道、管理处</w:t>
      </w:r>
      <w:r>
        <w:rPr>
          <w:rFonts w:hint="eastAsia" w:ascii="宋体" w:hAnsi="宋体" w:eastAsia="仿宋_GB2312"/>
          <w:sz w:val="32"/>
          <w:szCs w:val="32"/>
        </w:rPr>
        <w:t>）</w:t>
      </w:r>
      <w:r>
        <w:rPr>
          <w:rFonts w:hint="eastAsia" w:ascii="宋体" w:hAnsi="宋体" w:eastAsia="仿宋_GB2312"/>
          <w:sz w:val="32"/>
          <w:szCs w:val="32"/>
          <w:lang w:val="en-US" w:eastAsia="zh-CN"/>
        </w:rPr>
        <w:t>社会事务办、各乡（镇）财经和乡村振兴办公室、街道财经办公室、管理处财政所：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为进一步保障和改善城乡困难群众的基本生活，根据《江西省民生实事工程实施领导小组办公室关于印发2023年10件民生实事具体实施方案的通知》（赣民生办〔2023〕1号）和《赣州市民政局 赣州市财政局关于做好我市2023年提标提补工作的通知》（赣市民字〔2023〕12号）要求，现就做好我区2023年城乡困难群众提标提补工作有关事项通知如下。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一、提高城乡困难群众基本生活保障水平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从2023年1月1日起，继续提高全区城乡困难群众基本生活保障标准：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（一）提高城市低保标准</w:t>
      </w:r>
      <w:r>
        <w:rPr>
          <w:rFonts w:hint="eastAsia" w:ascii="仿宋" w:hAnsi="仿宋" w:eastAsia="仿宋" w:cs="仿宋"/>
          <w:sz w:val="32"/>
          <w:szCs w:val="32"/>
          <w:lang w:val="en-US" w:eastAsia="zh-CN"/>
        </w:rPr>
        <w:t>。城市低保月人均保障标准提高60元，达到每人每月905元,财政月人均补差水平提高40元，达到570元。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（二）提高农村低保标准。</w:t>
      </w:r>
      <w:r>
        <w:rPr>
          <w:rFonts w:hint="eastAsia" w:ascii="仿宋" w:hAnsi="仿宋" w:eastAsia="仿宋" w:cs="仿宋"/>
          <w:sz w:val="32"/>
          <w:szCs w:val="32"/>
          <w:lang w:val="en-US" w:eastAsia="zh-CN"/>
        </w:rPr>
        <w:t>农村低保月人均保障标准提高60元，达到每人每月660元，财政月人均补差水平提高40元，达到440元。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（三）提高城镇特困人员供养标准。</w:t>
      </w:r>
      <w:r>
        <w:rPr>
          <w:rFonts w:hint="eastAsia" w:ascii="仿宋" w:hAnsi="仿宋" w:eastAsia="仿宋" w:cs="仿宋"/>
          <w:sz w:val="32"/>
          <w:szCs w:val="32"/>
          <w:lang w:val="en-US" w:eastAsia="zh-CN"/>
        </w:rPr>
        <w:t>城镇特困人员供养标准提高70元，达到每人每月1178元。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（四）提高农村特困自理人员供养标准。</w:t>
      </w:r>
      <w:r>
        <w:rPr>
          <w:rFonts w:hint="eastAsia" w:ascii="仿宋" w:hAnsi="仿宋" w:eastAsia="仿宋" w:cs="仿宋"/>
          <w:sz w:val="32"/>
          <w:szCs w:val="32"/>
          <w:lang w:val="en-US" w:eastAsia="zh-CN"/>
        </w:rPr>
        <w:t>将农村特困集中供养人员和分散供养人员标准提高80元，达到每人每月860元。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（五）提高农村特困失能、半失能人员供养标准。</w:t>
      </w:r>
      <w:r>
        <w:rPr>
          <w:rFonts w:hint="eastAsia" w:ascii="仿宋" w:hAnsi="仿宋" w:eastAsia="仿宋" w:cs="仿宋"/>
          <w:sz w:val="32"/>
          <w:szCs w:val="32"/>
          <w:lang w:val="en-US" w:eastAsia="zh-CN"/>
        </w:rPr>
        <w:t>将农村特困失能、半失能供养标准提高70元，达到每人每月1150元。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（六）对困难群众及时发放价格临时补贴。</w:t>
      </w:r>
      <w:r>
        <w:rPr>
          <w:rFonts w:hint="eastAsia" w:ascii="仿宋" w:hAnsi="仿宋" w:eastAsia="仿宋" w:cs="仿宋"/>
          <w:sz w:val="32"/>
          <w:szCs w:val="32"/>
          <w:lang w:val="en-US" w:eastAsia="zh-CN"/>
        </w:rPr>
        <w:t>完善社会救助和保障标准与物价上涨挂钩联动机制，对符合条件的困难群众及时发放价格临时补贴，保障困难群众基本生活需要。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（七）开展城乡特困人员照料护理服务工作。</w:t>
      </w:r>
      <w:r>
        <w:rPr>
          <w:rFonts w:hint="eastAsia" w:ascii="仿宋" w:hAnsi="仿宋" w:eastAsia="仿宋" w:cs="仿宋"/>
          <w:sz w:val="32"/>
          <w:szCs w:val="32"/>
          <w:lang w:val="en-US" w:eastAsia="zh-CN"/>
        </w:rPr>
        <w:t>按照每人每月1380元的标准发放失能特困人员照料护理补贴；按照每人每月350元的标准发放半失能特困人员照料护理补贴；将特困自理人员照料护理标准提高到每人每月100元。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（八）实施临时救助（特别）救助制度。</w:t>
      </w:r>
      <w:r>
        <w:rPr>
          <w:rFonts w:hint="eastAsia" w:ascii="仿宋" w:hAnsi="仿宋" w:eastAsia="仿宋" w:cs="仿宋"/>
          <w:sz w:val="32"/>
          <w:szCs w:val="32"/>
          <w:lang w:val="en-US" w:eastAsia="zh-CN"/>
        </w:rPr>
        <w:t>对重大疾病、重度残疾、自然灾害、教育费用和突发性意外事件造成的支出型困难家庭给予临时救助。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（九）继续提高二十世纪六十年代精简退职老弱残职工月人均救济补助标准。</w:t>
      </w:r>
      <w:r>
        <w:rPr>
          <w:rFonts w:hint="eastAsia" w:ascii="仿宋" w:hAnsi="仿宋" w:eastAsia="仿宋" w:cs="仿宋"/>
          <w:sz w:val="32"/>
          <w:szCs w:val="32"/>
          <w:lang w:val="en-US" w:eastAsia="zh-CN"/>
        </w:rPr>
        <w:t>具体为：城市的提高110元，达到每人每月665元，农村的提高55元，达到每人每月550元。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（十）提高孤儿、事实无人抚养儿童基本生活保障标准。</w:t>
      </w:r>
      <w:r>
        <w:rPr>
          <w:rFonts w:hint="eastAsia" w:ascii="仿宋" w:hAnsi="仿宋" w:eastAsia="仿宋" w:cs="仿宋"/>
          <w:sz w:val="32"/>
          <w:szCs w:val="32"/>
          <w:lang w:val="en-US" w:eastAsia="zh-CN"/>
        </w:rPr>
        <w:t>将机构养育孤儿、城乡散居孤儿、事实无人抚养儿童基本生活保障标准分别提高220元、160元、160元，达到每人每月1820元、1360元、1360元。艾滋病病毒感染儿童基本生活费的发放标准按照孤儿基本生活费标准全额执行。享受艾滋病病毒感染儿童基本生活费不重复享受孤儿、事实无人抚养儿童、特困人员、低保对象的基本生活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（十一）继续做好残疾孤弃儿童康复救助服务工作。</w:t>
      </w:r>
      <w:r>
        <w:rPr>
          <w:rFonts w:hint="eastAsia" w:ascii="仿宋" w:hAnsi="仿宋" w:eastAsia="仿宋" w:cs="仿宋"/>
          <w:sz w:val="32"/>
          <w:szCs w:val="32"/>
          <w:lang w:val="en-US" w:eastAsia="zh-CN"/>
        </w:rPr>
        <w:t>按照每人每月1380元标准发放残疾孤儿（残疾事实无人抚养儿童）照料护理补贴，不重复享受重度残疾人护理补贴。加强孤儿、事实无人抚养儿童和留守儿童情感关怀和心理健康服务。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（十二）提高城乡困难残疾人生活补贴和重度残疾人护理补贴标准。</w:t>
      </w:r>
      <w:r>
        <w:rPr>
          <w:rFonts w:hint="eastAsia" w:ascii="仿宋" w:hAnsi="仿宋" w:eastAsia="仿宋" w:cs="仿宋"/>
          <w:sz w:val="32"/>
          <w:szCs w:val="32"/>
          <w:lang w:val="en-US" w:eastAsia="zh-CN"/>
        </w:rPr>
        <w:t>将城乡困难残疾人生活补贴标准、城乡重度残疾人护理补贴标准分别提高20元，均达到每人每月100元。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二、明确资金的筹集使用管理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资金筹集、使用管理要求按照江西省财政厅、江西省民政厅《关于印发江西省困难群众救助补助资金管理办法的通知》（赣财社〔2020〕40号）执行。</w:t>
      </w:r>
      <w:r>
        <w:rPr>
          <w:rFonts w:hint="eastAsia" w:ascii="仿宋" w:hAnsi="仿宋" w:eastAsia="仿宋" w:cs="仿宋"/>
          <w:color w:val="auto"/>
          <w:sz w:val="32"/>
          <w:szCs w:val="32"/>
          <w:lang w:val="en-US" w:eastAsia="zh-CN"/>
        </w:rPr>
        <w:t>区财政部门要按照要求，将本级应承担的补助资金及时足额列入财政预算。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（一）对城市低保资金，由区级财政部门按照保障人数和每人每月105元的标准安排资金。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（二）对农村低保资金，由区级财政部门按照保障人数和每人每月88元的标准安排资金。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（三）对城镇特困人员供养资金，由区级财政部门按照每人每月600元安排资金。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（四）对农村特困人员供养资金，由区级财政部门分别按照供养人数和集中供养、分散供养每人每年1596元的标准安排资金。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（五）对临时救助资金，由区级财政部门按照当地户籍人口数和每人每年1元的标准安排资金。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（六）对二十世纪六十年代精简退职老弱残职工救济资金，救济资金由省财政定额专项补助，2022年调标所需资金增量由区级财政负担。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（七）对孤儿基本生活补助（含孤儿、艾滋病病毒感染儿童、事实无人抚养儿童）由区级财政在上级转移支付和本级配套的困难群众救助补助资金中统筹解决。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（八）对残疾孤弃儿童、残疾事实无人抚养儿童发放照料护理补贴资金，所需资金由区级财政统筹解决。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三、严格落实相关政策规定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（一）坚持分类施保。</w:t>
      </w:r>
      <w:r>
        <w:rPr>
          <w:rFonts w:hint="eastAsia" w:ascii="仿宋" w:hAnsi="仿宋" w:eastAsia="仿宋" w:cs="仿宋"/>
          <w:color w:val="auto"/>
          <w:sz w:val="32"/>
          <w:szCs w:val="32"/>
          <w:lang w:val="en-US" w:eastAsia="zh-CN"/>
        </w:rPr>
        <w:t>对低保对象中的常补对象要按照低保标准给予全额补助，对低保对象中的非常补对象要给予差额救助，其中，城市低保对象每人每月补助金额不低于290元、农村低保对象每人每月不低于220元。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（二）明确到位时间。</w:t>
      </w:r>
      <w:r>
        <w:rPr>
          <w:rFonts w:hint="eastAsia" w:ascii="仿宋" w:hAnsi="仿宋" w:eastAsia="仿宋" w:cs="仿宋"/>
          <w:color w:val="auto"/>
          <w:sz w:val="32"/>
          <w:szCs w:val="32"/>
          <w:lang w:val="en-US" w:eastAsia="zh-CN"/>
        </w:rPr>
        <w:t>保障标准从1月1日开始执行。提补资金必须于5月31日前落实到位，并从1月1日开始补发。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w:t>
      </w:r>
      <w:r>
        <w:rPr>
          <w:rFonts w:hint="eastAsia" w:ascii="楷体" w:hAnsi="楷体" w:eastAsia="楷体" w:cs="楷体"/>
          <w:color w:val="auto"/>
          <w:sz w:val="32"/>
          <w:szCs w:val="32"/>
          <w:lang w:val="en-US" w:eastAsia="zh-CN"/>
        </w:rPr>
        <w:t>三）加强资金管理。</w:t>
      </w:r>
      <w:r>
        <w:rPr>
          <w:rFonts w:hint="eastAsia" w:ascii="仿宋" w:hAnsi="仿宋" w:eastAsia="仿宋" w:cs="仿宋"/>
          <w:color w:val="auto"/>
          <w:sz w:val="32"/>
          <w:szCs w:val="32"/>
          <w:lang w:val="en-US" w:eastAsia="zh-CN"/>
        </w:rPr>
        <w:t>区财政、民政部门要加快预算执行，落实配套资金，加强资金使用管理。发放给困难群众基本生活的保障资金，要全部实行社会化发放，并确保安全有效运行。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pPr>
        <w:pStyle w:val="10"/>
        <w:keepNext w:val="0"/>
        <w:keepLines w:val="0"/>
        <w:pageBreakBefore w:val="0"/>
        <w:kinsoku/>
        <w:wordWrap/>
        <w:overflowPunct/>
        <w:topLinePunct w:val="0"/>
        <w:autoSpaceDE/>
        <w:autoSpaceDN/>
        <w:bidi w:val="0"/>
        <w:adjustRightInd/>
        <w:snapToGrid/>
        <w:spacing w:line="58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赣州经济技术开发区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赣州经济技术开发区</w:t>
      </w:r>
    </w:p>
    <w:p>
      <w:pPr>
        <w:pStyle w:val="10"/>
        <w:keepNext w:val="0"/>
        <w:keepLines w:val="0"/>
        <w:pageBreakBefore w:val="0"/>
        <w:kinsoku/>
        <w:wordWrap/>
        <w:overflowPunct/>
        <w:topLinePunct w:val="0"/>
        <w:autoSpaceDE/>
        <w:autoSpaceDN/>
        <w:bidi w:val="0"/>
        <w:adjustRightInd/>
        <w:snapToGrid/>
        <w:spacing w:line="58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社会事务管理</w:t>
      </w:r>
      <w:r>
        <w:rPr>
          <w:rFonts w:hint="eastAsia" w:ascii="仿宋_GB2312" w:hAnsi="仿宋_GB2312" w:eastAsia="仿宋_GB2312" w:cs="仿宋_GB2312"/>
          <w:sz w:val="32"/>
          <w:szCs w:val="32"/>
        </w:rPr>
        <w:t xml:space="preserve">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ind w:left="0" w:leftChars="0" w:firstLine="0" w:firstLineChars="0"/>
        <w:rPr>
          <w:rFonts w:hint="eastAsia" w:ascii="仿宋" w:hAnsi="仿宋" w:eastAsia="仿宋" w:cs="仿宋"/>
          <w:sz w:val="32"/>
          <w:szCs w:val="32"/>
          <w:lang w:val="en-US" w:eastAsia="zh-CN"/>
        </w:rPr>
      </w:pPr>
    </w:p>
    <w:tbl>
      <w:tblPr>
        <w:tblStyle w:val="7"/>
        <w:tblpPr w:leftFromText="180" w:rightFromText="180" w:vertAnchor="text" w:horzAnchor="page" w:tblpX="1614" w:tblpY="57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60" w:type="dxa"/>
            <w:tcBorders>
              <w:top w:val="single" w:color="auto" w:sz="4" w:space="0"/>
              <w:left w:val="nil"/>
              <w:bottom w:val="single" w:color="auto" w:sz="4" w:space="0"/>
              <w:right w:val="nil"/>
            </w:tcBorders>
            <w:noWrap w:val="0"/>
            <w:vAlign w:val="top"/>
          </w:tcPr>
          <w:p>
            <w:pPr>
              <w:keepNext w:val="0"/>
              <w:keepLines w:val="0"/>
              <w:pageBreakBefore w:val="0"/>
              <w:widowControl w:val="0"/>
              <w:tabs>
                <w:tab w:val="left" w:pos="402"/>
              </w:tabs>
              <w:kinsoku/>
              <w:wordWrap/>
              <w:overflowPunct/>
              <w:topLinePunct w:val="0"/>
              <w:autoSpaceDE/>
              <w:autoSpaceDN/>
              <w:bidi w:val="0"/>
              <w:adjustRightInd/>
              <w:snapToGrid/>
              <w:spacing w:line="560" w:lineRule="exact"/>
              <w:textAlignment w:val="auto"/>
              <w:outlineLvl w:val="9"/>
              <w:rPr>
                <w:rFonts w:hint="eastAsia" w:ascii="仿宋_GB2312" w:eastAsia="仿宋_GB2312"/>
                <w:color w:val="000000"/>
                <w:spacing w:val="-283"/>
                <w:w w:val="96"/>
                <w:sz w:val="32"/>
                <w:szCs w:val="32"/>
              </w:rPr>
            </w:pPr>
            <w:r>
              <w:rPr>
                <w:rFonts w:hint="eastAsia" w:ascii="仿宋_GB2312" w:eastAsia="仿宋_GB2312"/>
                <w:color w:val="000000"/>
                <w:spacing w:val="-17"/>
                <w:sz w:val="32"/>
                <w:szCs w:val="32"/>
              </w:rPr>
              <w:t>赣州经济技术开发区社会事务管理局办公室</w:t>
            </w:r>
            <w:r>
              <w:rPr>
                <w:rFonts w:hint="eastAsia" w:ascii="仿宋_GB2312" w:eastAsia="仿宋_GB2312"/>
                <w:color w:val="000000"/>
                <w:spacing w:val="-17"/>
                <w:sz w:val="32"/>
                <w:szCs w:val="32"/>
                <w:lang w:val="en-US" w:eastAsia="zh-CN"/>
              </w:rPr>
              <w:t xml:space="preserve">     2022</w:t>
            </w:r>
            <w:r>
              <w:rPr>
                <w:rFonts w:hint="eastAsia" w:ascii="仿宋_GB2312" w:hAnsi="仿宋_GB2312" w:eastAsia="仿宋_GB2312" w:cs="仿宋_GB2312"/>
                <w:color w:val="000000"/>
                <w:spacing w:val="-17"/>
                <w:sz w:val="32"/>
                <w:szCs w:val="32"/>
              </w:rPr>
              <w:t>年</w:t>
            </w:r>
            <w:r>
              <w:rPr>
                <w:rFonts w:hint="eastAsia" w:ascii="仿宋_GB2312" w:hAnsi="仿宋_GB2312" w:eastAsia="仿宋_GB2312" w:cs="仿宋_GB2312"/>
                <w:color w:val="000000"/>
                <w:spacing w:val="-17"/>
                <w:sz w:val="32"/>
                <w:szCs w:val="32"/>
                <w:lang w:val="en-US" w:eastAsia="zh-CN"/>
              </w:rPr>
              <w:t>3</w:t>
            </w:r>
            <w:r>
              <w:rPr>
                <w:rFonts w:hint="eastAsia" w:ascii="仿宋_GB2312" w:eastAsia="仿宋_GB2312"/>
                <w:color w:val="000000"/>
                <w:spacing w:val="-17"/>
                <w:sz w:val="32"/>
                <w:szCs w:val="32"/>
              </w:rPr>
              <w:t>月</w:t>
            </w:r>
            <w:r>
              <w:rPr>
                <w:rFonts w:hint="eastAsia" w:ascii="仿宋_GB2312" w:eastAsia="仿宋_GB2312"/>
                <w:color w:val="000000"/>
                <w:spacing w:val="-17"/>
                <w:sz w:val="32"/>
                <w:szCs w:val="32"/>
                <w:lang w:val="en-US" w:eastAsia="zh-CN"/>
              </w:rPr>
              <w:t>24</w:t>
            </w:r>
            <w:r>
              <w:rPr>
                <w:rFonts w:hint="eastAsia" w:ascii="仿宋_GB2312" w:eastAsia="仿宋_GB2312"/>
                <w:color w:val="000000"/>
                <w:spacing w:val="-17"/>
                <w:sz w:val="32"/>
                <w:szCs w:val="32"/>
              </w:rPr>
              <w:t>日印发</w:t>
            </w:r>
          </w:p>
        </w:tc>
      </w:tr>
    </w:tbl>
    <w:p>
      <w:pPr>
        <w:pStyle w:val="3"/>
        <w:ind w:left="0" w:leftChars="0" w:firstLine="0" w:firstLineChars="0"/>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409A26-8BB2-436A-AD6A-3CEC54EFBE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F40993C-94DD-4CB3-BB58-CFDB28ED020D}"/>
  </w:font>
  <w:font w:name="仿宋">
    <w:panose1 w:val="02010609060101010101"/>
    <w:charset w:val="86"/>
    <w:family w:val="auto"/>
    <w:pitch w:val="default"/>
    <w:sig w:usb0="800002BF" w:usb1="38CF7CFA" w:usb2="00000016" w:usb3="00000000" w:csb0="00040001" w:csb1="00000000"/>
    <w:embedRegular r:id="rId3" w:fontKey="{1BEA4543-E437-4B4D-B298-5A68DA35A59E}"/>
  </w:font>
  <w:font w:name="方正小标宋简体">
    <w:panose1 w:val="03000509000000000000"/>
    <w:charset w:val="86"/>
    <w:family w:val="auto"/>
    <w:pitch w:val="default"/>
    <w:sig w:usb0="00000001" w:usb1="080E0000" w:usb2="00000000" w:usb3="00000000" w:csb0="00040000" w:csb1="00000000"/>
    <w:embedRegular r:id="rId4" w:fontKey="{D3CCC6A5-9FF0-4DBB-8B2A-B936F2ECF863}"/>
  </w:font>
  <w:font w:name="仿宋_GB2312">
    <w:panose1 w:val="02010609030101010101"/>
    <w:charset w:val="86"/>
    <w:family w:val="modern"/>
    <w:pitch w:val="default"/>
    <w:sig w:usb0="00000001" w:usb1="080E0000" w:usb2="00000000" w:usb3="00000000" w:csb0="00040000" w:csb1="00000000"/>
    <w:embedRegular r:id="rId5" w:fontKey="{2AADF500-D738-46C3-85FE-437DEE78F515}"/>
  </w:font>
  <w:font w:name="华文中宋">
    <w:panose1 w:val="02010600040101010101"/>
    <w:charset w:val="86"/>
    <w:family w:val="auto"/>
    <w:pitch w:val="default"/>
    <w:sig w:usb0="00000287" w:usb1="080F0000" w:usb2="00000000" w:usb3="00000000" w:csb0="0004009F" w:csb1="DFD70000"/>
    <w:embedRegular r:id="rId6" w:fontKey="{9B21E3E5-603C-4F87-8547-621D0D4AE864}"/>
  </w:font>
  <w:font w:name="楷体">
    <w:panose1 w:val="02010609060101010101"/>
    <w:charset w:val="86"/>
    <w:family w:val="auto"/>
    <w:pitch w:val="default"/>
    <w:sig w:usb0="800002BF" w:usb1="38CF7CFA" w:usb2="00000016" w:usb3="00000000" w:csb0="00040001" w:csb1="00000000"/>
    <w:embedRegular r:id="rId7" w:fontKey="{618860FB-2D94-4033-8FD4-D100AA591A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YmVjNTQ3NjU2NTlhN2NhOWZmZmM1NjQ0MWRlMzEifQ=="/>
  </w:docVars>
  <w:rsids>
    <w:rsidRoot w:val="383000AD"/>
    <w:rsid w:val="0011590D"/>
    <w:rsid w:val="03417F43"/>
    <w:rsid w:val="049D5915"/>
    <w:rsid w:val="096B1B3E"/>
    <w:rsid w:val="10E46598"/>
    <w:rsid w:val="13406665"/>
    <w:rsid w:val="174F6524"/>
    <w:rsid w:val="1C0C0F5F"/>
    <w:rsid w:val="1C3919B9"/>
    <w:rsid w:val="22851A6B"/>
    <w:rsid w:val="251D6C08"/>
    <w:rsid w:val="256E2C8A"/>
    <w:rsid w:val="27EB05C2"/>
    <w:rsid w:val="29E96D83"/>
    <w:rsid w:val="2E4D4BC2"/>
    <w:rsid w:val="305C46F1"/>
    <w:rsid w:val="37DE5A4E"/>
    <w:rsid w:val="383000AD"/>
    <w:rsid w:val="3A4F5F3E"/>
    <w:rsid w:val="3D9E35DE"/>
    <w:rsid w:val="459260C9"/>
    <w:rsid w:val="476539CA"/>
    <w:rsid w:val="4C6D53A3"/>
    <w:rsid w:val="505B3C87"/>
    <w:rsid w:val="56B91708"/>
    <w:rsid w:val="61B77AEA"/>
    <w:rsid w:val="7928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widowControl w:val="0"/>
      <w:spacing w:after="120" w:line="240" w:lineRule="auto"/>
      <w:ind w:left="420" w:leftChars="200" w:right="0" w:firstLine="0"/>
    </w:pPr>
    <w:rPr>
      <w:rFonts w:ascii="Calibri" w:hAnsi="Calibri" w:eastAsia="宋体" w:cs="Times New Roman"/>
      <w:color w:val="auto"/>
      <w:kern w:val="2"/>
      <w:sz w:val="21"/>
      <w:szCs w:val="24"/>
    </w:rPr>
  </w:style>
  <w:style w:type="paragraph" w:styleId="3">
    <w:name w:val="Normal Indent"/>
    <w:basedOn w:val="1"/>
    <w:qFormat/>
    <w:uiPriority w:val="0"/>
    <w:pPr>
      <w:widowControl w:val="0"/>
      <w:spacing w:line="240" w:lineRule="auto"/>
      <w:ind w:left="0" w:right="0" w:firstLine="420" w:firstLineChars="200"/>
    </w:pPr>
    <w:rPr>
      <w:rFonts w:ascii="Calibri" w:hAnsi="Calibri" w:eastAsia="仿宋" w:cs="Times New Roman"/>
      <w:color w:val="auto"/>
      <w:kern w:val="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2011</Words>
  <Characters>2123</Characters>
  <Lines>0</Lines>
  <Paragraphs>0</Paragraphs>
  <TotalTime>15</TotalTime>
  <ScaleCrop>false</ScaleCrop>
  <LinksUpToDate>false</LinksUpToDate>
  <CharactersWithSpaces>2254</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2023-03-22T08:48:00Z</dcterms:created>
  <dc:creator>~凉白开~</dc:creator>
  <cp:lastModifiedBy>Administrator</cp:lastModifiedBy>
  <cp:lastPrinted>2023-03-24T01:07:00Z</cp:lastPrinted>
  <dcterms:modified xsi:type="dcterms:W3CDTF">2023-07-06T01:47:46Z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0075348A675D41FB897FDC8D3C28FBFE</vt:lpwstr>
  </property>
</Properties>
</file>