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44"/>
          <w:szCs w:val="44"/>
        </w:rPr>
      </w:pPr>
      <w:r>
        <w:rPr>
          <w:rFonts w:hint="eastAsia" w:ascii="方正小标宋简体" w:hAnsi="方正小标宋简体" w:eastAsia="方正小标宋简体" w:cs="方正小标宋简体"/>
          <w:b/>
          <w:i w:val="0"/>
          <w:caps w:val="0"/>
          <w:color w:val="auto"/>
          <w:spacing w:val="0"/>
          <w:sz w:val="44"/>
          <w:szCs w:val="44"/>
          <w:shd w:val="clear" w:fill="FFFFFF"/>
          <w:lang w:val="en-US" w:eastAsia="zh-CN"/>
        </w:rPr>
        <w:t>三江乡2020年</w:t>
      </w:r>
      <w:r>
        <w:rPr>
          <w:rFonts w:hint="eastAsia" w:ascii="方正小标宋简体" w:hAnsi="方正小标宋简体" w:eastAsia="方正小标宋简体" w:cs="方正小标宋简体"/>
          <w:b/>
          <w:i w:val="0"/>
          <w:caps w:val="0"/>
          <w:color w:val="auto"/>
          <w:spacing w:val="0"/>
          <w:sz w:val="44"/>
          <w:szCs w:val="44"/>
          <w:shd w:val="clear"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本报告依据《中华人民共和国政府信息公开条例》（国务院令第711号，以下简称新《条例》）和《国务院办公厅政府信息与政务公开办公室关于政府信息公开工作年度报告有关事项的通知》（国办公开办函〔2019〕60号）要求，由</w:t>
      </w:r>
      <w:r>
        <w:rPr>
          <w:rFonts w:hint="eastAsia" w:ascii="仿宋_GB2312" w:hAnsi="仿宋_GB2312" w:eastAsia="仿宋_GB2312" w:cs="仿宋_GB2312"/>
          <w:i w:val="0"/>
          <w:caps w:val="0"/>
          <w:color w:val="auto"/>
          <w:spacing w:val="0"/>
          <w:sz w:val="32"/>
          <w:szCs w:val="32"/>
          <w:lang w:val="en-US" w:eastAsia="zh-CN"/>
        </w:rPr>
        <w:t>三江乡党政办</w:t>
      </w:r>
      <w:r>
        <w:rPr>
          <w:rFonts w:hint="eastAsia" w:ascii="仿宋_GB2312" w:hAnsi="仿宋_GB2312" w:eastAsia="仿宋_GB2312" w:cs="仿宋_GB2312"/>
          <w:i w:val="0"/>
          <w:caps w:val="0"/>
          <w:color w:val="auto"/>
          <w:spacing w:val="0"/>
          <w:sz w:val="32"/>
          <w:szCs w:val="32"/>
        </w:rPr>
        <w:t>结合有关统计数据编制。本年度报告中所列数据的统计期限自</w:t>
      </w:r>
      <w:r>
        <w:rPr>
          <w:rFonts w:hint="eastAsia" w:ascii="仿宋_GB2312" w:hAnsi="仿宋_GB2312" w:eastAsia="仿宋_GB2312" w:cs="仿宋_GB2312"/>
          <w:i w:val="0"/>
          <w:caps w:val="0"/>
          <w:color w:val="auto"/>
          <w:spacing w:val="0"/>
          <w:sz w:val="32"/>
          <w:szCs w:val="32"/>
          <w:lang w:val="en-US" w:eastAsia="zh-CN"/>
        </w:rPr>
        <w:t>2020</w:t>
      </w:r>
      <w:r>
        <w:rPr>
          <w:rFonts w:hint="eastAsia" w:ascii="仿宋_GB2312" w:hAnsi="仿宋_GB2312" w:eastAsia="仿宋_GB2312" w:cs="仿宋_GB2312"/>
          <w:i w:val="0"/>
          <w:caps w:val="0"/>
          <w:color w:val="auto"/>
          <w:spacing w:val="0"/>
          <w:sz w:val="32"/>
          <w:szCs w:val="32"/>
        </w:rPr>
        <w:t>年1月1日起至</w:t>
      </w:r>
      <w:r>
        <w:rPr>
          <w:rFonts w:hint="eastAsia" w:ascii="仿宋_GB2312" w:hAnsi="仿宋_GB2312" w:eastAsia="仿宋_GB2312" w:cs="仿宋_GB2312"/>
          <w:i w:val="0"/>
          <w:caps w:val="0"/>
          <w:color w:val="auto"/>
          <w:spacing w:val="0"/>
          <w:sz w:val="32"/>
          <w:szCs w:val="32"/>
          <w:lang w:val="en-US" w:eastAsia="zh-CN"/>
        </w:rPr>
        <w:t>2020</w:t>
      </w:r>
      <w:r>
        <w:rPr>
          <w:rFonts w:hint="eastAsia" w:ascii="仿宋_GB2312" w:hAnsi="仿宋_GB2312" w:eastAsia="仿宋_GB2312" w:cs="仿宋_GB2312"/>
          <w:i w:val="0"/>
          <w:caps w:val="0"/>
          <w:color w:val="auto"/>
          <w:spacing w:val="0"/>
          <w:sz w:val="32"/>
          <w:szCs w:val="32"/>
        </w:rPr>
        <w:t>年12月31日止。全文包括总体情况、主动公开政府信息情况、收到和处理政府信息公开申请情况、政府信息公开行政复议行政诉讼情况、存在的主要问题及改进情况、其他需要报告的事项。本年度报告的电子版可以</w:t>
      </w:r>
      <w:r>
        <w:rPr>
          <w:rFonts w:hint="eastAsia" w:ascii="仿宋_GB2312" w:hAnsi="仿宋_GB2312" w:eastAsia="仿宋_GB2312" w:cs="仿宋_GB2312"/>
          <w:i w:val="0"/>
          <w:caps w:val="0"/>
          <w:color w:val="auto"/>
          <w:spacing w:val="0"/>
          <w:sz w:val="32"/>
          <w:szCs w:val="32"/>
          <w:lang w:val="en-US" w:eastAsia="zh-CN"/>
        </w:rPr>
        <w:t>在赣州经济技术开发区</w:t>
      </w:r>
      <w:r>
        <w:rPr>
          <w:rFonts w:hint="eastAsia" w:ascii="仿宋_GB2312" w:hAnsi="仿宋_GB2312" w:eastAsia="仿宋_GB2312" w:cs="仿宋_GB2312"/>
          <w:i w:val="0"/>
          <w:caps w:val="0"/>
          <w:color w:val="auto"/>
          <w:spacing w:val="0"/>
          <w:sz w:val="32"/>
          <w:szCs w:val="32"/>
        </w:rPr>
        <w:t>网站</w:t>
      </w:r>
      <w:r>
        <w:rPr>
          <w:rFonts w:hint="eastAsia" w:ascii="仿宋_GB2312" w:hAnsi="仿宋_GB2312" w:eastAsia="仿宋_GB2312" w:cs="仿宋_GB2312"/>
          <w:i w:val="0"/>
          <w:caps w:val="0"/>
          <w:color w:val="auto"/>
          <w:spacing w:val="0"/>
          <w:sz w:val="32"/>
          <w:szCs w:val="32"/>
          <w:lang w:eastAsia="zh-CN"/>
        </w:rPr>
        <w:t>（</w:t>
      </w:r>
      <w:r>
        <w:rPr>
          <w:rStyle w:val="5"/>
          <w:rFonts w:hint="eastAsia" w:ascii="仿宋_GB2312" w:hAnsi="仿宋_GB2312" w:eastAsia="仿宋_GB2312" w:cs="仿宋_GB2312"/>
          <w:i w:val="0"/>
          <w:caps w:val="0"/>
          <w:color w:val="auto"/>
          <w:spacing w:val="0"/>
          <w:sz w:val="32"/>
          <w:szCs w:val="32"/>
          <w:u w:val="single"/>
          <w:shd w:val="clear" w:fill="FFFFFF"/>
          <w:vertAlign w:val="baseline"/>
        </w:rPr>
        <w:t>www.gzkfq.gov.cn)</w:t>
      </w:r>
      <w:r>
        <w:rPr>
          <w:rFonts w:hint="eastAsia" w:ascii="仿宋_GB2312" w:hAnsi="仿宋_GB2312" w:eastAsia="仿宋_GB2312" w:cs="仿宋_GB2312"/>
          <w:i w:val="0"/>
          <w:caps w:val="0"/>
          <w:color w:val="auto"/>
          <w:spacing w:val="0"/>
          <w:sz w:val="32"/>
          <w:szCs w:val="32"/>
        </w:rPr>
        <w:t>下载。如对本报告有任何疑问，请与</w:t>
      </w:r>
      <w:r>
        <w:rPr>
          <w:rFonts w:hint="eastAsia" w:ascii="仿宋_GB2312" w:hAnsi="仿宋_GB2312" w:eastAsia="仿宋_GB2312" w:cs="仿宋_GB2312"/>
          <w:color w:val="auto"/>
          <w:sz w:val="32"/>
          <w:szCs w:val="32"/>
          <w:lang w:val="en-US" w:eastAsia="zh-CN"/>
        </w:rPr>
        <w:t>三江乡</w:t>
      </w:r>
      <w:r>
        <w:rPr>
          <w:rFonts w:hint="eastAsia" w:ascii="仿宋_GB2312" w:hAnsi="仿宋_GB2312" w:eastAsia="仿宋_GB2312" w:cs="仿宋_GB2312"/>
          <w:color w:val="auto"/>
          <w:sz w:val="32"/>
          <w:szCs w:val="32"/>
          <w:lang w:eastAsia="zh-CN"/>
        </w:rPr>
        <w:t>人民政府党政办</w:t>
      </w:r>
      <w:r>
        <w:rPr>
          <w:rFonts w:hint="eastAsia" w:ascii="仿宋_GB2312" w:hAnsi="仿宋_GB2312" w:eastAsia="仿宋_GB2312" w:cs="仿宋_GB2312"/>
          <w:i w:val="0"/>
          <w:caps w:val="0"/>
          <w:color w:val="auto"/>
          <w:spacing w:val="0"/>
          <w:sz w:val="32"/>
          <w:szCs w:val="32"/>
        </w:rPr>
        <w:t>联系（地址：</w:t>
      </w:r>
      <w:r>
        <w:rPr>
          <w:rFonts w:hint="eastAsia" w:ascii="仿宋_GB2312" w:hAnsi="仿宋_GB2312" w:eastAsia="仿宋_GB2312" w:cs="仿宋_GB2312"/>
          <w:i w:val="0"/>
          <w:caps w:val="0"/>
          <w:color w:val="auto"/>
          <w:spacing w:val="0"/>
          <w:sz w:val="32"/>
          <w:szCs w:val="32"/>
          <w:lang w:val="en-US" w:eastAsia="zh-CN"/>
        </w:rPr>
        <w:t>赣州经开区三江乡浮桥头3号</w:t>
      </w:r>
      <w:r>
        <w:rPr>
          <w:rFonts w:hint="eastAsia" w:ascii="仿宋_GB2312" w:hAnsi="仿宋_GB2312" w:eastAsia="仿宋_GB2312" w:cs="仿宋_GB2312"/>
          <w:i w:val="0"/>
          <w:caps w:val="0"/>
          <w:color w:val="auto"/>
          <w:spacing w:val="0"/>
          <w:sz w:val="32"/>
          <w:szCs w:val="32"/>
        </w:rPr>
        <w:t>，电话：0797－6570369，邮编：</w:t>
      </w:r>
      <w:r>
        <w:rPr>
          <w:rFonts w:hint="eastAsia" w:ascii="仿宋_GB2312" w:hAnsi="仿宋_GB2312" w:eastAsia="仿宋_GB2312" w:cs="仿宋_GB2312"/>
          <w:i w:val="0"/>
          <w:caps w:val="0"/>
          <w:color w:val="auto"/>
          <w:spacing w:val="0"/>
          <w:sz w:val="32"/>
          <w:szCs w:val="32"/>
          <w:lang w:val="en-US" w:eastAsia="zh-CN"/>
        </w:rPr>
        <w:t>341412</w:t>
      </w:r>
      <w:r>
        <w:rPr>
          <w:rFonts w:hint="eastAsia" w:ascii="仿宋_GB2312" w:hAnsi="仿宋_GB2312" w:eastAsia="仿宋_GB2312" w:cs="仿宋_GB2312"/>
          <w:i w:val="0"/>
          <w:caps w:val="0"/>
          <w:color w:val="auto"/>
          <w:spacing w:val="0"/>
          <w:sz w:val="32"/>
          <w:szCs w:val="32"/>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auto"/>
          <w:spacing w:val="0"/>
          <w:sz w:val="32"/>
          <w:szCs w:val="32"/>
          <w:shd w:val="clear" w:fill="FFFFFF"/>
        </w:rPr>
      </w:pPr>
      <w:r>
        <w:rPr>
          <w:rFonts w:hint="eastAsia" w:ascii="黑体" w:hAnsi="黑体" w:eastAsia="黑体" w:cs="黑体"/>
          <w:b w:val="0"/>
          <w:bCs/>
          <w:i w:val="0"/>
          <w:caps w:val="0"/>
          <w:color w:val="auto"/>
          <w:spacing w:val="0"/>
          <w:sz w:val="32"/>
          <w:szCs w:val="32"/>
          <w:shd w:val="clear" w:fill="FFFFFF"/>
        </w:rPr>
        <w:t>总体情况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2020年三江乡坚持以习近平新时代中国特色社会主义思想为指导，深入贯彻党的十九大和十九届二中、三中、四中、五中全会精神，严格落实《国务院办公厅印发〈关于全面推进政务公开工作的意见〉实施细则的通知》（国办发〔2016〕80号）和《国务院办公厅关于印发2020年政务公开工作要点的通知》（国办发〔2020〕17号）的要求。紧紧围绕区党工委、管委会中心工作及社会群众关注关切，着力提升政府信息公开质量，推进拓宽政府信息公开渠道，不断增强政府信息公开实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b/>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强化组织</w:t>
      </w:r>
      <w:r>
        <w:rPr>
          <w:rFonts w:hint="eastAsia" w:ascii="仿宋_GB2312" w:hAnsi="仿宋_GB2312" w:eastAsia="仿宋_GB2312" w:cs="仿宋_GB2312"/>
          <w:i w:val="0"/>
          <w:caps w:val="0"/>
          <w:color w:val="auto"/>
          <w:spacing w:val="0"/>
          <w:sz w:val="32"/>
          <w:szCs w:val="32"/>
          <w:shd w:val="clear" w:fill="FFFFFF"/>
          <w:lang w:val="en-US" w:eastAsia="zh-CN"/>
        </w:rPr>
        <w:fldChar w:fldCharType="begin"/>
      </w:r>
      <w:r>
        <w:rPr>
          <w:rFonts w:hint="eastAsia" w:ascii="仿宋_GB2312" w:hAnsi="仿宋_GB2312" w:eastAsia="仿宋_GB2312" w:cs="仿宋_GB2312"/>
          <w:i w:val="0"/>
          <w:caps w:val="0"/>
          <w:color w:val="auto"/>
          <w:spacing w:val="0"/>
          <w:sz w:val="32"/>
          <w:szCs w:val="32"/>
          <w:shd w:val="clear" w:fill="FFFFFF"/>
          <w:lang w:val="en-US" w:eastAsia="zh-CN"/>
        </w:rPr>
        <w:instrText xml:space="preserve"> HYPERLINK "http://www.5ykj.com/Article/" </w:instrText>
      </w:r>
      <w:r>
        <w:rPr>
          <w:rFonts w:hint="eastAsia" w:ascii="仿宋_GB2312" w:hAnsi="仿宋_GB2312" w:eastAsia="仿宋_GB2312" w:cs="仿宋_GB2312"/>
          <w:i w:val="0"/>
          <w:caps w:val="0"/>
          <w:color w:val="auto"/>
          <w:spacing w:val="0"/>
          <w:sz w:val="32"/>
          <w:szCs w:val="32"/>
          <w:shd w:val="clear"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fill="FFFFFF"/>
          <w:lang w:val="en-US" w:eastAsia="zh-CN"/>
        </w:rPr>
        <w:t>领导。按照要求，及时调整完善政务公开领导小组，由乡长何源任组长，分管领导金平任副组长，各相关站所负责人为组员成立三江乡政务公开政府信息公开领导小组，充分认识加强政务公开工作的重要性和必要性，督促按照做好主动公开、依申请公开政府信息的范围和程序，确保政务信息公开各项工作落实到位。统筹指导各相关部门有序开展本乡政务公开工作，领导小组下设办公室在乡党政办，负责日常工作的督促及指导。形成了全乡各部门、站所齐抓共管、协同推进的良好工作局面，为政务公开工作的顺利开展提供了有效保障。</w:t>
      </w:r>
      <w:r>
        <w:rPr>
          <w:rFonts w:hint="eastAsia" w:ascii="仿宋_GB2312" w:hAnsi="仿宋_GB2312" w:eastAsia="仿宋_GB2312" w:cs="仿宋_GB2312"/>
          <w:i w:val="0"/>
          <w:caps w:val="0"/>
          <w:color w:val="auto"/>
          <w:spacing w:val="0"/>
          <w:sz w:val="32"/>
          <w:szCs w:val="32"/>
          <w:shd w:val="clear" w:fill="FFFFFF"/>
          <w:lang w:val="en-US" w:eastAsia="zh-CN"/>
        </w:rPr>
        <w:fldChar w:fldCharType="end"/>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i w:val="0"/>
          <w:caps w:val="0"/>
          <w:color w:val="auto"/>
          <w:spacing w:val="0"/>
          <w:sz w:val="32"/>
          <w:szCs w:val="32"/>
          <w:shd w:val="clear" w:fill="FFFFFF"/>
          <w:lang w:eastAsia="zh-CN"/>
        </w:rPr>
      </w:pPr>
      <w:r>
        <w:rPr>
          <w:rFonts w:hint="eastAsia" w:ascii="楷体" w:hAnsi="楷体" w:eastAsia="楷体" w:cs="楷体"/>
          <w:i w:val="0"/>
          <w:caps w:val="0"/>
          <w:color w:val="auto"/>
          <w:spacing w:val="0"/>
          <w:sz w:val="32"/>
          <w:szCs w:val="32"/>
          <w:shd w:val="clear" w:fill="FFFFFF"/>
          <w:lang w:eastAsia="zh-CN"/>
        </w:rPr>
        <w:t>主动公开</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决策公开（重大行政决策法定程序、重大决策预公开制度、意见征集形式）</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2020年，在区党政办公室的帮助</w:t>
      </w:r>
      <w:r>
        <w:rPr>
          <w:rFonts w:hint="eastAsia" w:ascii="仿宋_GB2312" w:hAnsi="仿宋_GB2312" w:eastAsia="仿宋_GB2312" w:cs="仿宋_GB2312"/>
          <w:i w:val="0"/>
          <w:caps w:val="0"/>
          <w:color w:val="auto"/>
          <w:spacing w:val="0"/>
          <w:sz w:val="32"/>
          <w:szCs w:val="32"/>
          <w:shd w:val="clear" w:fill="FFFFFF"/>
          <w:lang w:val="en-US" w:eastAsia="zh-CN"/>
        </w:rPr>
        <w:fldChar w:fldCharType="begin"/>
      </w:r>
      <w:r>
        <w:rPr>
          <w:rFonts w:hint="eastAsia" w:ascii="仿宋_GB2312" w:hAnsi="仿宋_GB2312" w:eastAsia="仿宋_GB2312" w:cs="仿宋_GB2312"/>
          <w:i w:val="0"/>
          <w:caps w:val="0"/>
          <w:color w:val="auto"/>
          <w:spacing w:val="0"/>
          <w:sz w:val="32"/>
          <w:szCs w:val="32"/>
          <w:shd w:val="clear" w:fill="FFFFFF"/>
          <w:lang w:val="en-US" w:eastAsia="zh-CN"/>
        </w:rPr>
        <w:instrText xml:space="preserve"> HYPERLINK "http://zw.5ykj.com/" </w:instrText>
      </w:r>
      <w:r>
        <w:rPr>
          <w:rFonts w:hint="eastAsia" w:ascii="仿宋_GB2312" w:hAnsi="仿宋_GB2312" w:eastAsia="仿宋_GB2312" w:cs="仿宋_GB2312"/>
          <w:i w:val="0"/>
          <w:caps w:val="0"/>
          <w:color w:val="auto"/>
          <w:spacing w:val="0"/>
          <w:sz w:val="32"/>
          <w:szCs w:val="32"/>
          <w:shd w:val="clear"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fill="FFFFFF"/>
          <w:lang w:val="en-US" w:eastAsia="zh-CN"/>
        </w:rPr>
        <w:t>指导下，通过全乡的共同努力，三江乡政务公开工作取得了较大的进步。截止2020年12月，三江乡政府信息公开平台累计公开信息144条，网络问政信件回复18条；乡、村政务公开栏实时公开乡、村各项工作进展情况。本年度没有因政务信息公开申请行政复议、提起行政诉讼的案件。</w:t>
      </w:r>
      <w:r>
        <w:rPr>
          <w:rFonts w:hint="eastAsia" w:ascii="仿宋_GB2312" w:hAnsi="仿宋_GB2312" w:eastAsia="仿宋_GB2312" w:cs="仿宋_GB2312"/>
          <w:i w:val="0"/>
          <w:caps w:val="0"/>
          <w:color w:val="auto"/>
          <w:spacing w:val="0"/>
          <w:sz w:val="32"/>
          <w:szCs w:val="32"/>
          <w:shd w:val="clear" w:fill="FFFFFF"/>
          <w:lang w:val="en-US" w:eastAsia="zh-CN"/>
        </w:rPr>
        <w:fldChar w:fldCharType="end"/>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管理公开（权责清单、</w:t>
      </w:r>
      <w:r>
        <w:rPr>
          <w:rFonts w:hint="eastAsia" w:ascii="仿宋_GB2312" w:hAnsi="仿宋_GB2312" w:eastAsia="仿宋_GB2312" w:cs="仿宋_GB2312"/>
          <w:i w:val="0"/>
          <w:caps w:val="0"/>
          <w:color w:val="auto"/>
          <w:spacing w:val="0"/>
          <w:sz w:val="32"/>
          <w:szCs w:val="32"/>
          <w:shd w:val="clear" w:fill="FFFFFF"/>
        </w:rPr>
        <w:t>清单动态调整公开机制</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行政执法公示制度</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监管情况</w:t>
      </w:r>
      <w:r>
        <w:rPr>
          <w:rFonts w:hint="eastAsia" w:ascii="仿宋_GB2312" w:hAnsi="仿宋_GB2312" w:eastAsia="仿宋_GB2312" w:cs="仿宋_GB2312"/>
          <w:i w:val="0"/>
          <w:caps w:val="0"/>
          <w:color w:val="auto"/>
          <w:spacing w:val="0"/>
          <w:sz w:val="32"/>
          <w:szCs w:val="32"/>
          <w:shd w:val="clear" w:fill="FFFFFF"/>
          <w:lang w:val="en-US" w:eastAsia="zh-CN"/>
        </w:rPr>
        <w: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服务公开（</w:t>
      </w:r>
      <w:r>
        <w:rPr>
          <w:rFonts w:hint="eastAsia" w:ascii="仿宋_GB2312" w:hAnsi="仿宋_GB2312" w:eastAsia="仿宋_GB2312" w:cs="仿宋_GB2312"/>
          <w:i w:val="0"/>
          <w:caps w:val="0"/>
          <w:color w:val="auto"/>
          <w:spacing w:val="0"/>
          <w:sz w:val="32"/>
          <w:szCs w:val="32"/>
          <w:shd w:val="clear" w:fill="FFFFFF"/>
        </w:rPr>
        <w:t>公开服务事项</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行政审批中介服务事项清单、</w:t>
      </w:r>
      <w:r>
        <w:rPr>
          <w:rFonts w:hint="eastAsia" w:ascii="仿宋_GB2312" w:hAnsi="仿宋_GB2312" w:eastAsia="仿宋_GB2312" w:cs="仿宋_GB2312"/>
          <w:i w:val="0"/>
          <w:caps w:val="0"/>
          <w:color w:val="auto"/>
          <w:spacing w:val="0"/>
          <w:sz w:val="32"/>
          <w:szCs w:val="32"/>
          <w:shd w:val="clear" w:fill="FFFFFF"/>
        </w:rPr>
        <w:t>体政务服务中心与网上办事大厅结合</w:t>
      </w:r>
      <w:r>
        <w:rPr>
          <w:rFonts w:hint="eastAsia" w:ascii="仿宋_GB2312" w:hAnsi="仿宋_GB2312" w:eastAsia="仿宋_GB2312" w:cs="仿宋_GB2312"/>
          <w:i w:val="0"/>
          <w:caps w:val="0"/>
          <w:color w:val="auto"/>
          <w:spacing w:val="0"/>
          <w:sz w:val="32"/>
          <w:szCs w:val="32"/>
          <w:shd w:val="clear" w:fill="FFFFFF"/>
          <w:lang w:val="en-US" w:eastAsia="zh-CN"/>
        </w:rPr>
        <w: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结果公开（</w:t>
      </w:r>
      <w:r>
        <w:rPr>
          <w:rFonts w:hint="eastAsia" w:ascii="仿宋_GB2312" w:hAnsi="仿宋_GB2312" w:eastAsia="仿宋_GB2312" w:cs="仿宋_GB2312"/>
          <w:i w:val="0"/>
          <w:caps w:val="0"/>
          <w:color w:val="auto"/>
          <w:spacing w:val="0"/>
          <w:sz w:val="32"/>
          <w:szCs w:val="32"/>
          <w:shd w:val="clear" w:fill="FFFFFF"/>
        </w:rPr>
        <w:t>重大决策</w:t>
      </w:r>
      <w:r>
        <w:rPr>
          <w:rFonts w:hint="eastAsia" w:ascii="仿宋_GB2312" w:hAnsi="仿宋_GB2312" w:eastAsia="仿宋_GB2312" w:cs="仿宋_GB2312"/>
          <w:i w:val="0"/>
          <w:caps w:val="0"/>
          <w:color w:val="auto"/>
          <w:spacing w:val="0"/>
          <w:sz w:val="32"/>
          <w:szCs w:val="32"/>
          <w:shd w:val="clear" w:fill="FFFFFF"/>
          <w:lang w:eastAsia="zh-CN"/>
        </w:rPr>
        <w:t>及</w:t>
      </w:r>
      <w:r>
        <w:rPr>
          <w:rFonts w:hint="eastAsia" w:ascii="仿宋_GB2312" w:hAnsi="仿宋_GB2312" w:eastAsia="仿宋_GB2312" w:cs="仿宋_GB2312"/>
          <w:i w:val="0"/>
          <w:caps w:val="0"/>
          <w:color w:val="auto"/>
          <w:spacing w:val="0"/>
          <w:sz w:val="32"/>
          <w:szCs w:val="32"/>
          <w:shd w:val="clear" w:fill="FFFFFF"/>
        </w:rPr>
        <w:t>重要政策落实情况</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发展规划</w:t>
      </w:r>
      <w:r>
        <w:rPr>
          <w:rFonts w:hint="eastAsia" w:ascii="仿宋_GB2312" w:hAnsi="仿宋_GB2312" w:eastAsia="仿宋_GB2312" w:cs="仿宋_GB2312"/>
          <w:i w:val="0"/>
          <w:caps w:val="0"/>
          <w:color w:val="auto"/>
          <w:spacing w:val="0"/>
          <w:sz w:val="32"/>
          <w:szCs w:val="32"/>
          <w:shd w:val="clear" w:fill="FFFFFF"/>
          <w:lang w:eastAsia="zh-CN"/>
        </w:rPr>
        <w:t>及</w:t>
      </w:r>
      <w:r>
        <w:rPr>
          <w:rFonts w:hint="eastAsia" w:ascii="仿宋_GB2312" w:hAnsi="仿宋_GB2312" w:eastAsia="仿宋_GB2312" w:cs="仿宋_GB2312"/>
          <w:i w:val="0"/>
          <w:caps w:val="0"/>
          <w:color w:val="auto"/>
          <w:spacing w:val="0"/>
          <w:sz w:val="32"/>
          <w:szCs w:val="32"/>
          <w:shd w:val="clear" w:fill="FFFFFF"/>
        </w:rPr>
        <w:t>政府工作报告、政府决定事项落实</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重大决策跟踪反馈和评估制度</w:t>
      </w:r>
      <w:r>
        <w:rPr>
          <w:rFonts w:hint="eastAsia" w:ascii="仿宋_GB2312" w:hAnsi="仿宋_GB2312" w:eastAsia="仿宋_GB2312" w:cs="仿宋_GB2312"/>
          <w:i w:val="0"/>
          <w:caps w:val="0"/>
          <w:color w:val="auto"/>
          <w:spacing w:val="0"/>
          <w:sz w:val="32"/>
          <w:szCs w:val="32"/>
          <w:shd w:val="clear" w:fill="FFFFFF"/>
          <w:lang w:val="en-US" w:eastAsia="zh-CN"/>
        </w:rPr>
        <w: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执行公开</w:t>
      </w:r>
      <w:r>
        <w:rPr>
          <w:rFonts w:hint="eastAsia" w:ascii="仿宋_GB2312" w:hAnsi="仿宋_GB2312" w:eastAsia="仿宋_GB2312" w:cs="仿宋_GB2312"/>
          <w:i w:val="0"/>
          <w:caps w:val="0"/>
          <w:color w:val="auto"/>
          <w:spacing w:val="0"/>
          <w:sz w:val="32"/>
          <w:szCs w:val="32"/>
          <w:shd w:val="clear" w:fill="FFFFFF"/>
          <w:lang w:val="en-US" w:eastAsia="zh-CN"/>
        </w:rPr>
        <w:t>（重点领域信息公开）（财政预决算、公共资源配置、重大建设项目批准和实施、社会公益事业建设等领域）</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i w:val="0"/>
          <w:caps w:val="0"/>
          <w:color w:val="auto"/>
          <w:spacing w:val="0"/>
          <w:sz w:val="32"/>
          <w:szCs w:val="32"/>
          <w:shd w:val="clear" w:fill="FFFFFF"/>
          <w:lang w:eastAsia="zh-CN"/>
        </w:rPr>
      </w:pPr>
      <w:r>
        <w:rPr>
          <w:rFonts w:hint="eastAsia" w:ascii="楷体" w:hAnsi="楷体" w:eastAsia="楷体" w:cs="楷体"/>
          <w:i w:val="0"/>
          <w:caps w:val="0"/>
          <w:color w:val="auto"/>
          <w:spacing w:val="0"/>
          <w:sz w:val="32"/>
          <w:szCs w:val="32"/>
          <w:shd w:val="clear" w:fill="FFFFFF"/>
          <w:lang w:eastAsia="zh-CN"/>
        </w:rPr>
        <w:t>依申请公开</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重视依申请公开工作（依申请指南、渠道、制度规范、答复格式规范）</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i w:val="0"/>
          <w:caps w:val="0"/>
          <w:color w:val="auto"/>
          <w:spacing w:val="0"/>
          <w:sz w:val="32"/>
          <w:szCs w:val="32"/>
          <w:shd w:val="clear" w:fill="FFFFFF"/>
          <w:lang w:eastAsia="zh-CN"/>
        </w:rPr>
      </w:pPr>
      <w:r>
        <w:rPr>
          <w:rFonts w:hint="eastAsia" w:ascii="楷体" w:hAnsi="楷体" w:eastAsia="楷体" w:cs="楷体"/>
          <w:i w:val="0"/>
          <w:caps w:val="0"/>
          <w:color w:val="auto"/>
          <w:spacing w:val="0"/>
          <w:sz w:val="32"/>
          <w:szCs w:val="32"/>
          <w:shd w:val="clear" w:fill="FFFFFF"/>
          <w:lang w:eastAsia="zh-CN"/>
        </w:rPr>
        <w:t>政府信息管理</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规范化标准化建设</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数字化管理（加大数据公开力度）</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规范信息审核发布机制</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规范性文件清理</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i w:val="0"/>
          <w:caps w:val="0"/>
          <w:color w:val="auto"/>
          <w:spacing w:val="0"/>
          <w:sz w:val="32"/>
          <w:szCs w:val="32"/>
          <w:shd w:val="clear" w:fill="FFFFFF"/>
          <w:lang w:eastAsia="zh-CN"/>
        </w:rPr>
      </w:pPr>
      <w:r>
        <w:rPr>
          <w:rFonts w:hint="eastAsia" w:ascii="楷体" w:hAnsi="楷体" w:eastAsia="楷体" w:cs="楷体"/>
          <w:i w:val="0"/>
          <w:caps w:val="0"/>
          <w:color w:val="auto"/>
          <w:spacing w:val="0"/>
          <w:sz w:val="32"/>
          <w:szCs w:val="32"/>
          <w:shd w:val="clear" w:fill="FFFFFF"/>
          <w:lang w:eastAsia="zh-CN"/>
        </w:rPr>
        <w:t>平台建设</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政府门户网站第一平台作用（专题专栏）</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公开方式多样化（政务新媒体、手机APP、两微一端）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lang w:val="en-US" w:eastAsia="zh-CN"/>
        </w:rPr>
        <w:t>乡不断拓展</w:t>
      </w:r>
      <w:r>
        <w:rPr>
          <w:rFonts w:hint="eastAsia" w:ascii="仿宋_GB2312" w:hAnsi="仿宋_GB2312" w:eastAsia="仿宋_GB2312" w:cs="仿宋_GB2312"/>
          <w:color w:val="auto"/>
          <w:sz w:val="32"/>
          <w:szCs w:val="32"/>
          <w:lang w:eastAsia="zh-CN"/>
        </w:rPr>
        <w:t>政务</w:t>
      </w:r>
      <w:r>
        <w:rPr>
          <w:rFonts w:hint="eastAsia" w:ascii="仿宋_GB2312" w:hAnsi="仿宋_GB2312" w:eastAsia="仿宋_GB2312" w:cs="仿宋_GB2312"/>
          <w:color w:val="auto"/>
          <w:sz w:val="32"/>
          <w:szCs w:val="32"/>
          <w:lang w:val="en-US" w:eastAsia="zh-CN"/>
        </w:rPr>
        <w:t>信息公开渠道，积极推进公开平台建设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发挥</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lang w:val="en-US" w:eastAsia="zh-CN"/>
        </w:rPr>
        <w:t>乡微信公众号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三江</w:t>
      </w:r>
      <w:r>
        <w:rPr>
          <w:rFonts w:hint="eastAsia" w:ascii="仿宋_GB2312" w:hAnsi="仿宋_GB2312" w:eastAsia="仿宋_GB2312" w:cs="仿宋_GB2312"/>
          <w:color w:val="auto"/>
          <w:sz w:val="32"/>
          <w:szCs w:val="32"/>
          <w:lang w:eastAsia="zh-CN"/>
        </w:rPr>
        <w:t>微新闻”</w:t>
      </w:r>
      <w:r>
        <w:rPr>
          <w:rFonts w:hint="eastAsia" w:ascii="仿宋_GB2312" w:hAnsi="仿宋_GB2312" w:eastAsia="仿宋_GB2312" w:cs="仿宋_GB2312"/>
          <w:color w:val="auto"/>
          <w:sz w:val="32"/>
          <w:szCs w:val="32"/>
          <w:lang w:val="en-US" w:eastAsia="zh-CN"/>
        </w:rPr>
        <w:t>的作用，及时转发上级重大时政新闻等。</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网站集约化</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auto"/>
          <w:spacing w:val="0"/>
          <w:sz w:val="32"/>
          <w:szCs w:val="32"/>
          <w:shd w:val="clear" w:fill="FFFFFF"/>
          <w:lang w:eastAsia="zh-CN"/>
        </w:rPr>
      </w:pPr>
      <w:r>
        <w:rPr>
          <w:rFonts w:hint="eastAsia" w:ascii="楷体" w:hAnsi="楷体" w:eastAsia="楷体" w:cs="楷体"/>
          <w:i w:val="0"/>
          <w:caps w:val="0"/>
          <w:color w:val="auto"/>
          <w:spacing w:val="0"/>
          <w:sz w:val="32"/>
          <w:szCs w:val="32"/>
          <w:shd w:val="clear" w:fill="FFFFFF"/>
          <w:lang w:eastAsia="zh-CN"/>
        </w:rPr>
        <w:t>监督保障（工作考核、社会评议和责任追究结果情况</w:t>
      </w:r>
      <w:r>
        <w:rPr>
          <w:rFonts w:hint="eastAsia" w:ascii="宋体" w:hAnsi="宋体" w:eastAsia="宋体" w:cs="宋体"/>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i w:val="0"/>
          <w:caps w:val="0"/>
          <w:color w:val="auto"/>
          <w:spacing w:val="0"/>
          <w:sz w:val="32"/>
          <w:szCs w:val="32"/>
          <w:shd w:val="clear" w:fill="FFFFFF"/>
          <w:lang w:eastAsia="zh-CN"/>
        </w:rPr>
      </w:pPr>
      <w:r>
        <w:rPr>
          <w:rFonts w:hint="eastAsia" w:ascii="仿宋_GB2312" w:hAnsi="仿宋_GB2312" w:eastAsia="仿宋_GB2312" w:cs="仿宋_GB2312"/>
          <w:color w:val="auto"/>
          <w:sz w:val="32"/>
          <w:szCs w:val="32"/>
          <w:lang w:val="en-US" w:eastAsia="zh-CN"/>
        </w:rPr>
        <w:t>2020年，三江乡严格按照管委会有关规定落实政务信息公开保障监督，明确落实工作责任，严格审核发布内容，把政务公开和政府信息公开工作纳入年度绩效考核范围，充分发挥考核“指挥棒”作用，增强信息公开实效。重视政府信息公开</w:t>
      </w:r>
      <w:r>
        <w:rPr>
          <w:rFonts w:hint="default" w:ascii="仿宋_GB2312" w:hAnsi="仿宋_GB2312" w:eastAsia="仿宋_GB2312" w:cs="仿宋_GB2312"/>
          <w:color w:val="auto"/>
          <w:sz w:val="32"/>
          <w:szCs w:val="32"/>
          <w:lang w:val="en-US" w:eastAsia="zh-CN"/>
        </w:rPr>
        <w:t>工作人员</w:t>
      </w:r>
      <w:r>
        <w:rPr>
          <w:rFonts w:hint="eastAsia" w:ascii="仿宋_GB2312" w:hAnsi="仿宋_GB2312" w:eastAsia="仿宋_GB2312" w:cs="仿宋_GB2312"/>
          <w:color w:val="auto"/>
          <w:sz w:val="32"/>
          <w:szCs w:val="32"/>
          <w:lang w:val="en-US" w:eastAsia="zh-CN"/>
        </w:rPr>
        <w:t>培训工作，及时准确回复咨询，未因此产生投诉、举报、复议等各类纠纷。</w:t>
      </w:r>
    </w:p>
    <w:p>
      <w:pPr>
        <w:numPr>
          <w:ilvl w:val="0"/>
          <w:numId w:val="0"/>
        </w:numPr>
        <w:spacing w:line="540" w:lineRule="exac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主动公开政府信息情况</w:t>
      </w:r>
    </w:p>
    <w:tbl>
      <w:tblPr>
        <w:tblStyle w:val="3"/>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0"/>
        <w:gridCol w:w="202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本年新制作数量</w:t>
            </w:r>
          </w:p>
        </w:tc>
        <w:tc>
          <w:tcPr>
            <w:tcW w:w="202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本年新公开数量</w:t>
            </w:r>
          </w:p>
        </w:tc>
        <w:tc>
          <w:tcPr>
            <w:tcW w:w="229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规    章</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规范性文件</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202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229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上一年项目数量</w:t>
            </w:r>
          </w:p>
        </w:tc>
        <w:tc>
          <w:tcPr>
            <w:tcW w:w="202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本年增/减</w:t>
            </w:r>
          </w:p>
        </w:tc>
        <w:tc>
          <w:tcPr>
            <w:tcW w:w="229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行政许可</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其他对外管理服务事项</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上一年项目数量</w:t>
            </w:r>
          </w:p>
        </w:tc>
        <w:tc>
          <w:tcPr>
            <w:tcW w:w="202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本年增/减</w:t>
            </w:r>
          </w:p>
        </w:tc>
        <w:tc>
          <w:tcPr>
            <w:tcW w:w="2295"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行政处罚</w:t>
            </w:r>
          </w:p>
        </w:tc>
        <w:tc>
          <w:tcPr>
            <w:tcW w:w="2460"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行政强制</w:t>
            </w:r>
          </w:p>
        </w:tc>
        <w:tc>
          <w:tcPr>
            <w:tcW w:w="2460"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上一年项目数量</w:t>
            </w:r>
          </w:p>
        </w:tc>
        <w:tc>
          <w:tcPr>
            <w:tcW w:w="4320" w:type="dxa"/>
            <w:gridSpan w:val="2"/>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行政事业性收费</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4320" w:type="dxa"/>
            <w:gridSpan w:val="2"/>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采购项目数量</w:t>
            </w:r>
          </w:p>
        </w:tc>
        <w:tc>
          <w:tcPr>
            <w:tcW w:w="4320" w:type="dxa"/>
            <w:gridSpan w:val="2"/>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政府集中采购</w:t>
            </w:r>
          </w:p>
        </w:tc>
        <w:tc>
          <w:tcPr>
            <w:tcW w:w="2460" w:type="dxa"/>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4320" w:type="dxa"/>
            <w:gridSpan w:val="2"/>
            <w:shd w:val="clear" w:color="auto" w:fill="auto"/>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bl>
    <w:p>
      <w:pPr>
        <w:spacing w:line="540" w:lineRule="exact"/>
        <w:rPr>
          <w:rFonts w:ascii="仿宋_GB2312" w:hAnsi="仿宋" w:eastAsia="仿宋_GB2312" w:cs="仿宋"/>
          <w:b/>
          <w:color w:val="auto"/>
          <w:sz w:val="32"/>
          <w:szCs w:val="32"/>
        </w:rPr>
      </w:pPr>
    </w:p>
    <w:p>
      <w:pPr>
        <w:numPr>
          <w:numId w:val="0"/>
        </w:numPr>
        <w:spacing w:line="540" w:lineRule="exact"/>
        <w:rPr>
          <w:rFonts w:hint="eastAsia" w:ascii="黑体" w:hAnsi="黑体" w:eastAsia="黑体" w:cs="黑体"/>
          <w:b w:val="0"/>
          <w:bCs/>
          <w:color w:val="auto"/>
          <w:sz w:val="32"/>
          <w:szCs w:val="32"/>
        </w:rPr>
      </w:pPr>
      <w:bookmarkStart w:id="0" w:name="_GoBack"/>
      <w:bookmarkEnd w:id="0"/>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5"/>
        <w:gridCol w:w="2089"/>
        <w:gridCol w:w="814"/>
        <w:gridCol w:w="756"/>
        <w:gridCol w:w="756"/>
        <w:gridCol w:w="815"/>
        <w:gridCol w:w="976"/>
        <w:gridCol w:w="713"/>
        <w:gridCol w:w="6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（本列数据的勾稽关系为：</w:t>
            </w:r>
            <w:r>
              <w:rPr>
                <w:rFonts w:hint="eastAsia" w:ascii="宋体" w:hAnsi="宋体" w:cs="宋体"/>
                <w:color w:val="auto"/>
                <w:kern w:val="0"/>
                <w:sz w:val="20"/>
                <w:szCs w:val="20"/>
              </w:rPr>
              <w:t>第一项</w:t>
            </w:r>
            <w:r>
              <w:rPr>
                <w:rFonts w:hint="eastAsia" w:ascii="宋体" w:hAnsi="宋体" w:cs="宋体"/>
                <w:color w:val="auto"/>
                <w:kern w:val="0"/>
                <w:sz w:val="20"/>
                <w:szCs w:val="20"/>
              </w:rPr>
              <w:t>加</w:t>
            </w:r>
            <w:r>
              <w:rPr>
                <w:rFonts w:hint="eastAsia" w:ascii="宋体" w:hAnsi="宋体" w:cs="宋体"/>
                <w:color w:val="auto"/>
                <w:kern w:val="0"/>
                <w:sz w:val="20"/>
                <w:szCs w:val="20"/>
              </w:rPr>
              <w:t>第二项</w:t>
            </w:r>
            <w:r>
              <w:rPr>
                <w:rFonts w:hint="eastAsia" w:ascii="宋体" w:hAnsi="宋体" w:cs="宋体"/>
                <w:color w:val="auto"/>
                <w:kern w:val="0"/>
                <w:sz w:val="20"/>
                <w:szCs w:val="20"/>
              </w:rPr>
              <w:t>之和，等于</w:t>
            </w:r>
            <w:r>
              <w:rPr>
                <w:rFonts w:hint="eastAsia" w:ascii="宋体" w:hAnsi="宋体" w:cs="宋体"/>
                <w:color w:val="auto"/>
                <w:kern w:val="0"/>
                <w:sz w:val="20"/>
                <w:szCs w:val="20"/>
              </w:rPr>
              <w:t>第三项</w:t>
            </w:r>
            <w:r>
              <w:rPr>
                <w:rFonts w:hint="eastAsia" w:ascii="宋体" w:hAnsi="宋体" w:cs="宋体"/>
                <w:color w:val="auto"/>
                <w:kern w:val="0"/>
                <w:sz w:val="20"/>
                <w:szCs w:val="20"/>
              </w:rPr>
              <w:t>加</w:t>
            </w:r>
            <w:r>
              <w:rPr>
                <w:rFonts w:hint="eastAsia" w:ascii="宋体" w:hAnsi="宋体" w:cs="宋体"/>
                <w:color w:val="auto"/>
                <w:kern w:val="0"/>
                <w:sz w:val="20"/>
                <w:szCs w:val="20"/>
              </w:rPr>
              <w:t>第四项</w:t>
            </w:r>
            <w:r>
              <w:rPr>
                <w:rFonts w:hint="eastAsia" w:ascii="宋体" w:hAnsi="宋体" w:cs="宋体"/>
                <w:color w:val="auto"/>
                <w:kern w:val="0"/>
                <w:sz w:val="20"/>
                <w:szCs w:val="20"/>
              </w:rPr>
              <w:t>之和）</w:t>
            </w:r>
          </w:p>
        </w:tc>
        <w:tc>
          <w:tcPr>
            <w:tcW w:w="5509" w:type="dxa"/>
            <w:gridSpan w:val="7"/>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14" w:type="dxa"/>
            <w:vMerge w:val="restart"/>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自然人</w:t>
            </w:r>
          </w:p>
        </w:tc>
        <w:tc>
          <w:tcPr>
            <w:tcW w:w="4016"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法人或其他组织</w:t>
            </w:r>
          </w:p>
        </w:tc>
        <w:tc>
          <w:tcPr>
            <w:tcW w:w="679"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14"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商业企业</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科研机构</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社会公益组织</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法律服务机构</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其他</w:t>
            </w:r>
          </w:p>
        </w:tc>
        <w:tc>
          <w:tcPr>
            <w:tcW w:w="679"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一、</w:t>
            </w:r>
            <w:r>
              <w:rPr>
                <w:rFonts w:hint="eastAsia" w:ascii="宋体" w:hAnsi="宋体" w:cs="宋体"/>
                <w:color w:val="auto"/>
                <w:kern w:val="0"/>
                <w:sz w:val="20"/>
                <w:szCs w:val="20"/>
              </w:rPr>
              <w:t>本年新收政府信息公开申请数量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二、</w:t>
            </w:r>
            <w:r>
              <w:rPr>
                <w:rFonts w:hint="eastAsia" w:ascii="宋体" w:hAnsi="宋体" w:cs="宋体"/>
                <w:color w:val="auto"/>
                <w:kern w:val="0"/>
                <w:sz w:val="20"/>
                <w:szCs w:val="20"/>
              </w:rPr>
              <w:t>上年结转政府信息公开申请数量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三、</w:t>
            </w:r>
            <w:r>
              <w:rPr>
                <w:rFonts w:hint="eastAsia" w:ascii="宋体" w:hAnsi="宋体" w:cs="宋体"/>
                <w:color w:val="auto"/>
                <w:kern w:val="0"/>
                <w:sz w:val="20"/>
                <w:szCs w:val="20"/>
              </w:rPr>
              <w:t>本年度办理结果</w:t>
            </w: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left"/>
              <w:rPr>
                <w:rFonts w:cs="Times New Roman"/>
                <w:color w:val="auto"/>
              </w:rPr>
            </w:pPr>
            <w:r>
              <w:rPr>
                <w:rFonts w:hint="eastAsia" w:ascii="楷体" w:hAnsi="楷体" w:eastAsia="楷体" w:cs="楷体"/>
                <w:color w:val="auto"/>
                <w:kern w:val="0"/>
                <w:sz w:val="20"/>
                <w:szCs w:val="20"/>
              </w:rPr>
              <w:t>（一）予以公开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s="Times New Roman"/>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val="en-US" w:eastAsia="zh-CN"/>
              </w:rPr>
            </w:pPr>
            <w:r>
              <w:rPr>
                <w:rFonts w:hint="eastAsia" w:cs="Times New Roman"/>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楷体" w:hAnsi="楷体" w:eastAsia="楷体" w:cs="楷体"/>
                <w:color w:val="auto"/>
                <w:kern w:val="0"/>
                <w:sz w:val="20"/>
                <w:szCs w:val="20"/>
              </w:rPr>
              <w:t>（二）部分公开（区分处理的，只计这一情形，不计其他情形）</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s="Times New Roman"/>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val="en-US" w:eastAsia="zh-CN"/>
              </w:rPr>
            </w:pPr>
            <w:r>
              <w:rPr>
                <w:rFonts w:hint="eastAsia" w:cs="Times New Roman"/>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楷体" w:hAnsi="楷体" w:eastAsia="楷体" w:cs="楷体"/>
                <w:color w:val="auto"/>
                <w:kern w:val="0"/>
                <w:sz w:val="20"/>
                <w:szCs w:val="20"/>
              </w:rPr>
              <w:t>（三）不予公开</w:t>
            </w: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1.</w:t>
            </w:r>
            <w:r>
              <w:rPr>
                <w:rFonts w:hint="eastAsia" w:ascii="楷体" w:hAnsi="楷体" w:eastAsia="楷体" w:cs="楷体"/>
                <w:color w:val="auto"/>
                <w:kern w:val="0"/>
                <w:sz w:val="20"/>
                <w:szCs w:val="20"/>
              </w:rPr>
              <w:t>属于国家秘密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2.</w:t>
            </w:r>
            <w:r>
              <w:rPr>
                <w:rFonts w:hint="eastAsia" w:ascii="楷体" w:hAnsi="楷体" w:eastAsia="楷体" w:cs="楷体"/>
                <w:color w:val="auto"/>
                <w:kern w:val="0"/>
                <w:sz w:val="20"/>
                <w:szCs w:val="20"/>
              </w:rPr>
              <w:t>其他法律行政法规禁止公开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3.</w:t>
            </w:r>
            <w:r>
              <w:rPr>
                <w:rFonts w:hint="eastAsia" w:ascii="楷体" w:hAnsi="楷体" w:eastAsia="楷体" w:cs="楷体"/>
                <w:color w:val="auto"/>
                <w:kern w:val="0"/>
                <w:sz w:val="20"/>
                <w:szCs w:val="20"/>
              </w:rPr>
              <w:t>危及“三安全一稳定”</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4.</w:t>
            </w:r>
            <w:r>
              <w:rPr>
                <w:rFonts w:hint="eastAsia" w:ascii="楷体" w:hAnsi="楷体" w:eastAsia="楷体" w:cs="楷体"/>
                <w:color w:val="auto"/>
                <w:kern w:val="0"/>
                <w:sz w:val="20"/>
                <w:szCs w:val="20"/>
              </w:rPr>
              <w:t>保护第三方合法权益</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5.</w:t>
            </w:r>
            <w:r>
              <w:rPr>
                <w:rFonts w:hint="eastAsia" w:ascii="楷体" w:hAnsi="楷体" w:eastAsia="楷体" w:cs="楷体"/>
                <w:color w:val="auto"/>
                <w:kern w:val="0"/>
                <w:sz w:val="20"/>
                <w:szCs w:val="20"/>
              </w:rPr>
              <w:t>属于三类内部事务信息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6.</w:t>
            </w:r>
            <w:r>
              <w:rPr>
                <w:rFonts w:hint="eastAsia" w:ascii="楷体" w:hAnsi="楷体" w:eastAsia="楷体" w:cs="楷体"/>
                <w:color w:val="auto"/>
                <w:kern w:val="0"/>
                <w:sz w:val="20"/>
                <w:szCs w:val="20"/>
              </w:rPr>
              <w:t>属于四类过程性信息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7.</w:t>
            </w:r>
            <w:r>
              <w:rPr>
                <w:rFonts w:hint="eastAsia" w:ascii="楷体" w:hAnsi="楷体" w:eastAsia="楷体" w:cs="楷体"/>
                <w:color w:val="auto"/>
                <w:kern w:val="0"/>
                <w:sz w:val="20"/>
                <w:szCs w:val="20"/>
              </w:rPr>
              <w:t>属于行政执法案卷</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8.</w:t>
            </w:r>
            <w:r>
              <w:rPr>
                <w:rFonts w:hint="eastAsia" w:ascii="楷体" w:hAnsi="楷体" w:eastAsia="楷体" w:cs="楷体"/>
                <w:color w:val="auto"/>
                <w:kern w:val="0"/>
                <w:sz w:val="20"/>
                <w:szCs w:val="20"/>
              </w:rPr>
              <w:t>属于行政查询事项</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楷体" w:hAnsi="楷体" w:eastAsia="楷体" w:cs="楷体"/>
                <w:color w:val="auto"/>
                <w:kern w:val="0"/>
                <w:sz w:val="20"/>
                <w:szCs w:val="20"/>
              </w:rPr>
              <w:t>（四）无法提供</w:t>
            </w: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1.</w:t>
            </w:r>
            <w:r>
              <w:rPr>
                <w:rFonts w:hint="eastAsia" w:ascii="楷体" w:hAnsi="楷体" w:eastAsia="楷体" w:cs="楷体"/>
                <w:color w:val="auto"/>
                <w:kern w:val="0"/>
                <w:sz w:val="20"/>
                <w:szCs w:val="20"/>
              </w:rPr>
              <w:t>本机关不掌握相关政府信息</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2.</w:t>
            </w:r>
            <w:r>
              <w:rPr>
                <w:rFonts w:hint="eastAsia" w:ascii="楷体" w:hAnsi="楷体" w:eastAsia="楷体" w:cs="楷体"/>
                <w:color w:val="auto"/>
                <w:kern w:val="0"/>
                <w:sz w:val="20"/>
                <w:szCs w:val="20"/>
              </w:rPr>
              <w:t>没有现成信息需要另行制作</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3.</w:t>
            </w:r>
            <w:r>
              <w:rPr>
                <w:rFonts w:hint="eastAsia" w:ascii="楷体" w:hAnsi="楷体" w:eastAsia="楷体" w:cs="楷体"/>
                <w:color w:val="auto"/>
                <w:kern w:val="0"/>
                <w:sz w:val="20"/>
                <w:szCs w:val="20"/>
              </w:rPr>
              <w:t>补正后申请内容仍不明确</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楷体" w:hAnsi="楷体" w:eastAsia="楷体" w:cs="楷体"/>
                <w:color w:val="auto"/>
                <w:kern w:val="0"/>
                <w:sz w:val="20"/>
                <w:szCs w:val="20"/>
              </w:rPr>
              <w:t>（五）不予处理</w:t>
            </w: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1.</w:t>
            </w:r>
            <w:r>
              <w:rPr>
                <w:rFonts w:hint="eastAsia" w:ascii="楷体" w:hAnsi="楷体" w:eastAsia="楷体" w:cs="楷体"/>
                <w:color w:val="auto"/>
                <w:kern w:val="0"/>
                <w:sz w:val="20"/>
                <w:szCs w:val="20"/>
              </w:rPr>
              <w:t>信访举报投诉类申请</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2.</w:t>
            </w:r>
            <w:r>
              <w:rPr>
                <w:rFonts w:hint="eastAsia" w:ascii="楷体" w:hAnsi="楷体" w:eastAsia="楷体" w:cs="楷体"/>
                <w:color w:val="auto"/>
                <w:kern w:val="0"/>
                <w:sz w:val="20"/>
                <w:szCs w:val="20"/>
              </w:rPr>
              <w:t>重复申请</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3.</w:t>
            </w:r>
            <w:r>
              <w:rPr>
                <w:rFonts w:hint="eastAsia" w:ascii="楷体" w:hAnsi="楷体" w:eastAsia="楷体" w:cs="楷体"/>
                <w:color w:val="auto"/>
                <w:kern w:val="0"/>
                <w:sz w:val="20"/>
                <w:szCs w:val="20"/>
              </w:rPr>
              <w:t>要求提供公开出版物</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4.</w:t>
            </w:r>
            <w:r>
              <w:rPr>
                <w:rFonts w:hint="eastAsia" w:ascii="楷体" w:hAnsi="楷体" w:eastAsia="楷体" w:cs="楷体"/>
                <w:color w:val="auto"/>
                <w:kern w:val="0"/>
                <w:sz w:val="20"/>
                <w:szCs w:val="20"/>
              </w:rPr>
              <w:t>无正当理由大量反复申请</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both"/>
              <w:rPr>
                <w:rFonts w:cs="Times New Roman"/>
                <w:color w:val="auto"/>
              </w:rPr>
            </w:pPr>
            <w:r>
              <w:rPr>
                <w:rFonts w:ascii="楷体" w:hAnsi="楷体" w:eastAsia="楷体" w:cs="楷体"/>
                <w:color w:val="auto"/>
                <w:kern w:val="0"/>
                <w:sz w:val="20"/>
                <w:szCs w:val="20"/>
              </w:rPr>
              <w:t>5.</w:t>
            </w:r>
            <w:r>
              <w:rPr>
                <w:rFonts w:hint="eastAsia" w:ascii="楷体" w:hAnsi="楷体" w:eastAsia="楷体" w:cs="楷体"/>
                <w:color w:val="auto"/>
                <w:kern w:val="0"/>
                <w:sz w:val="20"/>
                <w:szCs w:val="20"/>
              </w:rPr>
              <w:t>要求行政机关确认或重新出具已获取信息</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944" w:type="dxa"/>
            <w:gridSpan w:val="2"/>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楷体" w:hAnsi="楷体" w:eastAsia="楷体" w:cs="楷体"/>
                <w:color w:val="auto"/>
                <w:kern w:val="0"/>
                <w:sz w:val="20"/>
                <w:szCs w:val="20"/>
              </w:rPr>
              <w:t>（六）其他处理</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Times New Roman"/>
                <w:color w:val="auto"/>
                <w:sz w:val="24"/>
                <w:szCs w:val="24"/>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楷体" w:hAnsi="楷体" w:eastAsia="楷体" w:cs="楷体"/>
                <w:color w:val="auto"/>
                <w:kern w:val="0"/>
                <w:sz w:val="20"/>
                <w:szCs w:val="20"/>
              </w:rPr>
              <w:t>（七）总计</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hint="default" w:cs="Times New Roman" w:eastAsiaTheme="minorEastAsia"/>
                <w:color w:val="auto"/>
                <w:lang w:val="en-US" w:eastAsia="zh-CN"/>
              </w:rPr>
            </w:pPr>
            <w:r>
              <w:rPr>
                <w:rFonts w:hint="eastAsia" w:cs="Times New Roman"/>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rFonts w:hint="eastAsia" w:ascii="宋体" w:hAnsi="宋体" w:cs="宋体"/>
                <w:color w:val="auto"/>
                <w:kern w:val="0"/>
                <w:sz w:val="20"/>
                <w:szCs w:val="20"/>
              </w:rPr>
              <w:t>四、</w:t>
            </w:r>
            <w:r>
              <w:rPr>
                <w:rFonts w:hint="eastAsia" w:ascii="宋体" w:hAnsi="宋体" w:cs="宋体"/>
                <w:color w:val="auto"/>
                <w:kern w:val="0"/>
                <w:sz w:val="20"/>
                <w:szCs w:val="20"/>
              </w:rPr>
              <w:t>结转下年度继续办理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600" w:lineRule="exact"/>
              <w:jc w:val="center"/>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600" w:lineRule="exact"/>
              <w:jc w:val="center"/>
              <w:rPr>
                <w:rFonts w:ascii="宋体" w:cs="宋体"/>
                <w:color w:val="auto"/>
                <w:sz w:val="24"/>
                <w:szCs w:val="24"/>
              </w:rPr>
            </w:pPr>
            <w:r>
              <w:rPr>
                <w:rFonts w:ascii="宋体" w:cs="宋体"/>
                <w:color w:val="auto"/>
                <w:sz w:val="24"/>
                <w:szCs w:val="24"/>
              </w:rPr>
              <w:t>0</w:t>
            </w:r>
          </w:p>
        </w:tc>
      </w:tr>
    </w:tbl>
    <w:p>
      <w:pPr>
        <w:numPr>
          <w:ilvl w:val="0"/>
          <w:numId w:val="0"/>
        </w:numPr>
        <w:spacing w:line="540" w:lineRule="exac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政府信息公开行政复议、行政诉讼情况</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5"/>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行政复议</w:t>
            </w:r>
          </w:p>
        </w:tc>
        <w:tc>
          <w:tcPr>
            <w:tcW w:w="5680" w:type="dxa"/>
            <w:gridSpan w:val="10"/>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结果维护</w:t>
            </w:r>
          </w:p>
        </w:tc>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结果纠正</w:t>
            </w:r>
          </w:p>
        </w:tc>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其他结果</w:t>
            </w:r>
          </w:p>
        </w:tc>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尚未审结</w:t>
            </w:r>
          </w:p>
        </w:tc>
        <w:tc>
          <w:tcPr>
            <w:tcW w:w="568" w:type="dxa"/>
            <w:vMerge w:val="restart"/>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总计</w:t>
            </w:r>
          </w:p>
        </w:tc>
        <w:tc>
          <w:tcPr>
            <w:tcW w:w="2840" w:type="dxa"/>
            <w:gridSpan w:val="5"/>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shd w:val="clear" w:color="auto" w:fill="FFFFFF"/>
              </w:rPr>
              <w:t>未经复议直接起诉</w:t>
            </w:r>
          </w:p>
        </w:tc>
        <w:tc>
          <w:tcPr>
            <w:tcW w:w="2840" w:type="dxa"/>
            <w:gridSpan w:val="5"/>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vMerge w:val="continue"/>
            <w:shd w:val="clear" w:color="auto" w:fill="auto"/>
            <w:vAlign w:val="center"/>
          </w:tcPr>
          <w:p>
            <w:pPr>
              <w:spacing w:line="540" w:lineRule="exact"/>
              <w:jc w:val="center"/>
              <w:rPr>
                <w:rFonts w:ascii="仿宋" w:hAnsi="仿宋" w:eastAsia="仿宋" w:cs="仿宋"/>
                <w:color w:val="auto"/>
                <w:sz w:val="24"/>
              </w:rPr>
            </w:pP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结果维护</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结果纠正</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其他结果</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尚未审结</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总计</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结果维护</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结果纠正</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其他结果</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尚未审结</w:t>
            </w:r>
          </w:p>
        </w:tc>
        <w:tc>
          <w:tcPr>
            <w:tcW w:w="568" w:type="dxa"/>
            <w:shd w:val="clear" w:color="auto" w:fill="auto"/>
            <w:vAlign w:val="center"/>
          </w:tcPr>
          <w:p>
            <w:pPr>
              <w:spacing w:line="540" w:lineRule="exact"/>
              <w:jc w:val="center"/>
              <w:rPr>
                <w:rFonts w:ascii="仿宋" w:hAnsi="仿宋" w:eastAsia="仿宋" w:cs="仿宋"/>
                <w:color w:val="auto"/>
                <w:sz w:val="24"/>
              </w:rPr>
            </w:pPr>
            <w:r>
              <w:rPr>
                <w:rFonts w:hint="eastAsia" w:ascii="仿宋" w:hAnsi="仿宋" w:eastAsia="仿宋" w:cs="仿宋"/>
                <w:color w:val="auto"/>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pPr>
              <w:spacing w:line="5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2020年我乡高度重视信息公开，在政府信息公开梳理发布方面做了大量工作，取得较大进展，但与上级要求还有一定差距，工作还存在一些不足。一是对政府信息公开认识不够，主动公开意识还有待加强。二是政府信息公开工作还不够规范，信息质量有待提高，偶尔存在公开信息发布不及时、信息发布不规范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下一步改进措施：（一）加强理论学习，提高工作认识。加大对《政府信息公开条例》的宣传和学习，强化主动公开意识，进一步增强工作的自觉性，全面系统深入地推进政府信息公开工作。（二）加大工作力度，提升信息公开的质量水平。一是进一步拓宽公开信息范围。二是增强信息发布的时效性。严格按《政府信息公开条例》规定要求，对新生成的政府信息，必须及时主动公开。三是要规范信息发布格式要求。特别是在全区政府信息公开统一平台上发布信息，一定要按照统一的格式规范进行上传发布。（三）健全制度，完善机制。要严格执行所制定政府信息公开相关工作制度，认真抓好政府信息公开工作落实。特别要是建立完善政府信息公开审核机制，做到信息的整理、审核、发布都有专人负责，保证每一条信息都能真实、准确、及时发布，真正将政府信息公开作为一项日常工作纳入制度化、规范化的轨道。（四）政府信息公开平台建设方面，需要进一步完善政务微信等信息公开渠道，拓宽信息公开渠道；公开形式方面，在利用好现有公开形式的同时，加大宣传栏、播音喇叭等形式的公开力度，提高信息公开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F7C61E-8AAE-44D0-8721-76EF1C2E4A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BE40899B-F1BF-4F6E-9FC2-66FFF69B38BF}"/>
  </w:font>
  <w:font w:name="仿宋_GB2312">
    <w:panose1 w:val="02010609030101010101"/>
    <w:charset w:val="86"/>
    <w:family w:val="modern"/>
    <w:pitch w:val="default"/>
    <w:sig w:usb0="00000001" w:usb1="080E0000" w:usb2="00000000" w:usb3="00000000" w:csb0="00040000" w:csb1="00000000"/>
    <w:embedRegular r:id="rId3" w:fontKey="{B479C6B4-0B16-411B-9A66-220719997BEA}"/>
  </w:font>
  <w:font w:name="楷体">
    <w:panose1 w:val="02010609060101010101"/>
    <w:charset w:val="86"/>
    <w:family w:val="auto"/>
    <w:pitch w:val="default"/>
    <w:sig w:usb0="800002BF" w:usb1="38CF7CFA" w:usb2="00000016" w:usb3="00000000" w:csb0="00040001" w:csb1="00000000"/>
    <w:embedRegular r:id="rId4" w:fontKey="{6AC64EA3-694D-42D7-A239-BEE055BAE880}"/>
  </w:font>
  <w:font w:name="仿宋">
    <w:panose1 w:val="02010609060101010101"/>
    <w:charset w:val="86"/>
    <w:family w:val="modern"/>
    <w:pitch w:val="default"/>
    <w:sig w:usb0="800002BF" w:usb1="38CF7CFA" w:usb2="00000016" w:usb3="00000000" w:csb0="00040001" w:csb1="00000000"/>
    <w:embedRegular r:id="rId5" w:fontKey="{99B4C251-5D30-4EF2-A68F-D86221C42FB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D2BD9F"/>
    <w:multiLevelType w:val="singleLevel"/>
    <w:tmpl w:val="C2D2BD9F"/>
    <w:lvl w:ilvl="0" w:tentative="0">
      <w:start w:val="1"/>
      <w:numFmt w:val="decimal"/>
      <w:lvlText w:val="%1."/>
      <w:lvlJc w:val="left"/>
      <w:pPr>
        <w:tabs>
          <w:tab w:val="left" w:pos="312"/>
        </w:tabs>
      </w:pPr>
    </w:lvl>
  </w:abstractNum>
  <w:abstractNum w:abstractNumId="1">
    <w:nsid w:val="E111CA96"/>
    <w:multiLevelType w:val="singleLevel"/>
    <w:tmpl w:val="E111CA96"/>
    <w:lvl w:ilvl="0" w:tentative="0">
      <w:start w:val="1"/>
      <w:numFmt w:val="decimal"/>
      <w:lvlText w:val="%1."/>
      <w:lvlJc w:val="left"/>
      <w:pPr>
        <w:tabs>
          <w:tab w:val="left" w:pos="312"/>
        </w:tabs>
      </w:pPr>
    </w:lvl>
  </w:abstractNum>
  <w:abstractNum w:abstractNumId="2">
    <w:nsid w:val="E49DB681"/>
    <w:multiLevelType w:val="singleLevel"/>
    <w:tmpl w:val="E49DB681"/>
    <w:lvl w:ilvl="0" w:tentative="0">
      <w:start w:val="1"/>
      <w:numFmt w:val="chineseCounting"/>
      <w:suff w:val="nothing"/>
      <w:lvlText w:val="%1、"/>
      <w:lvlJc w:val="left"/>
      <w:rPr>
        <w:rFonts w:hint="eastAsia"/>
      </w:rPr>
    </w:lvl>
  </w:abstractNum>
  <w:abstractNum w:abstractNumId="3">
    <w:nsid w:val="128F45C3"/>
    <w:multiLevelType w:val="singleLevel"/>
    <w:tmpl w:val="128F45C3"/>
    <w:lvl w:ilvl="0" w:tentative="0">
      <w:start w:val="1"/>
      <w:numFmt w:val="chineseCounting"/>
      <w:suff w:val="nothing"/>
      <w:lvlText w:val="（%1）"/>
      <w:lvlJc w:val="left"/>
      <w:rPr>
        <w:rFonts w:hint="eastAsia"/>
      </w:rPr>
    </w:lvl>
  </w:abstractNum>
  <w:abstractNum w:abstractNumId="4">
    <w:nsid w:val="36AE5EC2"/>
    <w:multiLevelType w:val="singleLevel"/>
    <w:tmpl w:val="36AE5EC2"/>
    <w:lvl w:ilvl="0" w:tentative="0">
      <w:start w:val="1"/>
      <w:numFmt w:val="decimal"/>
      <w:lvlText w:val="%1."/>
      <w:lvlJc w:val="left"/>
      <w:pPr>
        <w:tabs>
          <w:tab w:val="left" w:pos="312"/>
        </w:tabs>
      </w:pPr>
    </w:lvl>
  </w:abstractNum>
  <w:abstractNum w:abstractNumId="5">
    <w:nsid w:val="7E62037F"/>
    <w:multiLevelType w:val="singleLevel"/>
    <w:tmpl w:val="7E62037F"/>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85B2D"/>
    <w:rsid w:val="01FD44BC"/>
    <w:rsid w:val="04A050B4"/>
    <w:rsid w:val="0664143B"/>
    <w:rsid w:val="068724E6"/>
    <w:rsid w:val="06896BDD"/>
    <w:rsid w:val="06C77964"/>
    <w:rsid w:val="072F4BA5"/>
    <w:rsid w:val="09E4086F"/>
    <w:rsid w:val="0A2B66FA"/>
    <w:rsid w:val="0D1F6983"/>
    <w:rsid w:val="0D5E3C06"/>
    <w:rsid w:val="0D910277"/>
    <w:rsid w:val="0E3D2E43"/>
    <w:rsid w:val="0F42566A"/>
    <w:rsid w:val="0FE32618"/>
    <w:rsid w:val="100B48A4"/>
    <w:rsid w:val="1389057E"/>
    <w:rsid w:val="16FB6583"/>
    <w:rsid w:val="17534F7D"/>
    <w:rsid w:val="17BA4A93"/>
    <w:rsid w:val="18052B9B"/>
    <w:rsid w:val="1B931963"/>
    <w:rsid w:val="1C9D43B5"/>
    <w:rsid w:val="1FB06A51"/>
    <w:rsid w:val="226E6329"/>
    <w:rsid w:val="22B518DE"/>
    <w:rsid w:val="236153A1"/>
    <w:rsid w:val="23B06487"/>
    <w:rsid w:val="24801CAE"/>
    <w:rsid w:val="2480713E"/>
    <w:rsid w:val="24E55395"/>
    <w:rsid w:val="25E27BE1"/>
    <w:rsid w:val="26223DB5"/>
    <w:rsid w:val="272B171B"/>
    <w:rsid w:val="29614256"/>
    <w:rsid w:val="29EC475A"/>
    <w:rsid w:val="2B141692"/>
    <w:rsid w:val="2BA129AD"/>
    <w:rsid w:val="2C2556B5"/>
    <w:rsid w:val="2CAD0EF8"/>
    <w:rsid w:val="2DC22FC6"/>
    <w:rsid w:val="333B5955"/>
    <w:rsid w:val="333F4349"/>
    <w:rsid w:val="33764376"/>
    <w:rsid w:val="35AB61E3"/>
    <w:rsid w:val="35D7022F"/>
    <w:rsid w:val="36E76C28"/>
    <w:rsid w:val="37FB2EE6"/>
    <w:rsid w:val="39A03081"/>
    <w:rsid w:val="3AF14D64"/>
    <w:rsid w:val="3E2A7A51"/>
    <w:rsid w:val="4192179C"/>
    <w:rsid w:val="42C854F0"/>
    <w:rsid w:val="435049AC"/>
    <w:rsid w:val="46C25773"/>
    <w:rsid w:val="472C43C2"/>
    <w:rsid w:val="48664FF7"/>
    <w:rsid w:val="50C209D9"/>
    <w:rsid w:val="519D4381"/>
    <w:rsid w:val="5209212B"/>
    <w:rsid w:val="522F274A"/>
    <w:rsid w:val="52B10B34"/>
    <w:rsid w:val="552428BB"/>
    <w:rsid w:val="566E50F8"/>
    <w:rsid w:val="56857A37"/>
    <w:rsid w:val="57690DE7"/>
    <w:rsid w:val="57E01E2D"/>
    <w:rsid w:val="58E01D55"/>
    <w:rsid w:val="59304A40"/>
    <w:rsid w:val="599F15A1"/>
    <w:rsid w:val="5B9967BB"/>
    <w:rsid w:val="5BCB3858"/>
    <w:rsid w:val="5FCE6A83"/>
    <w:rsid w:val="62973F5B"/>
    <w:rsid w:val="65B92349"/>
    <w:rsid w:val="69601670"/>
    <w:rsid w:val="6B3E29FD"/>
    <w:rsid w:val="6D04144A"/>
    <w:rsid w:val="6DDA0AA3"/>
    <w:rsid w:val="6EB526D3"/>
    <w:rsid w:val="6EC41F3F"/>
    <w:rsid w:val="70213783"/>
    <w:rsid w:val="703E7E75"/>
    <w:rsid w:val="715466EC"/>
    <w:rsid w:val="728237BB"/>
    <w:rsid w:val="72B636EC"/>
    <w:rsid w:val="74686B06"/>
    <w:rsid w:val="74C916AE"/>
    <w:rsid w:val="762A598E"/>
    <w:rsid w:val="766F5558"/>
    <w:rsid w:val="78C8636A"/>
    <w:rsid w:val="7B440FF1"/>
    <w:rsid w:val="7BA14126"/>
    <w:rsid w:val="7BB52AE1"/>
    <w:rsid w:val="7D6722F9"/>
    <w:rsid w:val="7D7C7DE7"/>
    <w:rsid w:val="7E3065DD"/>
    <w:rsid w:val="7F3B6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2021-01-07T01:14:00Z</dcterms:created>
  <dc:creator>Administrator</dc:creator>
  <cp:lastModifiedBy>今天要元気呐！</cp:lastModifiedBy>
  <cp:lastPrinted>2021-01-29T10:23:00Z</cp:lastPrinted>
  <dcterms:modified xsi:type="dcterms:W3CDTF">2021-02-02T01:44:20Z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