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napToGrid/>
          <w:color w:val="auto"/>
          <w:kern w:val="0"/>
          <w:sz w:val="44"/>
          <w:szCs w:val="44"/>
          <w:lang w:val="en-US" w:eastAsia="zh-CN" w:bidi="ar-SA"/>
        </w:rPr>
        <w:t>赣州经开区黄金岭街道</w:t>
      </w:r>
      <w:r>
        <w:rPr>
          <w:rFonts w:hint="eastAsia" w:ascii="宋体" w:hAnsi="宋体" w:eastAsia="宋体" w:cs="宋体"/>
          <w:b w:val="0"/>
          <w:bCs w:val="0"/>
          <w:sz w:val="44"/>
          <w:szCs w:val="44"/>
          <w:lang w:eastAsia="zh-Hans"/>
        </w:rPr>
        <w:t>202</w:t>
      </w:r>
      <w:r>
        <w:rPr>
          <w:rFonts w:hint="eastAsia" w:ascii="宋体" w:hAnsi="宋体" w:eastAsia="宋体" w:cs="宋体"/>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val="en-US" w:eastAsia="zh-Hans"/>
        </w:rPr>
        <w:t>年</w:t>
      </w:r>
      <w:r>
        <w:rPr>
          <w:rFonts w:hint="eastAsia" w:ascii="方正小标宋简体" w:hAnsi="方正小标宋简体" w:eastAsia="方正小标宋简体" w:cs="方正小标宋简体"/>
          <w:b w:val="0"/>
          <w:bCs w:val="0"/>
          <w:sz w:val="44"/>
          <w:szCs w:val="44"/>
        </w:rPr>
        <w:t>政府信息</w:t>
      </w:r>
    </w:p>
    <w:p>
      <w:pPr>
        <w:keepNext w:val="0"/>
        <w:keepLines w:val="0"/>
        <w:pageBreakBefore w:val="0"/>
        <w:widowControl/>
        <w:kinsoku/>
        <w:wordWrap/>
        <w:overflowPunct/>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公开工作年度报告</w:t>
      </w:r>
    </w:p>
    <w:p>
      <w:pPr>
        <w:keepNext w:val="0"/>
        <w:keepLines w:val="0"/>
        <w:pageBreakBefore w:val="0"/>
        <w:widowControl/>
        <w:suppressLineNumbers w:val="0"/>
        <w:kinsoku/>
        <w:wordWrap/>
        <w:overflowPunct/>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p>
    <w:p>
      <w:pPr>
        <w:pStyle w:val="5"/>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依据《中华人民共和国政府信息公开条例》(以下简称《政府信息公开条例》)和《关于印发中华人民共和国政府信息公开工作年度报告格式的通知》(国办公开办函〔</w:t>
      </w:r>
      <w:r>
        <w:rPr>
          <w:rFonts w:hint="eastAsia" w:ascii="宋体" w:hAnsi="宋体" w:eastAsia="宋体" w:cs="宋体"/>
          <w:b w:val="0"/>
          <w:bCs/>
          <w:sz w:val="32"/>
          <w:szCs w:val="32"/>
          <w:lang w:val="en-US" w:eastAsia="zh-CN"/>
        </w:rPr>
        <w:t>2021</w:t>
      </w:r>
      <w:r>
        <w:rPr>
          <w:rFonts w:hint="eastAsia" w:ascii="仿宋_GB2312" w:hAnsi="仿宋_GB2312" w:eastAsia="仿宋_GB2312" w:cs="仿宋_GB2312"/>
          <w:b w:val="0"/>
          <w:bCs/>
          <w:sz w:val="32"/>
          <w:szCs w:val="32"/>
          <w:lang w:val="en-US" w:eastAsia="zh-CN"/>
        </w:rPr>
        <w:t>〕</w:t>
      </w:r>
      <w:r>
        <w:rPr>
          <w:rFonts w:hint="eastAsia" w:ascii="宋体" w:hAnsi="宋体" w:eastAsia="宋体" w:cs="宋体"/>
          <w:b w:val="0"/>
          <w:bCs/>
          <w:sz w:val="32"/>
          <w:szCs w:val="32"/>
          <w:lang w:val="en-US" w:eastAsia="zh-CN"/>
        </w:rPr>
        <w:t>30</w:t>
      </w:r>
      <w:r>
        <w:rPr>
          <w:rFonts w:hint="eastAsia" w:ascii="仿宋_GB2312" w:hAnsi="仿宋_GB2312" w:eastAsia="仿宋_GB2312" w:cs="仿宋_GB2312"/>
          <w:b w:val="0"/>
          <w:bCs/>
          <w:sz w:val="32"/>
          <w:szCs w:val="32"/>
          <w:lang w:val="en-US" w:eastAsia="zh-CN"/>
        </w:rPr>
        <w:t>号)要求，编制本报告。</w:t>
      </w:r>
    </w:p>
    <w:p>
      <w:pPr>
        <w:pStyle w:val="5"/>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sz w:val="32"/>
          <w:szCs w:val="32"/>
        </w:rPr>
      </w:pPr>
      <w:r>
        <w:rPr>
          <w:rFonts w:hint="eastAsia" w:ascii="宋体" w:hAnsi="宋体" w:eastAsia="宋体" w:cs="宋体"/>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年,黄金岭街道办事处坚持以习近平新时代中国特色社会主义思想为指导,认真贯彻落实国家、省、市、区</w:t>
      </w:r>
      <w:r>
        <w:rPr>
          <w:rFonts w:hint="eastAsia" w:ascii="宋体" w:hAnsi="宋体" w:eastAsia="宋体" w:cs="宋体"/>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政务公开工作重点任务要求,准确把握政府信息公开工作的职责定位和面临的形势要求,充分发挥政府信息对人民群众生产生活和经济社会活动的服务作用,坚持及时、准确、规范公开政府信息,切实保障人民群众依法获取政府信息。</w:t>
      </w:r>
    </w:p>
    <w:p>
      <w:pPr>
        <w:pStyle w:val="5"/>
        <w:keepNext w:val="0"/>
        <w:keepLines w:val="0"/>
        <w:pageBreakBefore w:val="0"/>
        <w:widowControl/>
        <w:numPr>
          <w:ilvl w:val="0"/>
          <w:numId w:val="1"/>
        </w:numPr>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eastAsia="zh-CN" w:bidi="ar"/>
        </w:rPr>
        <w:t>主动公开</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加大政府信息公开力度。运用政府网站和新媒体整体联动、协同发声,推动传播手段和话语方式创新,依法保障人民群众的知情权、参与权和监督权,对政务服务工作起到了较好的宣传作用。全年街道政务信息公开总数</w:t>
      </w:r>
      <w:r>
        <w:rPr>
          <w:rFonts w:hint="eastAsia" w:ascii="宋体" w:hAnsi="宋体" w:eastAsia="宋体" w:cs="宋体"/>
          <w:kern w:val="0"/>
          <w:sz w:val="32"/>
          <w:szCs w:val="32"/>
          <w:lang w:val="en-US" w:eastAsia="zh-CN" w:bidi="ar"/>
        </w:rPr>
        <w:t>109</w:t>
      </w:r>
      <w:r>
        <w:rPr>
          <w:rFonts w:hint="eastAsia" w:ascii="仿宋_GB2312" w:hAnsi="仿宋_GB2312" w:eastAsia="仿宋_GB2312" w:cs="仿宋_GB2312"/>
          <w:kern w:val="0"/>
          <w:sz w:val="32"/>
          <w:szCs w:val="32"/>
          <w:lang w:val="en-US" w:eastAsia="zh-CN" w:bidi="ar"/>
        </w:rPr>
        <w:t>条。</w:t>
      </w:r>
    </w:p>
    <w:p>
      <w:pPr>
        <w:pStyle w:val="5"/>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二</w:t>
      </w:r>
      <w:r>
        <w:rPr>
          <w:rFonts w:hint="eastAsia" w:ascii="楷体_GB2312" w:hAnsi="楷体_GB2312" w:eastAsia="楷体_GB2312" w:cs="楷体_GB2312"/>
          <w:b w:val="0"/>
          <w:bCs w:val="0"/>
          <w:kern w:val="0"/>
          <w:sz w:val="32"/>
          <w:szCs w:val="32"/>
          <w:lang w:eastAsia="zh-CN" w:bidi="ar"/>
        </w:rPr>
        <w:t>）依申请公开</w:t>
      </w:r>
      <w:r>
        <w:rPr>
          <w:rFonts w:hint="eastAsia" w:ascii="楷体_GB2312" w:hAnsi="楷体_GB2312" w:eastAsia="楷体_GB2312" w:cs="楷体_GB2312"/>
          <w:b w:val="0"/>
          <w:bCs w:val="0"/>
          <w:kern w:val="0"/>
          <w:sz w:val="32"/>
          <w:szCs w:val="32"/>
          <w:lang w:val="en-US" w:eastAsia="zh-Hans" w:bidi="ar"/>
        </w:rPr>
        <w:t>情况</w:t>
      </w:r>
      <w:bookmarkStart w:id="0" w:name="_GoBack"/>
      <w:bookmarkEnd w:id="0"/>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lang w:val="en-US" w:eastAsia="zh-CN" w:bidi="ar"/>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黄金岭</w:t>
      </w:r>
      <w:r>
        <w:rPr>
          <w:rFonts w:hint="eastAsia" w:ascii="仿宋_GB2312" w:hAnsi="仿宋_GB2312" w:eastAsia="仿宋_GB2312" w:cs="仿宋_GB2312"/>
          <w:color w:val="auto"/>
          <w:sz w:val="32"/>
          <w:szCs w:val="32"/>
        </w:rPr>
        <w:t>街道收到依申请公开政府信息的申请</w:t>
      </w:r>
      <w:r>
        <w:rPr>
          <w:rFonts w:hint="eastAsia" w:ascii="宋体" w:hAnsi="宋体" w:eastAsia="宋体" w:cs="宋体"/>
          <w:color w:val="auto"/>
          <w:sz w:val="32"/>
          <w:szCs w:val="32"/>
          <w:lang w:val="en-US" w:eastAsia="zh-CN"/>
        </w:rPr>
        <w:t>1</w:t>
      </w:r>
      <w:r>
        <w:rPr>
          <w:rFonts w:hint="eastAsia" w:ascii="仿宋_GB2312" w:hAnsi="仿宋_GB2312" w:eastAsia="仿宋_GB2312" w:cs="仿宋_GB2312"/>
          <w:color w:val="auto"/>
          <w:sz w:val="32"/>
          <w:szCs w:val="32"/>
        </w:rPr>
        <w:t>宗。全年因政府信息公开申请行政复议</w:t>
      </w:r>
      <w:r>
        <w:rPr>
          <w:rFonts w:hint="eastAsia" w:ascii="宋体" w:hAnsi="宋体" w:eastAsia="宋体" w:cs="宋体"/>
          <w:color w:val="auto"/>
          <w:sz w:val="32"/>
          <w:szCs w:val="32"/>
          <w:lang w:val="en-US" w:eastAsia="zh-CN"/>
        </w:rPr>
        <w:t>0</w:t>
      </w:r>
      <w:r>
        <w:rPr>
          <w:rFonts w:hint="eastAsia" w:ascii="仿宋_GB2312" w:hAnsi="仿宋_GB2312" w:eastAsia="仿宋_GB2312" w:cs="仿宋_GB2312"/>
          <w:color w:val="auto"/>
          <w:sz w:val="32"/>
          <w:szCs w:val="32"/>
        </w:rPr>
        <w:t>宗，提起行政诉讼案件</w:t>
      </w:r>
      <w:r>
        <w:rPr>
          <w:rFonts w:hint="eastAsia" w:ascii="宋体" w:hAnsi="宋体" w:eastAsia="宋体" w:cs="宋体"/>
          <w:color w:val="auto"/>
          <w:sz w:val="32"/>
          <w:szCs w:val="32"/>
          <w:lang w:val="en-US" w:eastAsia="zh-CN"/>
        </w:rPr>
        <w:t>0</w:t>
      </w:r>
      <w:r>
        <w:rPr>
          <w:rFonts w:hint="eastAsia" w:ascii="仿宋_GB2312" w:hAnsi="仿宋_GB2312" w:eastAsia="仿宋_GB2312" w:cs="仿宋_GB2312"/>
          <w:color w:val="auto"/>
          <w:sz w:val="32"/>
          <w:szCs w:val="32"/>
        </w:rPr>
        <w:t>宗。</w:t>
      </w:r>
    </w:p>
    <w:p>
      <w:pPr>
        <w:pStyle w:val="5"/>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三</w:t>
      </w:r>
      <w:r>
        <w:rPr>
          <w:rFonts w:hint="eastAsia" w:ascii="楷体_GB2312" w:hAnsi="楷体_GB2312" w:eastAsia="楷体_GB2312" w:cs="楷体_GB2312"/>
          <w:b w:val="0"/>
          <w:bCs w:val="0"/>
          <w:kern w:val="0"/>
          <w:sz w:val="32"/>
          <w:szCs w:val="32"/>
          <w:lang w:eastAsia="zh-CN" w:bidi="ar"/>
        </w:rPr>
        <w:t>）政府信息管理</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持续推进完善政府信息公开制度机制,严格落实信息发布“三审三较”制度,所有拟公开的政府信息,坚持分级审核、先审后发。同时,做好隐私信息去标识化处理后公开,确保无泄密事件发生。</w:t>
      </w:r>
    </w:p>
    <w:p>
      <w:pPr>
        <w:pStyle w:val="5"/>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四</w:t>
      </w:r>
      <w:r>
        <w:rPr>
          <w:rFonts w:hint="eastAsia" w:ascii="楷体_GB2312" w:hAnsi="楷体_GB2312" w:eastAsia="楷体_GB2312" w:cs="楷体_GB2312"/>
          <w:b w:val="0"/>
          <w:bCs w:val="0"/>
          <w:kern w:val="0"/>
          <w:sz w:val="32"/>
          <w:szCs w:val="32"/>
          <w:lang w:eastAsia="zh-CN" w:bidi="ar"/>
        </w:rPr>
        <w:t>）政府信息公开平台建设</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强化主体责任、严把信息质量关。规范政府信息公开处理流程,严格落实三审制后,再及时进行网上公开。二是强化监督保障,夯实政府信息公开工作基础,加大涉及个人隐私政府信息的排查工作,保证政府信息发布的规范性、及时性和科学性。</w:t>
      </w:r>
    </w:p>
    <w:p>
      <w:pPr>
        <w:pStyle w:val="5"/>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eastAsia="zh-CN"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五</w:t>
      </w:r>
      <w:r>
        <w:rPr>
          <w:rFonts w:hint="eastAsia" w:ascii="楷体_GB2312" w:hAnsi="楷体_GB2312" w:eastAsia="楷体_GB2312" w:cs="楷体_GB2312"/>
          <w:b w:val="0"/>
          <w:bCs w:val="0"/>
          <w:kern w:val="0"/>
          <w:sz w:val="32"/>
          <w:szCs w:val="32"/>
          <w:lang w:eastAsia="zh-CN" w:bidi="ar"/>
        </w:rPr>
        <w:t>）监督保障</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加强组织领导。及时调整政府信息公开工作领导小组,狠抓职责任务落实。二是强化制度建设。修订完善信息公开工作制度,完善政府信息公开年度重点工作、任务分工方案、考评方案,夯实政府信息公开工作制度基础。三是加强工作部署。强化责任意识,坚持与业务工作同部署、同检查、同考核,主动公开咨询、监督投诉电话,自觉接受有关部门监督检查和社会评议。截止</w:t>
      </w:r>
      <w:r>
        <w:rPr>
          <w:rFonts w:hint="eastAsia" w:ascii="宋体" w:hAnsi="宋体" w:eastAsia="宋体" w:cs="宋体"/>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w:t>
      </w:r>
      <w:r>
        <w:rPr>
          <w:rFonts w:hint="eastAsia" w:ascii="宋体" w:hAnsi="宋体" w:eastAsia="宋体" w:cs="宋体"/>
          <w:kern w:val="0"/>
          <w:sz w:val="32"/>
          <w:szCs w:val="32"/>
          <w:lang w:val="en-US" w:eastAsia="zh-CN" w:bidi="ar"/>
        </w:rPr>
        <w:t>12</w:t>
      </w:r>
      <w:r>
        <w:rPr>
          <w:rFonts w:hint="eastAsia" w:ascii="仿宋_GB2312" w:hAnsi="仿宋_GB2312" w:eastAsia="仿宋_GB2312" w:cs="仿宋_GB2312"/>
          <w:kern w:val="0"/>
          <w:sz w:val="32"/>
          <w:szCs w:val="32"/>
          <w:lang w:val="en-US" w:eastAsia="zh-CN" w:bidi="ar"/>
        </w:rPr>
        <w:t>月</w:t>
      </w:r>
      <w:r>
        <w:rPr>
          <w:rFonts w:hint="eastAsia" w:ascii="宋体" w:hAnsi="宋体" w:eastAsia="宋体" w:cs="宋体"/>
          <w:kern w:val="0"/>
          <w:sz w:val="32"/>
          <w:szCs w:val="32"/>
          <w:lang w:val="en-US" w:eastAsia="zh-CN" w:bidi="ar"/>
        </w:rPr>
        <w:t>31</w:t>
      </w:r>
      <w:r>
        <w:rPr>
          <w:rFonts w:hint="eastAsia" w:ascii="仿宋_GB2312" w:hAnsi="仿宋_GB2312" w:eastAsia="仿宋_GB2312" w:cs="仿宋_GB2312"/>
          <w:kern w:val="0"/>
          <w:sz w:val="32"/>
          <w:szCs w:val="32"/>
          <w:lang w:val="en-US" w:eastAsia="zh-CN" w:bidi="ar"/>
        </w:rPr>
        <w:t>日,我街道未收到投诉问题和评议意见,无责任追究。</w:t>
      </w:r>
    </w:p>
    <w:p>
      <w:pPr>
        <w:pStyle w:val="5"/>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ascii="宋体" w:hAnsi="宋体" w:eastAsia="宋体" w:cs="宋体"/>
                <w:lang w:val="en-US" w:eastAsia="zh-CN"/>
              </w:rPr>
              <w:t>3</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eastAsiaTheme="minorEastAsia"/>
                <w:lang w:val="en-US" w:eastAsia="zh-CN"/>
              </w:rPr>
            </w:pPr>
            <w:r>
              <w:rPr>
                <w:rFonts w:hint="eastAsia" w:ascii="宋体" w:hAnsi="宋体" w:eastAsia="宋体" w:cs="宋体"/>
                <w:lang w:val="en-US" w:eastAsia="zh-CN"/>
              </w:rPr>
              <w:t>12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2"/>
                <w:sz w:val="21"/>
                <w:szCs w:val="21"/>
                <w:lang w:val="en-US" w:eastAsia="zh-CN" w:bidi="ar"/>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2"/>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eastAsiaTheme="minorEastAsia"/>
                <w:lang w:val="en-US" w:eastAsia="zh-CN"/>
              </w:rPr>
            </w:pPr>
            <w:r>
              <w:rPr>
                <w:rFonts w:hint="eastAsia" w:ascii="宋体" w:hAnsi="宋体" w:eastAsia="宋体" w:cs="宋体"/>
                <w:lang w:val="en-US" w:eastAsia="zh-CN"/>
              </w:rPr>
              <w:t>19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ind w:left="0" w:leftChars="0" w:right="0" w:rightChars="0" w:firstLine="0" w:firstLineChars="0"/>
              <w:jc w:val="center"/>
              <w:rPr>
                <w:rFonts w:hint="eastAsia" w:ascii="宋体" w:eastAsiaTheme="minorEastAsia"/>
                <w:sz w:val="24"/>
                <w:szCs w:val="24"/>
                <w:lang w:val="en-US" w:eastAsia="zh-CN"/>
              </w:rPr>
            </w:pPr>
            <w:r>
              <w:rPr>
                <w:rFonts w:hint="eastAsia" w:ascii="宋体" w:hAnsi="宋体" w:eastAsia="宋体" w:cs="宋体"/>
                <w:sz w:val="20"/>
                <w:szCs w:val="20"/>
                <w:lang w:val="en-US" w:eastAsia="zh-CN"/>
              </w:rPr>
              <w:t>0</w:t>
            </w:r>
          </w:p>
        </w:tc>
      </w:tr>
    </w:tbl>
    <w:p>
      <w:pPr>
        <w:pStyle w:val="5"/>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6"/>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Lines="0" w:afterAutospacing="0"/>
              <w:ind w:left="0" w:right="0"/>
              <w:jc w:val="left"/>
            </w:pPr>
            <w:r>
              <w:rPr>
                <w:rFonts w:hint="eastAsia" w:ascii="黑体" w:hAnsi="黑体" w:eastAsia="黑体" w:cs="黑体"/>
                <w:b w:val="0"/>
                <w:bCs/>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eastAsiaTheme="minorEastAsia"/>
                <w:lang w:val="en-US" w:eastAsia="zh-CN"/>
              </w:rPr>
            </w:pPr>
            <w:r>
              <w:rPr>
                <w:rFonts w:hint="eastAsia" w:ascii="宋体" w:hAnsi="宋体" w:eastAsia="宋体" w:cs="宋体"/>
                <w:lang w:val="en-US" w:eastAsia="zh-CN"/>
              </w:rPr>
              <w:t>1</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1</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黑体" w:hAnsi="黑体" w:eastAsia="黑体" w:cs="黑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eastAsiaTheme="minorEastAsia"/>
                <w:lang w:val="en-US" w:eastAsia="zh-CN"/>
              </w:rPr>
            </w:pPr>
            <w:r>
              <w:rPr>
                <w:rFonts w:hint="eastAsia" w:ascii="宋体" w:hAnsi="宋体" w:eastAsia="宋体" w:cs="宋体"/>
                <w:lang w:val="en-US" w:eastAsia="zh-CN"/>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1</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0</w:t>
            </w:r>
          </w:p>
        </w:tc>
      </w:tr>
    </w:tbl>
    <w:p>
      <w:pPr>
        <w:pStyle w:val="5"/>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tbl>
      <w:tblPr>
        <w:tblStyle w:val="6"/>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b/>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一</w:t>
      </w: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存在的问题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一是政务公开相关业务培训不足，从事政务公开相关工作的人员能力水平有待进一步提高；二是政务公开各项制度不够完善，政务公开工作制度化、科学化、标准化还需进一步加强。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Hans" w:bidi="ar"/>
        </w:rPr>
        <w:t>（</w:t>
      </w:r>
      <w:r>
        <w:rPr>
          <w:rFonts w:hint="eastAsia" w:ascii="楷体_GB2312" w:hAnsi="楷体_GB2312" w:eastAsia="楷体_GB2312" w:cs="楷体_GB2312"/>
          <w:b w:val="0"/>
          <w:bCs w:val="0"/>
          <w:kern w:val="0"/>
          <w:sz w:val="32"/>
          <w:szCs w:val="32"/>
          <w:lang w:val="en-US" w:eastAsia="zh-Hans" w:bidi="ar"/>
        </w:rPr>
        <w:t>二</w:t>
      </w:r>
      <w:r>
        <w:rPr>
          <w:rFonts w:hint="eastAsia" w:ascii="楷体_GB2312" w:hAnsi="楷体_GB2312" w:eastAsia="楷体_GB2312" w:cs="楷体_GB2312"/>
          <w:b w:val="0"/>
          <w:bCs w:val="0"/>
          <w:kern w:val="0"/>
          <w:sz w:val="32"/>
          <w:szCs w:val="32"/>
          <w:lang w:eastAsia="zh-Hans" w:bidi="ar"/>
        </w:rPr>
        <w:t>）</w:t>
      </w:r>
      <w:r>
        <w:rPr>
          <w:rFonts w:hint="eastAsia" w:ascii="楷体_GB2312" w:hAnsi="楷体_GB2312" w:eastAsia="楷体_GB2312" w:cs="楷体_GB2312"/>
          <w:b w:val="0"/>
          <w:bCs w:val="0"/>
          <w:kern w:val="0"/>
          <w:sz w:val="32"/>
          <w:szCs w:val="32"/>
          <w:lang w:val="en-US" w:eastAsia="zh-Hans" w:bidi="ar"/>
        </w:rPr>
        <w:t>问题改进情况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加强对工作人员的能力培训，加强思想教育，进一步拓展单位的公开力度，做到“应公开，尽公开”，进一步提升政务公开的数量和质量。</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进一步建立健全政务公开相关制度。积极落实政务公开审查制度，严把信息质量关；健全宣传和信息报送管理方法等制度，建立突发事件应急处理机制，形成高效畅通的信息发布渠道，确保本部门信息发布及时性、准确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（一）</w:t>
      </w:r>
      <w:r>
        <w:rPr>
          <w:rFonts w:hint="eastAsia" w:ascii="楷体_GB2312" w:hAnsi="楷体_GB2312" w:eastAsia="楷体_GB2312" w:cs="楷体_GB2312"/>
          <w:b w:val="0"/>
          <w:bCs w:val="0"/>
          <w:kern w:val="0"/>
          <w:sz w:val="32"/>
          <w:szCs w:val="32"/>
          <w:lang w:val="en-US" w:eastAsia="zh-Hans" w:bidi="ar"/>
        </w:rPr>
        <w:t>政府信息公开信息处理费收取情况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Hans"/>
        </w:rPr>
      </w:pPr>
      <w:r>
        <w:rPr>
          <w:rFonts w:hint="eastAsia" w:ascii="宋体" w:hAnsi="宋体" w:eastAsia="宋体" w:cs="宋体"/>
          <w:sz w:val="32"/>
          <w:szCs w:val="32"/>
          <w:lang w:val="en-US" w:eastAsia="zh-Hans"/>
        </w:rPr>
        <w:t>202</w:t>
      </w:r>
      <w:r>
        <w:rPr>
          <w:rFonts w:hint="eastAsia" w:ascii="宋体" w:hAnsi="宋体" w:eastAsia="宋体" w:cs="宋体"/>
          <w:sz w:val="32"/>
          <w:szCs w:val="32"/>
          <w:lang w:val="en-US" w:eastAsia="zh-CN"/>
        </w:rPr>
        <w:t>4</w:t>
      </w:r>
      <w:r>
        <w:rPr>
          <w:rFonts w:hint="eastAsia" w:ascii="仿宋_GB2312" w:hAnsi="仿宋_GB2312" w:eastAsia="仿宋_GB2312" w:cs="仿宋_GB2312"/>
          <w:sz w:val="32"/>
          <w:szCs w:val="32"/>
          <w:lang w:val="en-US" w:eastAsia="zh-Hans"/>
        </w:rPr>
        <w:t>年度本机关未收取信息处理费。发出收费通知的件数和总金额，以及实际收取的总金额均为</w:t>
      </w:r>
      <w:r>
        <w:rPr>
          <w:rFonts w:hint="eastAsia" w:ascii="宋体" w:hAnsi="宋体" w:eastAsia="宋体" w:cs="宋体"/>
          <w:sz w:val="32"/>
          <w:szCs w:val="32"/>
          <w:lang w:val="en-US" w:eastAsia="zh-Hans"/>
        </w:rPr>
        <w:t>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val="en-US" w:eastAsia="zh-Hans"/>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val="en-US" w:eastAsia="zh-CN" w:bidi="ar"/>
        </w:rPr>
        <w:t>（二）</w:t>
      </w:r>
      <w:r>
        <w:rPr>
          <w:rFonts w:hint="eastAsia" w:ascii="楷体_GB2312" w:hAnsi="楷体_GB2312" w:eastAsia="楷体_GB2312" w:cs="楷体_GB2312"/>
          <w:b w:val="0"/>
          <w:bCs w:val="0"/>
          <w:kern w:val="0"/>
          <w:sz w:val="32"/>
          <w:szCs w:val="32"/>
          <w:lang w:val="en-US" w:eastAsia="zh-Hans" w:bidi="ar"/>
        </w:rPr>
        <w:t>政务公开工作要点完成情况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highlight w:val="none"/>
          <w:lang w:val="en-US" w:eastAsia="zh-CN" w:bidi="ar"/>
        </w:rPr>
        <w:t>一是规范政府网站建设管理。</w:t>
      </w:r>
      <w:r>
        <w:rPr>
          <w:rFonts w:hint="eastAsia" w:ascii="仿宋_GB2312" w:hAnsi="仿宋_GB2312" w:eastAsia="仿宋_GB2312" w:cs="仿宋_GB2312"/>
          <w:kern w:val="0"/>
          <w:sz w:val="32"/>
          <w:szCs w:val="32"/>
          <w:lang w:val="en-US" w:eastAsia="zh-CN" w:bidi="ar"/>
        </w:rPr>
        <w:t>继续开展政府网站日常监测和季度检查，及时发现问题并限期整改。规范设置政府网站信息公开专栏，集中展示信息公开制度、法定主动公开内容、信息公开年报等栏目。</w:t>
      </w:r>
      <w:r>
        <w:rPr>
          <w:rFonts w:hint="eastAsia" w:ascii="仿宋_GB2312" w:hAnsi="仿宋_GB2312" w:eastAsia="仿宋_GB2312" w:cs="仿宋_GB2312"/>
          <w:kern w:val="0"/>
          <w:sz w:val="32"/>
          <w:szCs w:val="32"/>
          <w:highlight w:val="none"/>
          <w:lang w:val="en-US" w:eastAsia="zh-CN" w:bidi="ar"/>
        </w:rPr>
        <w:t>二是落实保密审查制度。</w:t>
      </w:r>
      <w:r>
        <w:rPr>
          <w:rFonts w:hint="eastAsia" w:ascii="仿宋_GB2312" w:hAnsi="仿宋_GB2312" w:eastAsia="仿宋_GB2312" w:cs="仿宋_GB2312"/>
          <w:kern w:val="0"/>
          <w:sz w:val="32"/>
          <w:szCs w:val="32"/>
          <w:lang w:val="en-US" w:eastAsia="zh-CN" w:bidi="ar"/>
        </w:rPr>
        <w:t>严格执行“先审后发”和“一事一审”制度，依法对拟公开的信息进行保密审查。加强公开后信息管理，定期清理过时、失效内容，防范泄密风险。</w:t>
      </w:r>
      <w:r>
        <w:rPr>
          <w:rFonts w:hint="eastAsia" w:ascii="仿宋_GB2312" w:hAnsi="仿宋_GB2312" w:eastAsia="仿宋_GB2312" w:cs="仿宋_GB2312"/>
          <w:kern w:val="0"/>
          <w:sz w:val="32"/>
          <w:szCs w:val="32"/>
          <w:highlight w:val="none"/>
          <w:lang w:val="en-US" w:eastAsia="zh-CN" w:bidi="ar"/>
        </w:rPr>
        <w:t>三完善培训机制。</w:t>
      </w:r>
      <w:r>
        <w:rPr>
          <w:rFonts w:hint="eastAsia" w:ascii="仿宋_GB2312" w:hAnsi="仿宋_GB2312" w:eastAsia="仿宋_GB2312" w:cs="仿宋_GB2312"/>
          <w:kern w:val="0"/>
          <w:sz w:val="32"/>
          <w:szCs w:val="32"/>
          <w:lang w:val="en-US" w:eastAsia="zh-CN" w:bidi="ar"/>
        </w:rPr>
        <w:t>做好政务公开业务培训，确保单位政务公开分管领导和工作人员年内至少参加一次区级业务培训。通过专题会议、实地观摩等方式，总结交流经验做法，不断提高政务公开工作水平。</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（三）</w:t>
      </w:r>
      <w:r>
        <w:rPr>
          <w:rFonts w:hint="eastAsia" w:ascii="楷体_GB2312" w:hAnsi="楷体_GB2312" w:eastAsia="楷体_GB2312" w:cs="楷体_GB2312"/>
          <w:b w:val="0"/>
          <w:bCs w:val="0"/>
          <w:kern w:val="0"/>
          <w:sz w:val="32"/>
          <w:szCs w:val="32"/>
          <w:lang w:val="en-US" w:eastAsia="zh-Hans" w:bidi="ar"/>
        </w:rPr>
        <w:t>重点领域信息公开情况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财政信息公开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做好政府预决算工作，细化预决算公开内容，及时规范公开项目预算安排、使用情况等项目信息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深化重点民生领域信息公开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做好就业、教育、医疗、养老、公共文化等领域的信息公开工作，进一步推动就业信息主动公开，拓宽就业知晓渠道。</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13BB"/>
    <w:multiLevelType w:val="singleLevel"/>
    <w:tmpl w:val="164513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mZmZTAxNTkwZTgwOWM0ODJhNWQ1ZTIxMmU1Y2QifQ=="/>
  </w:docVars>
  <w:rsids>
    <w:rsidRoot w:val="00000000"/>
    <w:rsid w:val="00890BC0"/>
    <w:rsid w:val="044F72A8"/>
    <w:rsid w:val="0E50037F"/>
    <w:rsid w:val="0E81147D"/>
    <w:rsid w:val="16C1106B"/>
    <w:rsid w:val="19383A7B"/>
    <w:rsid w:val="1E5366DB"/>
    <w:rsid w:val="29FE47A8"/>
    <w:rsid w:val="385346FE"/>
    <w:rsid w:val="44F90B90"/>
    <w:rsid w:val="5E1F5F76"/>
    <w:rsid w:val="6EDB2ABC"/>
    <w:rsid w:val="7384740D"/>
    <w:rsid w:val="7712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宋体" w:hAnsi="宋体" w:cs="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2507</Words>
  <Characters>2554</Characters>
  <Lines>0</Lines>
  <Paragraphs>0</Paragraphs>
  <TotalTime>1</TotalTime>
  <ScaleCrop>false</ScaleCrop>
  <LinksUpToDate>false</LinksUpToDate>
  <CharactersWithSpaces>2554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言三爷很傲娇</cp:lastModifiedBy>
  <cp:lastPrinted>2025-01-28T03:05:49Z</cp:lastPrinted>
  <dcterms:modified xsi:type="dcterms:W3CDTF">2025-01-28T03:06:01Z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EF3B19091B2848A18F24BC3E5EB49446_13</vt:lpwstr>
  </property>
  <property fmtid="{D5CDD505-2E9C-101B-9397-08002B2CF9AE}" pid="4" name="KSOTemplateDocerSaveRecord">
    <vt:lpwstr>eyJoZGlkIjoiOWI3ZTYwNmRhMjFmMjEwYmU5NTgyZTIwYTkwYTYzMjMiLCJ1c2VySWQiOiIzNTQ3NzEyNDgifQ==</vt:lpwstr>
  </property>
</Properties>
</file>