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85E43">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方正小标宋简体" w:cs="Times New Roman"/>
          <w:sz w:val="44"/>
          <w:szCs w:val="44"/>
        </w:rPr>
      </w:pPr>
    </w:p>
    <w:p w14:paraId="52B5FD55">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方正小标宋简体" w:cs="Times New Roman"/>
          <w:sz w:val="44"/>
          <w:szCs w:val="44"/>
        </w:rPr>
      </w:pPr>
    </w:p>
    <w:p w14:paraId="39EF2271">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方正小标宋简体" w:cs="Times New Roman"/>
          <w:sz w:val="44"/>
          <w:szCs w:val="44"/>
        </w:rPr>
      </w:pPr>
    </w:p>
    <w:p w14:paraId="5BE4F26D">
      <w:pPr>
        <w:pStyle w:val="3"/>
        <w:rPr>
          <w:rFonts w:hint="default"/>
        </w:rPr>
      </w:pPr>
    </w:p>
    <w:p w14:paraId="3CA8966D">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Times New Roman"/>
          <w:sz w:val="44"/>
          <w:szCs w:val="44"/>
          <w:lang w:val="en-US" w:eastAsia="zh-CN"/>
        </w:rPr>
      </w:pPr>
    </w:p>
    <w:p w14:paraId="59C137CF">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cs="Times New Roman"/>
          <w:sz w:val="44"/>
          <w:szCs w:val="44"/>
        </w:rPr>
      </w:pPr>
    </w:p>
    <w:p w14:paraId="3875FF9B">
      <w:pPr>
        <w:pStyle w:val="3"/>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cs="Times New Roman"/>
        </w:rPr>
      </w:pPr>
    </w:p>
    <w:p w14:paraId="6114E14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黄金岭办字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20</w:t>
      </w:r>
      <w:r>
        <w:rPr>
          <w:rFonts w:hint="default" w:ascii="Times New Roman" w:hAnsi="Times New Roman" w:eastAsia="仿宋_GB2312" w:cs="Times New Roman"/>
          <w:sz w:val="32"/>
          <w:szCs w:val="32"/>
        </w:rPr>
        <w:t>号</w:t>
      </w:r>
    </w:p>
    <w:p w14:paraId="1D384BB9">
      <w:pPr>
        <w:keepNext w:val="0"/>
        <w:keepLines w:val="0"/>
        <w:pageBreakBefore w:val="0"/>
        <w:widowControl/>
        <w:kinsoku/>
        <w:wordWrap/>
        <w:overflowPunct/>
        <w:topLinePunct w:val="0"/>
        <w:autoSpaceDE/>
        <w:autoSpaceDN/>
        <w:bidi w:val="0"/>
        <w:adjustRightInd/>
        <w:snapToGrid w:val="0"/>
        <w:spacing w:line="560" w:lineRule="exact"/>
        <w:ind w:left="0" w:leftChars="0"/>
        <w:jc w:val="center"/>
        <w:textAlignment w:val="auto"/>
        <w:rPr>
          <w:rFonts w:hint="default" w:ascii="Times New Roman" w:hAnsi="Times New Roman" w:eastAsia="方正小标宋简体" w:cs="Times New Roman"/>
          <w:b w:val="0"/>
          <w:bCs w:val="0"/>
          <w:color w:val="000000"/>
          <w:kern w:val="0"/>
          <w:sz w:val="44"/>
          <w:szCs w:val="44"/>
        </w:rPr>
      </w:pPr>
    </w:p>
    <w:p w14:paraId="26C635D9">
      <w:pPr>
        <w:spacing w:beforeLines="0" w:afterLines="0" w:line="560" w:lineRule="exact"/>
        <w:jc w:val="center"/>
        <w:outlineLvl w:val="0"/>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关于印发《黄金岭街道安全隐患全面排查集中整治行动方案》的通知</w:t>
      </w:r>
    </w:p>
    <w:p w14:paraId="5343FD7B">
      <w:pPr>
        <w:spacing w:beforeLines="0" w:afterLines="0" w:line="560" w:lineRule="exact"/>
        <w:jc w:val="center"/>
        <w:outlineLvl w:val="0"/>
        <w:rPr>
          <w:rFonts w:hint="eastAsia" w:ascii="宋体" w:hAnsi="宋体" w:eastAsia="方正小标宋简体" w:cs="方正小标宋简体"/>
          <w:sz w:val="44"/>
          <w:szCs w:val="44"/>
        </w:rPr>
      </w:pPr>
    </w:p>
    <w:p w14:paraId="7363F4A9">
      <w:pPr>
        <w:spacing w:beforeLines="0" w:afterLines="0" w:line="560" w:lineRule="exact"/>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各部门：</w:t>
      </w:r>
    </w:p>
    <w:p w14:paraId="3D29EF21">
      <w:pPr>
        <w:spacing w:beforeLines="0" w:afterLines="0" w:line="560" w:lineRule="exact"/>
        <w:ind w:firstLine="640"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现将《黄金岭街道安全隐患全面排查集中整治行动方案》印发给你们，请认真抓好贯彻落实。</w:t>
      </w:r>
    </w:p>
    <w:p w14:paraId="08543341">
      <w:pPr>
        <w:spacing w:beforeLines="0" w:afterLines="0" w:line="560" w:lineRule="exact"/>
        <w:ind w:firstLine="640" w:firstLineChars="200"/>
        <w:jc w:val="left"/>
        <w:outlineLvl w:val="0"/>
        <w:rPr>
          <w:rFonts w:hint="eastAsia" w:ascii="仿宋_GB2312" w:hAnsi="仿宋_GB2312" w:eastAsia="仿宋_GB2312" w:cs="仿宋_GB2312"/>
          <w:sz w:val="32"/>
          <w:szCs w:val="32"/>
        </w:rPr>
      </w:pPr>
    </w:p>
    <w:p w14:paraId="24C15E40">
      <w:pPr>
        <w:spacing w:beforeLines="0" w:afterLines="0" w:line="560" w:lineRule="exact"/>
        <w:ind w:firstLine="640" w:firstLineChars="200"/>
        <w:jc w:val="left"/>
        <w:outlineLvl w:val="0"/>
        <w:rPr>
          <w:rFonts w:hint="eastAsia" w:ascii="仿宋_GB2312" w:hAnsi="仿宋_GB2312" w:eastAsia="仿宋_GB2312" w:cs="仿宋_GB2312"/>
          <w:sz w:val="32"/>
          <w:szCs w:val="32"/>
        </w:rPr>
      </w:pPr>
    </w:p>
    <w:p w14:paraId="57E27371">
      <w:pPr>
        <w:spacing w:beforeLines="0" w:afterLines="0"/>
        <w:ind w:left="1600" w:hanging="1600" w:hangingChars="5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黄金岭街道办事处</w:t>
      </w:r>
    </w:p>
    <w:p w14:paraId="6584D5CF">
      <w:pPr>
        <w:spacing w:beforeLines="0" w:afterLines="0" w:line="560" w:lineRule="exact"/>
        <w:ind w:firstLine="640" w:firstLineChars="200"/>
        <w:jc w:val="left"/>
        <w:outlineLvl w:val="0"/>
        <w:rPr>
          <w:rFonts w:hint="eastAsia" w:ascii="仿宋_GB2312" w:hAnsi="仿宋_GB2312" w:cs="仿宋_GB2312"/>
          <w:sz w:val="32"/>
          <w:szCs w:val="32"/>
        </w:rPr>
      </w:pPr>
      <w:r>
        <w:rPr>
          <w:rFonts w:hint="eastAsia" w:ascii="仿宋_GB2312" w:hAnsi="仿宋_GB2312" w:eastAsia="仿宋_GB2312" w:cs="仿宋_GB2312"/>
          <w:color w:val="auto"/>
          <w:sz w:val="32"/>
          <w:szCs w:val="32"/>
        </w:rPr>
        <w:t xml:space="preserve">                                  </w:t>
      </w:r>
      <w:r>
        <w:rPr>
          <w:rFonts w:hint="eastAsia" w:ascii="宋体" w:hAnsi="宋体" w:eastAsia="宋体" w:cs="宋体"/>
          <w:color w:val="auto"/>
          <w:sz w:val="32"/>
          <w:szCs w:val="32"/>
        </w:rPr>
        <w:t xml:space="preserve"> 2025</w:t>
      </w:r>
      <w:r>
        <w:rPr>
          <w:rFonts w:hint="eastAsia" w:ascii="仿宋_GB2312" w:hAnsi="仿宋_GB2312" w:eastAsia="仿宋_GB2312" w:cs="仿宋_GB2312"/>
          <w:color w:val="auto"/>
          <w:sz w:val="32"/>
          <w:szCs w:val="32"/>
        </w:rPr>
        <w:t>年</w:t>
      </w:r>
      <w:r>
        <w:rPr>
          <w:rFonts w:hint="eastAsia" w:ascii="宋体" w:hAnsi="宋体" w:eastAsia="宋体" w:cs="宋体"/>
          <w:color w:val="auto"/>
          <w:sz w:val="32"/>
          <w:szCs w:val="32"/>
        </w:rPr>
        <w:t>4</w:t>
      </w:r>
      <w:r>
        <w:rPr>
          <w:rFonts w:hint="eastAsia" w:ascii="仿宋_GB2312" w:hAnsi="仿宋_GB2312" w:eastAsia="仿宋_GB2312" w:cs="仿宋_GB2312"/>
          <w:color w:val="auto"/>
          <w:sz w:val="32"/>
          <w:szCs w:val="32"/>
        </w:rPr>
        <w:t>月</w:t>
      </w:r>
      <w:r>
        <w:rPr>
          <w:rFonts w:hint="eastAsia" w:ascii="宋体" w:hAnsi="宋体" w:eastAsia="宋体" w:cs="宋体"/>
          <w:color w:val="auto"/>
          <w:sz w:val="32"/>
          <w:szCs w:val="32"/>
        </w:rPr>
        <w:t>1</w:t>
      </w:r>
      <w:r>
        <w:rPr>
          <w:rFonts w:hint="eastAsia" w:ascii="宋体" w:hAnsi="宋体" w:eastAsia="宋体" w:cs="宋体"/>
          <w:color w:val="auto"/>
          <w:sz w:val="32"/>
          <w:szCs w:val="32"/>
          <w:lang w:val="en-US" w:eastAsia="zh-CN"/>
        </w:rPr>
        <w:t>4</w:t>
      </w:r>
      <w:r>
        <w:rPr>
          <w:rFonts w:hint="eastAsia" w:ascii="仿宋_GB2312" w:hAnsi="仿宋_GB2312" w:eastAsia="仿宋_GB2312" w:cs="仿宋_GB2312"/>
          <w:color w:val="auto"/>
          <w:sz w:val="32"/>
          <w:szCs w:val="32"/>
        </w:rPr>
        <w:t>日</w:t>
      </w:r>
      <w:r>
        <w:rPr>
          <w:rFonts w:hint="eastAsia" w:ascii="宋体" w:hAnsi="宋体" w:cs="宋体"/>
          <w:color w:val="auto"/>
          <w:sz w:val="32"/>
          <w:szCs w:val="32"/>
        </w:rPr>
        <w:t xml:space="preserve">  </w:t>
      </w:r>
      <w:bookmarkStart w:id="0" w:name="_GoBack"/>
      <w:bookmarkEnd w:id="0"/>
    </w:p>
    <w:p w14:paraId="0B3E95BF">
      <w:pPr>
        <w:spacing w:beforeLines="0" w:afterLines="0" w:line="560" w:lineRule="exact"/>
        <w:jc w:val="center"/>
        <w:outlineLvl w:val="0"/>
        <w:rPr>
          <w:rFonts w:hint="eastAsia" w:ascii="宋体" w:hAnsi="宋体" w:eastAsia="方正小标宋简体" w:cs="方正小标宋简体"/>
          <w:sz w:val="44"/>
          <w:szCs w:val="44"/>
        </w:rPr>
        <w:sectPr>
          <w:footerReference r:id="rId3" w:type="default"/>
          <w:pgSz w:w="11906" w:h="16838"/>
          <w:pgMar w:top="2098" w:right="1587" w:bottom="2098" w:left="1587" w:header="851" w:footer="992" w:gutter="0"/>
          <w:lnNumType w:countBy="0" w:distance="360"/>
          <w:pgNumType w:fmt="decimal"/>
          <w:cols w:space="720" w:num="1"/>
          <w:rtlGutter w:val="0"/>
          <w:docGrid w:type="lines" w:linePitch="312" w:charSpace="0"/>
        </w:sectPr>
      </w:pPr>
    </w:p>
    <w:p w14:paraId="7BCFFF5B">
      <w:pPr>
        <w:spacing w:beforeLines="0" w:afterLines="0" w:line="560" w:lineRule="exact"/>
        <w:jc w:val="center"/>
        <w:outlineLvl w:val="0"/>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黄金岭街道安全隐患全面排查</w:t>
      </w:r>
    </w:p>
    <w:p w14:paraId="1246C0BC">
      <w:pPr>
        <w:spacing w:beforeLines="0" w:afterLines="0" w:line="560" w:lineRule="exact"/>
        <w:jc w:val="center"/>
        <w:outlineLvl w:val="0"/>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集中整治行动方案</w:t>
      </w:r>
    </w:p>
    <w:p w14:paraId="6D7BE280">
      <w:pPr>
        <w:tabs>
          <w:tab w:val="left" w:pos="3338"/>
        </w:tabs>
        <w:spacing w:beforeLines="0" w:afterLines="0" w:line="560" w:lineRule="exact"/>
        <w:outlineLvl w:val="0"/>
        <w:rPr>
          <w:rFonts w:hint="eastAsia" w:ascii="宋体" w:hAnsi="宋体" w:cs="仿宋_GB2312"/>
          <w:sz w:val="36"/>
          <w:szCs w:val="36"/>
        </w:rPr>
      </w:pPr>
    </w:p>
    <w:p w14:paraId="4D2E6451">
      <w:pPr>
        <w:spacing w:beforeLines="0" w:afterLines="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为深入学习贯彻习近平总书记关于应急管理重要论述，贯彻落实市委、区党工委关于加强安全生产工作的决策部署，切实消除街道辖区安全隐患，保障人民群众生命财产安全，结合街道实际，制定本方案。</w:t>
      </w:r>
    </w:p>
    <w:p w14:paraId="4E122B49">
      <w:pPr>
        <w:spacing w:beforeLines="0" w:afterLines="0" w:line="560" w:lineRule="exact"/>
        <w:ind w:firstLine="640" w:firstLineChars="200"/>
        <w:outlineLvl w:val="0"/>
        <w:rPr>
          <w:rFonts w:hint="eastAsia" w:ascii="宋体" w:hAnsi="宋体" w:eastAsia="黑体" w:cs="黑体"/>
          <w:color w:val="auto"/>
          <w:sz w:val="32"/>
          <w:szCs w:val="32"/>
        </w:rPr>
      </w:pPr>
      <w:r>
        <w:rPr>
          <w:rFonts w:hint="eastAsia" w:ascii="宋体" w:hAnsi="宋体" w:eastAsia="黑体" w:cs="黑体"/>
          <w:color w:val="auto"/>
          <w:sz w:val="32"/>
          <w:szCs w:val="32"/>
        </w:rPr>
        <w:t>一、总体要求</w:t>
      </w:r>
    </w:p>
    <w:p w14:paraId="2A645291">
      <w:pPr>
        <w:spacing w:beforeLines="0" w:afterLines="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人民至上、生命至上，统筹发展和安全，深刻汲取近年来各类事故教训，压紧压实安全责任，聚焦基础性风险和季节性风险，聚焦容易引发重特大事故的环节和群众身边隐患，在街道范围内集中开展安全大排查、大起底，整治突出问题、补齐短板漏洞，进一步夯实应急管理工作基础，有效防范化解重大安全风险，坚决遏制重特大事故发生，全力确保社会大局稳定、人民生命财产安全。</w:t>
      </w:r>
    </w:p>
    <w:p w14:paraId="71F53530">
      <w:pPr>
        <w:numPr>
          <w:ilvl w:val="0"/>
          <w:numId w:val="0"/>
        </w:numPr>
        <w:spacing w:beforeLines="0" w:afterLines="0" w:line="560" w:lineRule="exact"/>
        <w:ind w:firstLine="640" w:firstLineChars="200"/>
        <w:outlineLvl w:val="0"/>
        <w:rPr>
          <w:rFonts w:hint="eastAsia" w:ascii="宋体" w:hAnsi="宋体" w:eastAsia="黑体" w:cs="黑体"/>
          <w:color w:val="auto"/>
          <w:sz w:val="32"/>
          <w:szCs w:val="32"/>
        </w:rPr>
      </w:pPr>
      <w:r>
        <w:rPr>
          <w:rFonts w:hint="eastAsia" w:ascii="宋体" w:hAnsi="宋体" w:eastAsia="黑体" w:cs="黑体"/>
          <w:color w:val="auto"/>
          <w:sz w:val="32"/>
          <w:szCs w:val="32"/>
        </w:rPr>
        <w:t>二、主要任务</w:t>
      </w:r>
    </w:p>
    <w:p w14:paraId="403D6020">
      <w:pPr>
        <w:numPr>
          <w:ilvl w:val="0"/>
          <w:numId w:val="0"/>
        </w:numPr>
        <w:spacing w:beforeLines="0" w:afterLines="0" w:line="560" w:lineRule="exact"/>
        <w:ind w:firstLine="643" w:firstLineChars="200"/>
        <w:outlineLvl w:val="1"/>
        <w:rPr>
          <w:rFonts w:hint="default" w:ascii="宋体" w:hAnsi="宋体" w:eastAsia="楷体_GB2312" w:cs="楷体_GB2312"/>
          <w:b/>
          <w:color w:val="auto"/>
          <w:sz w:val="32"/>
          <w:szCs w:val="32"/>
        </w:rPr>
      </w:pPr>
      <w:r>
        <w:rPr>
          <w:rFonts w:hint="eastAsia" w:ascii="宋体" w:hAnsi="宋体" w:eastAsia="楷体_GB2312" w:cs="楷体_GB2312"/>
          <w:b/>
          <w:color w:val="auto"/>
          <w:sz w:val="32"/>
          <w:szCs w:val="32"/>
        </w:rPr>
        <w:t>（一）全面防控重大事故风险</w:t>
      </w:r>
    </w:p>
    <w:p w14:paraId="6E1EF44A">
      <w:pPr>
        <w:spacing w:beforeLines="0" w:afterLines="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针对消防、危化、建筑施工、燃气、特种设备、城市运行、文化旅游、涉农受限空间、极端天气下自然灾害等重点领域潜在的重特大事故风险，落实防范措施，坚决遏制重特大事故发生。</w:t>
      </w:r>
    </w:p>
    <w:p w14:paraId="68A2457E">
      <w:pPr>
        <w:spacing w:beforeLines="0" w:afterLines="0" w:line="560" w:lineRule="exact"/>
        <w:ind w:firstLine="643"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1.交通领域。</w:t>
      </w:r>
      <w:r>
        <w:rPr>
          <w:rFonts w:hint="eastAsia" w:ascii="仿宋_GB2312" w:hAnsi="仿宋_GB2312" w:eastAsia="仿宋_GB2312" w:cs="仿宋_GB2312"/>
          <w:color w:val="auto"/>
          <w:sz w:val="32"/>
          <w:szCs w:val="32"/>
        </w:rPr>
        <w:t>全面防控道路客运车辆运行风险、危险货物道路运输风险、城市公交运行风险、校车安全风险、客运火灾风险。</w:t>
      </w:r>
    </w:p>
    <w:p w14:paraId="2D13435C">
      <w:pPr>
        <w:spacing w:beforeLines="0" w:afterLines="0" w:line="560" w:lineRule="exact"/>
        <w:ind w:firstLine="643" w:firstLineChars="200"/>
        <w:outlineLvl w:val="0"/>
        <w:rPr>
          <w:rFonts w:hint="eastAsia" w:ascii="仿宋_GB2312" w:hAnsi="仿宋_GB2312" w:eastAsia="仿宋_GB2312" w:cs="仿宋_GB2312"/>
          <w:color w:val="auto"/>
          <w:sz w:val="32"/>
          <w:szCs w:val="32"/>
        </w:rPr>
      </w:pPr>
      <w:r>
        <w:rPr>
          <w:rFonts w:hint="default"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rPr>
        <w:t>.消防领域。</w:t>
      </w:r>
      <w:r>
        <w:rPr>
          <w:rFonts w:hint="eastAsia" w:ascii="仿宋_GB2312" w:hAnsi="仿宋_GB2312" w:eastAsia="仿宋_GB2312" w:cs="仿宋_GB2312"/>
          <w:color w:val="auto"/>
          <w:sz w:val="32"/>
          <w:szCs w:val="32"/>
        </w:rPr>
        <w:t>全面防控人员密集场所、九小场所、多业态混合生产经营场所（含“厂中厂园中园”）、群租房、家具、包装印刷和制衣等火灾风险，严防违规动火作业、违规以及超负荷用电、电动自行车违规停放充电、建筑保温材料以及防火分隔材料不符合要求、安全出口设置不符合要求、违规设置影响救援与逃生的防盗网、广告牌等引发的群死群伤事故。</w:t>
      </w:r>
    </w:p>
    <w:p w14:paraId="2668896E">
      <w:pPr>
        <w:numPr>
          <w:ilvl w:val="0"/>
          <w:numId w:val="0"/>
        </w:numPr>
        <w:spacing w:beforeLines="0" w:afterLines="0" w:line="560" w:lineRule="exact"/>
        <w:ind w:firstLine="643" w:firstLineChars="200"/>
        <w:outlineLvl w:val="1"/>
        <w:rPr>
          <w:rFonts w:hint="eastAsia" w:ascii="宋体" w:hAnsi="宋体" w:cs="仿宋_GB2312"/>
          <w:color w:val="auto"/>
          <w:sz w:val="32"/>
          <w:szCs w:val="32"/>
        </w:rPr>
      </w:pPr>
      <w:r>
        <w:rPr>
          <w:rFonts w:hint="eastAsia" w:ascii="宋体" w:hAnsi="宋体" w:cs="仿宋_GB2312"/>
          <w:b/>
          <w:color w:val="auto"/>
          <w:sz w:val="32"/>
          <w:szCs w:val="32"/>
        </w:rPr>
        <w:t>3.危化领域。</w:t>
      </w:r>
      <w:r>
        <w:rPr>
          <w:rFonts w:hint="eastAsia" w:ascii="宋体" w:hAnsi="宋体" w:cs="仿宋_GB2312"/>
          <w:color w:val="auto"/>
          <w:sz w:val="32"/>
          <w:szCs w:val="32"/>
        </w:rPr>
        <w:t>全面防控有毒有害气体泄漏和易燃易爆危化品火灾爆炸等重大风险，严格管控动火作业、检维修作业、受限空间作业、临时用电作业等危险特殊作业。</w:t>
      </w:r>
    </w:p>
    <w:p w14:paraId="067B72E9">
      <w:pPr>
        <w:numPr>
          <w:ilvl w:val="0"/>
          <w:numId w:val="0"/>
        </w:numPr>
        <w:spacing w:beforeLines="0" w:afterLines="0" w:line="560" w:lineRule="exact"/>
        <w:ind w:firstLine="643" w:firstLineChars="200"/>
        <w:outlineLvl w:val="1"/>
        <w:rPr>
          <w:rFonts w:hint="eastAsia" w:ascii="宋体" w:hAnsi="宋体" w:eastAsia="楷体" w:cs="楷体"/>
          <w:color w:val="auto"/>
          <w:sz w:val="32"/>
          <w:szCs w:val="32"/>
        </w:rPr>
      </w:pPr>
      <w:r>
        <w:rPr>
          <w:rFonts w:hint="eastAsia" w:ascii="宋体" w:hAnsi="宋体" w:cs="仿宋_GB2312"/>
          <w:b/>
          <w:color w:val="auto"/>
          <w:sz w:val="32"/>
          <w:szCs w:val="32"/>
        </w:rPr>
        <w:t>4.建筑领域。</w:t>
      </w:r>
      <w:r>
        <w:rPr>
          <w:rFonts w:hint="eastAsia" w:ascii="宋体" w:hAnsi="宋体" w:cs="仿宋_GB2312"/>
          <w:color w:val="auto"/>
          <w:sz w:val="32"/>
          <w:szCs w:val="32"/>
        </w:rPr>
        <w:t>全面加强各类小散工程安全监管，加强高处作业、起重吊装、动火作业风险管控，严防小散工程事故。</w:t>
      </w:r>
    </w:p>
    <w:p w14:paraId="54146586">
      <w:pPr>
        <w:numPr>
          <w:ilvl w:val="0"/>
          <w:numId w:val="0"/>
        </w:numPr>
        <w:spacing w:beforeLines="0" w:afterLines="0" w:line="560" w:lineRule="exact"/>
        <w:ind w:firstLine="643" w:firstLineChars="200"/>
        <w:outlineLvl w:val="1"/>
        <w:rPr>
          <w:rFonts w:hint="eastAsia" w:ascii="宋体" w:hAnsi="宋体" w:cs="仿宋_GB2312"/>
          <w:color w:val="auto"/>
          <w:sz w:val="32"/>
          <w:szCs w:val="32"/>
        </w:rPr>
      </w:pPr>
      <w:r>
        <w:rPr>
          <w:rFonts w:hint="eastAsia" w:ascii="宋体" w:hAnsi="宋体" w:cs="仿宋_GB2312"/>
          <w:b/>
          <w:color w:val="auto"/>
          <w:sz w:val="32"/>
          <w:szCs w:val="32"/>
        </w:rPr>
        <w:t>5.燃气领域。</w:t>
      </w:r>
      <w:r>
        <w:rPr>
          <w:rFonts w:hint="eastAsia" w:ascii="宋体" w:hAnsi="宋体" w:cs="仿宋_GB2312"/>
          <w:color w:val="auto"/>
          <w:sz w:val="32"/>
          <w:szCs w:val="32"/>
        </w:rPr>
        <w:t>全面防控餐饮场所瓶装液化气使用和管道燃气用户端风险，推进瓶装燃气餐饮用户“应改尽改”。</w:t>
      </w:r>
    </w:p>
    <w:p w14:paraId="3C4F0E3B">
      <w:pPr>
        <w:numPr>
          <w:ilvl w:val="0"/>
          <w:numId w:val="0"/>
        </w:numPr>
        <w:spacing w:beforeLines="0" w:afterLines="0" w:line="560" w:lineRule="exact"/>
        <w:ind w:firstLine="643" w:firstLineChars="200"/>
        <w:outlineLvl w:val="1"/>
        <w:rPr>
          <w:rFonts w:hint="eastAsia" w:ascii="宋体" w:hAnsi="宋体" w:cs="仿宋_GB2312"/>
          <w:color w:val="auto"/>
          <w:sz w:val="32"/>
          <w:szCs w:val="32"/>
        </w:rPr>
      </w:pPr>
      <w:r>
        <w:rPr>
          <w:rFonts w:hint="eastAsia" w:ascii="宋体" w:hAnsi="宋体" w:cs="仿宋_GB2312"/>
          <w:b/>
          <w:color w:val="auto"/>
          <w:sz w:val="32"/>
          <w:szCs w:val="32"/>
        </w:rPr>
        <w:t>6.城市运行领域。</w:t>
      </w:r>
      <w:r>
        <w:rPr>
          <w:rFonts w:hint="eastAsia" w:ascii="宋体" w:hAnsi="宋体" w:cs="仿宋_GB2312"/>
          <w:color w:val="auto"/>
          <w:sz w:val="32"/>
          <w:szCs w:val="32"/>
        </w:rPr>
        <w:t>对排查发现的存在安全隐患的经营性自建房实行闭环管理。</w:t>
      </w:r>
    </w:p>
    <w:p w14:paraId="2E76E700">
      <w:pPr>
        <w:numPr>
          <w:ilvl w:val="0"/>
          <w:numId w:val="0"/>
        </w:numPr>
        <w:spacing w:beforeLines="0" w:afterLines="0" w:line="560" w:lineRule="exact"/>
        <w:ind w:firstLine="643" w:firstLineChars="200"/>
        <w:outlineLvl w:val="1"/>
        <w:rPr>
          <w:rFonts w:hint="eastAsia" w:ascii="仿宋_GB2312" w:hAnsi="仿宋_GB2312" w:eastAsia="仿宋_GB2312" w:cs="仿宋_GB2312"/>
          <w:color w:val="auto"/>
          <w:sz w:val="32"/>
          <w:szCs w:val="32"/>
        </w:rPr>
      </w:pPr>
      <w:r>
        <w:rPr>
          <w:rFonts w:hint="eastAsia" w:ascii="宋体" w:hAnsi="宋体" w:cs="仿宋_GB2312"/>
          <w:b/>
          <w:color w:val="auto"/>
          <w:sz w:val="32"/>
          <w:szCs w:val="32"/>
        </w:rPr>
        <w:t>7.文旅领域。</w:t>
      </w:r>
      <w:r>
        <w:rPr>
          <w:rFonts w:hint="eastAsia" w:ascii="仿宋_GB2312" w:hAnsi="仿宋_GB2312" w:eastAsia="仿宋_GB2312" w:cs="仿宋_GB2312"/>
          <w:color w:val="auto"/>
          <w:sz w:val="32"/>
          <w:szCs w:val="32"/>
        </w:rPr>
        <w:t>配合行业部门防控新业态旅游项目和大型集聚活动风险，对风险较高的旅游新业态项目定期开展联合检查，强化大型游乐设施监督，停运一批不能满足安全条件的设施设备，要突出对各类无人值守的文化、体育、旅游场所强化监管，完善各类安全设施，不符合要求的予以取缔，要突出对大型体育活动的安全监管，加强体育活动安全管理，完善各类应急措施，全面遏制人员踩踏等各类事故。</w:t>
      </w:r>
    </w:p>
    <w:p w14:paraId="1838EC60">
      <w:pPr>
        <w:pStyle w:val="2"/>
        <w:spacing w:before="0" w:beforeLines="0" w:after="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8.特种设备领域</w:t>
      </w:r>
      <w:r>
        <w:rPr>
          <w:rFonts w:hint="eastAsia" w:ascii="仿宋_GB2312" w:hAnsi="仿宋_GB2312" w:eastAsia="仿宋_GB2312" w:cs="仿宋_GB2312"/>
          <w:b w:val="0"/>
          <w:color w:val="auto"/>
          <w:sz w:val="32"/>
          <w:szCs w:val="32"/>
        </w:rPr>
        <w:t>。全面防控各类电梯超期未检、维保流于形式、电梯底坑积水等造成的风险，对风险突出的落实“一梯一策”全面整治</w:t>
      </w:r>
      <w:r>
        <w:rPr>
          <w:rFonts w:hint="eastAsia" w:ascii="仿宋_GB2312" w:hAnsi="仿宋_GB2312" w:eastAsia="仿宋_GB2312" w:cs="仿宋_GB2312"/>
          <w:color w:val="auto"/>
          <w:sz w:val="32"/>
          <w:szCs w:val="32"/>
        </w:rPr>
        <w:t>。</w:t>
      </w:r>
    </w:p>
    <w:p w14:paraId="782E9B0C">
      <w:pPr>
        <w:numPr>
          <w:ilvl w:val="0"/>
          <w:numId w:val="0"/>
        </w:numPr>
        <w:spacing w:beforeLines="0" w:afterLines="0" w:line="560" w:lineRule="exact"/>
        <w:ind w:firstLine="640" w:firstLineChars="200"/>
        <w:outlineLvl w:val="1"/>
        <w:rPr>
          <w:rFonts w:hint="eastAsia" w:ascii="宋体" w:hAnsi="宋体" w:eastAsia="楷体" w:cs="楷体"/>
          <w:color w:val="auto"/>
          <w:sz w:val="32"/>
          <w:szCs w:val="32"/>
        </w:rPr>
      </w:pPr>
      <w:r>
        <w:rPr>
          <w:rFonts w:hint="eastAsia" w:ascii="宋体" w:hAnsi="宋体" w:eastAsia="楷体_GB2312" w:cs="楷体_GB2312"/>
          <w:color w:val="auto"/>
          <w:sz w:val="32"/>
          <w:szCs w:val="32"/>
        </w:rPr>
        <w:t>9</w:t>
      </w:r>
      <w:r>
        <w:rPr>
          <w:rFonts w:hint="eastAsia" w:ascii="宋体" w:hAnsi="宋体" w:cs="仿宋_GB2312"/>
          <w:b/>
          <w:color w:val="auto"/>
          <w:sz w:val="32"/>
          <w:szCs w:val="32"/>
        </w:rPr>
        <w:t>.极端天气下自然灾害风险。</w:t>
      </w:r>
      <w:r>
        <w:rPr>
          <w:rFonts w:hint="eastAsia" w:ascii="宋体" w:hAnsi="宋体" w:cs="仿宋_GB2312"/>
          <w:color w:val="auto"/>
          <w:sz w:val="32"/>
          <w:szCs w:val="32"/>
        </w:rPr>
        <w:t>全面防控地质灾害，城市内涝等，强化地质灾害排查治理。</w:t>
      </w:r>
    </w:p>
    <w:p w14:paraId="01F9DDBC">
      <w:pPr>
        <w:numPr>
          <w:ilvl w:val="0"/>
          <w:numId w:val="0"/>
        </w:numPr>
        <w:spacing w:beforeLines="0" w:afterLines="0" w:line="560" w:lineRule="exact"/>
        <w:ind w:firstLine="643" w:firstLineChars="200"/>
        <w:outlineLvl w:val="1"/>
        <w:rPr>
          <w:rFonts w:hint="default" w:ascii="宋体" w:hAnsi="宋体" w:eastAsia="楷体_GB2312" w:cs="楷体_GB2312"/>
          <w:b/>
          <w:color w:val="auto"/>
          <w:sz w:val="32"/>
          <w:szCs w:val="32"/>
        </w:rPr>
      </w:pPr>
      <w:r>
        <w:rPr>
          <w:rFonts w:hint="eastAsia" w:ascii="宋体" w:hAnsi="宋体" w:eastAsia="楷体_GB2312" w:cs="楷体_GB2312"/>
          <w:b/>
          <w:color w:val="auto"/>
          <w:sz w:val="32"/>
          <w:szCs w:val="32"/>
        </w:rPr>
        <w:t>（二）全面整治群众身边隐患</w:t>
      </w:r>
    </w:p>
    <w:p w14:paraId="76314FEF">
      <w:pPr>
        <w:numPr>
          <w:ilvl w:val="0"/>
          <w:numId w:val="0"/>
        </w:numPr>
        <w:spacing w:beforeLines="0" w:afterLines="0" w:line="560" w:lineRule="exact"/>
        <w:ind w:firstLine="640" w:firstLineChars="200"/>
        <w:rPr>
          <w:rFonts w:hint="eastAsia" w:ascii="宋体" w:hAnsi="宋体" w:cs="仿宋_GB2312"/>
          <w:color w:val="auto"/>
          <w:sz w:val="32"/>
          <w:szCs w:val="32"/>
        </w:rPr>
      </w:pPr>
      <w:r>
        <w:rPr>
          <w:rFonts w:hint="eastAsia" w:ascii="宋体" w:hAnsi="宋体" w:cs="仿宋_GB2312"/>
          <w:color w:val="auto"/>
          <w:sz w:val="32"/>
          <w:szCs w:val="32"/>
        </w:rPr>
        <w:t>各村（社区），各部门要结合正在开展的安全生产治本攻坚三年行动，聚焦群众身边的安全隐患，开展地毯式、拉网式风险隐患排查，确保全域覆盖、不留盲区。</w:t>
      </w:r>
    </w:p>
    <w:p w14:paraId="1E378CFC">
      <w:pPr>
        <w:numPr>
          <w:ilvl w:val="0"/>
          <w:numId w:val="0"/>
        </w:numPr>
        <w:spacing w:beforeLines="0" w:afterLines="0" w:line="560" w:lineRule="exact"/>
        <w:ind w:firstLine="643" w:firstLineChars="200"/>
        <w:outlineLvl w:val="1"/>
        <w:rPr>
          <w:rFonts w:hint="eastAsia" w:ascii="宋体" w:hAnsi="宋体" w:cs="仿宋_GB2312"/>
          <w:color w:val="auto"/>
          <w:sz w:val="32"/>
          <w:szCs w:val="32"/>
        </w:rPr>
      </w:pPr>
      <w:r>
        <w:rPr>
          <w:rFonts w:hint="eastAsia" w:ascii="宋体" w:hAnsi="宋体" w:cs="仿宋_GB2312"/>
          <w:b/>
          <w:bCs/>
          <w:color w:val="auto"/>
          <w:sz w:val="32"/>
          <w:szCs w:val="32"/>
        </w:rPr>
        <w:t>1.全面排查人员密集场所消防安全隐患。</w:t>
      </w:r>
      <w:r>
        <w:rPr>
          <w:rFonts w:hint="eastAsia" w:ascii="宋体" w:hAnsi="宋体" w:cs="仿宋_GB2312"/>
          <w:color w:val="auto"/>
          <w:sz w:val="32"/>
          <w:szCs w:val="32"/>
          <w:lang w:eastAsia="en-US"/>
        </w:rPr>
        <w:t>聚焦</w:t>
      </w:r>
      <w:r>
        <w:rPr>
          <w:rFonts w:hint="eastAsia" w:ascii="宋体" w:hAnsi="宋体" w:cs="仿宋_GB2312"/>
          <w:color w:val="auto"/>
          <w:sz w:val="32"/>
          <w:szCs w:val="32"/>
        </w:rPr>
        <w:t>商场超市</w:t>
      </w:r>
      <w:r>
        <w:rPr>
          <w:rFonts w:hint="eastAsia" w:ascii="宋体" w:hAnsi="宋体" w:cs="仿宋_GB2312"/>
          <w:color w:val="auto"/>
          <w:sz w:val="32"/>
          <w:szCs w:val="32"/>
          <w:lang w:eastAsia="en-US"/>
        </w:rPr>
        <w:t>、公共娱乐场所、</w:t>
      </w:r>
      <w:r>
        <w:rPr>
          <w:rFonts w:hint="eastAsia" w:ascii="宋体" w:hAnsi="宋体" w:cs="仿宋_GB2312"/>
          <w:color w:val="auto"/>
          <w:sz w:val="32"/>
          <w:szCs w:val="32"/>
        </w:rPr>
        <w:t>校外培训机构</w:t>
      </w:r>
      <w:r>
        <w:rPr>
          <w:rFonts w:hint="eastAsia" w:ascii="宋体" w:hAnsi="宋体" w:cs="仿宋_GB2312"/>
          <w:color w:val="auto"/>
          <w:sz w:val="32"/>
          <w:szCs w:val="32"/>
          <w:lang w:eastAsia="en-US"/>
        </w:rPr>
        <w:t>、</w:t>
      </w:r>
      <w:r>
        <w:rPr>
          <w:rFonts w:hint="eastAsia" w:ascii="宋体" w:hAnsi="宋体" w:cs="仿宋_GB2312"/>
          <w:color w:val="auto"/>
          <w:sz w:val="32"/>
          <w:szCs w:val="32"/>
        </w:rPr>
        <w:t>医院等人员密集场所</w:t>
      </w:r>
      <w:r>
        <w:rPr>
          <w:rFonts w:hint="eastAsia" w:ascii="宋体" w:hAnsi="宋体" w:cs="仿宋_GB2312"/>
          <w:color w:val="auto"/>
          <w:sz w:val="32"/>
          <w:szCs w:val="32"/>
          <w:lang w:eastAsia="en-US"/>
        </w:rPr>
        <w:t>，开展火灾隐患排查整治。重点</w:t>
      </w:r>
      <w:r>
        <w:rPr>
          <w:rFonts w:hint="eastAsia" w:ascii="宋体" w:hAnsi="宋体" w:cs="仿宋_GB2312"/>
          <w:color w:val="auto"/>
          <w:sz w:val="32"/>
          <w:szCs w:val="32"/>
        </w:rPr>
        <w:t>排查</w:t>
      </w:r>
      <w:r>
        <w:rPr>
          <w:rFonts w:hint="eastAsia" w:ascii="宋体" w:hAnsi="宋体" w:cs="仿宋_GB2312"/>
          <w:color w:val="auto"/>
          <w:sz w:val="32"/>
          <w:szCs w:val="32"/>
          <w:lang w:eastAsia="en-US"/>
        </w:rPr>
        <w:t>整治使用易燃可燃材料装修装饰、</w:t>
      </w:r>
      <w:r>
        <w:rPr>
          <w:rFonts w:hint="eastAsia" w:ascii="宋体" w:hAnsi="宋体" w:cs="仿宋_GB2312"/>
          <w:color w:val="auto"/>
          <w:sz w:val="32"/>
          <w:szCs w:val="32"/>
        </w:rPr>
        <w:t>违规住人</w:t>
      </w:r>
      <w:r>
        <w:rPr>
          <w:rFonts w:hint="eastAsia" w:ascii="宋体" w:hAnsi="宋体" w:cs="仿宋_GB2312"/>
          <w:color w:val="auto"/>
          <w:sz w:val="32"/>
          <w:szCs w:val="32"/>
          <w:lang w:eastAsia="en-US"/>
        </w:rPr>
        <w:t>、电气使用不规范</w:t>
      </w:r>
      <w:r>
        <w:rPr>
          <w:rFonts w:hint="eastAsia" w:ascii="宋体" w:hAnsi="宋体" w:cs="仿宋_GB2312"/>
          <w:color w:val="auto"/>
          <w:sz w:val="32"/>
          <w:szCs w:val="32"/>
        </w:rPr>
        <w:t>、</w:t>
      </w:r>
      <w:r>
        <w:rPr>
          <w:rFonts w:hint="eastAsia" w:ascii="宋体" w:hAnsi="宋体" w:cs="仿宋_GB2312"/>
          <w:color w:val="auto"/>
          <w:sz w:val="32"/>
          <w:szCs w:val="32"/>
          <w:lang w:eastAsia="en-US"/>
        </w:rPr>
        <w:t>违规</w:t>
      </w:r>
      <w:r>
        <w:rPr>
          <w:rFonts w:hint="eastAsia" w:ascii="宋体" w:hAnsi="宋体" w:cs="仿宋_GB2312"/>
          <w:color w:val="auto"/>
          <w:sz w:val="32"/>
          <w:szCs w:val="32"/>
        </w:rPr>
        <w:t>动火作业、养老和校外培训机构不具备消防条件</w:t>
      </w:r>
      <w:r>
        <w:rPr>
          <w:rFonts w:hint="eastAsia" w:ascii="宋体" w:hAnsi="宋体" w:cs="仿宋_GB2312"/>
          <w:color w:val="auto"/>
          <w:sz w:val="32"/>
          <w:szCs w:val="32"/>
          <w:lang w:eastAsia="en-US"/>
        </w:rPr>
        <w:t>等隐患，</w:t>
      </w:r>
      <w:r>
        <w:rPr>
          <w:rFonts w:hint="eastAsia" w:ascii="宋体" w:hAnsi="宋体" w:cs="仿宋_GB2312"/>
          <w:color w:val="auto"/>
          <w:sz w:val="32"/>
          <w:szCs w:val="32"/>
        </w:rPr>
        <w:t>持续</w:t>
      </w:r>
      <w:r>
        <w:rPr>
          <w:rFonts w:hint="eastAsia" w:ascii="宋体" w:hAnsi="宋体" w:cs="仿宋_GB2312"/>
          <w:color w:val="auto"/>
          <w:sz w:val="32"/>
          <w:szCs w:val="32"/>
          <w:lang w:eastAsia="en-US"/>
        </w:rPr>
        <w:t>攻坚推进畅通消防生命通道集中整治</w:t>
      </w:r>
      <w:r>
        <w:rPr>
          <w:rFonts w:hint="eastAsia" w:ascii="宋体" w:hAnsi="宋体" w:cs="仿宋_GB2312"/>
          <w:color w:val="auto"/>
          <w:sz w:val="32"/>
          <w:szCs w:val="32"/>
        </w:rPr>
        <w:t>以及电动自行车集中整治行动</w:t>
      </w:r>
      <w:r>
        <w:rPr>
          <w:rFonts w:hint="eastAsia" w:ascii="宋体" w:hAnsi="宋体" w:cs="仿宋_GB2312"/>
          <w:color w:val="auto"/>
          <w:sz w:val="32"/>
          <w:szCs w:val="32"/>
          <w:lang w:eastAsia="en-US"/>
        </w:rPr>
        <w:t>。</w:t>
      </w:r>
      <w:r>
        <w:rPr>
          <w:rFonts w:hint="eastAsia" w:ascii="宋体" w:hAnsi="宋体" w:cs="仿宋_GB2312"/>
          <w:color w:val="auto"/>
          <w:sz w:val="32"/>
          <w:szCs w:val="32"/>
        </w:rPr>
        <w:t>集中整治期间，安监站要牵头定期</w:t>
      </w:r>
      <w:r>
        <w:rPr>
          <w:rFonts w:hint="eastAsia" w:ascii="宋体" w:hAnsi="宋体" w:cs="仿宋_GB2312"/>
          <w:color w:val="auto"/>
          <w:sz w:val="32"/>
          <w:szCs w:val="32"/>
          <w:lang w:eastAsia="en-US"/>
        </w:rPr>
        <w:t>开展消防整治“夜查夜巡”，加大隐患排查整治力度。</w:t>
      </w:r>
    </w:p>
    <w:p w14:paraId="7391BCCA">
      <w:pPr>
        <w:numPr>
          <w:ilvl w:val="0"/>
          <w:numId w:val="0"/>
        </w:numPr>
        <w:spacing w:beforeLines="0" w:afterLines="0" w:line="560" w:lineRule="exact"/>
        <w:ind w:firstLine="643" w:firstLineChars="200"/>
        <w:outlineLvl w:val="1"/>
        <w:rPr>
          <w:rFonts w:hint="eastAsia" w:ascii="仿宋_GB2312" w:hAnsi="仿宋_GB2312" w:eastAsia="仿宋_GB2312" w:cs="仿宋_GB2312"/>
          <w:color w:val="auto"/>
          <w:sz w:val="32"/>
          <w:szCs w:val="32"/>
        </w:rPr>
      </w:pPr>
      <w:r>
        <w:rPr>
          <w:rFonts w:hint="eastAsia" w:ascii="宋体" w:hAnsi="宋体" w:cs="仿宋_GB2312"/>
          <w:b/>
          <w:color w:val="auto"/>
          <w:sz w:val="32"/>
          <w:szCs w:val="32"/>
        </w:rPr>
        <w:t>2.全面排查公共领域安全隐患。</w:t>
      </w:r>
      <w:r>
        <w:rPr>
          <w:rFonts w:hint="eastAsia" w:ascii="仿宋_GB2312" w:hAnsi="仿宋_GB2312" w:eastAsia="仿宋_GB2312" w:cs="仿宋_GB2312"/>
          <w:b w:val="0"/>
          <w:bCs/>
          <w:color w:val="auto"/>
          <w:sz w:val="32"/>
          <w:szCs w:val="32"/>
        </w:rPr>
        <w:t>一是</w:t>
      </w:r>
      <w:r>
        <w:rPr>
          <w:rFonts w:hint="eastAsia" w:ascii="仿宋_GB2312" w:hAnsi="仿宋_GB2312" w:eastAsia="仿宋_GB2312" w:cs="仿宋_GB2312"/>
          <w:color w:val="auto"/>
          <w:sz w:val="32"/>
          <w:szCs w:val="32"/>
        </w:rPr>
        <w:t>聚焦公共场所安全，强化商场、超市、影院、图书馆、体育馆等场所建筑、消防等安全隐患排查。</w:t>
      </w:r>
      <w:r>
        <w:rPr>
          <w:rFonts w:hint="eastAsia" w:ascii="仿宋_GB2312" w:hAnsi="仿宋_GB2312" w:eastAsia="仿宋_GB2312" w:cs="仿宋_GB2312"/>
          <w:b w:val="0"/>
          <w:bCs w:val="0"/>
          <w:color w:val="auto"/>
          <w:sz w:val="32"/>
          <w:szCs w:val="32"/>
        </w:rPr>
        <w:t>二是</w:t>
      </w:r>
      <w:r>
        <w:rPr>
          <w:rFonts w:hint="eastAsia" w:ascii="仿宋_GB2312" w:hAnsi="仿宋_GB2312" w:eastAsia="仿宋_GB2312" w:cs="仿宋_GB2312"/>
          <w:color w:val="auto"/>
          <w:sz w:val="32"/>
          <w:szCs w:val="32"/>
        </w:rPr>
        <w:t>聚焦公共设施安全，督促责任单位强化供水、供电、供气等供应设施的建设安全、日常运维安全。</w:t>
      </w:r>
      <w:r>
        <w:rPr>
          <w:rFonts w:hint="eastAsia" w:ascii="仿宋_GB2312" w:hAnsi="仿宋_GB2312" w:eastAsia="仿宋_GB2312" w:cs="仿宋_GB2312"/>
          <w:b w:val="0"/>
          <w:bCs w:val="0"/>
          <w:color w:val="auto"/>
          <w:sz w:val="32"/>
          <w:szCs w:val="32"/>
        </w:rPr>
        <w:t>三是</w:t>
      </w:r>
      <w:r>
        <w:rPr>
          <w:rFonts w:hint="eastAsia" w:ascii="仿宋_GB2312" w:hAnsi="仿宋_GB2312" w:eastAsia="仿宋_GB2312" w:cs="仿宋_GB2312"/>
          <w:color w:val="auto"/>
          <w:sz w:val="32"/>
          <w:szCs w:val="32"/>
        </w:rPr>
        <w:t>聚焦公共娱乐安全，强化对游乐场设施的安全检查与维护、景区内的游览设施及道路安全、KTV等娱乐场所的消防安全、疏散通道的检查治理。</w:t>
      </w:r>
      <w:r>
        <w:rPr>
          <w:rFonts w:hint="eastAsia" w:ascii="仿宋_GB2312" w:hAnsi="仿宋_GB2312" w:eastAsia="仿宋_GB2312" w:cs="仿宋_GB2312"/>
          <w:b w:val="0"/>
          <w:bCs w:val="0"/>
          <w:color w:val="auto"/>
          <w:sz w:val="32"/>
          <w:szCs w:val="32"/>
        </w:rPr>
        <w:t>四是</w:t>
      </w:r>
      <w:r>
        <w:rPr>
          <w:rFonts w:hint="eastAsia" w:ascii="仿宋_GB2312" w:hAnsi="仿宋_GB2312" w:eastAsia="仿宋_GB2312" w:cs="仿宋_GB2312"/>
          <w:color w:val="auto"/>
          <w:sz w:val="32"/>
          <w:szCs w:val="32"/>
        </w:rPr>
        <w:t>聚焦大型活动安全，强化体育赛事、文艺演出、集会等大型活动时场地搭建安全、人员限流管控、现场安全保卫、应急预案完善等安全防范措施落实。此外，其他涉及公共安全的行业领域也要结合事故规律特点，深入开展群众身边隐患集中排查整治。</w:t>
      </w:r>
    </w:p>
    <w:p w14:paraId="2A39DC29">
      <w:pPr>
        <w:numPr>
          <w:ilvl w:val="0"/>
          <w:numId w:val="0"/>
        </w:numPr>
        <w:spacing w:beforeLines="0" w:afterLines="0" w:line="560" w:lineRule="exact"/>
        <w:ind w:firstLine="643" w:firstLineChars="200"/>
        <w:outlineLvl w:val="2"/>
        <w:rPr>
          <w:rFonts w:hint="eastAsia" w:ascii="仿宋_GB2312" w:hAnsi="仿宋_GB2312" w:eastAsia="仿宋_GB2312" w:cs="仿宋_GB2312"/>
          <w:color w:val="auto"/>
          <w:sz w:val="32"/>
          <w:szCs w:val="32"/>
        </w:rPr>
      </w:pPr>
      <w:r>
        <w:rPr>
          <w:rFonts w:hint="eastAsia" w:ascii="宋体" w:hAnsi="宋体" w:cs="仿宋_GB2312"/>
          <w:b/>
          <w:color w:val="auto"/>
          <w:sz w:val="32"/>
          <w:szCs w:val="32"/>
        </w:rPr>
        <w:t>3.全面排查汛期安全隐患。</w:t>
      </w:r>
      <w:r>
        <w:rPr>
          <w:rFonts w:hint="eastAsia" w:ascii="仿宋_GB2312" w:hAnsi="仿宋_GB2312" w:eastAsia="仿宋_GB2312" w:cs="仿宋_GB2312"/>
          <w:color w:val="auto"/>
          <w:sz w:val="32"/>
          <w:szCs w:val="32"/>
        </w:rPr>
        <w:t>对地质灾害隐患点及城市易涝点开展全面排查和责任包保，汛期（4-9月）按照“雨前排查,雨中巡查,雨后核查”的要求实施动态监测，及时更新各类隐患台账。</w:t>
      </w:r>
    </w:p>
    <w:p w14:paraId="69C79488">
      <w:pPr>
        <w:pStyle w:val="23"/>
        <w:spacing w:beforeLines="0" w:afterLines="0" w:line="560" w:lineRule="exact"/>
        <w:ind w:firstLine="640"/>
        <w:rPr>
          <w:rFonts w:hint="eastAsia" w:ascii="仿宋_GB2312" w:hAnsi="仿宋_GB2312" w:eastAsia="仿宋_GB2312" w:cs="仿宋_GB2312"/>
          <w:color w:val="auto"/>
          <w:sz w:val="32"/>
          <w:szCs w:val="32"/>
        </w:rPr>
      </w:pPr>
      <w:r>
        <w:rPr>
          <w:rFonts w:hint="eastAsia" w:eastAsia="仿宋_GB2312" w:cs="仿宋_GB2312"/>
          <w:b/>
          <w:color w:val="auto"/>
          <w:sz w:val="32"/>
          <w:szCs w:val="32"/>
        </w:rPr>
        <w:t>4.全面排查森林火灾安全隐患。</w:t>
      </w:r>
      <w:r>
        <w:rPr>
          <w:rFonts w:hint="eastAsia" w:ascii="仿宋_GB2312" w:hAnsi="仿宋_GB2312" w:eastAsia="仿宋_GB2312" w:cs="仿宋_GB2312"/>
          <w:color w:val="auto"/>
          <w:sz w:val="32"/>
          <w:szCs w:val="32"/>
        </w:rPr>
        <w:t>强化火源管控，严管五类人员、严查野外用火、严密巡查督查，严厉打击违规野外用火行为。紧盯重点敏感时期，在清明、五一等重点敏感时期，强化火源管控和监测预警，实行入口火种检查制度，严禁携带火种进入高火险区域。对螺田公墓周边等风险点排查治理，定期清理林缘地带内可燃物。</w:t>
      </w:r>
    </w:p>
    <w:p w14:paraId="7BFDC68E">
      <w:pPr>
        <w:numPr>
          <w:ilvl w:val="0"/>
          <w:numId w:val="0"/>
        </w:numPr>
        <w:spacing w:beforeLines="0" w:afterLines="0" w:line="560" w:lineRule="exact"/>
        <w:ind w:firstLine="643" w:firstLineChars="200"/>
        <w:outlineLvl w:val="1"/>
        <w:rPr>
          <w:rFonts w:hint="eastAsia" w:ascii="宋体" w:hAnsi="宋体" w:eastAsia="楷体_GB2312" w:cs="楷体_GB2312"/>
          <w:b/>
          <w:color w:val="auto"/>
          <w:sz w:val="32"/>
          <w:szCs w:val="32"/>
        </w:rPr>
      </w:pPr>
      <w:r>
        <w:rPr>
          <w:rFonts w:hint="eastAsia" w:ascii="宋体" w:hAnsi="宋体" w:eastAsia="楷体_GB2312" w:cs="楷体_GB2312"/>
          <w:b/>
          <w:color w:val="auto"/>
          <w:sz w:val="32"/>
          <w:szCs w:val="32"/>
        </w:rPr>
        <w:t>（三）全面落实各级安全责任</w:t>
      </w:r>
    </w:p>
    <w:p w14:paraId="4EA0ED0D">
      <w:pPr>
        <w:pStyle w:val="11"/>
        <w:spacing w:beforeLines="0" w:afterLines="0" w:line="560" w:lineRule="exact"/>
        <w:ind w:firstLine="643" w:firstLineChars="200"/>
        <w:jc w:val="both"/>
        <w:rPr>
          <w:rFonts w:hint="default" w:eastAsia="仿宋_GB2312" w:cs="Times New Roman"/>
          <w:color w:val="auto"/>
          <w:sz w:val="32"/>
          <w:szCs w:val="32"/>
        </w:rPr>
      </w:pPr>
      <w:r>
        <w:rPr>
          <w:rFonts w:hint="eastAsia" w:eastAsia="仿宋_GB2312" w:cs="仿宋_GB2312"/>
          <w:b/>
          <w:color w:val="auto"/>
          <w:sz w:val="32"/>
          <w:szCs w:val="32"/>
        </w:rPr>
        <w:t>1.落实党政领导责任。</w:t>
      </w:r>
      <w:r>
        <w:rPr>
          <w:rFonts w:hint="eastAsia" w:eastAsia="仿宋_GB2312" w:cs="仿宋_GB2312"/>
          <w:b w:val="0"/>
          <w:bCs/>
          <w:color w:val="auto"/>
          <w:sz w:val="32"/>
          <w:szCs w:val="32"/>
        </w:rPr>
        <w:t>街道</w:t>
      </w:r>
      <w:r>
        <w:rPr>
          <w:rFonts w:hint="eastAsia" w:eastAsia="仿宋_GB2312" w:cs="Times New Roman"/>
          <w:color w:val="auto"/>
          <w:sz w:val="32"/>
          <w:szCs w:val="32"/>
        </w:rPr>
        <w:t>党政领导班子成员要抓好挂点村（社区）的专项行动工作。6月底前，</w:t>
      </w:r>
      <w:r>
        <w:rPr>
          <w:rFonts w:hint="eastAsia" w:eastAsia="仿宋_GB2312" w:cs="仿宋_GB2312"/>
          <w:b w:val="0"/>
          <w:bCs/>
          <w:color w:val="auto"/>
          <w:sz w:val="32"/>
          <w:szCs w:val="32"/>
        </w:rPr>
        <w:t>街道</w:t>
      </w:r>
      <w:r>
        <w:rPr>
          <w:rFonts w:hint="eastAsia" w:eastAsia="仿宋_GB2312" w:cs="Times New Roman"/>
          <w:color w:val="auto"/>
          <w:sz w:val="32"/>
          <w:szCs w:val="32"/>
        </w:rPr>
        <w:t>党政领导班子成员带队深入挂点村（社区）开展一次综合督导，重点抓好“五看”（看属地、部门专项行动部署开展情况、看安全生产重点工作落实情况、看十大领域重大事故风险防控情况、看重大事故隐患排查和整改情况、看党政领导领衔推动情况）。</w:t>
      </w:r>
    </w:p>
    <w:p w14:paraId="44EDAD64">
      <w:pPr>
        <w:pStyle w:val="11"/>
        <w:spacing w:beforeLines="0" w:afterLines="0" w:line="560" w:lineRule="exact"/>
        <w:ind w:firstLine="643" w:firstLineChars="200"/>
        <w:jc w:val="both"/>
        <w:rPr>
          <w:rFonts w:hint="eastAsia" w:eastAsia="仿宋_GB2312" w:cs="Times New Roman"/>
          <w:color w:val="auto"/>
          <w:sz w:val="32"/>
          <w:szCs w:val="32"/>
        </w:rPr>
      </w:pPr>
      <w:r>
        <w:rPr>
          <w:rFonts w:hint="eastAsia" w:eastAsia="仿宋_GB2312" w:cs="仿宋_GB2312"/>
          <w:b/>
          <w:color w:val="auto"/>
          <w:sz w:val="32"/>
          <w:szCs w:val="32"/>
        </w:rPr>
        <w:t>2.落实基层属地责任。</w:t>
      </w:r>
      <w:r>
        <w:rPr>
          <w:rFonts w:hint="eastAsia" w:eastAsia="仿宋_GB2312" w:cs="Times New Roman"/>
          <w:color w:val="auto"/>
          <w:sz w:val="32"/>
          <w:szCs w:val="32"/>
        </w:rPr>
        <w:t>各村（社区）书记要深入开展督导，领衔解决各类重点难点问题，要全面组织发动应急管理委员、应急管理员、网格员等基层各类力量到岗履职，开展宣传教育和隐患排查，形成上下联动、齐抓共管的工作格局。</w:t>
      </w:r>
    </w:p>
    <w:p w14:paraId="6D3E1C94">
      <w:pPr>
        <w:pStyle w:val="11"/>
        <w:spacing w:beforeLines="0" w:afterLines="0" w:line="560" w:lineRule="exact"/>
        <w:ind w:firstLine="643" w:firstLineChars="200"/>
        <w:jc w:val="both"/>
        <w:rPr>
          <w:rFonts w:hint="eastAsia" w:ascii="仿宋_GB2312" w:hAnsi="仿宋_GB2312" w:eastAsia="仿宋_GB2312" w:cs="仿宋_GB2312"/>
          <w:color w:val="auto"/>
          <w:sz w:val="32"/>
          <w:szCs w:val="32"/>
        </w:rPr>
      </w:pPr>
      <w:r>
        <w:rPr>
          <w:rFonts w:hint="eastAsia" w:eastAsia="仿宋_GB2312" w:cs="仿宋_GB2312"/>
          <w:b/>
          <w:color w:val="auto"/>
          <w:sz w:val="32"/>
          <w:szCs w:val="32"/>
        </w:rPr>
        <w:t>3.落实企业主体责任。</w:t>
      </w:r>
      <w:r>
        <w:rPr>
          <w:rFonts w:hint="eastAsia" w:ascii="仿宋_GB2312" w:hAnsi="仿宋_GB2312" w:eastAsia="仿宋_GB2312" w:cs="仿宋_GB2312"/>
          <w:color w:val="auto"/>
          <w:sz w:val="32"/>
          <w:szCs w:val="32"/>
        </w:rPr>
        <w:t>各村（社区），各部门要加大对区安委办《关于进一步推进生产经营单位安全生产主体责任落实的通知》、重大隐患判定标准等相关文件的宣贯力度，推动生产经营单位全面落实安全生产主体责任十条措施（见附件2）。高危行业领域企业今年4月底前须在企业（车间）入口处和其他醒目位置张贴悬挂本企业涉及的各类（如工贸、火灾、特种设备等）重大事故隐患判定标准（具体可参考附件3），按规定要求开展重大事故隐患自查自改。督促企业主要负责人依法履行安全生产法第二十一条规定的七项职责（见附件1），每季度至少组织开展一次重大事故隐患排查，在节假日、全国两会等重要敏感时期在岗带班。对未按要求落实十条措施和重大事故隐患自查自改的企业，进行集中约谈；对企业主体责任落实存在突出问题甚至发生生产安全事故的，依法从严查处，确保企业主体责任落实到位。</w:t>
      </w:r>
    </w:p>
    <w:p w14:paraId="7B9AAB51">
      <w:pPr>
        <w:numPr>
          <w:ilvl w:val="0"/>
          <w:numId w:val="0"/>
        </w:numPr>
        <w:spacing w:beforeLines="0" w:afterLines="0" w:line="560" w:lineRule="exact"/>
        <w:ind w:firstLine="640" w:firstLineChars="200"/>
        <w:outlineLvl w:val="0"/>
        <w:rPr>
          <w:rFonts w:hint="eastAsia" w:ascii="宋体" w:hAnsi="宋体" w:eastAsia="黑体" w:cs="黑体"/>
          <w:color w:val="auto"/>
          <w:sz w:val="32"/>
          <w:szCs w:val="32"/>
        </w:rPr>
      </w:pPr>
      <w:r>
        <w:rPr>
          <w:rFonts w:hint="eastAsia" w:ascii="宋体" w:hAnsi="宋体" w:eastAsia="黑体" w:cs="黑体"/>
          <w:color w:val="auto"/>
          <w:sz w:val="32"/>
          <w:szCs w:val="32"/>
        </w:rPr>
        <w:t>三、工作要求</w:t>
      </w:r>
    </w:p>
    <w:p w14:paraId="3BFF14BF">
      <w:pPr>
        <w:numPr>
          <w:ilvl w:val="0"/>
          <w:numId w:val="0"/>
        </w:numPr>
        <w:spacing w:beforeLines="0" w:afterLines="0" w:line="560" w:lineRule="exact"/>
        <w:ind w:firstLine="643" w:firstLineChars="200"/>
        <w:outlineLvl w:val="0"/>
        <w:rPr>
          <w:rFonts w:hint="eastAsia" w:ascii="仿宋_GB2312" w:hAnsi="仿宋_GB2312" w:eastAsia="仿宋_GB2312" w:cs="仿宋_GB2312"/>
          <w:color w:val="auto"/>
          <w:sz w:val="32"/>
          <w:szCs w:val="32"/>
        </w:rPr>
      </w:pPr>
      <w:r>
        <w:rPr>
          <w:rFonts w:hint="eastAsia" w:ascii="宋体" w:hAnsi="宋体" w:eastAsia="楷体" w:cs="楷体"/>
          <w:b/>
          <w:color w:val="auto"/>
          <w:sz w:val="32"/>
          <w:szCs w:val="32"/>
        </w:rPr>
        <w:t>（一）要提高站位。</w:t>
      </w:r>
      <w:r>
        <w:rPr>
          <w:rFonts w:hint="eastAsia" w:ascii="仿宋_GB2312" w:hAnsi="仿宋_GB2312" w:eastAsia="仿宋_GB2312" w:cs="仿宋_GB2312"/>
          <w:color w:val="auto"/>
          <w:kern w:val="0"/>
          <w:sz w:val="32"/>
          <w:szCs w:val="32"/>
          <w:lang w:bidi="ar"/>
        </w:rPr>
        <w:t>各村（社区），各部门要深入学习贯彻习近平总书记关于安全生产重要论述，全面贯彻落实省委省政府“</w:t>
      </w:r>
      <w:r>
        <w:rPr>
          <w:rFonts w:hint="eastAsia" w:ascii="宋体" w:hAnsi="宋体" w:eastAsia="宋体" w:cs="宋体"/>
          <w:color w:val="auto"/>
          <w:kern w:val="0"/>
          <w:sz w:val="32"/>
          <w:szCs w:val="32"/>
          <w:lang w:bidi="ar"/>
        </w:rPr>
        <w:t>1+7</w:t>
      </w:r>
      <w:r>
        <w:rPr>
          <w:rFonts w:hint="eastAsia" w:ascii="仿宋_GB2312" w:hAnsi="仿宋_GB2312" w:eastAsia="仿宋_GB2312" w:cs="仿宋_GB2312"/>
          <w:color w:val="auto"/>
          <w:kern w:val="0"/>
          <w:sz w:val="32"/>
          <w:szCs w:val="32"/>
          <w:lang w:bidi="ar"/>
        </w:rPr>
        <w:t>”政策文件要求以及市委、区党工委决策部署，</w:t>
      </w:r>
      <w:r>
        <w:rPr>
          <w:rFonts w:hint="eastAsia" w:ascii="宋体" w:hAnsi="宋体" w:eastAsia="宋体" w:cs="宋体"/>
          <w:color w:val="auto"/>
          <w:kern w:val="0"/>
          <w:sz w:val="32"/>
          <w:szCs w:val="32"/>
          <w:lang w:bidi="ar"/>
        </w:rPr>
        <w:t>4</w:t>
      </w:r>
      <w:r>
        <w:rPr>
          <w:rFonts w:hint="eastAsia" w:ascii="仿宋_GB2312" w:hAnsi="仿宋_GB2312" w:eastAsia="仿宋_GB2312" w:cs="仿宋_GB2312"/>
          <w:color w:val="auto"/>
          <w:kern w:val="0"/>
          <w:sz w:val="32"/>
          <w:szCs w:val="32"/>
          <w:lang w:bidi="ar"/>
        </w:rPr>
        <w:t>月</w:t>
      </w:r>
      <w:r>
        <w:rPr>
          <w:rFonts w:hint="eastAsia" w:ascii="宋体" w:hAnsi="宋体" w:eastAsia="宋体" w:cs="宋体"/>
          <w:color w:val="auto"/>
          <w:kern w:val="0"/>
          <w:sz w:val="32"/>
          <w:szCs w:val="32"/>
          <w:lang w:bidi="ar"/>
        </w:rPr>
        <w:t>15</w:t>
      </w:r>
      <w:r>
        <w:rPr>
          <w:rFonts w:hint="eastAsia" w:ascii="仿宋_GB2312" w:hAnsi="仿宋_GB2312" w:eastAsia="仿宋_GB2312" w:cs="仿宋_GB2312"/>
          <w:color w:val="auto"/>
          <w:kern w:val="0"/>
          <w:sz w:val="32"/>
          <w:szCs w:val="32"/>
          <w:lang w:bidi="ar"/>
        </w:rPr>
        <w:t>日前要召开会议进行部署，精心安排各类监管力度，</w:t>
      </w:r>
      <w:r>
        <w:rPr>
          <w:rFonts w:hint="eastAsia" w:ascii="仿宋_GB2312" w:hAnsi="仿宋_GB2312" w:eastAsia="仿宋_GB2312" w:cs="仿宋_GB2312"/>
          <w:color w:val="auto"/>
          <w:sz w:val="32"/>
          <w:szCs w:val="32"/>
        </w:rPr>
        <w:t>按照“全面排查、集中整治”的要求，全力管控各类重大风险、深度整治重大安全隐患，持续夯实安全防范基础，全面保障专项行动取得实效。</w:t>
      </w:r>
    </w:p>
    <w:p w14:paraId="69437FD8">
      <w:pPr>
        <w:numPr>
          <w:ilvl w:val="0"/>
          <w:numId w:val="0"/>
        </w:numPr>
        <w:spacing w:beforeLines="0" w:afterLines="0" w:line="560" w:lineRule="exact"/>
        <w:ind w:firstLine="643" w:firstLineChars="200"/>
        <w:rPr>
          <w:rFonts w:hint="eastAsia" w:ascii="宋体" w:hAnsi="宋体" w:cs="仿宋_GB2312"/>
          <w:color w:val="auto"/>
          <w:sz w:val="32"/>
          <w:szCs w:val="32"/>
        </w:rPr>
      </w:pPr>
      <w:r>
        <w:rPr>
          <w:rFonts w:hint="eastAsia" w:ascii="宋体" w:hAnsi="宋体" w:eastAsia="楷体" w:cs="楷体"/>
          <w:b/>
          <w:color w:val="auto"/>
          <w:sz w:val="32"/>
          <w:szCs w:val="32"/>
        </w:rPr>
        <w:t>（二）要挂图作战。</w:t>
      </w:r>
      <w:r>
        <w:rPr>
          <w:rFonts w:hint="eastAsia" w:ascii="宋体" w:hAnsi="宋体" w:cs="仿宋_GB2312"/>
          <w:color w:val="auto"/>
          <w:kern w:val="0"/>
          <w:sz w:val="32"/>
          <w:szCs w:val="32"/>
          <w:lang w:bidi="ar"/>
        </w:rPr>
        <w:t>各村（社区），各部门</w:t>
      </w:r>
      <w:r>
        <w:rPr>
          <w:rFonts w:hint="eastAsia" w:ascii="宋体" w:hAnsi="宋体" w:cs="仿宋_GB2312"/>
          <w:color w:val="auto"/>
          <w:sz w:val="32"/>
          <w:szCs w:val="32"/>
        </w:rPr>
        <w:t>要根据本地工作实际，结合治本攻坚三年行动要求，细化行动措施，聚焦突出问题隐患，列出重点任务清单，明确时间进度安排，实行挂图跟踪作战。对发现的问题隐患，要建立台账、立行立改、持续跟进、销号管理，实现整改闭环；一时难以整改到位的，要落实整改责任、措施、资金、时限和应急措施；对系统性、复杂性、关键性难题，由党政领导领衔推动整改。</w:t>
      </w:r>
    </w:p>
    <w:p w14:paraId="63592A4D">
      <w:pPr>
        <w:numPr>
          <w:ilvl w:val="0"/>
          <w:numId w:val="0"/>
        </w:numPr>
        <w:spacing w:beforeLines="0" w:afterLines="0" w:line="560" w:lineRule="exact"/>
        <w:ind w:firstLine="643" w:firstLineChars="200"/>
        <w:rPr>
          <w:rFonts w:hint="default" w:ascii="宋体" w:hAnsi="宋体"/>
          <w:color w:val="auto"/>
          <w:sz w:val="32"/>
          <w:szCs w:val="32"/>
        </w:rPr>
      </w:pPr>
      <w:r>
        <w:rPr>
          <w:rFonts w:hint="eastAsia" w:ascii="宋体" w:hAnsi="宋体" w:eastAsia="楷体" w:cs="楷体"/>
          <w:b/>
          <w:color w:val="auto"/>
          <w:sz w:val="32"/>
          <w:szCs w:val="32"/>
        </w:rPr>
        <w:t>（三）要强化震慑。</w:t>
      </w:r>
      <w:r>
        <w:rPr>
          <w:rFonts w:hint="eastAsia" w:ascii="宋体" w:hAnsi="宋体" w:cs="仿宋_GB2312"/>
          <w:color w:val="auto"/>
          <w:kern w:val="0"/>
          <w:sz w:val="32"/>
          <w:szCs w:val="32"/>
          <w:lang w:bidi="ar"/>
        </w:rPr>
        <w:t>各村（社区），各部门</w:t>
      </w:r>
      <w:r>
        <w:rPr>
          <w:rFonts w:hint="eastAsia" w:ascii="宋体" w:hAnsi="宋体" w:cs="仿宋_GB2312"/>
          <w:color w:val="auto"/>
          <w:sz w:val="32"/>
          <w:szCs w:val="32"/>
        </w:rPr>
        <w:t>要提升隐患排查和监管质效，敢于动真碰硬，发现严重违法违规行为，立即上报，定期复查。</w:t>
      </w:r>
    </w:p>
    <w:p w14:paraId="0CA7A143">
      <w:pPr>
        <w:numPr>
          <w:ilvl w:val="0"/>
          <w:numId w:val="0"/>
        </w:num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宋体" w:hAnsi="宋体" w:eastAsia="楷体" w:cs="楷体"/>
          <w:b/>
          <w:color w:val="auto"/>
          <w:sz w:val="32"/>
          <w:szCs w:val="32"/>
        </w:rPr>
        <w:t>（四）要广泛宣传。</w:t>
      </w:r>
      <w:r>
        <w:rPr>
          <w:rFonts w:hint="eastAsia" w:ascii="仿宋_GB2312" w:hAnsi="仿宋_GB2312" w:eastAsia="仿宋_GB2312" w:cs="仿宋_GB2312"/>
          <w:color w:val="auto"/>
          <w:kern w:val="0"/>
          <w:sz w:val="32"/>
          <w:szCs w:val="32"/>
          <w:lang w:bidi="ar"/>
        </w:rPr>
        <w:t>各村（社区），各部门</w:t>
      </w:r>
      <w:r>
        <w:rPr>
          <w:rFonts w:hint="eastAsia" w:ascii="仿宋_GB2312" w:hAnsi="仿宋_GB2312" w:eastAsia="仿宋_GB2312" w:cs="仿宋_GB2312"/>
          <w:color w:val="auto"/>
          <w:sz w:val="32"/>
          <w:szCs w:val="32"/>
        </w:rPr>
        <w:t>要将集中整治行动宣传至各有关单位、有关部门、有关个人，广泛采取“线上+线下”“传统+现代”等各种方式，利用户外LED大屏、室内外电子屏、公共广播、短信等各类载体，密集开展宣传，营造铺天盖地的宣传氛围</w:t>
      </w: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sz w:val="32"/>
          <w:szCs w:val="32"/>
        </w:rPr>
        <w:t>要鼓励各方力量全面参与，积极引导广大企业职工和人民群众举报事故隐患，对举报安全生产重大事故隐患和违法行为的，落实奖励制度，努力营造全社会关心支持安全生产的浓厚氛围。</w:t>
      </w:r>
    </w:p>
    <w:p w14:paraId="1F7A1579">
      <w:pPr>
        <w:adjustRightInd w:val="0"/>
        <w:spacing w:beforeLines="0" w:afterLines="0" w:line="560" w:lineRule="exact"/>
        <w:ind w:firstLine="643" w:firstLineChars="200"/>
        <w:rPr>
          <w:rFonts w:hint="default" w:ascii="宋体" w:hAnsi="宋体"/>
          <w:color w:val="auto"/>
          <w:kern w:val="0"/>
          <w:sz w:val="32"/>
          <w:szCs w:val="32"/>
          <w:lang w:bidi="ar"/>
        </w:rPr>
        <w:sectPr>
          <w:pgSz w:w="11906" w:h="16838"/>
          <w:pgMar w:top="2098" w:right="1587" w:bottom="2098" w:left="1587" w:header="851" w:footer="992" w:gutter="0"/>
          <w:lnNumType w:countBy="0" w:distance="360"/>
          <w:pgNumType w:fmt="decimal"/>
          <w:cols w:space="720" w:num="1"/>
          <w:rtlGutter w:val="0"/>
          <w:docGrid w:type="lines" w:linePitch="312" w:charSpace="0"/>
        </w:sectPr>
      </w:pPr>
      <w:r>
        <w:rPr>
          <w:rFonts w:hint="eastAsia" w:ascii="宋体" w:hAnsi="宋体" w:eastAsia="楷体" w:cs="楷体"/>
          <w:b/>
          <w:color w:val="auto"/>
          <w:sz w:val="32"/>
          <w:szCs w:val="32"/>
        </w:rPr>
        <w:t>（五）要跟踪问效。</w:t>
      </w:r>
      <w:r>
        <w:rPr>
          <w:rFonts w:hint="eastAsia" w:ascii="宋体" w:hAnsi="宋体" w:cs="仿宋_GB2312"/>
          <w:color w:val="auto"/>
          <w:kern w:val="0"/>
          <w:sz w:val="32"/>
          <w:szCs w:val="32"/>
          <w:lang w:bidi="ar"/>
        </w:rPr>
        <w:t>各村（社区），各部门</w:t>
      </w:r>
      <w:r>
        <w:rPr>
          <w:rFonts w:hint="eastAsia" w:ascii="宋体" w:hAnsi="宋体"/>
          <w:color w:val="auto"/>
          <w:kern w:val="0"/>
          <w:sz w:val="32"/>
          <w:szCs w:val="32"/>
          <w:lang w:bidi="ar"/>
        </w:rPr>
        <w:t>要将集中整治行动纳入日常抽查检查内容，加强过程调度。街道将适时进行督促调度，对推进专项行动不重视、不认真、发现问题不处理的，将视情采取相关工作措施进行督促提醒。</w:t>
      </w:r>
    </w:p>
    <w:p w14:paraId="2C9872C4">
      <w:pPr>
        <w:spacing w:beforeLines="0" w:afterLines="0" w:line="560" w:lineRule="exact"/>
        <w:rPr>
          <w:rFonts w:hint="eastAsia" w:ascii="黑体" w:hAnsi="黑体" w:eastAsia="黑体" w:cs="黑体"/>
          <w:sz w:val="32"/>
          <w:szCs w:val="32"/>
        </w:rPr>
      </w:pPr>
      <w:r>
        <w:rPr>
          <w:rFonts w:hint="eastAsia" w:ascii="黑体" w:hAnsi="黑体" w:eastAsia="黑体" w:cs="黑体"/>
          <w:sz w:val="32"/>
          <w:szCs w:val="32"/>
        </w:rPr>
        <w:t>附件1</w:t>
      </w:r>
    </w:p>
    <w:p w14:paraId="530A6D32">
      <w:pPr>
        <w:spacing w:beforeLines="0" w:afterLines="0" w:line="560" w:lineRule="exact"/>
        <w:jc w:val="center"/>
        <w:rPr>
          <w:rFonts w:hint="eastAsia" w:ascii="宋体" w:hAnsi="宋体" w:eastAsia="黑体" w:cs="黑体"/>
          <w:color w:val="auto"/>
          <w:kern w:val="0"/>
          <w:sz w:val="44"/>
          <w:szCs w:val="44"/>
          <w:lang w:bidi="ar"/>
        </w:rPr>
      </w:pPr>
      <w:r>
        <w:rPr>
          <w:rFonts w:hint="eastAsia" w:ascii="宋体" w:hAnsi="宋体" w:eastAsia="方正小标宋简体" w:cs="方正小标宋简体"/>
          <w:color w:val="auto"/>
          <w:kern w:val="0"/>
          <w:sz w:val="44"/>
          <w:szCs w:val="44"/>
          <w:lang w:bidi="ar"/>
        </w:rPr>
        <w:t>企业主要负责人安全生产七项职责</w:t>
      </w:r>
    </w:p>
    <w:p w14:paraId="21BDE9E7">
      <w:pPr>
        <w:pStyle w:val="12"/>
        <w:widowControl/>
        <w:spacing w:beforeLines="0" w:afterLines="0" w:line="560" w:lineRule="exact"/>
        <w:ind w:firstLine="420"/>
        <w:rPr>
          <w:rFonts w:hint="eastAsia" w:ascii="宋体" w:hAnsi="宋体" w:cs="仿宋_GB2312"/>
          <w:color w:val="000000"/>
          <w:sz w:val="32"/>
          <w:szCs w:val="32"/>
        </w:rPr>
      </w:pPr>
    </w:p>
    <w:p w14:paraId="2E8F292C">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1.建立健全并落实本单位全员安全生产责任制，加强安全生产标准化建设；</w:t>
      </w:r>
    </w:p>
    <w:p w14:paraId="2E2FA1B8">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2.组织制定并实施本单位安全生产规章制度和操作规程；</w:t>
      </w:r>
    </w:p>
    <w:p w14:paraId="58A00355">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3.组织制定并实施本单位安全生产教育和培训计划；</w:t>
      </w:r>
    </w:p>
    <w:p w14:paraId="1FD68371">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4.保证本单位安全生产投入的有效实施；</w:t>
      </w:r>
    </w:p>
    <w:p w14:paraId="65CD3B20">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5.组织建立并落实安全风险分级管控和隐患排查治理双重预防工作机制，督促、检查本单位的安全生产工作，及时消除生产安全事故隐患；</w:t>
      </w:r>
    </w:p>
    <w:p w14:paraId="387F012A">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6.组织制定并实施本单位的生产安全事故应急救援预案；</w:t>
      </w:r>
    </w:p>
    <w:p w14:paraId="0FB1C50C">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宋体" w:cs="仿宋_GB2312"/>
          <w:color w:val="000000"/>
          <w:sz w:val="32"/>
          <w:szCs w:val="32"/>
        </w:rPr>
      </w:pPr>
      <w:r>
        <w:rPr>
          <w:rFonts w:hint="eastAsia" w:ascii="仿宋_GB2312" w:hAnsi="仿宋_GB2312" w:eastAsia="仿宋_GB2312" w:cs="仿宋_GB2312"/>
          <w:color w:val="000000"/>
          <w:sz w:val="32"/>
          <w:szCs w:val="32"/>
        </w:rPr>
        <w:t>7.及时、如实报告生产安全事故。</w:t>
      </w:r>
    </w:p>
    <w:p w14:paraId="1E4B917B">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宋体" w:cs="仿宋_GB2312"/>
          <w:color w:val="000000"/>
          <w:sz w:val="32"/>
          <w:szCs w:val="32"/>
        </w:rPr>
        <w:sectPr>
          <w:pgSz w:w="11906" w:h="16838"/>
          <w:pgMar w:top="2098" w:right="1587" w:bottom="2098" w:left="1587" w:header="851" w:footer="992" w:gutter="0"/>
          <w:lnNumType w:countBy="0" w:distance="360"/>
          <w:pgNumType w:fmt="decimal"/>
          <w:cols w:space="720" w:num="1"/>
          <w:rtlGutter w:val="0"/>
          <w:docGrid w:type="lines" w:linePitch="312" w:charSpace="0"/>
        </w:sectPr>
      </w:pPr>
    </w:p>
    <w:p w14:paraId="39296225">
      <w:pPr>
        <w:spacing w:beforeLines="0" w:afterLines="0"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14:paraId="00B999BA">
      <w:pPr>
        <w:spacing w:beforeLines="0" w:afterLines="0" w:line="560" w:lineRule="exact"/>
        <w:jc w:val="center"/>
        <w:rPr>
          <w:rFonts w:hint="eastAsia" w:ascii="宋体" w:hAnsi="宋体" w:eastAsia="方正小标宋简体" w:cs="方正小标宋简体"/>
          <w:color w:val="auto"/>
          <w:kern w:val="0"/>
          <w:sz w:val="44"/>
          <w:szCs w:val="44"/>
          <w:lang w:bidi="ar"/>
        </w:rPr>
      </w:pPr>
      <w:r>
        <w:rPr>
          <w:rFonts w:hint="eastAsia" w:ascii="宋体" w:hAnsi="宋体" w:eastAsia="方正小标宋简体" w:cs="方正小标宋简体"/>
          <w:color w:val="auto"/>
          <w:kern w:val="0"/>
          <w:sz w:val="44"/>
          <w:szCs w:val="44"/>
          <w:lang w:bidi="ar"/>
        </w:rPr>
        <w:t>企业落实安全生产主体责任的</w:t>
      </w:r>
    </w:p>
    <w:p w14:paraId="66795C88">
      <w:pPr>
        <w:spacing w:beforeLines="0" w:afterLines="0" w:line="560" w:lineRule="exact"/>
        <w:jc w:val="center"/>
        <w:rPr>
          <w:rFonts w:hint="eastAsia" w:ascii="宋体" w:hAnsi="宋体" w:eastAsia="方正小标宋简体" w:cs="方正小标宋简体"/>
          <w:color w:val="auto"/>
          <w:kern w:val="0"/>
          <w:sz w:val="44"/>
          <w:szCs w:val="44"/>
          <w:lang w:bidi="ar"/>
        </w:rPr>
      </w:pPr>
      <w:r>
        <w:rPr>
          <w:rFonts w:hint="eastAsia" w:ascii="宋体" w:hAnsi="宋体" w:eastAsia="方正小标宋简体" w:cs="方正小标宋简体"/>
          <w:color w:val="auto"/>
          <w:kern w:val="0"/>
          <w:sz w:val="44"/>
          <w:szCs w:val="44"/>
          <w:lang w:bidi="ar"/>
        </w:rPr>
        <w:t>十项重点措施</w:t>
      </w:r>
    </w:p>
    <w:p w14:paraId="6E09141A">
      <w:pPr>
        <w:pStyle w:val="12"/>
        <w:widowControl/>
        <w:spacing w:beforeLines="0" w:afterLines="0" w:line="560" w:lineRule="exact"/>
        <w:ind w:firstLine="640" w:firstLineChars="200"/>
        <w:rPr>
          <w:rFonts w:hint="default" w:ascii="宋体" w:hAnsi="宋体" w:cs="仿宋_GB2312"/>
          <w:color w:val="000000"/>
          <w:sz w:val="32"/>
          <w:szCs w:val="32"/>
        </w:rPr>
      </w:pPr>
    </w:p>
    <w:p w14:paraId="10E3A1F4">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1.重大事故隐患判定标准学习宣贯进企业</w:t>
      </w:r>
    </w:p>
    <w:p w14:paraId="2F56DBD2">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2.建立重大事故隐患自查自改机制</w:t>
      </w:r>
    </w:p>
    <w:p w14:paraId="56CCEC6D">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3.建立内部隐患报告奖励制度</w:t>
      </w:r>
    </w:p>
    <w:p w14:paraId="24D23289">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4.建立健全全员安全生产责任制</w:t>
      </w:r>
    </w:p>
    <w:p w14:paraId="3C974AB8">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5.依法配备安全生产管理人员</w:t>
      </w:r>
    </w:p>
    <w:p w14:paraId="540DD589">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6.落实全员安全教育培训</w:t>
      </w:r>
    </w:p>
    <w:p w14:paraId="75F317FA">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7.加强生产安全事故应急预案演练</w:t>
      </w:r>
    </w:p>
    <w:p w14:paraId="66292CF3">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8.保障安全生产资金投入</w:t>
      </w:r>
    </w:p>
    <w:p w14:paraId="12085048">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9.强化危险作业全过程管理</w:t>
      </w:r>
    </w:p>
    <w:p w14:paraId="5889F038">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10.规范外包项目和租赁场所安全管理</w:t>
      </w:r>
    </w:p>
    <w:p w14:paraId="24DDED19">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textAlignment w:val="auto"/>
        <w:rPr>
          <w:rFonts w:hint="eastAsia" w:ascii="仿宋_GB2312" w:hAnsi="仿宋_GB2312" w:eastAsia="仿宋_GB2312" w:cs="仿宋_GB2312"/>
          <w:color w:val="000000"/>
          <w:sz w:val="32"/>
          <w:szCs w:val="32"/>
        </w:rPr>
        <w:sectPr>
          <w:pgSz w:w="11906" w:h="16838"/>
          <w:pgMar w:top="2098" w:right="1587" w:bottom="2098" w:left="1587" w:header="851" w:footer="992" w:gutter="0"/>
          <w:lnNumType w:countBy="0" w:distance="360"/>
          <w:pgNumType w:fmt="decimal"/>
          <w:cols w:space="720" w:num="1"/>
          <w:rtlGutter w:val="0"/>
          <w:docGrid w:type="lines" w:linePitch="312" w:charSpace="0"/>
        </w:sectPr>
      </w:pPr>
    </w:p>
    <w:p w14:paraId="53E16156">
      <w:pPr>
        <w:spacing w:beforeLines="0" w:afterLines="0" w:line="540" w:lineRule="exact"/>
        <w:rPr>
          <w:rFonts w:hint="eastAsia" w:ascii="黑体" w:hAnsi="黑体" w:eastAsia="黑体" w:cs="黑体"/>
          <w:sz w:val="32"/>
          <w:szCs w:val="32"/>
        </w:rPr>
      </w:pPr>
      <w:r>
        <w:rPr>
          <w:rFonts w:hint="eastAsia" w:ascii="黑体" w:hAnsi="黑体" w:eastAsia="黑体" w:cs="黑体"/>
          <w:sz w:val="32"/>
          <w:szCs w:val="32"/>
        </w:rPr>
        <w:t>附件3</w:t>
      </w:r>
    </w:p>
    <w:p w14:paraId="0D527CB0">
      <w:pPr>
        <w:spacing w:beforeLines="0" w:afterLines="0" w:line="540" w:lineRule="exact"/>
        <w:jc w:val="center"/>
        <w:rPr>
          <w:rFonts w:hint="eastAsia" w:ascii="宋体" w:hAnsi="宋体" w:eastAsia="方正小标宋简体" w:cs="方正小标宋简体"/>
          <w:color w:val="auto"/>
          <w:kern w:val="0"/>
          <w:sz w:val="44"/>
          <w:szCs w:val="44"/>
          <w:lang w:bidi="ar"/>
        </w:rPr>
      </w:pPr>
      <w:r>
        <w:rPr>
          <w:rFonts w:hint="eastAsia" w:ascii="宋体" w:hAnsi="宋体" w:eastAsia="方正小标宋简体" w:cs="方正小标宋简体"/>
          <w:color w:val="auto"/>
          <w:kern w:val="0"/>
          <w:sz w:val="44"/>
          <w:szCs w:val="44"/>
          <w:lang w:bidi="ar"/>
        </w:rPr>
        <w:t>本企业涉及的重大生产安全事故隐患</w:t>
      </w:r>
    </w:p>
    <w:p w14:paraId="34D18C05">
      <w:pPr>
        <w:spacing w:beforeLines="0" w:afterLines="0" w:line="540" w:lineRule="exact"/>
        <w:jc w:val="center"/>
        <w:rPr>
          <w:rFonts w:hint="eastAsia" w:ascii="宋体" w:hAnsi="宋体" w:eastAsia="黑体" w:cs="黑体"/>
          <w:color w:val="auto"/>
          <w:kern w:val="0"/>
          <w:sz w:val="32"/>
          <w:szCs w:val="32"/>
          <w:lang w:bidi="ar"/>
        </w:rPr>
      </w:pPr>
      <w:r>
        <w:rPr>
          <w:rFonts w:hint="eastAsia" w:ascii="宋体" w:hAnsi="宋体" w:eastAsia="方正小标宋简体" w:cs="方正小标宋简体"/>
          <w:color w:val="auto"/>
          <w:kern w:val="0"/>
          <w:sz w:val="44"/>
          <w:szCs w:val="44"/>
          <w:lang w:bidi="ar"/>
        </w:rPr>
        <w:t>判定标准（模版）</w:t>
      </w:r>
    </w:p>
    <w:p w14:paraId="1DE11C0B">
      <w:pPr>
        <w:spacing w:beforeLines="0" w:afterLines="0" w:line="540" w:lineRule="exact"/>
        <w:ind w:firstLine="640" w:firstLineChars="200"/>
        <w:rPr>
          <w:rFonts w:hint="eastAsia" w:ascii="宋体" w:hAnsi="宋体" w:eastAsia="黑体" w:cs="黑体"/>
          <w:sz w:val="32"/>
          <w:szCs w:val="32"/>
        </w:rPr>
      </w:pPr>
    </w:p>
    <w:p w14:paraId="1382EAE0">
      <w:pPr>
        <w:spacing w:beforeLines="0" w:afterLines="0" w:line="540" w:lineRule="exact"/>
        <w:ind w:firstLine="640" w:firstLineChars="200"/>
        <w:rPr>
          <w:rFonts w:hint="default" w:ascii="宋体" w:hAnsi="宋体"/>
          <w:b/>
          <w:sz w:val="32"/>
          <w:szCs w:val="32"/>
        </w:rPr>
      </w:pPr>
      <w:r>
        <w:rPr>
          <w:rFonts w:hint="eastAsia" w:ascii="宋体" w:hAnsi="宋体" w:eastAsia="黑体" w:cs="黑体"/>
          <w:sz w:val="32"/>
          <w:szCs w:val="32"/>
        </w:rPr>
        <w:t>一、工贸企业重大隐患判定标准</w:t>
      </w:r>
    </w:p>
    <w:p w14:paraId="6FD90E26">
      <w:pPr>
        <w:spacing w:beforeLines="0" w:afterLines="0" w:line="540" w:lineRule="exact"/>
        <w:ind w:firstLine="640" w:firstLineChars="200"/>
        <w:rPr>
          <w:rFonts w:hint="eastAsia" w:ascii="宋体" w:hAnsi="宋体" w:cs="仿宋_GB2312"/>
          <w:sz w:val="32"/>
          <w:szCs w:val="21"/>
        </w:rPr>
      </w:pPr>
      <w:r>
        <w:rPr>
          <w:rFonts w:hint="eastAsia" w:ascii="宋体" w:hAnsi="宋体" w:cs="仿宋_GB2312"/>
          <w:sz w:val="32"/>
          <w:szCs w:val="21"/>
        </w:rPr>
        <w:t>（一）未对承包单位、承租单位的安全生产工作统一协调、管理，或者未定期进行安全检查的；</w:t>
      </w:r>
    </w:p>
    <w:p w14:paraId="45CC78B9">
      <w:pPr>
        <w:spacing w:beforeLines="0" w:afterLines="0" w:line="540" w:lineRule="exact"/>
        <w:ind w:firstLine="640" w:firstLineChars="200"/>
        <w:rPr>
          <w:rFonts w:hint="eastAsia" w:ascii="宋体" w:hAnsi="宋体" w:cs="仿宋_GB2312"/>
          <w:sz w:val="32"/>
          <w:szCs w:val="21"/>
        </w:rPr>
      </w:pPr>
      <w:r>
        <w:rPr>
          <w:rFonts w:hint="eastAsia" w:ascii="宋体" w:hAnsi="宋体" w:cs="仿宋_GB2312"/>
          <w:sz w:val="32"/>
          <w:szCs w:val="21"/>
        </w:rPr>
        <w:t>（二）特种作业人员未按照规定经专门的安全作业培训并取得相应资格，上岗作业的；</w:t>
      </w:r>
    </w:p>
    <w:p w14:paraId="05550DA9">
      <w:pPr>
        <w:spacing w:beforeLines="0" w:afterLines="0" w:line="540" w:lineRule="exact"/>
        <w:ind w:firstLine="640" w:firstLineChars="200"/>
        <w:rPr>
          <w:rFonts w:hint="eastAsia" w:ascii="宋体" w:hAnsi="宋体" w:cs="仿宋_GB2312"/>
          <w:sz w:val="32"/>
          <w:szCs w:val="21"/>
        </w:rPr>
      </w:pPr>
      <w:r>
        <w:rPr>
          <w:rFonts w:hint="eastAsia" w:ascii="宋体" w:hAnsi="宋体" w:cs="仿宋_GB2312"/>
          <w:sz w:val="32"/>
          <w:szCs w:val="21"/>
        </w:rPr>
        <w:t>（三）金属冶炼企业主要负责人、安全生产管理人员未按照规定经考核合格的。</w:t>
      </w:r>
    </w:p>
    <w:p w14:paraId="5A356630">
      <w:pPr>
        <w:spacing w:beforeLines="0" w:afterLines="0" w:line="540" w:lineRule="exact"/>
        <w:ind w:firstLine="640" w:firstLineChars="200"/>
        <w:rPr>
          <w:rFonts w:hint="eastAsia" w:ascii="宋体" w:hAnsi="宋体" w:cs="仿宋_GB2312"/>
          <w:sz w:val="32"/>
          <w:szCs w:val="21"/>
        </w:rPr>
      </w:pPr>
      <w:r>
        <w:rPr>
          <w:rFonts w:hint="eastAsia" w:ascii="宋体" w:hAnsi="宋体" w:cs="仿宋_GB2312"/>
          <w:sz w:val="32"/>
          <w:szCs w:val="21"/>
        </w:rPr>
        <w:t>.........</w:t>
      </w:r>
    </w:p>
    <w:p w14:paraId="5B581BC0">
      <w:pPr>
        <w:spacing w:beforeLines="0" w:afterLines="0" w:line="540" w:lineRule="exact"/>
        <w:ind w:firstLine="960" w:firstLineChars="300"/>
        <w:rPr>
          <w:rFonts w:hint="eastAsia" w:ascii="宋体" w:hAnsi="宋体"/>
          <w:b/>
          <w:sz w:val="32"/>
          <w:szCs w:val="32"/>
        </w:rPr>
      </w:pPr>
      <w:r>
        <w:rPr>
          <w:rFonts w:hint="eastAsia" w:ascii="宋体" w:hAnsi="宋体" w:eastAsia="黑体" w:cs="黑体"/>
          <w:sz w:val="32"/>
          <w:szCs w:val="32"/>
        </w:rPr>
        <w:t>二、重大火灾隐患判定标准</w:t>
      </w:r>
    </w:p>
    <w:p w14:paraId="73A55F0E">
      <w:pPr>
        <w:spacing w:beforeLines="0" w:afterLines="0" w:line="540" w:lineRule="exact"/>
        <w:ind w:firstLine="640" w:firstLineChars="200"/>
        <w:rPr>
          <w:rFonts w:hint="eastAsia" w:ascii="宋体" w:hAnsi="宋体" w:cs="仿宋_GB2312"/>
          <w:sz w:val="32"/>
          <w:szCs w:val="21"/>
        </w:rPr>
      </w:pPr>
      <w:r>
        <w:rPr>
          <w:rFonts w:hint="eastAsia" w:ascii="宋体" w:hAnsi="宋体" w:cs="仿宋_GB2312"/>
          <w:sz w:val="32"/>
          <w:szCs w:val="21"/>
        </w:rPr>
        <w:t>（一）生产、储存和装卸易燃易爆危险品的工厂、仓库和专用车站、码头、储罐区，未设置在城市的边缘或相对独立的安全地带。</w:t>
      </w:r>
    </w:p>
    <w:p w14:paraId="73C4128D">
      <w:pPr>
        <w:spacing w:beforeLines="0" w:afterLines="0" w:line="540" w:lineRule="exact"/>
        <w:ind w:firstLine="640" w:firstLineChars="200"/>
        <w:rPr>
          <w:rFonts w:hint="eastAsia" w:ascii="宋体" w:hAnsi="宋体" w:cs="仿宋_GB2312"/>
          <w:sz w:val="32"/>
          <w:szCs w:val="21"/>
        </w:rPr>
      </w:pPr>
      <w:r>
        <w:rPr>
          <w:rFonts w:hint="eastAsia" w:ascii="宋体" w:hAnsi="宋体" w:cs="仿宋_GB2312"/>
          <w:sz w:val="32"/>
          <w:szCs w:val="21"/>
        </w:rPr>
        <w:t>（二）生产、储存、经营易燃易爆危险品的场所与人员密集场所、居住场所设置在同一建筑物内，或与人员密集场所、居住场所的防火间距小于国家工程建设消防技术标准规定值的 75%。</w:t>
      </w:r>
    </w:p>
    <w:p w14:paraId="5A635E59">
      <w:pPr>
        <w:spacing w:beforeLines="0" w:afterLines="0" w:line="540" w:lineRule="exact"/>
        <w:ind w:firstLine="640" w:firstLineChars="200"/>
        <w:rPr>
          <w:rFonts w:hint="eastAsia" w:ascii="宋体" w:hAnsi="宋体" w:cs="仿宋_GB2312"/>
          <w:sz w:val="32"/>
          <w:szCs w:val="21"/>
        </w:rPr>
      </w:pPr>
      <w:r>
        <w:rPr>
          <w:rFonts w:hint="eastAsia" w:ascii="宋体" w:hAnsi="宋体" w:cs="仿宋_GB2312"/>
          <w:sz w:val="32"/>
          <w:szCs w:val="21"/>
        </w:rPr>
        <w:t>（三）甲、乙类生产场所和仓库设置在建筑的地下室或半地下室。</w:t>
      </w:r>
    </w:p>
    <w:p w14:paraId="330ECFD5">
      <w:pPr>
        <w:spacing w:beforeLines="0" w:afterLines="0" w:line="540" w:lineRule="exact"/>
        <w:ind w:firstLine="640" w:firstLineChars="200"/>
        <w:rPr>
          <w:rFonts w:hint="eastAsia" w:ascii="宋体" w:hAnsi="宋体" w:cs="仿宋_GB2312"/>
          <w:sz w:val="32"/>
          <w:szCs w:val="21"/>
        </w:rPr>
      </w:pPr>
      <w:r>
        <w:rPr>
          <w:rFonts w:hint="eastAsia" w:ascii="宋体" w:hAnsi="宋体" w:cs="仿宋_GB2312"/>
          <w:sz w:val="32"/>
          <w:szCs w:val="21"/>
        </w:rPr>
        <w:t>（四）易燃可燃液体、可燃气体储罐（区）未按国家工程建设消防技术标准的规定设置固定灭火、冷却、可燃气体浓度报警、火灾报警设施。</w:t>
      </w:r>
    </w:p>
    <w:p w14:paraId="7330A435">
      <w:pPr>
        <w:spacing w:beforeLines="0" w:afterLines="0" w:line="540" w:lineRule="exact"/>
        <w:ind w:firstLine="640" w:firstLineChars="200"/>
        <w:rPr>
          <w:rFonts w:hint="eastAsia" w:ascii="宋体" w:hAnsi="宋体" w:cs="仿宋_GB2312"/>
          <w:sz w:val="32"/>
          <w:szCs w:val="21"/>
        </w:rPr>
      </w:pPr>
      <w:r>
        <w:rPr>
          <w:rFonts w:hint="eastAsia" w:ascii="宋体" w:hAnsi="宋体" w:cs="仿宋_GB2312"/>
          <w:sz w:val="32"/>
          <w:szCs w:val="21"/>
        </w:rPr>
        <w:t>（五）在人员密集场所违反消防安全规定使用、储存或销售易燃易爆危险品。</w:t>
      </w:r>
    </w:p>
    <w:p w14:paraId="77DB3942">
      <w:pPr>
        <w:spacing w:beforeLines="0" w:afterLines="0" w:line="540" w:lineRule="exact"/>
        <w:ind w:firstLine="640" w:firstLineChars="200"/>
        <w:rPr>
          <w:rFonts w:hint="eastAsia" w:ascii="宋体" w:hAnsi="宋体" w:cs="仿宋_GB2312"/>
          <w:sz w:val="32"/>
          <w:szCs w:val="21"/>
        </w:rPr>
      </w:pPr>
      <w:r>
        <w:rPr>
          <w:rFonts w:hint="eastAsia" w:ascii="宋体" w:hAnsi="宋体" w:cs="仿宋_GB2312"/>
          <w:sz w:val="32"/>
          <w:szCs w:val="21"/>
        </w:rPr>
        <w:t>........</w:t>
      </w:r>
    </w:p>
    <w:p w14:paraId="1D0DE20D">
      <w:pPr>
        <w:spacing w:beforeLines="0" w:afterLines="0" w:line="540" w:lineRule="exact"/>
        <w:ind w:firstLine="960" w:firstLineChars="300"/>
        <w:rPr>
          <w:rFonts w:hint="eastAsia" w:ascii="宋体" w:hAnsi="宋体" w:eastAsia="黑体" w:cs="黑体"/>
          <w:sz w:val="32"/>
          <w:szCs w:val="32"/>
        </w:rPr>
      </w:pPr>
      <w:r>
        <w:rPr>
          <w:rFonts w:hint="eastAsia" w:ascii="宋体" w:hAnsi="宋体" w:eastAsia="黑体" w:cs="黑体"/>
          <w:sz w:val="32"/>
          <w:szCs w:val="32"/>
        </w:rPr>
        <w:t>三、特种设备重大事故隐患判定标准</w:t>
      </w:r>
    </w:p>
    <w:p w14:paraId="418F9242">
      <w:pPr>
        <w:numPr>
          <w:ilvl w:val="0"/>
          <w:numId w:val="0"/>
        </w:numPr>
        <w:spacing w:beforeLines="0" w:afterLines="0" w:line="540" w:lineRule="exact"/>
        <w:ind w:firstLine="640" w:firstLineChars="200"/>
        <w:rPr>
          <w:rFonts w:hint="eastAsia" w:ascii="宋体" w:hAnsi="宋体" w:cs="仿宋_GB2312"/>
          <w:sz w:val="32"/>
          <w:szCs w:val="21"/>
        </w:rPr>
      </w:pPr>
      <w:r>
        <w:rPr>
          <w:rFonts w:hint="eastAsia" w:ascii="宋体" w:hAnsi="宋体" w:cs="仿宋_GB2312"/>
          <w:sz w:val="32"/>
          <w:szCs w:val="21"/>
        </w:rPr>
        <w:t>（一）特种设备未取得许可生产、因安全问题国家明令淘汰、已经报废或者达到报废条件。</w:t>
      </w:r>
    </w:p>
    <w:p w14:paraId="1A656493">
      <w:pPr>
        <w:spacing w:beforeLines="0" w:afterLines="0" w:line="540" w:lineRule="exact"/>
        <w:ind w:firstLine="640" w:firstLineChars="200"/>
        <w:rPr>
          <w:rFonts w:hint="eastAsia" w:ascii="宋体" w:hAnsi="宋体" w:cs="仿宋_GB2312"/>
          <w:sz w:val="32"/>
          <w:szCs w:val="21"/>
        </w:rPr>
      </w:pPr>
      <w:r>
        <w:rPr>
          <w:rFonts w:hint="eastAsia" w:ascii="宋体" w:hAnsi="宋体" w:cs="仿宋_GB2312"/>
          <w:sz w:val="32"/>
          <w:szCs w:val="21"/>
        </w:rPr>
        <w:t>（二）特种设备发生过事故，未对其进行全面检查、消除事故隐患。</w:t>
      </w:r>
    </w:p>
    <w:p w14:paraId="78C8C154">
      <w:pPr>
        <w:spacing w:beforeLines="0" w:afterLines="0" w:line="540" w:lineRule="exact"/>
        <w:ind w:firstLine="640" w:firstLineChars="200"/>
        <w:rPr>
          <w:rFonts w:hint="eastAsia" w:ascii="宋体" w:hAnsi="宋体" w:cs="仿宋_GB2312"/>
          <w:sz w:val="32"/>
          <w:szCs w:val="21"/>
        </w:rPr>
      </w:pPr>
      <w:r>
        <w:rPr>
          <w:rFonts w:hint="eastAsia" w:ascii="宋体" w:hAnsi="宋体" w:cs="仿宋_GB2312"/>
          <w:sz w:val="32"/>
          <w:szCs w:val="21"/>
        </w:rPr>
        <w:t>（三）未按规定进行监督检验或者监督检验不合格。</w:t>
      </w:r>
    </w:p>
    <w:p w14:paraId="262EA0E4">
      <w:pPr>
        <w:spacing w:beforeLines="0" w:afterLines="0" w:line="540" w:lineRule="exact"/>
        <w:ind w:firstLine="640" w:firstLineChars="200"/>
        <w:rPr>
          <w:rFonts w:hint="eastAsia" w:ascii="宋体" w:hAnsi="宋体" w:cs="仿宋_GB2312"/>
          <w:sz w:val="32"/>
          <w:szCs w:val="21"/>
        </w:rPr>
      </w:pPr>
      <w:r>
        <w:rPr>
          <w:rFonts w:hint="eastAsia" w:ascii="宋体" w:hAnsi="宋体" w:cs="仿宋_GB2312"/>
          <w:sz w:val="32"/>
          <w:szCs w:val="21"/>
        </w:rPr>
        <w:t>（四）有判定标准4.2-4.10中规定的超过规定参数、使用范围的情形。</w:t>
      </w:r>
    </w:p>
    <w:p w14:paraId="4DFC7AA3">
      <w:pPr>
        <w:spacing w:beforeLines="0" w:afterLines="0" w:line="540" w:lineRule="exact"/>
        <w:ind w:firstLine="640" w:firstLineChars="200"/>
        <w:rPr>
          <w:rFonts w:hint="default" w:ascii="宋体" w:hAnsi="宋体" w:cs="仿宋_GB2312"/>
          <w:sz w:val="32"/>
          <w:szCs w:val="21"/>
        </w:rPr>
      </w:pPr>
      <w:r>
        <w:rPr>
          <w:rFonts w:hint="eastAsia" w:ascii="宋体" w:hAnsi="宋体" w:cs="仿宋_GB2312"/>
          <w:sz w:val="32"/>
          <w:szCs w:val="21"/>
        </w:rPr>
        <w:t>............</w:t>
      </w:r>
    </w:p>
    <w:p w14:paraId="7EC5C5FC">
      <w:pPr>
        <w:spacing w:beforeLines="0" w:afterLines="0" w:line="540" w:lineRule="exact"/>
        <w:ind w:firstLine="640" w:firstLineChars="200"/>
        <w:rPr>
          <w:rFonts w:hint="default" w:ascii="宋体" w:hAnsi="宋体" w:cs="仿宋_GB2312"/>
          <w:sz w:val="32"/>
          <w:szCs w:val="21"/>
          <w:u w:val="single"/>
        </w:rPr>
      </w:pPr>
      <w:r>
        <w:rPr>
          <w:rFonts w:hint="eastAsia" w:ascii="宋体" w:hAnsi="宋体" w:cs="仿宋_GB2312"/>
          <w:sz w:val="32"/>
          <w:szCs w:val="21"/>
        </w:rPr>
        <w:t>报告电话：（企业内部）</w:t>
      </w:r>
      <w:r>
        <w:rPr>
          <w:rFonts w:hint="eastAsia" w:ascii="宋体" w:hAnsi="宋体" w:cs="仿宋_GB2312"/>
          <w:sz w:val="32"/>
          <w:szCs w:val="21"/>
          <w:u w:val="single"/>
        </w:rPr>
        <w:t xml:space="preserve">               </w:t>
      </w:r>
    </w:p>
    <w:p w14:paraId="5F445D75">
      <w:pPr>
        <w:spacing w:beforeLines="0" w:afterLines="0" w:line="540" w:lineRule="exact"/>
        <w:ind w:firstLine="640" w:firstLineChars="200"/>
        <w:rPr>
          <w:rFonts w:hint="eastAsia" w:ascii="宋体" w:hAnsi="宋体" w:cs="仿宋_GB2312"/>
          <w:sz w:val="32"/>
          <w:szCs w:val="21"/>
          <w:u w:val="single"/>
        </w:rPr>
      </w:pPr>
      <w:r>
        <w:rPr>
          <w:rFonts w:hint="eastAsia" w:ascii="宋体" w:hAnsi="宋体" w:cs="仿宋_GB2312"/>
          <w:sz w:val="32"/>
          <w:szCs w:val="21"/>
          <w:u w:val="single"/>
        </w:rPr>
        <w:t xml:space="preserve">举报电话：（区应急管理局）           </w:t>
      </w:r>
    </w:p>
    <w:p w14:paraId="3CA40BD7">
      <w:pPr>
        <w:spacing w:beforeLines="0" w:afterLines="0" w:line="540" w:lineRule="exact"/>
        <w:ind w:firstLine="2240" w:firstLineChars="700"/>
        <w:rPr>
          <w:rFonts w:hint="eastAsia" w:ascii="宋体" w:hAnsi="宋体" w:cs="仿宋_GB2312"/>
          <w:sz w:val="32"/>
          <w:szCs w:val="21"/>
          <w:u w:val="single"/>
        </w:rPr>
      </w:pPr>
      <w:r>
        <w:rPr>
          <w:rFonts w:hint="eastAsia" w:ascii="宋体" w:hAnsi="宋体" w:cs="仿宋_GB2312"/>
          <w:sz w:val="32"/>
          <w:szCs w:val="21"/>
          <w:u w:val="single"/>
        </w:rPr>
        <w:t xml:space="preserve">（区消防救援大队）        </w:t>
      </w:r>
    </w:p>
    <w:p w14:paraId="61E7937C">
      <w:pPr>
        <w:spacing w:beforeLines="0" w:afterLines="0" w:line="540" w:lineRule="exact"/>
        <w:ind w:firstLine="2240" w:firstLineChars="700"/>
        <w:rPr>
          <w:rFonts w:hint="eastAsia" w:ascii="宋体" w:hAnsi="宋体" w:cs="仿宋_GB2312"/>
          <w:sz w:val="32"/>
          <w:szCs w:val="21"/>
          <w:u w:val="single"/>
        </w:rPr>
      </w:pPr>
      <w:r>
        <w:rPr>
          <w:rFonts w:hint="eastAsia" w:ascii="宋体" w:hAnsi="宋体" w:cs="仿宋_GB2312"/>
          <w:sz w:val="32"/>
          <w:szCs w:val="21"/>
          <w:u w:val="single"/>
        </w:rPr>
        <w:t xml:space="preserve">（区市监分局）            </w:t>
      </w:r>
    </w:p>
    <w:p w14:paraId="25070B44">
      <w:pPr>
        <w:spacing w:beforeLines="0" w:afterLines="0" w:line="540" w:lineRule="exact"/>
        <w:ind w:firstLine="2240" w:firstLineChars="700"/>
        <w:rPr>
          <w:rFonts w:hint="default" w:ascii="宋体" w:hAnsi="宋体" w:cs="仿宋_GB2312"/>
          <w:sz w:val="32"/>
          <w:szCs w:val="21"/>
          <w:u w:val="single"/>
        </w:rPr>
      </w:pPr>
      <w:r>
        <w:rPr>
          <w:rFonts w:hint="eastAsia" w:ascii="宋体" w:hAnsi="宋体" w:cs="仿宋_GB2312"/>
          <w:sz w:val="32"/>
          <w:szCs w:val="21"/>
          <w:u w:val="single"/>
        </w:rPr>
        <w:t xml:space="preserve">（属地乡镇）              </w:t>
      </w:r>
    </w:p>
    <w:p w14:paraId="2E645215">
      <w:pPr>
        <w:spacing w:beforeLines="0" w:afterLines="0" w:line="540" w:lineRule="exact"/>
        <w:ind w:firstLine="640" w:firstLineChars="200"/>
        <w:rPr>
          <w:rFonts w:hint="eastAsia" w:ascii="宋体" w:hAnsi="宋体" w:cs="仿宋_GB2312"/>
          <w:sz w:val="32"/>
          <w:szCs w:val="21"/>
          <w:u w:val="single"/>
        </w:rPr>
      </w:pPr>
      <w:r>
        <w:rPr>
          <w:rFonts w:hint="eastAsia" w:ascii="宋体" w:hAnsi="宋体" w:cs="仿宋_GB2312"/>
          <w:sz w:val="32"/>
          <w:szCs w:val="21"/>
          <w:u w:val="single"/>
        </w:rPr>
        <w:t>重大事故隐患治理原则：</w:t>
      </w:r>
    </w:p>
    <w:p w14:paraId="36B8B8B2">
      <w:pPr>
        <w:spacing w:beforeLines="0" w:afterLines="0" w:line="540" w:lineRule="exact"/>
        <w:ind w:firstLine="640" w:firstLineChars="200"/>
        <w:rPr>
          <w:rFonts w:hint="default" w:ascii="宋体" w:hAnsi="宋体" w:cs="仿宋_GB2312"/>
          <w:sz w:val="32"/>
          <w:szCs w:val="21"/>
          <w:u w:val="single"/>
        </w:rPr>
      </w:pPr>
      <w:r>
        <w:rPr>
          <w:rFonts w:hint="eastAsia" w:ascii="宋体" w:hAnsi="宋体" w:cs="仿宋_GB2312"/>
          <w:sz w:val="32"/>
          <w:szCs w:val="21"/>
          <w:u w:val="single"/>
        </w:rPr>
        <w:t>对企业自查发现并主动报告、主动整改的重大事故隐患，依法不予处罚；对不检查、不报告、不整改的，监管部门抽查发现重大事故隐患的，依法予以“一案双罚”。</w:t>
      </w:r>
    </w:p>
    <w:p w14:paraId="19F700DC">
      <w:pPr>
        <w:spacing w:beforeLines="0" w:afterLines="0" w:line="330" w:lineRule="exact"/>
        <w:rPr>
          <w:rFonts w:hint="eastAsia" w:ascii="仿宋_GB2312" w:hAnsi="仿宋_GB2312" w:cs="仿宋_GB2312"/>
          <w:sz w:val="32"/>
          <w:szCs w:val="21"/>
        </w:rPr>
        <w:sectPr>
          <w:pgSz w:w="11906" w:h="16838"/>
          <w:pgMar w:top="2098" w:right="1587" w:bottom="2098" w:left="1587" w:header="851" w:footer="992" w:gutter="0"/>
          <w:lnNumType w:countBy="0" w:distance="360"/>
          <w:pgNumType w:fmt="decimal"/>
          <w:cols w:space="720" w:num="1"/>
          <w:rtlGutter w:val="0"/>
          <w:docGrid w:type="lines" w:linePitch="312" w:charSpace="0"/>
        </w:sectPr>
      </w:pPr>
    </w:p>
    <w:p w14:paraId="783E1182">
      <w:pPr>
        <w:spacing w:beforeLines="0" w:afterLines="0" w:line="330" w:lineRule="exact"/>
        <w:rPr>
          <w:rFonts w:hint="eastAsia" w:ascii="黑体" w:hAnsi="黑体" w:eastAsia="黑体" w:cs="黑体"/>
          <w:sz w:val="32"/>
          <w:szCs w:val="21"/>
        </w:rPr>
      </w:pPr>
      <w:r>
        <w:rPr>
          <w:rFonts w:hint="eastAsia" w:ascii="黑体" w:hAnsi="黑体" w:eastAsia="黑体" w:cs="黑体"/>
          <w:sz w:val="32"/>
          <w:szCs w:val="21"/>
        </w:rPr>
        <w:t>附件4</w:t>
      </w:r>
    </w:p>
    <w:p w14:paraId="11689159">
      <w:pPr>
        <w:spacing w:beforeLines="0" w:afterLines="0"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重点任务进展情况调度表</w:t>
      </w:r>
    </w:p>
    <w:tbl>
      <w:tblPr>
        <w:tblStyle w:val="14"/>
        <w:tblW w:w="143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2"/>
        <w:gridCol w:w="962"/>
        <w:gridCol w:w="5625"/>
        <w:gridCol w:w="2450"/>
        <w:gridCol w:w="1124"/>
        <w:gridCol w:w="1110"/>
        <w:gridCol w:w="1054"/>
        <w:gridCol w:w="221"/>
        <w:gridCol w:w="1170"/>
      </w:tblGrid>
      <w:tr w14:paraId="5363A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8" w:hRule="atLeast"/>
          <w:tblHeader/>
        </w:trPr>
        <w:tc>
          <w:tcPr>
            <w:tcW w:w="612" w:type="dxa"/>
            <w:vMerge w:val="restart"/>
            <w:tcBorders>
              <w:top w:val="single" w:color="000000" w:sz="4" w:space="0"/>
              <w:left w:val="single" w:color="000000" w:sz="4" w:space="0"/>
              <w:bottom w:val="nil"/>
              <w:right w:val="single" w:color="000000" w:sz="4" w:space="0"/>
              <w:tl2br w:val="nil"/>
              <w:tr2bl w:val="nil"/>
            </w:tcBorders>
            <w:noWrap/>
            <w:vAlign w:val="center"/>
          </w:tcPr>
          <w:p w14:paraId="73C28382">
            <w:pPr>
              <w:widowControl/>
              <w:spacing w:beforeLines="0" w:afterLines="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序号</w:t>
            </w:r>
          </w:p>
        </w:tc>
        <w:tc>
          <w:tcPr>
            <w:tcW w:w="962" w:type="dxa"/>
            <w:vMerge w:val="restart"/>
            <w:tcBorders>
              <w:top w:val="single" w:color="000000" w:sz="4" w:space="0"/>
              <w:left w:val="single" w:color="000000" w:sz="4" w:space="0"/>
              <w:bottom w:val="nil"/>
              <w:right w:val="single" w:color="000000" w:sz="4" w:space="0"/>
              <w:tl2br w:val="nil"/>
              <w:tr2bl w:val="nil"/>
            </w:tcBorders>
            <w:noWrap/>
            <w:vAlign w:val="center"/>
          </w:tcPr>
          <w:p w14:paraId="6898B78D">
            <w:pPr>
              <w:widowControl/>
              <w:spacing w:beforeLines="0" w:afterLines="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行业领域</w:t>
            </w:r>
          </w:p>
        </w:tc>
        <w:tc>
          <w:tcPr>
            <w:tcW w:w="5625" w:type="dxa"/>
            <w:vMerge w:val="restart"/>
            <w:tcBorders>
              <w:top w:val="single" w:color="000000" w:sz="4" w:space="0"/>
              <w:left w:val="single" w:color="000000" w:sz="4" w:space="0"/>
              <w:bottom w:val="nil"/>
              <w:right w:val="single" w:color="000000" w:sz="4" w:space="0"/>
              <w:tl2br w:val="nil"/>
              <w:tr2bl w:val="nil"/>
            </w:tcBorders>
            <w:noWrap/>
            <w:vAlign w:val="center"/>
          </w:tcPr>
          <w:p w14:paraId="3EC90886">
            <w:pPr>
              <w:widowControl/>
              <w:spacing w:beforeLines="0" w:afterLines="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重点问题隐患整治</w:t>
            </w:r>
          </w:p>
        </w:tc>
        <w:tc>
          <w:tcPr>
            <w:tcW w:w="2450" w:type="dxa"/>
            <w:vMerge w:val="restart"/>
            <w:tcBorders>
              <w:top w:val="single" w:color="000000" w:sz="4" w:space="0"/>
              <w:left w:val="single" w:color="000000" w:sz="4" w:space="0"/>
              <w:bottom w:val="nil"/>
              <w:right w:val="single" w:color="000000" w:sz="4" w:space="0"/>
              <w:tl2br w:val="nil"/>
              <w:tr2bl w:val="nil"/>
            </w:tcBorders>
            <w:noWrap/>
            <w:vAlign w:val="center"/>
          </w:tcPr>
          <w:p w14:paraId="5E40D92B">
            <w:pPr>
              <w:widowControl/>
              <w:spacing w:beforeLines="0" w:afterLines="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夯实基础</w:t>
            </w:r>
          </w:p>
        </w:tc>
        <w:tc>
          <w:tcPr>
            <w:tcW w:w="2234" w:type="dxa"/>
            <w:gridSpan w:val="2"/>
            <w:tcBorders>
              <w:top w:val="single" w:color="000000" w:sz="4" w:space="0"/>
              <w:left w:val="single" w:color="000000" w:sz="4" w:space="0"/>
              <w:bottom w:val="single" w:color="auto" w:sz="4" w:space="0"/>
              <w:right w:val="single" w:color="000000" w:sz="4" w:space="0"/>
              <w:tl2br w:val="nil"/>
              <w:tr2bl w:val="nil"/>
            </w:tcBorders>
            <w:noWrap/>
            <w:vAlign w:val="center"/>
          </w:tcPr>
          <w:p w14:paraId="1CB38D51">
            <w:pPr>
              <w:widowControl/>
              <w:spacing w:beforeLines="0" w:afterLines="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督导检查</w:t>
            </w:r>
          </w:p>
        </w:tc>
        <w:tc>
          <w:tcPr>
            <w:tcW w:w="2445" w:type="dxa"/>
            <w:gridSpan w:val="3"/>
            <w:tcBorders>
              <w:top w:val="single" w:color="000000" w:sz="4" w:space="0"/>
              <w:left w:val="single" w:color="000000" w:sz="4" w:space="0"/>
              <w:bottom w:val="single" w:color="auto" w:sz="4" w:space="0"/>
              <w:right w:val="single" w:color="000000" w:sz="4" w:space="0"/>
              <w:tl2br w:val="nil"/>
              <w:tr2bl w:val="nil"/>
            </w:tcBorders>
            <w:noWrap/>
            <w:vAlign w:val="center"/>
          </w:tcPr>
          <w:p w14:paraId="76F97915">
            <w:pPr>
              <w:widowControl/>
              <w:spacing w:beforeLines="0" w:afterLines="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执法震慑</w:t>
            </w:r>
          </w:p>
        </w:tc>
      </w:tr>
      <w:tr w14:paraId="21287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0" w:hRule="atLeast"/>
          <w:tblHeader/>
        </w:trPr>
        <w:tc>
          <w:tcPr>
            <w:tcW w:w="612" w:type="dxa"/>
            <w:vMerge w:val="continue"/>
            <w:tcBorders>
              <w:top w:val="nil"/>
              <w:left w:val="single" w:color="000000" w:sz="4" w:space="0"/>
              <w:bottom w:val="single" w:color="000000" w:sz="4" w:space="0"/>
              <w:right w:val="single" w:color="000000" w:sz="4" w:space="0"/>
              <w:tl2br w:val="nil"/>
              <w:tr2bl w:val="nil"/>
            </w:tcBorders>
            <w:noWrap/>
            <w:vAlign w:val="center"/>
          </w:tcPr>
          <w:p w14:paraId="4E40DB6C">
            <w:pPr>
              <w:widowControl/>
              <w:spacing w:beforeLines="0" w:afterLines="0"/>
              <w:jc w:val="center"/>
              <w:textAlignment w:val="center"/>
              <w:rPr>
                <w:rFonts w:hint="eastAsia" w:ascii="黑体" w:hAnsi="宋体" w:eastAsia="黑体" w:cs="黑体"/>
                <w:color w:val="000000"/>
                <w:kern w:val="0"/>
                <w:sz w:val="18"/>
                <w:szCs w:val="18"/>
                <w:lang w:bidi="ar"/>
              </w:rPr>
            </w:pPr>
          </w:p>
        </w:tc>
        <w:tc>
          <w:tcPr>
            <w:tcW w:w="962" w:type="dxa"/>
            <w:vMerge w:val="continue"/>
            <w:tcBorders>
              <w:top w:val="nil"/>
              <w:left w:val="single" w:color="000000" w:sz="4" w:space="0"/>
              <w:bottom w:val="single" w:color="000000" w:sz="4" w:space="0"/>
              <w:right w:val="single" w:color="000000" w:sz="4" w:space="0"/>
              <w:tl2br w:val="nil"/>
              <w:tr2bl w:val="nil"/>
            </w:tcBorders>
            <w:noWrap/>
            <w:vAlign w:val="center"/>
          </w:tcPr>
          <w:p w14:paraId="437F56E8">
            <w:pPr>
              <w:widowControl/>
              <w:spacing w:beforeLines="0" w:afterLines="0"/>
              <w:jc w:val="center"/>
              <w:textAlignment w:val="center"/>
              <w:rPr>
                <w:rFonts w:hint="eastAsia" w:ascii="黑体" w:hAnsi="宋体" w:eastAsia="黑体" w:cs="黑体"/>
                <w:color w:val="000000"/>
                <w:kern w:val="0"/>
                <w:sz w:val="18"/>
                <w:szCs w:val="18"/>
                <w:lang w:bidi="ar"/>
              </w:rPr>
            </w:pPr>
          </w:p>
        </w:tc>
        <w:tc>
          <w:tcPr>
            <w:tcW w:w="5625" w:type="dxa"/>
            <w:vMerge w:val="continue"/>
            <w:tcBorders>
              <w:top w:val="nil"/>
              <w:left w:val="single" w:color="000000" w:sz="4" w:space="0"/>
              <w:bottom w:val="single" w:color="000000" w:sz="4" w:space="0"/>
              <w:right w:val="single" w:color="000000" w:sz="4" w:space="0"/>
              <w:tl2br w:val="nil"/>
              <w:tr2bl w:val="nil"/>
            </w:tcBorders>
            <w:noWrap/>
            <w:vAlign w:val="center"/>
          </w:tcPr>
          <w:p w14:paraId="7DAAD141">
            <w:pPr>
              <w:widowControl/>
              <w:spacing w:beforeLines="0" w:afterLines="0"/>
              <w:jc w:val="center"/>
              <w:textAlignment w:val="center"/>
              <w:rPr>
                <w:rFonts w:hint="eastAsia" w:ascii="黑体" w:hAnsi="宋体" w:eastAsia="黑体" w:cs="黑体"/>
                <w:color w:val="000000"/>
                <w:kern w:val="0"/>
                <w:sz w:val="18"/>
                <w:szCs w:val="18"/>
                <w:lang w:bidi="ar"/>
              </w:rPr>
            </w:pPr>
          </w:p>
        </w:tc>
        <w:tc>
          <w:tcPr>
            <w:tcW w:w="2450" w:type="dxa"/>
            <w:vMerge w:val="continue"/>
            <w:tcBorders>
              <w:top w:val="nil"/>
              <w:left w:val="single" w:color="000000" w:sz="4" w:space="0"/>
              <w:bottom w:val="single" w:color="000000" w:sz="4" w:space="0"/>
              <w:right w:val="single" w:color="000000" w:sz="4" w:space="0"/>
              <w:tl2br w:val="nil"/>
              <w:tr2bl w:val="nil"/>
            </w:tcBorders>
            <w:noWrap/>
            <w:vAlign w:val="center"/>
          </w:tcPr>
          <w:p w14:paraId="3861691A">
            <w:pPr>
              <w:widowControl/>
              <w:spacing w:beforeLines="0" w:afterLines="0"/>
              <w:jc w:val="center"/>
              <w:textAlignment w:val="center"/>
              <w:rPr>
                <w:rFonts w:hint="eastAsia" w:ascii="黑体" w:hAnsi="宋体" w:eastAsia="黑体" w:cs="黑体"/>
                <w:color w:val="000000"/>
                <w:kern w:val="0"/>
                <w:sz w:val="18"/>
                <w:szCs w:val="18"/>
                <w:lang w:bidi="ar"/>
              </w:rPr>
            </w:pPr>
          </w:p>
        </w:tc>
        <w:tc>
          <w:tcPr>
            <w:tcW w:w="1124" w:type="dxa"/>
            <w:tcBorders>
              <w:top w:val="single" w:color="auto" w:sz="4" w:space="0"/>
              <w:left w:val="single" w:color="000000" w:sz="4" w:space="0"/>
              <w:bottom w:val="single" w:color="000000" w:sz="4" w:space="0"/>
              <w:right w:val="single" w:color="auto" w:sz="4" w:space="0"/>
              <w:tl2br w:val="nil"/>
              <w:tr2bl w:val="nil"/>
            </w:tcBorders>
            <w:noWrap/>
            <w:vAlign w:val="center"/>
          </w:tcPr>
          <w:p w14:paraId="7275EDDE">
            <w:pPr>
              <w:widowControl/>
              <w:spacing w:beforeLines="0" w:afterLines="0" w:line="240" w:lineRule="exact"/>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分管街道领导督导次数</w:t>
            </w:r>
          </w:p>
        </w:tc>
        <w:tc>
          <w:tcPr>
            <w:tcW w:w="1110" w:type="dxa"/>
            <w:tcBorders>
              <w:top w:val="single" w:color="auto" w:sz="4" w:space="0"/>
              <w:left w:val="single" w:color="auto" w:sz="4" w:space="0"/>
              <w:bottom w:val="single" w:color="000000" w:sz="4" w:space="0"/>
              <w:right w:val="single" w:color="000000" w:sz="4" w:space="0"/>
              <w:tl2br w:val="nil"/>
              <w:tr2bl w:val="nil"/>
            </w:tcBorders>
            <w:noWrap/>
            <w:vAlign w:val="center"/>
          </w:tcPr>
          <w:p w14:paraId="4850885E">
            <w:pPr>
              <w:widowControl/>
              <w:spacing w:beforeLines="0" w:afterLines="0" w:line="240" w:lineRule="exact"/>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村（社区）书记督导次数</w:t>
            </w:r>
          </w:p>
        </w:tc>
        <w:tc>
          <w:tcPr>
            <w:tcW w:w="1275" w:type="dxa"/>
            <w:gridSpan w:val="2"/>
            <w:tcBorders>
              <w:top w:val="single" w:color="auto" w:sz="4" w:space="0"/>
              <w:left w:val="single" w:color="000000" w:sz="4" w:space="0"/>
              <w:bottom w:val="single" w:color="000000" w:sz="4" w:space="0"/>
              <w:right w:val="single" w:color="auto" w:sz="4" w:space="0"/>
              <w:tl2br w:val="nil"/>
              <w:tr2bl w:val="nil"/>
            </w:tcBorders>
            <w:noWrap/>
            <w:vAlign w:val="center"/>
          </w:tcPr>
          <w:p w14:paraId="060DC3C8">
            <w:pPr>
              <w:widowControl/>
              <w:spacing w:beforeLines="0" w:afterLines="0" w:line="240" w:lineRule="exact"/>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曝光隐患排查治理不到位企业家数</w:t>
            </w:r>
          </w:p>
        </w:tc>
        <w:tc>
          <w:tcPr>
            <w:tcW w:w="1170" w:type="dxa"/>
            <w:tcBorders>
              <w:top w:val="single" w:color="auto" w:sz="4" w:space="0"/>
              <w:left w:val="single" w:color="auto" w:sz="4" w:space="0"/>
              <w:bottom w:val="single" w:color="000000" w:sz="4" w:space="0"/>
              <w:right w:val="single" w:color="000000" w:sz="4" w:space="0"/>
              <w:tl2br w:val="nil"/>
              <w:tr2bl w:val="nil"/>
            </w:tcBorders>
            <w:noWrap/>
            <w:vAlign w:val="center"/>
          </w:tcPr>
          <w:p w14:paraId="23A4B530">
            <w:pPr>
              <w:widowControl/>
              <w:spacing w:beforeLines="0" w:afterLines="0" w:line="240" w:lineRule="exact"/>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集中约谈不履行主体责任企业家数</w:t>
            </w:r>
          </w:p>
        </w:tc>
      </w:tr>
      <w:tr w14:paraId="77F55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573" w:hRule="atLeast"/>
        </w:trPr>
        <w:tc>
          <w:tcPr>
            <w:tcW w:w="61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1554E74">
            <w:pPr>
              <w:widowControl/>
              <w:spacing w:beforeLines="0" w:afterLines="0"/>
              <w:jc w:val="center"/>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13BEBE7">
            <w:pPr>
              <w:widowControl/>
              <w:spacing w:beforeLines="0" w:afterLines="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交通领域</w:t>
            </w:r>
          </w:p>
        </w:tc>
        <w:tc>
          <w:tcPr>
            <w:tcW w:w="56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A59DA5">
            <w:pPr>
              <w:widowControl/>
              <w:spacing w:beforeLines="0" w:afterLines="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1.排查运输企业</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家，发现问题隐患</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个，整治问题隐患</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r>
              <w:rPr>
                <w:rFonts w:hint="default" w:ascii="宋体" w:hAnsi="宋体" w:eastAsia="宋体" w:cs="宋体"/>
                <w:color w:val="000000"/>
                <w:kern w:val="0"/>
                <w:sz w:val="18"/>
                <w:szCs w:val="18"/>
                <w:lang w:bidi="ar"/>
              </w:rPr>
              <w:br w:type="textWrapping"/>
            </w:r>
            <w:r>
              <w:rPr>
                <w:rFonts w:hint="default" w:ascii="宋体" w:hAnsi="宋体" w:eastAsia="宋体" w:cs="宋体"/>
                <w:color w:val="000000"/>
                <w:kern w:val="0"/>
                <w:sz w:val="18"/>
                <w:szCs w:val="18"/>
                <w:lang w:bidi="ar"/>
              </w:rPr>
              <w:t>其中问题车辆   辆，整治完成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辆，问题司机</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个，场站问题（含管理）</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r>
              <w:rPr>
                <w:rFonts w:hint="default" w:ascii="宋体" w:hAnsi="宋体" w:eastAsia="宋体" w:cs="宋体"/>
                <w:color w:val="000000"/>
                <w:kern w:val="0"/>
                <w:sz w:val="18"/>
                <w:szCs w:val="18"/>
                <w:lang w:bidi="ar"/>
              </w:rPr>
              <w:br w:type="textWrapping"/>
            </w:r>
            <w:r>
              <w:rPr>
                <w:rFonts w:hint="default" w:ascii="宋体" w:hAnsi="宋体" w:eastAsia="宋体" w:cs="宋体"/>
                <w:color w:val="000000"/>
                <w:kern w:val="0"/>
                <w:sz w:val="18"/>
                <w:szCs w:val="18"/>
                <w:lang w:bidi="ar"/>
              </w:rPr>
              <w:t>2.排查道路发现隐患</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p>
        </w:tc>
        <w:tc>
          <w:tcPr>
            <w:tcW w:w="2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21840F">
            <w:pPr>
              <w:widowControl/>
              <w:spacing w:beforeLines="0" w:afterLines="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推动建设农村公路生命安全防护工程建设</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公里。</w:t>
            </w:r>
          </w:p>
        </w:tc>
        <w:tc>
          <w:tcPr>
            <w:tcW w:w="1124"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72234BFD">
            <w:pPr>
              <w:widowControl/>
              <w:spacing w:beforeLines="0" w:afterLines="0"/>
              <w:jc w:val="left"/>
              <w:textAlignment w:val="center"/>
              <w:rPr>
                <w:rFonts w:hint="default" w:ascii="宋体" w:hAnsi="宋体" w:eastAsia="宋体" w:cs="宋体"/>
                <w:color w:val="000000"/>
                <w:sz w:val="18"/>
                <w:szCs w:val="18"/>
              </w:rPr>
            </w:pPr>
          </w:p>
        </w:tc>
        <w:tc>
          <w:tcPr>
            <w:tcW w:w="1110"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4A7AEE77">
            <w:pPr>
              <w:widowControl/>
              <w:spacing w:beforeLines="0" w:afterLines="0"/>
              <w:jc w:val="left"/>
              <w:textAlignment w:val="center"/>
              <w:rPr>
                <w:rFonts w:hint="default" w:ascii="宋体" w:hAnsi="宋体" w:eastAsia="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8318EE">
            <w:pPr>
              <w:widowControl/>
              <w:spacing w:beforeLines="0" w:afterLines="0"/>
              <w:jc w:val="left"/>
              <w:textAlignment w:val="center"/>
              <w:rPr>
                <w:rFonts w:hint="default" w:ascii="宋体" w:hAnsi="宋体" w:eastAsia="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7F4BA9">
            <w:pPr>
              <w:widowControl/>
              <w:spacing w:beforeLines="0" w:afterLines="0"/>
              <w:jc w:val="left"/>
              <w:textAlignment w:val="center"/>
              <w:rPr>
                <w:rFonts w:hint="default" w:ascii="宋体" w:hAnsi="宋体" w:eastAsia="宋体" w:cs="宋体"/>
                <w:color w:val="000000"/>
                <w:sz w:val="18"/>
                <w:szCs w:val="18"/>
              </w:rPr>
            </w:pPr>
          </w:p>
        </w:tc>
      </w:tr>
      <w:tr w14:paraId="01CBD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573" w:hRule="atLeast"/>
        </w:trPr>
        <w:tc>
          <w:tcPr>
            <w:tcW w:w="61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EAC6EC7">
            <w:pPr>
              <w:widowControl/>
              <w:spacing w:beforeLines="0" w:afterLines="0"/>
              <w:jc w:val="center"/>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D345548">
            <w:pPr>
              <w:widowControl/>
              <w:spacing w:beforeLines="0" w:afterLines="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消防领域</w:t>
            </w:r>
          </w:p>
        </w:tc>
        <w:tc>
          <w:tcPr>
            <w:tcW w:w="56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801BCE">
            <w:pPr>
              <w:widowControl/>
              <w:spacing w:beforeLines="0" w:afterLines="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排查各类场所</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个，发现问题隐患</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个，整治问题隐患</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r>
              <w:rPr>
                <w:rFonts w:hint="default" w:ascii="宋体" w:hAnsi="宋体" w:eastAsia="宋体" w:cs="宋体"/>
                <w:color w:val="000000"/>
                <w:kern w:val="0"/>
                <w:sz w:val="18"/>
                <w:szCs w:val="18"/>
                <w:lang w:bidi="ar"/>
              </w:rPr>
              <w:br w:type="textWrapping"/>
            </w:r>
            <w:r>
              <w:rPr>
                <w:rFonts w:hint="default" w:ascii="宋体" w:hAnsi="宋体" w:eastAsia="宋体" w:cs="宋体"/>
                <w:color w:val="000000"/>
                <w:kern w:val="0"/>
                <w:sz w:val="18"/>
                <w:szCs w:val="18"/>
                <w:lang w:bidi="ar"/>
              </w:rPr>
              <w:t>其中重大隐患</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个，提请管委会挂牌督办</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p>
          <w:p w14:paraId="15575675">
            <w:pPr>
              <w:widowControl/>
              <w:spacing w:beforeLines="0" w:afterLines="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其中开展夜查   次。</w:t>
            </w:r>
          </w:p>
          <w:p w14:paraId="57871710">
            <w:pPr>
              <w:widowControl/>
              <w:spacing w:beforeLines="0" w:afterLines="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其中整治违规住人   处，整治违规电焊   起。</w:t>
            </w:r>
          </w:p>
        </w:tc>
        <w:tc>
          <w:tcPr>
            <w:tcW w:w="2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781F56">
            <w:pPr>
              <w:widowControl/>
              <w:numPr>
                <w:ilvl w:val="0"/>
                <w:numId w:val="0"/>
              </w:numPr>
              <w:spacing w:beforeLines="0" w:afterLines="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1.推动拆除广告牌</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个，拆除防盗网</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r>
              <w:rPr>
                <w:rFonts w:hint="default" w:ascii="宋体" w:hAnsi="宋体" w:eastAsia="宋体" w:cs="宋体"/>
                <w:color w:val="000000"/>
                <w:kern w:val="0"/>
                <w:sz w:val="18"/>
                <w:szCs w:val="18"/>
                <w:lang w:bidi="ar"/>
              </w:rPr>
              <w:br w:type="textWrapping"/>
            </w:r>
            <w:r>
              <w:rPr>
                <w:rFonts w:hint="default" w:ascii="宋体" w:hAnsi="宋体" w:eastAsia="宋体" w:cs="宋体"/>
                <w:color w:val="000000"/>
                <w:kern w:val="0"/>
                <w:sz w:val="18"/>
                <w:szCs w:val="18"/>
                <w:lang w:bidi="ar"/>
              </w:rPr>
              <w:t>2.推动建设电动自行车充电位</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p>
        </w:tc>
        <w:tc>
          <w:tcPr>
            <w:tcW w:w="1124"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401151C0">
            <w:pPr>
              <w:widowControl/>
              <w:spacing w:beforeLines="0" w:afterLines="0"/>
              <w:jc w:val="left"/>
              <w:textAlignment w:val="center"/>
              <w:rPr>
                <w:rFonts w:hint="default" w:ascii="宋体" w:hAnsi="宋体" w:eastAsia="宋体" w:cs="宋体"/>
                <w:color w:val="000000"/>
                <w:sz w:val="18"/>
                <w:szCs w:val="18"/>
              </w:rPr>
            </w:pPr>
          </w:p>
        </w:tc>
        <w:tc>
          <w:tcPr>
            <w:tcW w:w="1110"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216D04C0">
            <w:pPr>
              <w:widowControl/>
              <w:spacing w:beforeLines="0" w:afterLines="0"/>
              <w:jc w:val="left"/>
              <w:textAlignment w:val="center"/>
              <w:rPr>
                <w:rFonts w:hint="default" w:ascii="宋体" w:hAnsi="宋体" w:eastAsia="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50B96C">
            <w:pPr>
              <w:widowControl/>
              <w:spacing w:beforeLines="0" w:afterLines="0"/>
              <w:jc w:val="left"/>
              <w:textAlignment w:val="center"/>
              <w:rPr>
                <w:rFonts w:hint="default" w:ascii="宋体" w:hAnsi="宋体" w:eastAsia="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694906">
            <w:pPr>
              <w:widowControl/>
              <w:spacing w:beforeLines="0" w:afterLines="0"/>
              <w:jc w:val="left"/>
              <w:textAlignment w:val="center"/>
              <w:rPr>
                <w:rFonts w:hint="default" w:ascii="宋体" w:hAnsi="宋体" w:eastAsia="宋体" w:cs="宋体"/>
                <w:color w:val="000000"/>
                <w:sz w:val="18"/>
                <w:szCs w:val="18"/>
              </w:rPr>
            </w:pPr>
          </w:p>
        </w:tc>
      </w:tr>
      <w:tr w14:paraId="65F13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94" w:hRule="atLeast"/>
        </w:trPr>
        <w:tc>
          <w:tcPr>
            <w:tcW w:w="61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6767A49">
            <w:pPr>
              <w:widowControl/>
              <w:spacing w:beforeLines="0" w:afterLines="0"/>
              <w:jc w:val="center"/>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3</w:t>
            </w:r>
          </w:p>
        </w:tc>
        <w:tc>
          <w:tcPr>
            <w:tcW w:w="96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BA1D20F">
            <w:pPr>
              <w:widowControl/>
              <w:spacing w:beforeLines="0" w:afterLines="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危化品领域</w:t>
            </w:r>
          </w:p>
        </w:tc>
        <w:tc>
          <w:tcPr>
            <w:tcW w:w="56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197448">
            <w:pPr>
              <w:widowControl/>
              <w:spacing w:beforeLines="0" w:afterLines="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排查各类场所</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个，发现问题隐患</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个，整治问题隐患</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p>
        </w:tc>
        <w:tc>
          <w:tcPr>
            <w:tcW w:w="2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5B36E3">
            <w:pPr>
              <w:widowControl/>
              <w:spacing w:beforeLines="0" w:afterLines="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开展专家指导服务</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家。</w:t>
            </w:r>
          </w:p>
        </w:tc>
        <w:tc>
          <w:tcPr>
            <w:tcW w:w="1124"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45871768">
            <w:pPr>
              <w:widowControl/>
              <w:spacing w:beforeLines="0" w:afterLines="0"/>
              <w:jc w:val="left"/>
              <w:textAlignment w:val="center"/>
              <w:rPr>
                <w:rFonts w:hint="default" w:ascii="宋体" w:hAnsi="宋体" w:eastAsia="宋体" w:cs="宋体"/>
                <w:color w:val="000000"/>
                <w:sz w:val="18"/>
                <w:szCs w:val="18"/>
              </w:rPr>
            </w:pPr>
          </w:p>
        </w:tc>
        <w:tc>
          <w:tcPr>
            <w:tcW w:w="1110"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0640F67B">
            <w:pPr>
              <w:widowControl/>
              <w:spacing w:beforeLines="0" w:afterLines="0"/>
              <w:jc w:val="left"/>
              <w:textAlignment w:val="center"/>
              <w:rPr>
                <w:rFonts w:hint="default" w:ascii="宋体" w:hAnsi="宋体" w:eastAsia="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3B87D7">
            <w:pPr>
              <w:widowControl/>
              <w:spacing w:beforeLines="0" w:afterLines="0"/>
              <w:jc w:val="left"/>
              <w:textAlignment w:val="center"/>
              <w:rPr>
                <w:rFonts w:hint="default" w:ascii="宋体" w:hAnsi="宋体" w:eastAsia="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011D80">
            <w:pPr>
              <w:widowControl/>
              <w:spacing w:beforeLines="0" w:afterLines="0"/>
              <w:jc w:val="left"/>
              <w:textAlignment w:val="center"/>
              <w:rPr>
                <w:rFonts w:hint="default" w:ascii="宋体" w:hAnsi="宋体" w:eastAsia="宋体" w:cs="宋体"/>
                <w:color w:val="000000"/>
                <w:sz w:val="18"/>
                <w:szCs w:val="18"/>
              </w:rPr>
            </w:pPr>
          </w:p>
        </w:tc>
      </w:tr>
      <w:tr w14:paraId="60E81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9" w:hRule="atLeast"/>
        </w:trPr>
        <w:tc>
          <w:tcPr>
            <w:tcW w:w="61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EA844F4">
            <w:pPr>
              <w:widowControl/>
              <w:spacing w:beforeLines="0" w:afterLines="0"/>
              <w:jc w:val="center"/>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A3995EC">
            <w:pPr>
              <w:widowControl/>
              <w:spacing w:beforeLines="0" w:afterLines="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建筑施工领域</w:t>
            </w:r>
          </w:p>
        </w:tc>
        <w:tc>
          <w:tcPr>
            <w:tcW w:w="56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6DF663">
            <w:pPr>
              <w:widowControl/>
              <w:spacing w:beforeLines="0" w:afterLines="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排查各类场所</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个，发现问题隐患</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个，整治问题隐患</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r>
              <w:rPr>
                <w:rFonts w:hint="default" w:ascii="宋体" w:hAnsi="宋体" w:eastAsia="宋体" w:cs="宋体"/>
                <w:color w:val="000000"/>
                <w:kern w:val="0"/>
                <w:sz w:val="18"/>
                <w:szCs w:val="18"/>
                <w:lang w:bidi="ar"/>
              </w:rPr>
              <w:br w:type="textWrapping"/>
            </w:r>
            <w:r>
              <w:rPr>
                <w:rFonts w:hint="default" w:ascii="宋体" w:hAnsi="宋体" w:eastAsia="宋体" w:cs="宋体"/>
                <w:color w:val="000000"/>
                <w:kern w:val="0"/>
                <w:sz w:val="18"/>
                <w:szCs w:val="18"/>
                <w:lang w:bidi="ar"/>
              </w:rPr>
              <w:t>其中抽查小散工程</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个，发现存在问题</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p>
        </w:tc>
        <w:tc>
          <w:tcPr>
            <w:tcW w:w="2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DCFAE2">
            <w:pPr>
              <w:spacing w:beforeLines="0" w:afterLines="0"/>
              <w:rPr>
                <w:rFonts w:hint="default" w:ascii="宋体" w:hAnsi="宋体" w:eastAsia="宋体" w:cs="宋体"/>
                <w:color w:val="000000"/>
                <w:sz w:val="18"/>
                <w:szCs w:val="18"/>
              </w:rPr>
            </w:pPr>
            <w:r>
              <w:rPr>
                <w:rFonts w:hint="default" w:ascii="宋体" w:hAnsi="宋体" w:eastAsia="宋体" w:cs="宋体"/>
                <w:color w:val="000000"/>
                <w:sz w:val="18"/>
                <w:szCs w:val="18"/>
              </w:rPr>
              <w:t>推动创建标准化工地项目</w:t>
            </w:r>
            <w:r>
              <w:rPr>
                <w:rFonts w:hint="default" w:ascii="宋体" w:hAnsi="宋体" w:eastAsia="宋体" w:cs="宋体"/>
                <w:color w:val="000000"/>
                <w:sz w:val="18"/>
                <w:szCs w:val="18"/>
                <w:u w:val="single"/>
              </w:rPr>
              <w:t xml:space="preserve"> </w:t>
            </w:r>
            <w:r>
              <w:rPr>
                <w:rFonts w:hint="default" w:ascii="宋体" w:hAnsi="宋体" w:eastAsia="宋体" w:cs="宋体"/>
                <w:color w:val="000000"/>
                <w:sz w:val="18"/>
                <w:szCs w:val="18"/>
              </w:rPr>
              <w:t>个。</w:t>
            </w:r>
          </w:p>
        </w:tc>
        <w:tc>
          <w:tcPr>
            <w:tcW w:w="1124"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0B5A7A8F">
            <w:pPr>
              <w:widowControl/>
              <w:spacing w:beforeLines="0" w:afterLines="0"/>
              <w:jc w:val="left"/>
              <w:textAlignment w:val="center"/>
              <w:rPr>
                <w:rFonts w:hint="default" w:ascii="宋体" w:hAnsi="宋体" w:eastAsia="宋体" w:cs="宋体"/>
                <w:color w:val="000000"/>
                <w:sz w:val="18"/>
                <w:szCs w:val="18"/>
              </w:rPr>
            </w:pPr>
          </w:p>
        </w:tc>
        <w:tc>
          <w:tcPr>
            <w:tcW w:w="1110"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3CEA4767">
            <w:pPr>
              <w:widowControl/>
              <w:spacing w:beforeLines="0" w:afterLines="0"/>
              <w:jc w:val="left"/>
              <w:textAlignment w:val="center"/>
              <w:rPr>
                <w:rFonts w:hint="default" w:ascii="宋体" w:hAnsi="宋体" w:eastAsia="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A719D6">
            <w:pPr>
              <w:widowControl/>
              <w:spacing w:beforeLines="0" w:afterLines="0"/>
              <w:jc w:val="left"/>
              <w:textAlignment w:val="center"/>
              <w:rPr>
                <w:rFonts w:hint="default" w:ascii="宋体" w:hAnsi="宋体" w:eastAsia="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3631FB">
            <w:pPr>
              <w:widowControl/>
              <w:spacing w:beforeLines="0" w:afterLines="0"/>
              <w:jc w:val="left"/>
              <w:textAlignment w:val="center"/>
              <w:rPr>
                <w:rFonts w:hint="default" w:ascii="宋体" w:hAnsi="宋体" w:eastAsia="宋体" w:cs="宋体"/>
                <w:color w:val="000000"/>
                <w:sz w:val="18"/>
                <w:szCs w:val="18"/>
              </w:rPr>
            </w:pPr>
          </w:p>
        </w:tc>
      </w:tr>
      <w:tr w14:paraId="2F691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atLeast"/>
        </w:trPr>
        <w:tc>
          <w:tcPr>
            <w:tcW w:w="612"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6986E491">
            <w:pPr>
              <w:widowControl/>
              <w:spacing w:beforeLines="0" w:afterLines="0"/>
              <w:jc w:val="center"/>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5</w:t>
            </w:r>
          </w:p>
        </w:tc>
        <w:tc>
          <w:tcPr>
            <w:tcW w:w="962"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7E561B87">
            <w:pPr>
              <w:widowControl/>
              <w:spacing w:beforeLines="0" w:afterLines="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燃气领域</w:t>
            </w:r>
          </w:p>
        </w:tc>
        <w:tc>
          <w:tcPr>
            <w:tcW w:w="56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681571">
            <w:pPr>
              <w:widowControl/>
              <w:spacing w:beforeLines="0" w:afterLines="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排查燃气长输管道</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公里，发现问题隐患</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p>
        </w:tc>
        <w:tc>
          <w:tcPr>
            <w:tcW w:w="2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028CEC">
            <w:pPr>
              <w:widowControl/>
              <w:spacing w:beforeLines="0" w:afterLines="0"/>
              <w:jc w:val="left"/>
              <w:textAlignment w:val="center"/>
              <w:rPr>
                <w:rFonts w:hint="default" w:ascii="宋体" w:hAnsi="宋体" w:eastAsia="宋体" w:cs="宋体"/>
                <w:color w:val="000000"/>
                <w:sz w:val="18"/>
                <w:szCs w:val="18"/>
              </w:rPr>
            </w:pPr>
          </w:p>
        </w:tc>
        <w:tc>
          <w:tcPr>
            <w:tcW w:w="1124"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3A28D312">
            <w:pPr>
              <w:widowControl/>
              <w:spacing w:beforeLines="0" w:afterLines="0"/>
              <w:jc w:val="left"/>
              <w:textAlignment w:val="center"/>
              <w:rPr>
                <w:rFonts w:hint="default" w:ascii="宋体" w:hAnsi="宋体" w:eastAsia="宋体" w:cs="宋体"/>
                <w:color w:val="000000"/>
                <w:sz w:val="18"/>
                <w:szCs w:val="18"/>
              </w:rPr>
            </w:pPr>
          </w:p>
        </w:tc>
        <w:tc>
          <w:tcPr>
            <w:tcW w:w="1110"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5A38316E">
            <w:pPr>
              <w:widowControl/>
              <w:spacing w:beforeLines="0" w:afterLines="0"/>
              <w:jc w:val="left"/>
              <w:textAlignment w:val="center"/>
              <w:rPr>
                <w:rFonts w:hint="default" w:ascii="宋体" w:hAnsi="宋体" w:eastAsia="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D20417">
            <w:pPr>
              <w:widowControl/>
              <w:spacing w:beforeLines="0" w:afterLines="0"/>
              <w:jc w:val="left"/>
              <w:textAlignment w:val="center"/>
              <w:rPr>
                <w:rFonts w:hint="default" w:ascii="宋体" w:hAnsi="宋体" w:eastAsia="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72D85B">
            <w:pPr>
              <w:widowControl/>
              <w:spacing w:beforeLines="0" w:afterLines="0"/>
              <w:jc w:val="left"/>
              <w:textAlignment w:val="center"/>
              <w:rPr>
                <w:rFonts w:hint="default" w:ascii="宋体" w:hAnsi="宋体" w:eastAsia="宋体" w:cs="宋体"/>
                <w:color w:val="000000"/>
                <w:sz w:val="18"/>
                <w:szCs w:val="18"/>
              </w:rPr>
            </w:pPr>
          </w:p>
        </w:tc>
      </w:tr>
      <w:tr w14:paraId="087C7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66" w:hRule="atLeast"/>
        </w:trPr>
        <w:tc>
          <w:tcPr>
            <w:tcW w:w="612"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5DB3740">
            <w:pPr>
              <w:spacing w:beforeLines="0" w:afterLines="0"/>
              <w:jc w:val="center"/>
              <w:rPr>
                <w:rFonts w:hint="default" w:ascii="宋体" w:hAnsi="宋体" w:eastAsia="宋体" w:cs="宋体"/>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53A94CE0">
            <w:pPr>
              <w:spacing w:beforeLines="0" w:afterLines="0"/>
              <w:rPr>
                <w:rFonts w:hint="default" w:ascii="宋体" w:hAnsi="宋体" w:eastAsia="宋体" w:cs="宋体"/>
                <w:color w:val="000000"/>
                <w:sz w:val="18"/>
                <w:szCs w:val="18"/>
              </w:rPr>
            </w:pPr>
          </w:p>
        </w:tc>
        <w:tc>
          <w:tcPr>
            <w:tcW w:w="56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4CEF0A">
            <w:pPr>
              <w:widowControl/>
              <w:spacing w:beforeLines="0" w:afterLines="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排查各类城镇燃气经营、使用场所</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个，发现问题隐患</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p>
        </w:tc>
        <w:tc>
          <w:tcPr>
            <w:tcW w:w="2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F5269E">
            <w:pPr>
              <w:widowControl/>
              <w:spacing w:beforeLines="0" w:afterLines="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完成燃气庭院管道更新改造</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公里。</w:t>
            </w:r>
          </w:p>
        </w:tc>
        <w:tc>
          <w:tcPr>
            <w:tcW w:w="1124"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260BD7C2">
            <w:pPr>
              <w:widowControl/>
              <w:spacing w:beforeLines="0" w:afterLines="0"/>
              <w:jc w:val="left"/>
              <w:textAlignment w:val="center"/>
              <w:rPr>
                <w:rFonts w:hint="default" w:ascii="宋体" w:hAnsi="宋体" w:eastAsia="宋体" w:cs="宋体"/>
                <w:color w:val="000000"/>
                <w:sz w:val="18"/>
                <w:szCs w:val="18"/>
              </w:rPr>
            </w:pPr>
          </w:p>
        </w:tc>
        <w:tc>
          <w:tcPr>
            <w:tcW w:w="1110"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2587CA26">
            <w:pPr>
              <w:widowControl/>
              <w:spacing w:beforeLines="0" w:afterLines="0"/>
              <w:jc w:val="left"/>
              <w:textAlignment w:val="center"/>
              <w:rPr>
                <w:rFonts w:hint="default" w:ascii="宋体" w:hAnsi="宋体" w:eastAsia="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6E00FB">
            <w:pPr>
              <w:widowControl/>
              <w:spacing w:beforeLines="0" w:afterLines="0"/>
              <w:jc w:val="left"/>
              <w:textAlignment w:val="center"/>
              <w:rPr>
                <w:rFonts w:hint="default" w:ascii="宋体" w:hAnsi="宋体" w:eastAsia="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160F02">
            <w:pPr>
              <w:widowControl/>
              <w:spacing w:beforeLines="0" w:afterLines="0"/>
              <w:jc w:val="left"/>
              <w:textAlignment w:val="center"/>
              <w:rPr>
                <w:rFonts w:hint="default" w:ascii="宋体" w:hAnsi="宋体" w:eastAsia="宋体" w:cs="宋体"/>
                <w:color w:val="000000"/>
                <w:sz w:val="18"/>
                <w:szCs w:val="18"/>
              </w:rPr>
            </w:pPr>
          </w:p>
        </w:tc>
      </w:tr>
      <w:tr w14:paraId="30D74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48" w:hRule="atLeast"/>
        </w:trPr>
        <w:tc>
          <w:tcPr>
            <w:tcW w:w="61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6B868D4">
            <w:pPr>
              <w:widowControl/>
              <w:spacing w:beforeLines="0" w:afterLines="0"/>
              <w:jc w:val="center"/>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6</w:t>
            </w:r>
          </w:p>
        </w:tc>
        <w:tc>
          <w:tcPr>
            <w:tcW w:w="96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0DF7787">
            <w:pPr>
              <w:widowControl/>
              <w:spacing w:beforeLines="0" w:afterLines="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城市运行</w:t>
            </w:r>
          </w:p>
        </w:tc>
        <w:tc>
          <w:tcPr>
            <w:tcW w:w="56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5DA06C">
            <w:pPr>
              <w:widowControl/>
              <w:spacing w:beforeLines="0" w:afterLines="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排查桥梁</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座，发现问题</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座，整治完成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 xml:space="preserve">  座，排查城市道路</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公里，发现地下空洞</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 xml:space="preserve"> 处。</w:t>
            </w:r>
            <w:r>
              <w:rPr>
                <w:rFonts w:hint="default" w:ascii="宋体" w:hAnsi="宋体" w:eastAsia="宋体" w:cs="宋体"/>
                <w:color w:val="000000"/>
                <w:kern w:val="0"/>
                <w:sz w:val="18"/>
                <w:szCs w:val="18"/>
                <w:lang w:bidi="ar"/>
              </w:rPr>
              <w:br w:type="textWrapping"/>
            </w:r>
            <w:r>
              <w:rPr>
                <w:rFonts w:hint="default" w:ascii="宋体" w:hAnsi="宋体" w:eastAsia="宋体" w:cs="宋体"/>
                <w:color w:val="000000"/>
                <w:kern w:val="0"/>
                <w:sz w:val="18"/>
                <w:szCs w:val="18"/>
                <w:lang w:bidi="ar"/>
              </w:rPr>
              <w:t>排查经营性自建房</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栋，发现存在问题</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栋，整治完成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栋。</w:t>
            </w:r>
          </w:p>
          <w:p w14:paraId="31E09FD4">
            <w:pPr>
              <w:widowControl/>
              <w:spacing w:beforeLines="0" w:afterLines="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排查供水管网</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公里，发现存在问题</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p>
        </w:tc>
        <w:tc>
          <w:tcPr>
            <w:tcW w:w="2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AA227C">
            <w:pPr>
              <w:spacing w:beforeLines="0" w:afterLines="0"/>
              <w:rPr>
                <w:rFonts w:hint="default" w:ascii="宋体" w:hAnsi="宋体" w:eastAsia="宋体" w:cs="宋体"/>
                <w:color w:val="000000"/>
                <w:sz w:val="18"/>
                <w:szCs w:val="18"/>
              </w:rPr>
            </w:pPr>
          </w:p>
        </w:tc>
        <w:tc>
          <w:tcPr>
            <w:tcW w:w="1124"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2DF804DB">
            <w:pPr>
              <w:widowControl/>
              <w:spacing w:beforeLines="0" w:afterLines="0"/>
              <w:jc w:val="left"/>
              <w:textAlignment w:val="center"/>
              <w:rPr>
                <w:rFonts w:hint="default" w:ascii="宋体" w:hAnsi="宋体" w:eastAsia="宋体" w:cs="宋体"/>
                <w:color w:val="000000"/>
                <w:sz w:val="18"/>
                <w:szCs w:val="18"/>
              </w:rPr>
            </w:pPr>
          </w:p>
        </w:tc>
        <w:tc>
          <w:tcPr>
            <w:tcW w:w="1110"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26167432">
            <w:pPr>
              <w:widowControl/>
              <w:spacing w:beforeLines="0" w:afterLines="0"/>
              <w:jc w:val="left"/>
              <w:textAlignment w:val="center"/>
              <w:rPr>
                <w:rFonts w:hint="default" w:ascii="宋体" w:hAnsi="宋体" w:eastAsia="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F02BC3">
            <w:pPr>
              <w:widowControl/>
              <w:spacing w:beforeLines="0" w:afterLines="0"/>
              <w:jc w:val="left"/>
              <w:textAlignment w:val="center"/>
              <w:rPr>
                <w:rFonts w:hint="default" w:ascii="宋体" w:hAnsi="宋体" w:eastAsia="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C3248C">
            <w:pPr>
              <w:widowControl/>
              <w:spacing w:beforeLines="0" w:afterLines="0"/>
              <w:jc w:val="left"/>
              <w:textAlignment w:val="center"/>
              <w:rPr>
                <w:rFonts w:hint="default" w:ascii="宋体" w:hAnsi="宋体" w:eastAsia="宋体" w:cs="宋体"/>
                <w:color w:val="000000"/>
                <w:sz w:val="18"/>
                <w:szCs w:val="18"/>
              </w:rPr>
            </w:pPr>
          </w:p>
        </w:tc>
      </w:tr>
      <w:tr w14:paraId="50B93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58" w:hRule="atLeast"/>
        </w:trPr>
        <w:tc>
          <w:tcPr>
            <w:tcW w:w="61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8CF360E">
            <w:pPr>
              <w:widowControl/>
              <w:spacing w:beforeLines="0" w:afterLines="0"/>
              <w:jc w:val="center"/>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7</w:t>
            </w:r>
          </w:p>
        </w:tc>
        <w:tc>
          <w:tcPr>
            <w:tcW w:w="96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8C48979">
            <w:pPr>
              <w:widowControl/>
              <w:spacing w:beforeLines="0" w:afterLines="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文化旅游</w:t>
            </w:r>
          </w:p>
        </w:tc>
        <w:tc>
          <w:tcPr>
            <w:tcW w:w="56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C4C0B6">
            <w:pPr>
              <w:widowControl/>
              <w:spacing w:beforeLines="0" w:afterLines="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排查旅游项目</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个，发现问题</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r>
              <w:rPr>
                <w:rFonts w:hint="default" w:ascii="宋体" w:hAnsi="宋体" w:eastAsia="宋体" w:cs="宋体"/>
                <w:color w:val="000000"/>
                <w:kern w:val="0"/>
                <w:sz w:val="18"/>
                <w:szCs w:val="18"/>
                <w:lang w:bidi="ar"/>
              </w:rPr>
              <w:br w:type="textWrapping"/>
            </w:r>
            <w:r>
              <w:rPr>
                <w:rFonts w:hint="default" w:ascii="宋体" w:hAnsi="宋体" w:eastAsia="宋体" w:cs="宋体"/>
                <w:color w:val="000000"/>
                <w:kern w:val="0"/>
                <w:sz w:val="18"/>
                <w:szCs w:val="18"/>
                <w:lang w:bidi="ar"/>
              </w:rPr>
              <w:t>排查无人值守的文化娱乐、体育、旅游场所</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处，发现问题</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p>
        </w:tc>
        <w:tc>
          <w:tcPr>
            <w:tcW w:w="2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435688">
            <w:pPr>
              <w:spacing w:beforeLines="0" w:afterLines="0"/>
              <w:rPr>
                <w:rFonts w:hint="default" w:ascii="宋体" w:hAnsi="宋体" w:eastAsia="宋体" w:cs="宋体"/>
                <w:color w:val="000000"/>
                <w:sz w:val="18"/>
                <w:szCs w:val="18"/>
              </w:rPr>
            </w:pPr>
            <w:r>
              <w:rPr>
                <w:rFonts w:hint="default" w:ascii="宋体" w:hAnsi="宋体" w:eastAsia="宋体" w:cs="宋体"/>
                <w:color w:val="000000"/>
                <w:sz w:val="18"/>
                <w:szCs w:val="18"/>
              </w:rPr>
              <w:t>落实“一活动一方案”的大型活动</w:t>
            </w:r>
            <w:r>
              <w:rPr>
                <w:rFonts w:hint="default" w:ascii="宋体" w:hAnsi="宋体" w:eastAsia="宋体" w:cs="宋体"/>
                <w:color w:val="000000"/>
                <w:sz w:val="18"/>
                <w:szCs w:val="18"/>
                <w:u w:val="single"/>
              </w:rPr>
              <w:t xml:space="preserve">   </w:t>
            </w:r>
            <w:r>
              <w:rPr>
                <w:rFonts w:hint="default" w:ascii="宋体" w:hAnsi="宋体" w:eastAsia="宋体" w:cs="宋体"/>
                <w:color w:val="000000"/>
                <w:sz w:val="18"/>
                <w:szCs w:val="18"/>
              </w:rPr>
              <w:t>个，停运不能满足安全条件的设备</w:t>
            </w:r>
            <w:r>
              <w:rPr>
                <w:rFonts w:hint="default" w:ascii="宋体" w:hAnsi="宋体" w:eastAsia="宋体" w:cs="宋体"/>
                <w:color w:val="000000"/>
                <w:sz w:val="18"/>
                <w:szCs w:val="18"/>
                <w:u w:val="single"/>
              </w:rPr>
              <w:t xml:space="preserve">   </w:t>
            </w:r>
            <w:r>
              <w:rPr>
                <w:rFonts w:hint="default" w:ascii="宋体" w:hAnsi="宋体" w:eastAsia="宋体" w:cs="宋体"/>
                <w:color w:val="000000"/>
                <w:sz w:val="18"/>
                <w:szCs w:val="18"/>
              </w:rPr>
              <w:t>个。</w:t>
            </w:r>
          </w:p>
        </w:tc>
        <w:tc>
          <w:tcPr>
            <w:tcW w:w="1124"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5335F878">
            <w:pPr>
              <w:widowControl/>
              <w:spacing w:beforeLines="0" w:afterLines="0"/>
              <w:jc w:val="left"/>
              <w:textAlignment w:val="center"/>
              <w:rPr>
                <w:rFonts w:hint="default" w:ascii="宋体" w:hAnsi="宋体" w:eastAsia="宋体" w:cs="宋体"/>
                <w:color w:val="000000"/>
                <w:sz w:val="18"/>
                <w:szCs w:val="18"/>
              </w:rPr>
            </w:pPr>
          </w:p>
        </w:tc>
        <w:tc>
          <w:tcPr>
            <w:tcW w:w="1110"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6844B674">
            <w:pPr>
              <w:widowControl/>
              <w:spacing w:beforeLines="0" w:afterLines="0"/>
              <w:jc w:val="left"/>
              <w:textAlignment w:val="center"/>
              <w:rPr>
                <w:rFonts w:hint="default" w:ascii="宋体" w:hAnsi="宋体" w:eastAsia="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AF27F4">
            <w:pPr>
              <w:widowControl/>
              <w:spacing w:beforeLines="0" w:afterLines="0"/>
              <w:jc w:val="left"/>
              <w:textAlignment w:val="center"/>
              <w:rPr>
                <w:rFonts w:hint="default" w:ascii="宋体" w:hAnsi="宋体" w:eastAsia="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7E53BD">
            <w:pPr>
              <w:widowControl/>
              <w:spacing w:beforeLines="0" w:afterLines="0"/>
              <w:jc w:val="left"/>
              <w:textAlignment w:val="center"/>
              <w:rPr>
                <w:rFonts w:hint="default" w:ascii="宋体" w:hAnsi="宋体" w:eastAsia="宋体" w:cs="宋体"/>
                <w:color w:val="000000"/>
                <w:sz w:val="18"/>
                <w:szCs w:val="18"/>
              </w:rPr>
            </w:pPr>
          </w:p>
        </w:tc>
      </w:tr>
      <w:tr w14:paraId="07D35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00" w:hRule="atLeast"/>
        </w:trPr>
        <w:tc>
          <w:tcPr>
            <w:tcW w:w="61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6ACB824">
            <w:pPr>
              <w:widowControl/>
              <w:spacing w:beforeLines="0" w:afterLines="0"/>
              <w:jc w:val="center"/>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8</w:t>
            </w:r>
          </w:p>
        </w:tc>
        <w:tc>
          <w:tcPr>
            <w:tcW w:w="96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1F3D938">
            <w:pPr>
              <w:widowControl/>
              <w:spacing w:beforeLines="0" w:afterLines="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特种设备领域</w:t>
            </w:r>
          </w:p>
        </w:tc>
        <w:tc>
          <w:tcPr>
            <w:tcW w:w="56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0E9747">
            <w:pPr>
              <w:widowControl/>
              <w:spacing w:beforeLines="0" w:afterLines="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排查电梯</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部，发现问题</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r>
              <w:rPr>
                <w:rFonts w:hint="default" w:ascii="宋体" w:hAnsi="宋体" w:eastAsia="宋体" w:cs="宋体"/>
                <w:color w:val="000000"/>
                <w:kern w:val="0"/>
                <w:sz w:val="18"/>
                <w:szCs w:val="18"/>
                <w:lang w:bidi="ar"/>
              </w:rPr>
              <w:br w:type="textWrapping"/>
            </w:r>
            <w:r>
              <w:rPr>
                <w:rFonts w:hint="default" w:ascii="宋体" w:hAnsi="宋体" w:eastAsia="宋体" w:cs="宋体"/>
                <w:color w:val="000000"/>
                <w:kern w:val="0"/>
                <w:sz w:val="18"/>
                <w:szCs w:val="18"/>
                <w:lang w:bidi="ar"/>
              </w:rPr>
              <w:t>排查冷库压力容器</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个，发现问题</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p>
        </w:tc>
        <w:tc>
          <w:tcPr>
            <w:tcW w:w="2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692AF1">
            <w:pPr>
              <w:spacing w:beforeLines="0" w:afterLines="0"/>
              <w:rPr>
                <w:rFonts w:hint="default" w:ascii="宋体" w:hAnsi="宋体" w:eastAsia="宋体" w:cs="宋体"/>
                <w:color w:val="000000"/>
                <w:sz w:val="18"/>
                <w:szCs w:val="18"/>
              </w:rPr>
            </w:pPr>
          </w:p>
        </w:tc>
        <w:tc>
          <w:tcPr>
            <w:tcW w:w="1124"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78933324">
            <w:pPr>
              <w:widowControl/>
              <w:spacing w:beforeLines="0" w:afterLines="0"/>
              <w:jc w:val="left"/>
              <w:textAlignment w:val="center"/>
              <w:rPr>
                <w:rFonts w:hint="default" w:ascii="宋体" w:hAnsi="宋体" w:eastAsia="宋体" w:cs="宋体"/>
                <w:color w:val="000000"/>
                <w:sz w:val="18"/>
                <w:szCs w:val="18"/>
              </w:rPr>
            </w:pPr>
          </w:p>
        </w:tc>
        <w:tc>
          <w:tcPr>
            <w:tcW w:w="1110"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0AEBEC86">
            <w:pPr>
              <w:widowControl/>
              <w:spacing w:beforeLines="0" w:afterLines="0"/>
              <w:jc w:val="left"/>
              <w:textAlignment w:val="center"/>
              <w:rPr>
                <w:rFonts w:hint="default" w:ascii="宋体" w:hAnsi="宋体" w:eastAsia="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4FB756">
            <w:pPr>
              <w:widowControl/>
              <w:spacing w:beforeLines="0" w:afterLines="0"/>
              <w:jc w:val="left"/>
              <w:textAlignment w:val="center"/>
              <w:rPr>
                <w:rFonts w:hint="default" w:ascii="宋体" w:hAnsi="宋体" w:eastAsia="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6F35DE">
            <w:pPr>
              <w:widowControl/>
              <w:spacing w:beforeLines="0" w:afterLines="0"/>
              <w:jc w:val="left"/>
              <w:textAlignment w:val="center"/>
              <w:rPr>
                <w:rFonts w:hint="default" w:ascii="宋体" w:hAnsi="宋体" w:eastAsia="宋体" w:cs="宋体"/>
                <w:color w:val="000000"/>
                <w:sz w:val="18"/>
                <w:szCs w:val="18"/>
              </w:rPr>
            </w:pPr>
          </w:p>
        </w:tc>
      </w:tr>
      <w:tr w14:paraId="5C5E2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513" w:hRule="atLeast"/>
        </w:trPr>
        <w:tc>
          <w:tcPr>
            <w:tcW w:w="61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E6493BB">
            <w:pPr>
              <w:widowControl/>
              <w:spacing w:beforeLines="0" w:afterLines="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rPr>
              <w:t>9</w:t>
            </w:r>
          </w:p>
        </w:tc>
        <w:tc>
          <w:tcPr>
            <w:tcW w:w="9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538D61">
            <w:pPr>
              <w:widowControl/>
              <w:spacing w:beforeLines="0" w:afterLines="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极端天气下自然灾害风险</w:t>
            </w:r>
          </w:p>
        </w:tc>
        <w:tc>
          <w:tcPr>
            <w:tcW w:w="56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C112EA">
            <w:pPr>
              <w:widowControl/>
              <w:spacing w:beforeLines="0" w:afterLines="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排查地质灾害，山塘水库、水电站</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处，发现问题隐患</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p>
          <w:p w14:paraId="7ABD8F3C">
            <w:pPr>
              <w:widowControl/>
              <w:spacing w:beforeLines="0" w:afterLines="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整治城市内涝点</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处。</w:t>
            </w:r>
          </w:p>
          <w:p w14:paraId="0C1A2D4C">
            <w:pPr>
              <w:widowControl/>
              <w:spacing w:beforeLines="0" w:afterLines="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落实“631”叫应机制，及时转移人员</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p>
        </w:tc>
        <w:tc>
          <w:tcPr>
            <w:tcW w:w="2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D7AF8E">
            <w:pPr>
              <w:widowControl/>
              <w:spacing w:beforeLines="0" w:afterLines="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开展巨灾情景构建</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次。</w:t>
            </w:r>
          </w:p>
        </w:tc>
        <w:tc>
          <w:tcPr>
            <w:tcW w:w="1124"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161A2EAB">
            <w:pPr>
              <w:widowControl/>
              <w:spacing w:beforeLines="0" w:afterLines="0"/>
              <w:jc w:val="left"/>
              <w:textAlignment w:val="center"/>
              <w:rPr>
                <w:rFonts w:hint="default" w:ascii="宋体" w:hAnsi="宋体" w:eastAsia="宋体" w:cs="宋体"/>
                <w:color w:val="000000"/>
                <w:sz w:val="18"/>
                <w:szCs w:val="18"/>
              </w:rPr>
            </w:pPr>
          </w:p>
        </w:tc>
        <w:tc>
          <w:tcPr>
            <w:tcW w:w="1110"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1F73E886">
            <w:pPr>
              <w:widowControl/>
              <w:spacing w:beforeLines="0" w:afterLines="0"/>
              <w:jc w:val="left"/>
              <w:textAlignment w:val="center"/>
              <w:rPr>
                <w:rFonts w:hint="default" w:ascii="宋体" w:hAnsi="宋体" w:eastAsia="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517CB6">
            <w:pPr>
              <w:widowControl/>
              <w:spacing w:beforeLines="0" w:afterLines="0"/>
              <w:jc w:val="left"/>
              <w:textAlignment w:val="center"/>
              <w:rPr>
                <w:rFonts w:hint="default" w:ascii="宋体" w:hAnsi="宋体" w:eastAsia="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F430B5">
            <w:pPr>
              <w:widowControl/>
              <w:spacing w:beforeLines="0" w:afterLines="0"/>
              <w:jc w:val="left"/>
              <w:textAlignment w:val="center"/>
              <w:rPr>
                <w:rFonts w:hint="default" w:ascii="宋体" w:hAnsi="宋体" w:eastAsia="宋体" w:cs="宋体"/>
                <w:color w:val="000000"/>
                <w:sz w:val="18"/>
                <w:szCs w:val="18"/>
              </w:rPr>
            </w:pPr>
          </w:p>
        </w:tc>
      </w:tr>
      <w:tr w14:paraId="1DB57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31" w:hRule="atLeast"/>
        </w:trPr>
        <w:tc>
          <w:tcPr>
            <w:tcW w:w="61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C38C4C9">
            <w:pPr>
              <w:widowControl/>
              <w:spacing w:beforeLines="0" w:afterLines="0"/>
              <w:jc w:val="center"/>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10</w:t>
            </w:r>
          </w:p>
        </w:tc>
        <w:tc>
          <w:tcPr>
            <w:tcW w:w="9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E3711E">
            <w:pPr>
              <w:widowControl/>
              <w:spacing w:beforeLines="0" w:afterLines="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森林防火</w:t>
            </w:r>
          </w:p>
        </w:tc>
        <w:tc>
          <w:tcPr>
            <w:tcW w:w="56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3D51CD">
            <w:pPr>
              <w:widowControl/>
              <w:spacing w:beforeLines="0" w:afterLines="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全区安排</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人次开展巡查，安排</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人次在卡口进行检查，打击野外非法用火</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起，清理林缘地带、防火隔离带可燃物</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处。</w:t>
            </w:r>
          </w:p>
        </w:tc>
        <w:tc>
          <w:tcPr>
            <w:tcW w:w="2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577F75">
            <w:pPr>
              <w:widowControl/>
              <w:spacing w:beforeLines="0" w:afterLines="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对林区</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处重要目标、重要设施进行摸底建档。</w:t>
            </w:r>
          </w:p>
        </w:tc>
        <w:tc>
          <w:tcPr>
            <w:tcW w:w="1124"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6F478289">
            <w:pPr>
              <w:widowControl/>
              <w:spacing w:beforeLines="0" w:afterLines="0"/>
              <w:jc w:val="left"/>
              <w:textAlignment w:val="center"/>
              <w:rPr>
                <w:rFonts w:hint="default" w:ascii="宋体" w:hAnsi="宋体" w:eastAsia="宋体" w:cs="宋体"/>
                <w:color w:val="000000"/>
                <w:sz w:val="18"/>
                <w:szCs w:val="18"/>
              </w:rPr>
            </w:pPr>
          </w:p>
        </w:tc>
        <w:tc>
          <w:tcPr>
            <w:tcW w:w="1110"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337FB621">
            <w:pPr>
              <w:widowControl/>
              <w:spacing w:beforeLines="0" w:afterLines="0"/>
              <w:jc w:val="left"/>
              <w:textAlignment w:val="center"/>
              <w:rPr>
                <w:rFonts w:hint="default" w:ascii="宋体" w:hAnsi="宋体" w:eastAsia="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0ADB30">
            <w:pPr>
              <w:widowControl/>
              <w:spacing w:beforeLines="0" w:afterLines="0"/>
              <w:jc w:val="left"/>
              <w:textAlignment w:val="center"/>
              <w:rPr>
                <w:rFonts w:hint="default" w:ascii="宋体" w:hAnsi="宋体" w:eastAsia="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08ACB9">
            <w:pPr>
              <w:widowControl/>
              <w:spacing w:beforeLines="0" w:afterLines="0"/>
              <w:jc w:val="left"/>
              <w:textAlignment w:val="center"/>
              <w:rPr>
                <w:rFonts w:hint="default" w:ascii="宋体" w:hAnsi="宋体" w:eastAsia="宋体" w:cs="宋体"/>
                <w:color w:val="000000"/>
                <w:sz w:val="18"/>
                <w:szCs w:val="18"/>
              </w:rPr>
            </w:pPr>
          </w:p>
        </w:tc>
      </w:tr>
      <w:tr w14:paraId="355AB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1391" w:type="dxa"/>
          <w:trHeight w:val="691" w:hRule="atLeast"/>
        </w:trPr>
        <w:tc>
          <w:tcPr>
            <w:tcW w:w="12937" w:type="dxa"/>
            <w:gridSpan w:val="7"/>
            <w:tcBorders>
              <w:top w:val="nil"/>
              <w:left w:val="nil"/>
              <w:bottom w:val="nil"/>
              <w:right w:val="nil"/>
              <w:tl2br w:val="nil"/>
              <w:tr2bl w:val="nil"/>
            </w:tcBorders>
            <w:noWrap/>
            <w:vAlign w:val="center"/>
          </w:tcPr>
          <w:p w14:paraId="3EA11ACE">
            <w:pPr>
              <w:widowControl/>
              <w:spacing w:beforeLines="0" w:afterLines="0"/>
              <w:jc w:val="left"/>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rPr>
              <w:t>备注：与治本攻坚三年行动、压实企业主体责任两项工作同步进行调度。</w:t>
            </w:r>
          </w:p>
        </w:tc>
      </w:tr>
    </w:tbl>
    <w:p w14:paraId="10C06569">
      <w:pPr>
        <w:tabs>
          <w:tab w:val="left" w:pos="759"/>
        </w:tabs>
        <w:bidi w:val="0"/>
        <w:jc w:val="left"/>
        <w:rPr>
          <w:rFonts w:hint="eastAsia"/>
          <w:lang w:val="en-US" w:eastAsia="zh-CN"/>
        </w:rPr>
      </w:pPr>
    </w:p>
    <w:p w14:paraId="576EE5FB">
      <w:pPr>
        <w:tabs>
          <w:tab w:val="left" w:pos="759"/>
        </w:tabs>
        <w:bidi w:val="0"/>
        <w:jc w:val="left"/>
        <w:rPr>
          <w:rFonts w:hint="eastAsia"/>
          <w:lang w:val="en-US" w:eastAsia="zh-CN"/>
        </w:rPr>
      </w:pPr>
    </w:p>
    <w:p w14:paraId="77A36E72">
      <w:pPr>
        <w:tabs>
          <w:tab w:val="left" w:pos="759"/>
        </w:tabs>
        <w:bidi w:val="0"/>
        <w:jc w:val="left"/>
        <w:rPr>
          <w:rFonts w:hint="eastAsia"/>
          <w:lang w:val="en-US" w:eastAsia="zh-CN"/>
        </w:rPr>
      </w:pPr>
    </w:p>
    <w:p w14:paraId="622F6608">
      <w:pPr>
        <w:tabs>
          <w:tab w:val="left" w:pos="759"/>
        </w:tabs>
        <w:bidi w:val="0"/>
        <w:jc w:val="left"/>
        <w:rPr>
          <w:rFonts w:hint="eastAsia"/>
          <w:lang w:val="en-US" w:eastAsia="zh-CN"/>
        </w:rPr>
      </w:pPr>
    </w:p>
    <w:p w14:paraId="2DC7E0E7">
      <w:pPr>
        <w:tabs>
          <w:tab w:val="left" w:pos="759"/>
        </w:tabs>
        <w:bidi w:val="0"/>
        <w:jc w:val="left"/>
        <w:rPr>
          <w:rFonts w:hint="eastAsia"/>
          <w:lang w:val="en-US" w:eastAsia="zh-CN"/>
        </w:rPr>
      </w:pPr>
    </w:p>
    <w:p w14:paraId="6022060C">
      <w:pPr>
        <w:tabs>
          <w:tab w:val="left" w:pos="1726"/>
        </w:tabs>
        <w:bidi w:val="0"/>
        <w:jc w:val="left"/>
        <w:rPr>
          <w:rFonts w:hint="eastAsia"/>
          <w:lang w:val="en-US" w:eastAsia="zh-CN"/>
        </w:rPr>
      </w:pPr>
    </w:p>
    <w:p w14:paraId="6D0CD0AC">
      <w:pPr>
        <w:pStyle w:val="2"/>
        <w:rPr>
          <w:rFonts w:hint="eastAsia"/>
          <w:lang w:val="en-US" w:eastAsia="zh-CN"/>
        </w:rPr>
      </w:pPr>
    </w:p>
    <w:p w14:paraId="4904FDD2">
      <w:pPr>
        <w:rPr>
          <w:rFonts w:hint="eastAsia"/>
          <w:lang w:val="en-US" w:eastAsia="zh-CN"/>
        </w:rPr>
      </w:pPr>
    </w:p>
    <w:p w14:paraId="15FE03AF">
      <w:pPr>
        <w:pStyle w:val="2"/>
        <w:rPr>
          <w:rFonts w:hint="eastAsia"/>
          <w:lang w:val="en-US" w:eastAsia="zh-CN"/>
        </w:rPr>
      </w:pPr>
    </w:p>
    <w:p w14:paraId="618DA2BE">
      <w:pPr>
        <w:rPr>
          <w:rFonts w:hint="eastAsia"/>
          <w:lang w:val="en-US" w:eastAsia="zh-CN"/>
        </w:rPr>
      </w:pPr>
    </w:p>
    <w:p w14:paraId="5701FE87">
      <w:pPr>
        <w:pStyle w:val="2"/>
        <w:rPr>
          <w:rFonts w:hint="eastAsia"/>
          <w:lang w:val="en-US" w:eastAsia="zh-CN"/>
        </w:rPr>
      </w:pPr>
    </w:p>
    <w:p w14:paraId="797BA5FD">
      <w:pPr>
        <w:rPr>
          <w:rFonts w:hint="eastAsia"/>
          <w:lang w:val="en-US" w:eastAsia="zh-CN"/>
        </w:rPr>
        <w:sectPr>
          <w:pgSz w:w="16838" w:h="11906" w:orient="landscape"/>
          <w:pgMar w:top="1587" w:right="2098" w:bottom="1587" w:left="2098" w:header="851" w:footer="992" w:gutter="0"/>
          <w:pgNumType w:fmt="decimal"/>
          <w:cols w:space="0" w:num="1"/>
          <w:rtlGutter w:val="0"/>
          <w:docGrid w:type="lines" w:linePitch="436" w:charSpace="0"/>
        </w:sectPr>
      </w:pPr>
    </w:p>
    <w:p w14:paraId="682973B1">
      <w:pPr>
        <w:pStyle w:val="2"/>
        <w:rPr>
          <w:rFonts w:hint="eastAsia"/>
          <w:lang w:val="en-US" w:eastAsia="zh-CN"/>
        </w:rPr>
      </w:pPr>
    </w:p>
    <w:p w14:paraId="5AFE9840">
      <w:pPr>
        <w:bidi w:val="0"/>
        <w:rPr>
          <w:rFonts w:hint="eastAsia"/>
          <w:lang w:val="en-US" w:eastAsia="zh-CN"/>
        </w:rPr>
      </w:pPr>
    </w:p>
    <w:p w14:paraId="588C7A8B">
      <w:pPr>
        <w:bidi w:val="0"/>
        <w:rPr>
          <w:rFonts w:hint="eastAsia"/>
          <w:lang w:val="en-US" w:eastAsia="zh-CN"/>
        </w:rPr>
      </w:pPr>
    </w:p>
    <w:p w14:paraId="7484E4CF">
      <w:pPr>
        <w:bidi w:val="0"/>
        <w:rPr>
          <w:rFonts w:hint="eastAsia"/>
          <w:lang w:val="en-US" w:eastAsia="zh-CN"/>
        </w:rPr>
      </w:pPr>
    </w:p>
    <w:p w14:paraId="35DC8507">
      <w:pPr>
        <w:bidi w:val="0"/>
        <w:rPr>
          <w:rFonts w:hint="eastAsia"/>
          <w:lang w:val="en-US" w:eastAsia="zh-CN"/>
        </w:rPr>
      </w:pPr>
    </w:p>
    <w:p w14:paraId="6DC2F206">
      <w:pPr>
        <w:bidi w:val="0"/>
        <w:rPr>
          <w:rFonts w:hint="eastAsia"/>
          <w:lang w:val="en-US" w:eastAsia="zh-CN"/>
        </w:rPr>
      </w:pPr>
    </w:p>
    <w:p w14:paraId="0F89D9D4">
      <w:pPr>
        <w:bidi w:val="0"/>
        <w:rPr>
          <w:rFonts w:hint="eastAsia"/>
          <w:lang w:val="en-US" w:eastAsia="zh-CN"/>
        </w:rPr>
      </w:pPr>
    </w:p>
    <w:p w14:paraId="794FF0E9">
      <w:pPr>
        <w:bidi w:val="0"/>
        <w:rPr>
          <w:rFonts w:hint="eastAsia"/>
          <w:lang w:val="en-US" w:eastAsia="zh-CN"/>
        </w:rPr>
      </w:pPr>
    </w:p>
    <w:p w14:paraId="50037404">
      <w:pPr>
        <w:bidi w:val="0"/>
        <w:rPr>
          <w:rFonts w:hint="eastAsia"/>
          <w:lang w:val="en-US" w:eastAsia="zh-CN"/>
        </w:rPr>
      </w:pPr>
    </w:p>
    <w:p w14:paraId="32D235A0">
      <w:pPr>
        <w:bidi w:val="0"/>
        <w:rPr>
          <w:rFonts w:hint="eastAsia"/>
          <w:lang w:val="en-US" w:eastAsia="zh-CN"/>
        </w:rPr>
      </w:pPr>
    </w:p>
    <w:p w14:paraId="4528CA13">
      <w:pPr>
        <w:bidi w:val="0"/>
        <w:rPr>
          <w:rFonts w:hint="eastAsia"/>
          <w:lang w:val="en-US" w:eastAsia="zh-CN"/>
        </w:rPr>
      </w:pPr>
    </w:p>
    <w:p w14:paraId="0D34D0CA">
      <w:pPr>
        <w:bidi w:val="0"/>
        <w:rPr>
          <w:rFonts w:hint="eastAsia"/>
          <w:lang w:val="en-US" w:eastAsia="zh-CN"/>
        </w:rPr>
      </w:pPr>
    </w:p>
    <w:p w14:paraId="3B400772">
      <w:pPr>
        <w:bidi w:val="0"/>
        <w:rPr>
          <w:rFonts w:hint="eastAsia"/>
          <w:lang w:val="en-US" w:eastAsia="zh-CN"/>
        </w:rPr>
      </w:pPr>
    </w:p>
    <w:p w14:paraId="11D9BF13">
      <w:pPr>
        <w:bidi w:val="0"/>
        <w:rPr>
          <w:rFonts w:hint="eastAsia"/>
          <w:lang w:val="en-US" w:eastAsia="zh-CN"/>
        </w:rPr>
      </w:pPr>
    </w:p>
    <w:p w14:paraId="52F16DC4">
      <w:pPr>
        <w:bidi w:val="0"/>
        <w:rPr>
          <w:rFonts w:hint="eastAsia"/>
          <w:lang w:val="en-US" w:eastAsia="zh-CN"/>
        </w:rPr>
      </w:pPr>
    </w:p>
    <w:p w14:paraId="6A6244D2">
      <w:pPr>
        <w:bidi w:val="0"/>
        <w:rPr>
          <w:rFonts w:hint="eastAsia"/>
          <w:lang w:val="en-US" w:eastAsia="zh-CN"/>
        </w:rPr>
      </w:pPr>
    </w:p>
    <w:p w14:paraId="780ECE11">
      <w:pPr>
        <w:bidi w:val="0"/>
        <w:rPr>
          <w:rFonts w:hint="eastAsia"/>
          <w:lang w:val="en-US" w:eastAsia="zh-CN"/>
        </w:rPr>
      </w:pPr>
    </w:p>
    <w:p w14:paraId="1EDFFABD">
      <w:pPr>
        <w:bidi w:val="0"/>
        <w:rPr>
          <w:rFonts w:hint="eastAsia"/>
          <w:lang w:val="en-US" w:eastAsia="zh-CN"/>
        </w:rPr>
      </w:pPr>
    </w:p>
    <w:p w14:paraId="14895639">
      <w:pPr>
        <w:bidi w:val="0"/>
        <w:rPr>
          <w:rFonts w:hint="eastAsia"/>
          <w:lang w:val="en-US" w:eastAsia="zh-CN"/>
        </w:rPr>
      </w:pPr>
    </w:p>
    <w:p w14:paraId="463444FD">
      <w:pPr>
        <w:bidi w:val="0"/>
        <w:rPr>
          <w:rFonts w:hint="eastAsia"/>
          <w:lang w:val="en-US" w:eastAsia="zh-CN"/>
        </w:rPr>
      </w:pPr>
    </w:p>
    <w:p w14:paraId="5C8072E1">
      <w:pPr>
        <w:bidi w:val="0"/>
        <w:rPr>
          <w:rFonts w:hint="eastAsia"/>
          <w:lang w:val="en-US" w:eastAsia="zh-CN"/>
        </w:rPr>
      </w:pPr>
    </w:p>
    <w:p w14:paraId="769AE170">
      <w:pPr>
        <w:bidi w:val="0"/>
        <w:rPr>
          <w:rFonts w:hint="eastAsia"/>
          <w:lang w:val="en-US" w:eastAsia="zh-CN"/>
        </w:rPr>
      </w:pPr>
    </w:p>
    <w:p w14:paraId="35FA658E">
      <w:pPr>
        <w:bidi w:val="0"/>
        <w:rPr>
          <w:rFonts w:hint="eastAsia"/>
          <w:lang w:val="en-US" w:eastAsia="zh-CN"/>
        </w:rPr>
      </w:pPr>
    </w:p>
    <w:p w14:paraId="6457B16A">
      <w:pPr>
        <w:bidi w:val="0"/>
        <w:rPr>
          <w:rFonts w:hint="eastAsia"/>
          <w:lang w:val="en-US" w:eastAsia="zh-CN"/>
        </w:rPr>
      </w:pPr>
    </w:p>
    <w:p w14:paraId="2960C33A">
      <w:pPr>
        <w:bidi w:val="0"/>
        <w:rPr>
          <w:rFonts w:hint="eastAsia"/>
          <w:lang w:val="en-US" w:eastAsia="zh-CN"/>
        </w:rPr>
      </w:pPr>
    </w:p>
    <w:p w14:paraId="20110082">
      <w:pPr>
        <w:bidi w:val="0"/>
        <w:rPr>
          <w:rFonts w:hint="eastAsia"/>
          <w:lang w:val="en-US" w:eastAsia="zh-CN"/>
        </w:rPr>
      </w:pPr>
    </w:p>
    <w:p w14:paraId="3077437B">
      <w:pPr>
        <w:bidi w:val="0"/>
        <w:rPr>
          <w:rFonts w:hint="eastAsia"/>
          <w:lang w:val="en-US" w:eastAsia="zh-CN"/>
        </w:rPr>
      </w:pPr>
    </w:p>
    <w:tbl>
      <w:tblPr>
        <w:tblStyle w:val="14"/>
        <w:tblpPr w:leftFromText="180" w:rightFromText="180" w:vertAnchor="text" w:horzAnchor="page" w:tblpX="1581" w:tblpY="60"/>
        <w:tblOverlap w:val="never"/>
        <w:tblW w:w="4996"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41"/>
      </w:tblGrid>
      <w:tr w14:paraId="52BC22A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000" w:type="pct"/>
            <w:tcBorders>
              <w:top w:val="single" w:color="auto" w:sz="4" w:space="0"/>
              <w:left w:val="nil"/>
              <w:bottom w:val="single" w:color="auto" w:sz="4" w:space="0"/>
              <w:right w:val="nil"/>
            </w:tcBorders>
            <w:noWrap w:val="0"/>
            <w:vAlign w:val="top"/>
          </w:tcPr>
          <w:p w14:paraId="0BFC4E48">
            <w:pPr>
              <w:keepNext w:val="0"/>
              <w:keepLines w:val="0"/>
              <w:pageBreakBefore w:val="0"/>
              <w:widowControl w:val="0"/>
              <w:kinsoku/>
              <w:wordWrap/>
              <w:overflowPunct/>
              <w:topLinePunct w:val="0"/>
              <w:autoSpaceDE/>
              <w:autoSpaceDN/>
              <w:bidi w:val="0"/>
              <w:adjustRightInd/>
              <w:snapToGrid/>
              <w:spacing w:after="0" w:line="560" w:lineRule="exact"/>
              <w:ind w:left="0" w:firstLine="280" w:firstLineChars="100"/>
              <w:jc w:val="left"/>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黄金岭街道党政办公室</w:t>
            </w:r>
            <w:r>
              <w:rPr>
                <w:rFonts w:hint="eastAsia" w:ascii="Times New Roman" w:hAnsi="Times New Roman" w:eastAsia="仿宋_GB2312" w:cs="Times New Roman"/>
                <w:sz w:val="28"/>
                <w:szCs w:val="28"/>
                <w:lang w:val="en-US" w:eastAsia="zh-CN"/>
              </w:rPr>
              <w:t xml:space="preserve">                    </w:t>
            </w:r>
            <w:r>
              <w:rPr>
                <w:rFonts w:hint="eastAsia" w:ascii="宋体" w:hAnsi="宋体" w:eastAsia="宋体" w:cs="宋体"/>
                <w:sz w:val="28"/>
                <w:szCs w:val="28"/>
                <w:lang w:val="en-US" w:eastAsia="zh-CN"/>
              </w:rPr>
              <w:t>2025</w:t>
            </w:r>
            <w:r>
              <w:rPr>
                <w:rFonts w:hint="default" w:ascii="Times New Roman" w:hAnsi="Times New Roman" w:eastAsia="仿宋_GB2312" w:cs="Times New Roman"/>
                <w:sz w:val="28"/>
                <w:szCs w:val="28"/>
                <w:lang w:val="en-US" w:eastAsia="zh-CN"/>
              </w:rPr>
              <w:t>年</w:t>
            </w:r>
            <w:r>
              <w:rPr>
                <w:rFonts w:hint="eastAsia" w:ascii="宋体" w:hAnsi="宋体" w:eastAsia="宋体" w:cs="宋体"/>
                <w:sz w:val="28"/>
                <w:szCs w:val="28"/>
                <w:lang w:val="en-US" w:eastAsia="zh-CN"/>
              </w:rPr>
              <w:t>4</w:t>
            </w:r>
            <w:r>
              <w:rPr>
                <w:rFonts w:hint="default" w:ascii="Times New Roman" w:hAnsi="Times New Roman" w:eastAsia="仿宋_GB2312" w:cs="Times New Roman"/>
                <w:sz w:val="28"/>
                <w:szCs w:val="28"/>
                <w:lang w:val="en-US" w:eastAsia="zh-CN"/>
              </w:rPr>
              <w:t>月</w:t>
            </w:r>
            <w:r>
              <w:rPr>
                <w:rFonts w:hint="eastAsia" w:ascii="宋体" w:hAnsi="宋体" w:eastAsia="宋体" w:cs="宋体"/>
                <w:sz w:val="28"/>
                <w:szCs w:val="28"/>
                <w:lang w:val="en-US" w:eastAsia="zh-CN"/>
              </w:rPr>
              <w:t>14</w:t>
            </w:r>
            <w:r>
              <w:rPr>
                <w:rFonts w:hint="default" w:ascii="Times New Roman" w:hAnsi="Times New Roman" w:eastAsia="仿宋_GB2312" w:cs="Times New Roman"/>
                <w:sz w:val="28"/>
                <w:szCs w:val="28"/>
                <w:lang w:val="en-US" w:eastAsia="zh-CN"/>
              </w:rPr>
              <w:t>日印发</w:t>
            </w:r>
          </w:p>
        </w:tc>
      </w:tr>
    </w:tbl>
    <w:p w14:paraId="07631C44">
      <w:pPr>
        <w:tabs>
          <w:tab w:val="left" w:pos="1460"/>
        </w:tabs>
        <w:bidi w:val="0"/>
        <w:jc w:val="left"/>
        <w:rPr>
          <w:rFonts w:hint="eastAsia"/>
          <w:lang w:val="en-US" w:eastAsia="zh-CN"/>
        </w:rPr>
      </w:pPr>
    </w:p>
    <w:p w14:paraId="0C25570E">
      <w:pPr>
        <w:tabs>
          <w:tab w:val="left" w:pos="1460"/>
        </w:tabs>
        <w:bidi w:val="0"/>
        <w:jc w:val="left"/>
        <w:rPr>
          <w:rFonts w:hint="eastAsia"/>
          <w:lang w:val="en-US" w:eastAsia="zh-CN"/>
        </w:rPr>
      </w:pPr>
    </w:p>
    <w:p w14:paraId="2EA48324">
      <w:pPr>
        <w:tabs>
          <w:tab w:val="left" w:pos="1460"/>
        </w:tabs>
        <w:bidi w:val="0"/>
        <w:jc w:val="left"/>
        <w:rPr>
          <w:rFonts w:hint="eastAsia"/>
          <w:lang w:val="en-US" w:eastAsia="zh-CN"/>
        </w:rPr>
      </w:pPr>
    </w:p>
    <w:p w14:paraId="79F48DDB">
      <w:pPr>
        <w:tabs>
          <w:tab w:val="left" w:pos="1460"/>
        </w:tabs>
        <w:bidi w:val="0"/>
        <w:jc w:val="left"/>
        <w:rPr>
          <w:rFonts w:hint="eastAsia"/>
          <w:lang w:val="en-US" w:eastAsia="zh-CN"/>
        </w:rPr>
      </w:pPr>
    </w:p>
    <w:p w14:paraId="56E94F02">
      <w:pPr>
        <w:tabs>
          <w:tab w:val="left" w:pos="1460"/>
        </w:tabs>
        <w:bidi w:val="0"/>
        <w:jc w:val="left"/>
        <w:rPr>
          <w:rFonts w:hint="eastAsia"/>
          <w:lang w:val="en-US" w:eastAsia="zh-CN"/>
        </w:rPr>
      </w:pPr>
    </w:p>
    <w:sectPr>
      <w:pgSz w:w="11906" w:h="16838"/>
      <w:pgMar w:top="2098" w:right="1587" w:bottom="2098" w:left="1587" w:header="851" w:footer="992" w:gutter="0"/>
      <w:pgNumType w:fmt="decimal"/>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Symusic">
    <w:panose1 w:val="00000400000000000000"/>
    <w:charset w:val="00"/>
    <w:family w:val="auto"/>
    <w:pitch w:val="default"/>
    <w:sig w:usb0="00000001" w:usb1="00000000" w:usb2="00000000" w:usb3="00000000" w:csb0="000001FF" w:csb1="00000000"/>
  </w:font>
  <w:font w:name="Swis721 LtCn BT">
    <w:panose1 w:val="020B0406020202030204"/>
    <w:charset w:val="00"/>
    <w:family w:val="auto"/>
    <w:pitch w:val="default"/>
    <w:sig w:usb0="00000000" w:usb1="00000000" w:usb2="00000000" w:usb3="00000000" w:csb0="00000000" w:csb1="00000000"/>
  </w:font>
  <w:font w:name="Swis721 BlkCn BT">
    <w:panose1 w:val="020B0806030502040204"/>
    <w:charset w:val="00"/>
    <w:family w:val="auto"/>
    <w:pitch w:val="default"/>
    <w:sig w:usb0="00000000" w:usb1="00000000" w:usb2="00000000" w:usb3="00000000" w:csb0="00000000" w:csb1="00000000"/>
  </w:font>
  <w:font w:name="Swis721 Ex BT">
    <w:panose1 w:val="020B0605020202020204"/>
    <w:charset w:val="00"/>
    <w:family w:val="auto"/>
    <w:pitch w:val="default"/>
    <w:sig w:usb0="00000000" w:usb1="00000000" w:usb2="00000000" w:usb3="00000000" w:csb0="00000000" w:csb1="00000000"/>
  </w:font>
  <w:font w:name="Swis721 Lt BT">
    <w:panose1 w:val="020B0403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C3508">
    <w:pPr>
      <w:pStyle w:val="9"/>
      <w:spacing w:beforeLines="0" w:afterLines="0"/>
      <w:rPr>
        <w:rFonts w:hint="default"/>
        <w:sz w:val="18"/>
        <w:szCs w:val="32"/>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A8AD8E">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54A8AD8E">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default"/>
        <w:sz w:val="18"/>
        <w:szCs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FAA433">
                          <w:pPr>
                            <w:pStyle w:val="9"/>
                            <w:spacing w:beforeLines="0" w:afterLines="0"/>
                            <w:rPr>
                              <w:rFonts w:hint="default"/>
                              <w:sz w:val="18"/>
                              <w:szCs w:val="32"/>
                            </w:rPr>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14:paraId="38FAA433">
                    <w:pPr>
                      <w:pStyle w:val="9"/>
                      <w:spacing w:beforeLines="0" w:afterLines="0"/>
                      <w:rPr>
                        <w:rFonts w:hint="default"/>
                        <w:sz w:val="18"/>
                        <w:szCs w:val="32"/>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60"/>
  <w:drawingGridVerticalSpacing w:val="21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MGIwYTc5YzM2Y2Q2ZTNlNzExZWI3OGYwZDU1MGIifQ=="/>
  </w:docVars>
  <w:rsids>
    <w:rsidRoot w:val="00172A27"/>
    <w:rsid w:val="00027AB0"/>
    <w:rsid w:val="0003789F"/>
    <w:rsid w:val="0004235A"/>
    <w:rsid w:val="000471A6"/>
    <w:rsid w:val="000A7D9E"/>
    <w:rsid w:val="000E19C2"/>
    <w:rsid w:val="0011330C"/>
    <w:rsid w:val="00140335"/>
    <w:rsid w:val="00154F8C"/>
    <w:rsid w:val="00164A14"/>
    <w:rsid w:val="00167D1D"/>
    <w:rsid w:val="00190613"/>
    <w:rsid w:val="001C7902"/>
    <w:rsid w:val="00207A35"/>
    <w:rsid w:val="00234C34"/>
    <w:rsid w:val="002945B6"/>
    <w:rsid w:val="002A0D37"/>
    <w:rsid w:val="002D3821"/>
    <w:rsid w:val="002F1FCD"/>
    <w:rsid w:val="002F32E1"/>
    <w:rsid w:val="003273C2"/>
    <w:rsid w:val="00371F07"/>
    <w:rsid w:val="003C0FF8"/>
    <w:rsid w:val="003F3AE6"/>
    <w:rsid w:val="00400DAD"/>
    <w:rsid w:val="004716FD"/>
    <w:rsid w:val="00486081"/>
    <w:rsid w:val="004950E0"/>
    <w:rsid w:val="00496E4C"/>
    <w:rsid w:val="00497E6C"/>
    <w:rsid w:val="004A6F49"/>
    <w:rsid w:val="004B10DD"/>
    <w:rsid w:val="004E6936"/>
    <w:rsid w:val="00500009"/>
    <w:rsid w:val="00510AA7"/>
    <w:rsid w:val="0055059C"/>
    <w:rsid w:val="005D45A7"/>
    <w:rsid w:val="00642FE7"/>
    <w:rsid w:val="006534DB"/>
    <w:rsid w:val="00667640"/>
    <w:rsid w:val="006A115E"/>
    <w:rsid w:val="006C14FF"/>
    <w:rsid w:val="00752207"/>
    <w:rsid w:val="0077692A"/>
    <w:rsid w:val="007D2EFF"/>
    <w:rsid w:val="00821F22"/>
    <w:rsid w:val="00884280"/>
    <w:rsid w:val="008E163D"/>
    <w:rsid w:val="00933C3E"/>
    <w:rsid w:val="009A4A26"/>
    <w:rsid w:val="00A20033"/>
    <w:rsid w:val="00A41AA4"/>
    <w:rsid w:val="00A73A12"/>
    <w:rsid w:val="00A93380"/>
    <w:rsid w:val="00AB57A1"/>
    <w:rsid w:val="00AD1754"/>
    <w:rsid w:val="00AD4FC6"/>
    <w:rsid w:val="00B679B6"/>
    <w:rsid w:val="00B973B1"/>
    <w:rsid w:val="00BA0192"/>
    <w:rsid w:val="00BA67BC"/>
    <w:rsid w:val="00BC3922"/>
    <w:rsid w:val="00BE46DE"/>
    <w:rsid w:val="00BF0A3A"/>
    <w:rsid w:val="00BF716C"/>
    <w:rsid w:val="00C950ED"/>
    <w:rsid w:val="00CF7706"/>
    <w:rsid w:val="00D36B5C"/>
    <w:rsid w:val="00D42865"/>
    <w:rsid w:val="00D76C3B"/>
    <w:rsid w:val="00D81055"/>
    <w:rsid w:val="00E00D41"/>
    <w:rsid w:val="00E0388A"/>
    <w:rsid w:val="00E122F2"/>
    <w:rsid w:val="00E7258D"/>
    <w:rsid w:val="00F56999"/>
    <w:rsid w:val="00F66556"/>
    <w:rsid w:val="01B96396"/>
    <w:rsid w:val="01DB319C"/>
    <w:rsid w:val="067A313B"/>
    <w:rsid w:val="06BB2EA3"/>
    <w:rsid w:val="078479AD"/>
    <w:rsid w:val="09135080"/>
    <w:rsid w:val="09E26A92"/>
    <w:rsid w:val="0ABC6621"/>
    <w:rsid w:val="0ED43266"/>
    <w:rsid w:val="102313C5"/>
    <w:rsid w:val="13FA243C"/>
    <w:rsid w:val="16A44285"/>
    <w:rsid w:val="18592E99"/>
    <w:rsid w:val="18892194"/>
    <w:rsid w:val="19097221"/>
    <w:rsid w:val="1B1E2AD6"/>
    <w:rsid w:val="1B4E3B46"/>
    <w:rsid w:val="1BA709D9"/>
    <w:rsid w:val="1C823121"/>
    <w:rsid w:val="1E386C37"/>
    <w:rsid w:val="1ECC5FFD"/>
    <w:rsid w:val="22232544"/>
    <w:rsid w:val="22F705A2"/>
    <w:rsid w:val="25A65A51"/>
    <w:rsid w:val="25B06DFF"/>
    <w:rsid w:val="262E59F4"/>
    <w:rsid w:val="26A807B8"/>
    <w:rsid w:val="281F08BF"/>
    <w:rsid w:val="29AC219A"/>
    <w:rsid w:val="2AFB39FA"/>
    <w:rsid w:val="2C4771DC"/>
    <w:rsid w:val="2DAF7596"/>
    <w:rsid w:val="2E0179F4"/>
    <w:rsid w:val="2F25448A"/>
    <w:rsid w:val="2FB71F4E"/>
    <w:rsid w:val="30AB07A5"/>
    <w:rsid w:val="31F277B9"/>
    <w:rsid w:val="337F2D3E"/>
    <w:rsid w:val="350200B7"/>
    <w:rsid w:val="35C3679B"/>
    <w:rsid w:val="362E7F95"/>
    <w:rsid w:val="3746278E"/>
    <w:rsid w:val="38453E1F"/>
    <w:rsid w:val="38832151"/>
    <w:rsid w:val="38CD49B5"/>
    <w:rsid w:val="3A9248CD"/>
    <w:rsid w:val="3BF406AA"/>
    <w:rsid w:val="3C517AFB"/>
    <w:rsid w:val="3CD73D60"/>
    <w:rsid w:val="3E4F4B6E"/>
    <w:rsid w:val="3E815CDE"/>
    <w:rsid w:val="42167DEC"/>
    <w:rsid w:val="45194F13"/>
    <w:rsid w:val="45AA51C1"/>
    <w:rsid w:val="465E389B"/>
    <w:rsid w:val="4B7F5DA9"/>
    <w:rsid w:val="4DD70B1D"/>
    <w:rsid w:val="4E63460B"/>
    <w:rsid w:val="4EC4685F"/>
    <w:rsid w:val="501A0BA9"/>
    <w:rsid w:val="50B62F08"/>
    <w:rsid w:val="515C2048"/>
    <w:rsid w:val="551004AF"/>
    <w:rsid w:val="55653B52"/>
    <w:rsid w:val="56C9053F"/>
    <w:rsid w:val="574004C8"/>
    <w:rsid w:val="59C81C62"/>
    <w:rsid w:val="5A0100F8"/>
    <w:rsid w:val="5A9E261A"/>
    <w:rsid w:val="5BFE07EB"/>
    <w:rsid w:val="5C404FD4"/>
    <w:rsid w:val="5C9D733A"/>
    <w:rsid w:val="5E51257E"/>
    <w:rsid w:val="5EB323F5"/>
    <w:rsid w:val="5EDE1B58"/>
    <w:rsid w:val="5FCB199A"/>
    <w:rsid w:val="62DD26EF"/>
    <w:rsid w:val="63A36582"/>
    <w:rsid w:val="63CA49A1"/>
    <w:rsid w:val="66B00697"/>
    <w:rsid w:val="696668F3"/>
    <w:rsid w:val="6A1E448B"/>
    <w:rsid w:val="6ACC4D7D"/>
    <w:rsid w:val="6B2F0969"/>
    <w:rsid w:val="6ED56A28"/>
    <w:rsid w:val="6F2A1738"/>
    <w:rsid w:val="6F952108"/>
    <w:rsid w:val="6FF24457"/>
    <w:rsid w:val="7075637A"/>
    <w:rsid w:val="7440406E"/>
    <w:rsid w:val="753F03D7"/>
    <w:rsid w:val="76AE6010"/>
    <w:rsid w:val="779A47E6"/>
    <w:rsid w:val="787F472C"/>
    <w:rsid w:val="7B275FD7"/>
    <w:rsid w:val="7C6573FB"/>
    <w:rsid w:val="7E7E1F30"/>
    <w:rsid w:val="7EDF2F2D"/>
    <w:rsid w:val="7FC332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2"/>
    <w:basedOn w:val="1"/>
    <w:next w:val="1"/>
    <w:unhideWhenUsed/>
    <w:qFormat/>
    <w:uiPriority w:val="0"/>
    <w:pPr>
      <w:keepNext w:val="0"/>
      <w:keepLines w:val="0"/>
      <w:widowControl w:val="0"/>
      <w:spacing w:line="560" w:lineRule="exact"/>
      <w:jc w:val="both"/>
      <w:outlineLvl w:val="1"/>
    </w:pPr>
    <w:rPr>
      <w:rFonts w:ascii="宋体" w:hAnsi="宋体" w:eastAsia="黑体" w:cs="宋体"/>
      <w:kern w:val="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toa heading"/>
    <w:basedOn w:val="1"/>
    <w:next w:val="1"/>
    <w:autoRedefine/>
    <w:qFormat/>
    <w:uiPriority w:val="0"/>
    <w:pPr>
      <w:spacing w:before="120"/>
    </w:pPr>
    <w:rPr>
      <w:rFonts w:ascii="Cambria" w:hAnsi="Cambria" w:cs="Times New Roman"/>
      <w:sz w:val="24"/>
    </w:rPr>
  </w:style>
  <w:style w:type="paragraph" w:styleId="5">
    <w:name w:val="index 6"/>
    <w:basedOn w:val="1"/>
    <w:next w:val="1"/>
    <w:qFormat/>
    <w:uiPriority w:val="0"/>
    <w:pPr>
      <w:ind w:left="1000" w:leftChars="1000"/>
    </w:pPr>
  </w:style>
  <w:style w:type="paragraph" w:styleId="6">
    <w:name w:val="Body Text"/>
    <w:basedOn w:val="1"/>
    <w:next w:val="7"/>
    <w:semiHidden/>
    <w:qFormat/>
    <w:uiPriority w:val="0"/>
    <w:rPr>
      <w:rFonts w:ascii="Arial" w:hAnsi="Arial" w:eastAsia="Arial" w:cs="Arial"/>
      <w:sz w:val="21"/>
      <w:szCs w:val="21"/>
      <w:lang w:val="en-US" w:eastAsia="en-US" w:bidi="ar-SA"/>
    </w:rPr>
  </w:style>
  <w:style w:type="paragraph" w:styleId="7">
    <w:name w:val="Body Text First Indent"/>
    <w:basedOn w:val="6"/>
    <w:next w:val="5"/>
    <w:qFormat/>
    <w:uiPriority w:val="0"/>
    <w:pPr>
      <w:spacing w:after="0" w:afterLines="0"/>
      <w:ind w:firstLine="420"/>
    </w:pPr>
    <w:rPr>
      <w:rFonts w:ascii="Times New Roman" w:hAnsi="Times New Roman"/>
      <w:sz w:val="32"/>
    </w:rPr>
  </w:style>
  <w:style w:type="paragraph" w:styleId="8">
    <w:name w:val="Body Text Indent"/>
    <w:basedOn w:val="1"/>
    <w:next w:val="3"/>
    <w:autoRedefine/>
    <w:qFormat/>
    <w:uiPriority w:val="0"/>
    <w:pPr>
      <w:spacing w:after="120" w:afterLines="0" w:afterAutospacing="0"/>
      <w:ind w:left="420" w:leftChars="200"/>
    </w:pPr>
  </w:style>
  <w:style w:type="paragraph" w:styleId="9">
    <w:name w:val="footer"/>
    <w:basedOn w:val="1"/>
    <w:autoRedefine/>
    <w:qFormat/>
    <w:uiPriority w:val="0"/>
    <w:pPr>
      <w:tabs>
        <w:tab w:val="center" w:pos="4153"/>
        <w:tab w:val="right" w:pos="8306"/>
      </w:tabs>
      <w:snapToGrid w:val="0"/>
      <w:jc w:val="left"/>
    </w:pPr>
    <w:rPr>
      <w:rFonts w:eastAsia="仿宋"/>
      <w:sz w:val="30"/>
    </w:rPr>
  </w:style>
  <w:style w:type="paragraph" w:styleId="10">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jc w:val="left"/>
    </w:pPr>
    <w:rPr>
      <w:rFonts w:hint="default" w:ascii="宋体" w:hAnsi="宋体" w:eastAsia="宋体" w:cs="宋体"/>
      <w:kern w:val="0"/>
      <w:sz w:val="24"/>
      <w:szCs w:val="24"/>
      <w:lang w:bidi="ar"/>
    </w:rPr>
  </w:style>
  <w:style w:type="paragraph" w:styleId="12">
    <w:name w:val="Normal (Web)"/>
    <w:basedOn w:val="1"/>
    <w:unhideWhenUsed/>
    <w:qFormat/>
    <w:uiPriority w:val="0"/>
    <w:pPr>
      <w:spacing w:beforeLines="0" w:afterLines="0"/>
    </w:pPr>
    <w:rPr>
      <w:rFonts w:hint="default"/>
      <w:sz w:val="24"/>
      <w:szCs w:val="32"/>
    </w:rPr>
  </w:style>
  <w:style w:type="paragraph" w:styleId="13">
    <w:name w:val="Body Text First Indent 2"/>
    <w:basedOn w:val="8"/>
    <w:next w:val="1"/>
    <w:autoRedefine/>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autoRedefine/>
    <w:qFormat/>
    <w:uiPriority w:val="20"/>
    <w:rPr>
      <w:i/>
      <w:iCs/>
    </w:rPr>
  </w:style>
  <w:style w:type="character" w:customStyle="1" w:styleId="18">
    <w:name w:val="页眉 Char"/>
    <w:basedOn w:val="16"/>
    <w:link w:val="10"/>
    <w:autoRedefine/>
    <w:qFormat/>
    <w:uiPriority w:val="0"/>
    <w:rPr>
      <w:rFonts w:eastAsia="仿宋_GB2312" w:asciiTheme="minorHAnsi" w:hAnsiTheme="minorHAnsi" w:cstheme="minorBidi"/>
      <w:kern w:val="2"/>
      <w:sz w:val="18"/>
      <w:szCs w:val="18"/>
    </w:rPr>
  </w:style>
  <w:style w:type="character" w:customStyle="1" w:styleId="19">
    <w:name w:val="font11"/>
    <w:basedOn w:val="16"/>
    <w:autoRedefine/>
    <w:qFormat/>
    <w:uiPriority w:val="0"/>
    <w:rPr>
      <w:rFonts w:hint="eastAsia" w:ascii="仿宋" w:hAnsi="仿宋" w:eastAsia="仿宋" w:cs="仿宋"/>
      <w:color w:val="000000"/>
      <w:sz w:val="32"/>
      <w:szCs w:val="32"/>
      <w:u w:val="none"/>
    </w:rPr>
  </w:style>
  <w:style w:type="paragraph" w:styleId="20">
    <w:name w:val="List Paragraph"/>
    <w:basedOn w:val="1"/>
    <w:autoRedefine/>
    <w:unhideWhenUsed/>
    <w:qFormat/>
    <w:uiPriority w:val="99"/>
    <w:pPr>
      <w:ind w:firstLine="420" w:firstLineChars="200"/>
    </w:pPr>
  </w:style>
  <w:style w:type="paragraph" w:customStyle="1" w:styleId="21">
    <w:name w:val="UserStyle_0"/>
    <w:basedOn w:val="1"/>
    <w:autoRedefine/>
    <w:qFormat/>
    <w:uiPriority w:val="0"/>
    <w:pPr>
      <w:ind w:left="420" w:leftChars="200"/>
      <w:textAlignment w:val="baseline"/>
    </w:pPr>
  </w:style>
  <w:style w:type="paragraph" w:customStyle="1" w:styleId="22">
    <w:name w:val="Body text|1"/>
    <w:basedOn w:val="1"/>
    <w:autoRedefine/>
    <w:qFormat/>
    <w:uiPriority w:val="0"/>
    <w:pPr>
      <w:widowControl w:val="0"/>
      <w:shd w:val="clear" w:color="auto" w:fill="auto"/>
      <w:spacing w:line="403" w:lineRule="auto"/>
      <w:ind w:firstLine="400"/>
    </w:pPr>
    <w:rPr>
      <w:rFonts w:ascii="宋体" w:eastAsia="宋体" w:cs="宋体"/>
      <w:sz w:val="28"/>
      <w:szCs w:val="28"/>
      <w:u w:val="none"/>
      <w:shd w:val="clear" w:color="auto" w:fill="auto"/>
      <w:lang w:val="zh-TW" w:eastAsia="zh-TW" w:bidi="zh-TW"/>
    </w:rPr>
  </w:style>
  <w:style w:type="paragraph" w:customStyle="1" w:styleId="23">
    <w:name w:val="纯文本1"/>
    <w:basedOn w:val="1"/>
    <w:unhideWhenUsed/>
    <w:qFormat/>
    <w:uiPriority w:val="0"/>
    <w:pPr>
      <w:spacing w:beforeLines="0" w:afterLines="0"/>
      <w:ind w:firstLine="964" w:firstLineChars="200"/>
    </w:pPr>
    <w:rPr>
      <w:rFonts w:hint="default" w:ascii="宋体" w:hAnsi="宋体" w:eastAsia="仿宋"/>
      <w:sz w:val="21"/>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17</Pages>
  <Words>1386</Words>
  <Characters>1406</Characters>
  <Lines>1</Lines>
  <Paragraphs>1</Paragraphs>
  <TotalTime>2</TotalTime>
  <ScaleCrop>false</ScaleCrop>
  <LinksUpToDate>false</LinksUpToDate>
  <CharactersWithSpaces>1406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言三爷很傲娇</cp:lastModifiedBy>
  <cp:lastPrinted>2025-01-17T09:08:00Z</cp:lastPrinted>
  <dcterms:modified xsi:type="dcterms:W3CDTF">2025-04-14T01:50:33Z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382145387_btnclosed</vt:lpwstr>
  </property>
  <property fmtid="{D5CDD505-2E9C-101B-9397-08002B2CF9AE}" pid="4" name="ICV">
    <vt:lpwstr>14BAC8A0EC654085960201A51AABE909_13</vt:lpwstr>
  </property>
  <property fmtid="{D5CDD505-2E9C-101B-9397-08002B2CF9AE}" pid="5" name="KSOTemplateDocerSaveRecord">
    <vt:lpwstr>eyJoZGlkIjoiOWU5MGIwYTc5YzM2Y2Q2ZTNlNzExZWI3OGYwZDU1MGIiLCJ1c2VySWQiOiIzNTQ3NzEyNDgifQ==</vt:lpwstr>
  </property>
</Properties>
</file>