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rPr>
          <w:rFonts w:hint="eastAsia" w:ascii="黑体" w:hAnsi="黑体" w:eastAsia="黑体" w:cs="黑体"/>
          <w:sz w:val="32"/>
          <w:szCs w:val="32"/>
        </w:rPr>
      </w:pPr>
      <w:r>
        <w:rPr>
          <w:rFonts w:hint="eastAsia" w:ascii="黑体" w:hAnsi="黑体" w:eastAsia="黑体" w:cs="黑体"/>
          <w:sz w:val="32"/>
          <w:szCs w:val="32"/>
        </w:rPr>
        <w:t>附件1</w:t>
      </w:r>
      <w:bookmarkStart w:id="0" w:name="_GoBack"/>
      <w:bookmarkEnd w:id="0"/>
    </w:p>
    <w:p>
      <w:pPr>
        <w:spacing w:beforeLines="0" w:afterLines="0" w:line="560" w:lineRule="exact"/>
        <w:jc w:val="center"/>
        <w:rPr>
          <w:rFonts w:hint="eastAsia" w:ascii="宋体" w:hAnsi="宋体" w:eastAsia="黑体" w:cs="黑体"/>
          <w:color w:val="auto"/>
          <w:kern w:val="0"/>
          <w:sz w:val="44"/>
          <w:szCs w:val="44"/>
          <w:lang w:bidi="ar"/>
        </w:rPr>
      </w:pPr>
      <w:r>
        <w:rPr>
          <w:rFonts w:hint="eastAsia" w:ascii="宋体" w:hAnsi="宋体" w:eastAsia="方正小标宋简体" w:cs="方正小标宋简体"/>
          <w:color w:val="auto"/>
          <w:kern w:val="0"/>
          <w:sz w:val="44"/>
          <w:szCs w:val="44"/>
          <w:lang w:bidi="ar"/>
        </w:rPr>
        <w:t>企业主要负责人安全生产七项职责</w:t>
      </w:r>
    </w:p>
    <w:p>
      <w:pPr>
        <w:pStyle w:val="12"/>
        <w:widowControl/>
        <w:spacing w:beforeLines="0" w:afterLines="0" w:line="560" w:lineRule="exact"/>
        <w:ind w:firstLine="420"/>
        <w:rPr>
          <w:rFonts w:hint="eastAsia" w:ascii="宋体" w:hAnsi="宋体" w:cs="仿宋_GB2312"/>
          <w:color w:val="000000"/>
          <w:sz w:val="32"/>
          <w:szCs w:val="32"/>
        </w:rPr>
      </w:pP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1.建立健全并落实本单位全员安全生产责任制，加强安全生产标准化建设；</w:t>
      </w: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2.组织制定并实施本单位安全生产规章制度和操作规程；</w:t>
      </w: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3.组织制定并实施本单位安全生产教育和培训计划；</w:t>
      </w: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4.保证本单位安全生产投入的有效实施；</w:t>
      </w: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5.组织建立并落实安全风险分级管控和隐患排查治理双重预防工作机制，督促、检查本单位的安全生产工作，及时消除生产安全事故隐患；</w:t>
      </w: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6.组织制定并实施本单位的生产安全事故应急救援预案；</w:t>
      </w: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宋体" w:cs="仿宋_GB2312"/>
          <w:color w:val="000000"/>
          <w:sz w:val="32"/>
          <w:szCs w:val="32"/>
        </w:rPr>
      </w:pPr>
      <w:r>
        <w:rPr>
          <w:rFonts w:hint="eastAsia" w:ascii="仿宋_GB2312" w:hAnsi="仿宋_GB2312" w:eastAsia="仿宋_GB2312" w:cs="仿宋_GB2312"/>
          <w:color w:val="000000"/>
          <w:sz w:val="32"/>
          <w:szCs w:val="32"/>
        </w:rPr>
        <w:t>7.及时、如实报告生产安全事故。</w:t>
      </w: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宋体" w:cs="仿宋_GB2312"/>
          <w:color w:val="000000"/>
          <w:sz w:val="32"/>
          <w:szCs w:val="32"/>
        </w:rPr>
        <w:sectPr>
          <w:footerReference r:id="rId3" w:type="default"/>
          <w:pgSz w:w="11906" w:h="16838"/>
          <w:pgMar w:top="2098" w:right="1587" w:bottom="2098" w:left="1587" w:header="851" w:footer="992" w:gutter="0"/>
          <w:lnNumType w:countBy="0" w:distance="360"/>
          <w:pgNumType w:fmt="decimal"/>
          <w:cols w:space="720" w:num="1"/>
          <w:rtlGutter w:val="0"/>
          <w:docGrid w:type="lines" w:linePitch="312" w:charSpace="0"/>
        </w:sectPr>
      </w:pPr>
    </w:p>
    <w:p>
      <w:pPr>
        <w:spacing w:beforeLines="0" w:afterLines="0"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spacing w:beforeLines="0" w:afterLines="0" w:line="560" w:lineRule="exact"/>
        <w:jc w:val="center"/>
        <w:rPr>
          <w:rFonts w:hint="eastAsia" w:ascii="宋体" w:hAnsi="宋体" w:eastAsia="方正小标宋简体" w:cs="方正小标宋简体"/>
          <w:color w:val="auto"/>
          <w:kern w:val="0"/>
          <w:sz w:val="44"/>
          <w:szCs w:val="44"/>
          <w:lang w:bidi="ar"/>
        </w:rPr>
      </w:pPr>
      <w:r>
        <w:rPr>
          <w:rFonts w:hint="eastAsia" w:ascii="宋体" w:hAnsi="宋体" w:eastAsia="方正小标宋简体" w:cs="方正小标宋简体"/>
          <w:color w:val="auto"/>
          <w:kern w:val="0"/>
          <w:sz w:val="44"/>
          <w:szCs w:val="44"/>
          <w:lang w:bidi="ar"/>
        </w:rPr>
        <w:t>企业落实安全生产主体责任的</w:t>
      </w:r>
    </w:p>
    <w:p>
      <w:pPr>
        <w:spacing w:beforeLines="0" w:afterLines="0" w:line="560" w:lineRule="exact"/>
        <w:jc w:val="center"/>
        <w:rPr>
          <w:rFonts w:hint="eastAsia" w:ascii="宋体" w:hAnsi="宋体" w:eastAsia="方正小标宋简体" w:cs="方正小标宋简体"/>
          <w:color w:val="auto"/>
          <w:kern w:val="0"/>
          <w:sz w:val="44"/>
          <w:szCs w:val="44"/>
          <w:lang w:bidi="ar"/>
        </w:rPr>
      </w:pPr>
      <w:r>
        <w:rPr>
          <w:rFonts w:hint="eastAsia" w:ascii="宋体" w:hAnsi="宋体" w:eastAsia="方正小标宋简体" w:cs="方正小标宋简体"/>
          <w:color w:val="auto"/>
          <w:kern w:val="0"/>
          <w:sz w:val="44"/>
          <w:szCs w:val="44"/>
          <w:lang w:bidi="ar"/>
        </w:rPr>
        <w:t>十项重点措施</w:t>
      </w:r>
    </w:p>
    <w:p>
      <w:pPr>
        <w:pStyle w:val="12"/>
        <w:widowControl/>
        <w:spacing w:beforeLines="0" w:afterLines="0" w:line="560" w:lineRule="exact"/>
        <w:ind w:firstLine="640" w:firstLineChars="200"/>
        <w:rPr>
          <w:rFonts w:hint="default" w:ascii="宋体" w:hAnsi="宋体" w:cs="仿宋_GB2312"/>
          <w:color w:val="000000"/>
          <w:sz w:val="32"/>
          <w:szCs w:val="32"/>
        </w:rPr>
      </w:pP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1.重大事故隐患判定标准学习宣贯进企业</w:t>
      </w: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2.建立重大事故隐患自查自改机制</w:t>
      </w: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3.建立内部隐患报告奖励制度</w:t>
      </w: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4.建立健全全员安全生产责任制</w:t>
      </w: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5.依法配备安全生产管理人员</w:t>
      </w: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6.落实全员安全教育培训</w:t>
      </w: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7.加强生产安全事故应急预案演练</w:t>
      </w: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8.保障安全生产资金投入</w:t>
      </w: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9.强化危险作业全过程管理</w:t>
      </w: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10.规范外包项目和租赁场所安全管理</w:t>
      </w:r>
    </w:p>
    <w:p>
      <w:pPr>
        <w:pStyle w:val="12"/>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textAlignment w:val="auto"/>
        <w:rPr>
          <w:rFonts w:hint="eastAsia" w:ascii="仿宋_GB2312" w:hAnsi="仿宋_GB2312" w:eastAsia="仿宋_GB2312" w:cs="仿宋_GB2312"/>
          <w:color w:val="000000"/>
          <w:sz w:val="32"/>
          <w:szCs w:val="32"/>
        </w:rPr>
        <w:sectPr>
          <w:pgSz w:w="11906" w:h="16838"/>
          <w:pgMar w:top="2098" w:right="1587" w:bottom="2098" w:left="1587" w:header="851" w:footer="992" w:gutter="0"/>
          <w:lnNumType w:countBy="0" w:distance="360"/>
          <w:pgNumType w:fmt="decimal"/>
          <w:cols w:space="720" w:num="1"/>
          <w:rtlGutter w:val="0"/>
          <w:docGrid w:type="lines" w:linePitch="312" w:charSpace="0"/>
        </w:sectPr>
      </w:pPr>
    </w:p>
    <w:p>
      <w:pPr>
        <w:spacing w:beforeLines="0" w:afterLines="0" w:line="540" w:lineRule="exact"/>
        <w:rPr>
          <w:rFonts w:hint="eastAsia" w:ascii="黑体" w:hAnsi="黑体" w:eastAsia="黑体" w:cs="黑体"/>
          <w:sz w:val="32"/>
          <w:szCs w:val="32"/>
        </w:rPr>
      </w:pPr>
      <w:r>
        <w:rPr>
          <w:rFonts w:hint="eastAsia" w:ascii="黑体" w:hAnsi="黑体" w:eastAsia="黑体" w:cs="黑体"/>
          <w:sz w:val="32"/>
          <w:szCs w:val="32"/>
        </w:rPr>
        <w:t>附件3</w:t>
      </w:r>
    </w:p>
    <w:p>
      <w:pPr>
        <w:spacing w:beforeLines="0" w:afterLines="0" w:line="540" w:lineRule="exact"/>
        <w:jc w:val="center"/>
        <w:rPr>
          <w:rFonts w:hint="eastAsia" w:ascii="宋体" w:hAnsi="宋体" w:eastAsia="方正小标宋简体" w:cs="方正小标宋简体"/>
          <w:color w:val="auto"/>
          <w:kern w:val="0"/>
          <w:sz w:val="44"/>
          <w:szCs w:val="44"/>
          <w:lang w:bidi="ar"/>
        </w:rPr>
      </w:pPr>
      <w:r>
        <w:rPr>
          <w:rFonts w:hint="eastAsia" w:ascii="宋体" w:hAnsi="宋体" w:eastAsia="方正小标宋简体" w:cs="方正小标宋简体"/>
          <w:color w:val="auto"/>
          <w:kern w:val="0"/>
          <w:sz w:val="44"/>
          <w:szCs w:val="44"/>
          <w:lang w:bidi="ar"/>
        </w:rPr>
        <w:t>本企业涉及的重大生产安全事故隐患</w:t>
      </w:r>
    </w:p>
    <w:p>
      <w:pPr>
        <w:spacing w:beforeLines="0" w:afterLines="0" w:line="540" w:lineRule="exact"/>
        <w:jc w:val="center"/>
        <w:rPr>
          <w:rFonts w:hint="eastAsia" w:ascii="宋体" w:hAnsi="宋体" w:eastAsia="黑体" w:cs="黑体"/>
          <w:color w:val="auto"/>
          <w:kern w:val="0"/>
          <w:sz w:val="32"/>
          <w:szCs w:val="32"/>
          <w:lang w:bidi="ar"/>
        </w:rPr>
      </w:pPr>
      <w:r>
        <w:rPr>
          <w:rFonts w:hint="eastAsia" w:ascii="宋体" w:hAnsi="宋体" w:eastAsia="方正小标宋简体" w:cs="方正小标宋简体"/>
          <w:color w:val="auto"/>
          <w:kern w:val="0"/>
          <w:sz w:val="44"/>
          <w:szCs w:val="44"/>
          <w:lang w:bidi="ar"/>
        </w:rPr>
        <w:t>判定标准（模版）</w:t>
      </w:r>
    </w:p>
    <w:p>
      <w:pPr>
        <w:spacing w:beforeLines="0" w:afterLines="0" w:line="540" w:lineRule="exact"/>
        <w:ind w:firstLine="640" w:firstLineChars="200"/>
        <w:rPr>
          <w:rFonts w:hint="eastAsia" w:ascii="宋体" w:hAnsi="宋体" w:eastAsia="黑体" w:cs="黑体"/>
          <w:sz w:val="32"/>
          <w:szCs w:val="32"/>
        </w:rPr>
      </w:pPr>
    </w:p>
    <w:p>
      <w:pPr>
        <w:spacing w:beforeLines="0" w:afterLines="0" w:line="540" w:lineRule="exact"/>
        <w:ind w:firstLine="640" w:firstLineChars="200"/>
        <w:rPr>
          <w:rFonts w:hint="default" w:ascii="宋体" w:hAnsi="宋体"/>
          <w:b/>
          <w:sz w:val="32"/>
          <w:szCs w:val="32"/>
        </w:rPr>
      </w:pPr>
      <w:r>
        <w:rPr>
          <w:rFonts w:hint="eastAsia" w:ascii="宋体" w:hAnsi="宋体" w:eastAsia="黑体" w:cs="黑体"/>
          <w:sz w:val="32"/>
          <w:szCs w:val="32"/>
        </w:rPr>
        <w:t>一、工贸企业重大隐患判定标准</w:t>
      </w:r>
    </w:p>
    <w:p>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（一）未对承包单位、承租单位的安全生产工作统一协调、管理，或者未定期进行安全检查的；</w:t>
      </w:r>
    </w:p>
    <w:p>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（二）特种作业人员未按照规定经专门的安全作业培训并取得相应资格，上岗作业的；</w:t>
      </w:r>
    </w:p>
    <w:p>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（三）金属冶炼企业主要负责人、安全生产管理人员未按照规定经考核合格的。</w:t>
      </w:r>
    </w:p>
    <w:p>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w:t>
      </w:r>
    </w:p>
    <w:p>
      <w:pPr>
        <w:spacing w:beforeLines="0" w:afterLines="0" w:line="540" w:lineRule="exact"/>
        <w:ind w:firstLine="960" w:firstLineChars="300"/>
        <w:rPr>
          <w:rFonts w:hint="eastAsia" w:ascii="宋体" w:hAnsi="宋体"/>
          <w:b/>
          <w:sz w:val="32"/>
          <w:szCs w:val="32"/>
        </w:rPr>
      </w:pPr>
      <w:r>
        <w:rPr>
          <w:rFonts w:hint="eastAsia" w:ascii="宋体" w:hAnsi="宋体" w:eastAsia="黑体" w:cs="黑体"/>
          <w:sz w:val="32"/>
          <w:szCs w:val="32"/>
        </w:rPr>
        <w:t>二、重大火灾隐患判定标准</w:t>
      </w:r>
    </w:p>
    <w:p>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（一）生产、储存和装卸易燃易爆危险品的工厂、仓库和专用车站、码头、储罐区，未设置在城市的边缘或相对独立的安全地带。</w:t>
      </w:r>
    </w:p>
    <w:p>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（二）生产、储存、经营易燃易爆危险品的场所与人员密集场所、居住场所设置在同一建筑物内，或与人员密集场所、居住场所的防火间距小于国家工程建设消防技术标准规定值的 75%。</w:t>
      </w:r>
    </w:p>
    <w:p>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（三）甲、乙类生产场所和仓库设置在建筑的地下室或半地下室。</w:t>
      </w:r>
    </w:p>
    <w:p>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（四）易燃可燃液体、可燃气体储罐（区）未按国家工程建设消防技术标准的规定设置固定灭火、冷却、可燃气体浓度报警、火灾报警设施。</w:t>
      </w:r>
    </w:p>
    <w:p>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（五）在人员密集场所违反消防安全规定使用、储存或销售易燃易爆危险品。</w:t>
      </w:r>
    </w:p>
    <w:p>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w:t>
      </w:r>
    </w:p>
    <w:p>
      <w:pPr>
        <w:spacing w:beforeLines="0" w:afterLines="0" w:line="540" w:lineRule="exact"/>
        <w:ind w:firstLine="960" w:firstLineChars="300"/>
        <w:rPr>
          <w:rFonts w:hint="eastAsia" w:ascii="宋体" w:hAnsi="宋体" w:eastAsia="黑体" w:cs="黑体"/>
          <w:sz w:val="32"/>
          <w:szCs w:val="32"/>
        </w:rPr>
      </w:pPr>
      <w:r>
        <w:rPr>
          <w:rFonts w:hint="eastAsia" w:ascii="宋体" w:hAnsi="宋体" w:eastAsia="黑体" w:cs="黑体"/>
          <w:sz w:val="32"/>
          <w:szCs w:val="32"/>
        </w:rPr>
        <w:t>三、特种设备重大事故隐患判定标准</w:t>
      </w:r>
    </w:p>
    <w:p>
      <w:pPr>
        <w:numPr>
          <w:ilvl w:val="0"/>
          <w:numId w:val="0"/>
        </w:num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（一）特种设备未取得许可生产、因安全问题国家明令淘汰、已经报废或者达到报废条件。</w:t>
      </w:r>
    </w:p>
    <w:p>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（二）特种设备发生过事故，未对其进行全面检查、消除事故隐患。</w:t>
      </w:r>
    </w:p>
    <w:p>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（三）未按规定进行监督检验或者监督检验不合格。</w:t>
      </w:r>
    </w:p>
    <w:p>
      <w:pPr>
        <w:spacing w:beforeLines="0" w:afterLines="0" w:line="540" w:lineRule="exact"/>
        <w:ind w:firstLine="640" w:firstLineChars="200"/>
        <w:rPr>
          <w:rFonts w:hint="eastAsia" w:ascii="宋体" w:hAnsi="宋体" w:cs="仿宋_GB2312"/>
          <w:sz w:val="32"/>
          <w:szCs w:val="21"/>
        </w:rPr>
      </w:pPr>
      <w:r>
        <w:rPr>
          <w:rFonts w:hint="eastAsia" w:ascii="宋体" w:hAnsi="宋体" w:cs="仿宋_GB2312"/>
          <w:sz w:val="32"/>
          <w:szCs w:val="21"/>
        </w:rPr>
        <w:t>（四）有判定标准4.2-4.10中规定的超过规定参数、使用范围的情形。</w:t>
      </w:r>
    </w:p>
    <w:p>
      <w:pPr>
        <w:spacing w:beforeLines="0" w:afterLines="0" w:line="540" w:lineRule="exact"/>
        <w:ind w:firstLine="640" w:firstLineChars="200"/>
        <w:rPr>
          <w:rFonts w:hint="default" w:ascii="宋体" w:hAnsi="宋体" w:cs="仿宋_GB2312"/>
          <w:sz w:val="32"/>
          <w:szCs w:val="21"/>
        </w:rPr>
      </w:pPr>
      <w:r>
        <w:rPr>
          <w:rFonts w:hint="eastAsia" w:ascii="宋体" w:hAnsi="宋体" w:cs="仿宋_GB2312"/>
          <w:sz w:val="32"/>
          <w:szCs w:val="21"/>
        </w:rPr>
        <w:t>............</w:t>
      </w:r>
    </w:p>
    <w:p>
      <w:pPr>
        <w:spacing w:beforeLines="0" w:afterLines="0" w:line="540" w:lineRule="exact"/>
        <w:ind w:firstLine="640" w:firstLineChars="200"/>
        <w:rPr>
          <w:rFonts w:hint="default" w:ascii="宋体" w:hAnsi="宋体" w:cs="仿宋_GB2312"/>
          <w:sz w:val="32"/>
          <w:szCs w:val="21"/>
          <w:u w:val="single"/>
        </w:rPr>
      </w:pPr>
      <w:r>
        <w:rPr>
          <w:rFonts w:hint="eastAsia" w:ascii="宋体" w:hAnsi="宋体" w:cs="仿宋_GB2312"/>
          <w:sz w:val="32"/>
          <w:szCs w:val="21"/>
        </w:rPr>
        <w:t>报告电话：（企业内部）</w:t>
      </w:r>
      <w:r>
        <w:rPr>
          <w:rFonts w:hint="eastAsia" w:ascii="宋体" w:hAnsi="宋体" w:cs="仿宋_GB2312"/>
          <w:sz w:val="32"/>
          <w:szCs w:val="21"/>
          <w:u w:val="single"/>
        </w:rPr>
        <w:t xml:space="preserve">               </w:t>
      </w:r>
    </w:p>
    <w:p>
      <w:pPr>
        <w:spacing w:beforeLines="0" w:afterLines="0" w:line="540" w:lineRule="exact"/>
        <w:ind w:firstLine="640" w:firstLineChars="200"/>
        <w:rPr>
          <w:rFonts w:hint="eastAsia" w:ascii="宋体" w:hAnsi="宋体" w:cs="仿宋_GB2312"/>
          <w:sz w:val="32"/>
          <w:szCs w:val="21"/>
          <w:u w:val="single"/>
        </w:rPr>
      </w:pPr>
      <w:r>
        <w:rPr>
          <w:rFonts w:hint="eastAsia" w:ascii="宋体" w:hAnsi="宋体" w:cs="仿宋_GB2312"/>
          <w:sz w:val="32"/>
          <w:szCs w:val="21"/>
          <w:u w:val="single"/>
        </w:rPr>
        <w:t xml:space="preserve">举报电话：（区应急管理局）           </w:t>
      </w:r>
    </w:p>
    <w:p>
      <w:pPr>
        <w:spacing w:beforeLines="0" w:afterLines="0" w:line="540" w:lineRule="exact"/>
        <w:ind w:firstLine="2240" w:firstLineChars="700"/>
        <w:rPr>
          <w:rFonts w:hint="eastAsia" w:ascii="宋体" w:hAnsi="宋体" w:cs="仿宋_GB2312"/>
          <w:sz w:val="32"/>
          <w:szCs w:val="21"/>
          <w:u w:val="single"/>
        </w:rPr>
      </w:pPr>
      <w:r>
        <w:rPr>
          <w:rFonts w:hint="eastAsia" w:ascii="宋体" w:hAnsi="宋体" w:cs="仿宋_GB2312"/>
          <w:sz w:val="32"/>
          <w:szCs w:val="21"/>
          <w:u w:val="single"/>
        </w:rPr>
        <w:t xml:space="preserve">（区消防救援大队）        </w:t>
      </w:r>
    </w:p>
    <w:p>
      <w:pPr>
        <w:spacing w:beforeLines="0" w:afterLines="0" w:line="540" w:lineRule="exact"/>
        <w:ind w:firstLine="2240" w:firstLineChars="700"/>
        <w:rPr>
          <w:rFonts w:hint="eastAsia" w:ascii="宋体" w:hAnsi="宋体" w:cs="仿宋_GB2312"/>
          <w:sz w:val="32"/>
          <w:szCs w:val="21"/>
          <w:u w:val="single"/>
        </w:rPr>
      </w:pPr>
      <w:r>
        <w:rPr>
          <w:rFonts w:hint="eastAsia" w:ascii="宋体" w:hAnsi="宋体" w:cs="仿宋_GB2312"/>
          <w:sz w:val="32"/>
          <w:szCs w:val="21"/>
          <w:u w:val="single"/>
        </w:rPr>
        <w:t xml:space="preserve">（区市监分局）            </w:t>
      </w:r>
    </w:p>
    <w:p>
      <w:pPr>
        <w:spacing w:beforeLines="0" w:afterLines="0" w:line="540" w:lineRule="exact"/>
        <w:ind w:firstLine="2240" w:firstLineChars="700"/>
        <w:rPr>
          <w:rFonts w:hint="default" w:ascii="宋体" w:hAnsi="宋体" w:cs="仿宋_GB2312"/>
          <w:sz w:val="32"/>
          <w:szCs w:val="21"/>
          <w:u w:val="single"/>
        </w:rPr>
      </w:pPr>
      <w:r>
        <w:rPr>
          <w:rFonts w:hint="eastAsia" w:ascii="宋体" w:hAnsi="宋体" w:cs="仿宋_GB2312"/>
          <w:sz w:val="32"/>
          <w:szCs w:val="21"/>
          <w:u w:val="single"/>
        </w:rPr>
        <w:t xml:space="preserve">（属地乡镇）              </w:t>
      </w:r>
    </w:p>
    <w:p>
      <w:pPr>
        <w:spacing w:beforeLines="0" w:afterLines="0" w:line="540" w:lineRule="exact"/>
        <w:ind w:firstLine="640" w:firstLineChars="200"/>
        <w:rPr>
          <w:rFonts w:hint="eastAsia" w:ascii="宋体" w:hAnsi="宋体" w:cs="仿宋_GB2312"/>
          <w:sz w:val="32"/>
          <w:szCs w:val="21"/>
          <w:u w:val="single"/>
        </w:rPr>
      </w:pPr>
      <w:r>
        <w:rPr>
          <w:rFonts w:hint="eastAsia" w:ascii="宋体" w:hAnsi="宋体" w:cs="仿宋_GB2312"/>
          <w:sz w:val="32"/>
          <w:szCs w:val="21"/>
          <w:u w:val="single"/>
        </w:rPr>
        <w:t>重大事故隐患治理原则：</w:t>
      </w:r>
    </w:p>
    <w:p>
      <w:pPr>
        <w:spacing w:beforeLines="0" w:afterLines="0" w:line="540" w:lineRule="exact"/>
        <w:ind w:firstLine="640" w:firstLineChars="200"/>
        <w:rPr>
          <w:rFonts w:hint="default" w:ascii="宋体" w:hAnsi="宋体" w:cs="仿宋_GB2312"/>
          <w:sz w:val="32"/>
          <w:szCs w:val="21"/>
          <w:u w:val="single"/>
        </w:rPr>
      </w:pPr>
      <w:r>
        <w:rPr>
          <w:rFonts w:hint="eastAsia" w:ascii="宋体" w:hAnsi="宋体" w:cs="仿宋_GB2312"/>
          <w:sz w:val="32"/>
          <w:szCs w:val="21"/>
          <w:u w:val="single"/>
        </w:rPr>
        <w:t>对企业自查发现并主动报告、主动整改的重大事故隐患，依法不予处罚；对不检查、不报告、不整改的，监管部门抽查发现重大事故隐患的，依法予以“一案双罚”。</w:t>
      </w:r>
    </w:p>
    <w:p>
      <w:pPr>
        <w:spacing w:beforeLines="0" w:afterLines="0" w:line="330" w:lineRule="exact"/>
        <w:rPr>
          <w:rFonts w:hint="eastAsia" w:ascii="仿宋_GB2312" w:hAnsi="仿宋_GB2312" w:cs="仿宋_GB2312"/>
          <w:sz w:val="32"/>
          <w:szCs w:val="21"/>
        </w:rPr>
        <w:sectPr>
          <w:pgSz w:w="11906" w:h="16838"/>
          <w:pgMar w:top="2098" w:right="1587" w:bottom="2098" w:left="1587" w:header="851" w:footer="992" w:gutter="0"/>
          <w:lnNumType w:countBy="0" w:distance="360"/>
          <w:pgNumType w:fmt="decimal"/>
          <w:cols w:space="720" w:num="1"/>
          <w:rtlGutter w:val="0"/>
          <w:docGrid w:type="lines" w:linePitch="312" w:charSpace="0"/>
        </w:sectPr>
      </w:pPr>
    </w:p>
    <w:p>
      <w:pPr>
        <w:spacing w:beforeLines="0" w:afterLines="0" w:line="330" w:lineRule="exact"/>
        <w:rPr>
          <w:rFonts w:hint="eastAsia" w:ascii="黑体" w:hAnsi="黑体" w:eastAsia="黑体" w:cs="黑体"/>
          <w:sz w:val="32"/>
          <w:szCs w:val="21"/>
        </w:rPr>
      </w:pPr>
      <w:r>
        <w:rPr>
          <w:rFonts w:hint="eastAsia" w:ascii="黑体" w:hAnsi="黑体" w:eastAsia="黑体" w:cs="黑体"/>
          <w:sz w:val="32"/>
          <w:szCs w:val="21"/>
        </w:rPr>
        <w:t>附件4</w:t>
      </w:r>
    </w:p>
    <w:p>
      <w:pPr>
        <w:spacing w:beforeLines="0" w:afterLines="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重点任务进展情况调度表</w:t>
      </w:r>
    </w:p>
    <w:tbl>
      <w:tblPr>
        <w:tblStyle w:val="14"/>
        <w:tblW w:w="143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2"/>
        <w:gridCol w:w="962"/>
        <w:gridCol w:w="5625"/>
        <w:gridCol w:w="2450"/>
        <w:gridCol w:w="1124"/>
        <w:gridCol w:w="1110"/>
        <w:gridCol w:w="1054"/>
        <w:gridCol w:w="221"/>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blHeader/>
        </w:trPr>
        <w:tc>
          <w:tcPr>
            <w:tcW w:w="612" w:type="dxa"/>
            <w:vMerge w:val="restart"/>
            <w:tcBorders>
              <w:top w:val="single" w:color="000000" w:sz="4" w:space="0"/>
              <w:left w:val="single" w:color="000000" w:sz="4" w:space="0"/>
              <w:bottom w:val="nil"/>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962" w:type="dxa"/>
            <w:vMerge w:val="restart"/>
            <w:tcBorders>
              <w:top w:val="single" w:color="000000" w:sz="4" w:space="0"/>
              <w:left w:val="single" w:color="000000" w:sz="4" w:space="0"/>
              <w:bottom w:val="nil"/>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行业领域</w:t>
            </w:r>
          </w:p>
        </w:tc>
        <w:tc>
          <w:tcPr>
            <w:tcW w:w="5625" w:type="dxa"/>
            <w:vMerge w:val="restart"/>
            <w:tcBorders>
              <w:top w:val="single" w:color="000000" w:sz="4" w:space="0"/>
              <w:left w:val="single" w:color="000000" w:sz="4" w:space="0"/>
              <w:bottom w:val="nil"/>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重点问题隐患整治</w:t>
            </w:r>
          </w:p>
        </w:tc>
        <w:tc>
          <w:tcPr>
            <w:tcW w:w="2450" w:type="dxa"/>
            <w:vMerge w:val="restart"/>
            <w:tcBorders>
              <w:top w:val="single" w:color="000000" w:sz="4" w:space="0"/>
              <w:left w:val="single" w:color="000000" w:sz="4" w:space="0"/>
              <w:bottom w:val="nil"/>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夯实基础</w:t>
            </w:r>
          </w:p>
        </w:tc>
        <w:tc>
          <w:tcPr>
            <w:tcW w:w="2234"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督导检查</w:t>
            </w:r>
          </w:p>
        </w:tc>
        <w:tc>
          <w:tcPr>
            <w:tcW w:w="2445" w:type="dxa"/>
            <w:gridSpan w:val="3"/>
            <w:tcBorders>
              <w:top w:val="single" w:color="000000" w:sz="4" w:space="0"/>
              <w:left w:val="single" w:color="000000" w:sz="4" w:space="0"/>
              <w:bottom w:val="single" w:color="auto"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执法震慑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612" w:type="dxa"/>
            <w:vMerge w:val="continue"/>
            <w:tcBorders>
              <w:top w:val="nil"/>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宋体" w:eastAsia="黑体" w:cs="黑体"/>
                <w:color w:val="000000"/>
                <w:kern w:val="0"/>
                <w:sz w:val="18"/>
                <w:szCs w:val="18"/>
                <w:lang w:bidi="ar"/>
              </w:rPr>
            </w:pPr>
          </w:p>
        </w:tc>
        <w:tc>
          <w:tcPr>
            <w:tcW w:w="962" w:type="dxa"/>
            <w:vMerge w:val="continue"/>
            <w:tcBorders>
              <w:top w:val="nil"/>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宋体" w:eastAsia="黑体" w:cs="黑体"/>
                <w:color w:val="000000"/>
                <w:kern w:val="0"/>
                <w:sz w:val="18"/>
                <w:szCs w:val="18"/>
                <w:lang w:bidi="ar"/>
              </w:rPr>
            </w:pPr>
          </w:p>
        </w:tc>
        <w:tc>
          <w:tcPr>
            <w:tcW w:w="5625" w:type="dxa"/>
            <w:vMerge w:val="continue"/>
            <w:tcBorders>
              <w:top w:val="nil"/>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宋体" w:eastAsia="黑体" w:cs="黑体"/>
                <w:color w:val="000000"/>
                <w:kern w:val="0"/>
                <w:sz w:val="18"/>
                <w:szCs w:val="18"/>
                <w:lang w:bidi="ar"/>
              </w:rPr>
            </w:pPr>
          </w:p>
        </w:tc>
        <w:tc>
          <w:tcPr>
            <w:tcW w:w="2450" w:type="dxa"/>
            <w:vMerge w:val="continue"/>
            <w:tcBorders>
              <w:top w:val="nil"/>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黑体" w:hAnsi="宋体" w:eastAsia="黑体" w:cs="黑体"/>
                <w:color w:val="000000"/>
                <w:kern w:val="0"/>
                <w:sz w:val="18"/>
                <w:szCs w:val="18"/>
                <w:lang w:bidi="ar"/>
              </w:rPr>
            </w:pPr>
          </w:p>
        </w:tc>
        <w:tc>
          <w:tcPr>
            <w:tcW w:w="1124" w:type="dxa"/>
            <w:tcBorders>
              <w:top w:val="single" w:color="auto" w:sz="4" w:space="0"/>
              <w:left w:val="single" w:color="000000" w:sz="4" w:space="0"/>
              <w:bottom w:val="single" w:color="000000"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line="240" w:lineRule="exact"/>
              <w:ind w:left="0" w:right="0"/>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分管街道领导督导次数</w:t>
            </w:r>
          </w:p>
        </w:tc>
        <w:tc>
          <w:tcPr>
            <w:tcW w:w="1110" w:type="dxa"/>
            <w:tcBorders>
              <w:top w:val="single" w:color="auto" w:sz="4" w:space="0"/>
              <w:left w:val="single" w:color="auto"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line="240" w:lineRule="exact"/>
              <w:ind w:left="0" w:right="0"/>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村（社区）书记督导次数</w:t>
            </w:r>
          </w:p>
        </w:tc>
        <w:tc>
          <w:tcPr>
            <w:tcW w:w="1275" w:type="dxa"/>
            <w:gridSpan w:val="2"/>
            <w:tcBorders>
              <w:top w:val="single" w:color="auto" w:sz="4" w:space="0"/>
              <w:left w:val="single" w:color="000000" w:sz="4" w:space="0"/>
              <w:bottom w:val="single" w:color="000000"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line="240" w:lineRule="exact"/>
              <w:ind w:left="0" w:right="0"/>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曝光隐患排查治理不到位企业家数</w:t>
            </w:r>
          </w:p>
        </w:tc>
        <w:tc>
          <w:tcPr>
            <w:tcW w:w="1170" w:type="dxa"/>
            <w:tcBorders>
              <w:top w:val="single" w:color="auto" w:sz="4" w:space="0"/>
              <w:left w:val="single" w:color="auto"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line="240" w:lineRule="exact"/>
              <w:ind w:left="0" w:right="0"/>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集中约谈不履行主体责任企业家数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3"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交通领域</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1.排查运输企业</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家，发现问题隐患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r>
              <w:rPr>
                <w:rFonts w:hint="default" w:ascii="宋体" w:hAnsi="宋体" w:eastAsia="宋体" w:cs="宋体"/>
                <w:color w:val="000000"/>
                <w:kern w:val="0"/>
                <w:sz w:val="18"/>
                <w:szCs w:val="18"/>
                <w:lang w:bidi="ar"/>
              </w:rPr>
              <w:br w:type="textWrapping"/>
            </w:r>
            <w:r>
              <w:rPr>
                <w:rFonts w:hint="default" w:ascii="宋体" w:hAnsi="宋体" w:eastAsia="宋体" w:cs="宋体"/>
                <w:color w:val="000000"/>
                <w:kern w:val="0"/>
                <w:sz w:val="18"/>
                <w:szCs w:val="18"/>
                <w:lang w:bidi="ar"/>
              </w:rPr>
              <w:t>其中问题车辆   辆，整治完成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辆，问题司机</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个，场站问题（含管理）</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r>
              <w:rPr>
                <w:rFonts w:hint="default" w:ascii="宋体" w:hAnsi="宋体" w:eastAsia="宋体" w:cs="宋体"/>
                <w:color w:val="000000"/>
                <w:kern w:val="0"/>
                <w:sz w:val="18"/>
                <w:szCs w:val="18"/>
                <w:lang w:bidi="ar"/>
              </w:rPr>
              <w:br w:type="textWrapping"/>
            </w:r>
            <w:r>
              <w:rPr>
                <w:rFonts w:hint="default" w:ascii="宋体" w:hAnsi="宋体" w:eastAsia="宋体" w:cs="宋体"/>
                <w:color w:val="000000"/>
                <w:kern w:val="0"/>
                <w:sz w:val="18"/>
                <w:szCs w:val="18"/>
                <w:lang w:bidi="ar"/>
              </w:rPr>
              <w:t>2.排查道路发现隐患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推动建设农村公路生命安全防护工程建设</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公里。</w:t>
            </w: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3"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消防领域</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排查各类场所</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个，发现问题隐患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r>
              <w:rPr>
                <w:rFonts w:hint="default" w:ascii="宋体" w:hAnsi="宋体" w:eastAsia="宋体" w:cs="宋体"/>
                <w:color w:val="000000"/>
                <w:kern w:val="0"/>
                <w:sz w:val="18"/>
                <w:szCs w:val="18"/>
                <w:lang w:bidi="ar"/>
              </w:rPr>
              <w:br w:type="textWrapping"/>
            </w:r>
            <w:r>
              <w:rPr>
                <w:rFonts w:hint="default" w:ascii="宋体" w:hAnsi="宋体" w:eastAsia="宋体" w:cs="宋体"/>
                <w:color w:val="000000"/>
                <w:kern w:val="0"/>
                <w:sz w:val="18"/>
                <w:szCs w:val="18"/>
                <w:lang w:bidi="ar"/>
              </w:rPr>
              <w:t>其中重大隐患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个，提请管委会挂牌督办</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其中开展夜查   次。</w:t>
            </w:r>
          </w:p>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其中整治违规住人   处，整治违规电焊   起。</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spacing w:before="0" w:beforeLines="0" w:beforeAutospacing="0" w:after="0" w:afterLines="0" w:afterAutospacing="0"/>
              <w:ind w:left="0" w:right="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1.推动拆除广告牌</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个，拆除防盗网</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r>
              <w:rPr>
                <w:rFonts w:hint="default" w:ascii="宋体" w:hAnsi="宋体" w:eastAsia="宋体" w:cs="宋体"/>
                <w:color w:val="000000"/>
                <w:kern w:val="0"/>
                <w:sz w:val="18"/>
                <w:szCs w:val="18"/>
                <w:lang w:bidi="ar"/>
              </w:rPr>
              <w:br w:type="textWrapping"/>
            </w:r>
            <w:r>
              <w:rPr>
                <w:rFonts w:hint="default" w:ascii="宋体" w:hAnsi="宋体" w:eastAsia="宋体" w:cs="宋体"/>
                <w:color w:val="000000"/>
                <w:kern w:val="0"/>
                <w:sz w:val="18"/>
                <w:szCs w:val="18"/>
                <w:lang w:bidi="ar"/>
              </w:rPr>
              <w:t>2.推动建设电动自行车充电位</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危化品领域</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排查各类场所</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个，发现问题隐患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开展专家指导服务</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家。</w:t>
            </w: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建筑施工领域</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排查各类场所</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个，发现问题隐患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r>
              <w:rPr>
                <w:rFonts w:hint="default" w:ascii="宋体" w:hAnsi="宋体" w:eastAsia="宋体" w:cs="宋体"/>
                <w:color w:val="000000"/>
                <w:kern w:val="0"/>
                <w:sz w:val="18"/>
                <w:szCs w:val="18"/>
                <w:lang w:bidi="ar"/>
              </w:rPr>
              <w:br w:type="textWrapping"/>
            </w:r>
            <w:r>
              <w:rPr>
                <w:rFonts w:hint="default" w:ascii="宋体" w:hAnsi="宋体" w:eastAsia="宋体" w:cs="宋体"/>
                <w:color w:val="000000"/>
                <w:kern w:val="0"/>
                <w:sz w:val="18"/>
                <w:szCs w:val="18"/>
                <w:lang w:bidi="ar"/>
              </w:rPr>
              <w:t>其中抽查小散工程</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个，发现存在问题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推动创建标准化工地项目</w:t>
            </w:r>
            <w:r>
              <w:rPr>
                <w:rFonts w:hint="default" w:ascii="宋体" w:hAnsi="宋体" w:eastAsia="宋体" w:cs="宋体"/>
                <w:color w:val="000000"/>
                <w:sz w:val="18"/>
                <w:szCs w:val="18"/>
                <w:u w:val="single"/>
              </w:rPr>
              <w:t xml:space="preserve"> </w:t>
            </w:r>
            <w:r>
              <w:rPr>
                <w:rFonts w:hint="default" w:ascii="宋体" w:hAnsi="宋体" w:eastAsia="宋体" w:cs="宋体"/>
                <w:color w:val="000000"/>
                <w:sz w:val="18"/>
                <w:szCs w:val="18"/>
              </w:rPr>
              <w:t>个。</w:t>
            </w: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2"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5</w:t>
            </w:r>
          </w:p>
        </w:tc>
        <w:tc>
          <w:tcPr>
            <w:tcW w:w="962"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燃气领域</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排查燃气长输管道</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公里，发现问题隐患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61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suppressLineNumbers w:val="0"/>
              <w:spacing w:before="0" w:beforeLines="0" w:beforeAutospacing="0" w:after="0" w:afterLines="0" w:afterAutospacing="0"/>
              <w:ind w:left="0" w:right="0"/>
              <w:rPr>
                <w:rFonts w:hint="default" w:ascii="宋体" w:hAnsi="宋体" w:eastAsia="宋体" w:cs="宋体"/>
                <w:color w:val="000000"/>
                <w:sz w:val="18"/>
                <w:szCs w:val="18"/>
              </w:rPr>
            </w:pP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排查各类城镇燃气经营、使用场所</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个，发现问题隐患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完成燃气庭院管道更新改造</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公里。</w:t>
            </w: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6</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城市运行</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排查桥梁</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座，发现问题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座，整治完成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 xml:space="preserve">  座，排查城市道路</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公里，发现地下空洞</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 xml:space="preserve"> 处。</w:t>
            </w:r>
            <w:r>
              <w:rPr>
                <w:rFonts w:hint="default" w:ascii="宋体" w:hAnsi="宋体" w:eastAsia="宋体" w:cs="宋体"/>
                <w:color w:val="000000"/>
                <w:kern w:val="0"/>
                <w:sz w:val="18"/>
                <w:szCs w:val="18"/>
                <w:lang w:bidi="ar"/>
              </w:rPr>
              <w:br w:type="textWrapping"/>
            </w:r>
            <w:r>
              <w:rPr>
                <w:rFonts w:hint="default" w:ascii="宋体" w:hAnsi="宋体" w:eastAsia="宋体" w:cs="宋体"/>
                <w:color w:val="000000"/>
                <w:kern w:val="0"/>
                <w:sz w:val="18"/>
                <w:szCs w:val="18"/>
                <w:lang w:bidi="ar"/>
              </w:rPr>
              <w:t>排查经营性自建房</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栋，发现存在问题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栋，整治完成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栋。</w:t>
            </w:r>
          </w:p>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排查供水管网</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公里，发现存在问题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default" w:ascii="宋体" w:hAnsi="宋体" w:eastAsia="宋体" w:cs="宋体"/>
                <w:color w:val="000000"/>
                <w:sz w:val="18"/>
                <w:szCs w:val="18"/>
              </w:rPr>
            </w:pP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7</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文化旅游</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排查旅游项目</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个，发现问题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r>
              <w:rPr>
                <w:rFonts w:hint="default" w:ascii="宋体" w:hAnsi="宋体" w:eastAsia="宋体" w:cs="宋体"/>
                <w:color w:val="000000"/>
                <w:kern w:val="0"/>
                <w:sz w:val="18"/>
                <w:szCs w:val="18"/>
                <w:lang w:bidi="ar"/>
              </w:rPr>
              <w:br w:type="textWrapping"/>
            </w:r>
            <w:r>
              <w:rPr>
                <w:rFonts w:hint="default" w:ascii="宋体" w:hAnsi="宋体" w:eastAsia="宋体" w:cs="宋体"/>
                <w:color w:val="000000"/>
                <w:kern w:val="0"/>
                <w:sz w:val="18"/>
                <w:szCs w:val="18"/>
                <w:lang w:bidi="ar"/>
              </w:rPr>
              <w:t>排查无人值守的文化娱乐、体育、旅游场所</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处，发现问题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落实“一活动一方案”的大型活动</w:t>
            </w:r>
            <w:r>
              <w:rPr>
                <w:rFonts w:hint="default" w:ascii="宋体" w:hAnsi="宋体" w:eastAsia="宋体" w:cs="宋体"/>
                <w:color w:val="000000"/>
                <w:sz w:val="18"/>
                <w:szCs w:val="18"/>
                <w:u w:val="single"/>
              </w:rPr>
              <w:t xml:space="preserve">   </w:t>
            </w:r>
            <w:r>
              <w:rPr>
                <w:rFonts w:hint="default" w:ascii="宋体" w:hAnsi="宋体" w:eastAsia="宋体" w:cs="宋体"/>
                <w:color w:val="000000"/>
                <w:sz w:val="18"/>
                <w:szCs w:val="18"/>
              </w:rPr>
              <w:t>个，停运不能满足安全条件的设备</w:t>
            </w:r>
            <w:r>
              <w:rPr>
                <w:rFonts w:hint="default" w:ascii="宋体" w:hAnsi="宋体" w:eastAsia="宋体" w:cs="宋体"/>
                <w:color w:val="000000"/>
                <w:sz w:val="18"/>
                <w:szCs w:val="18"/>
                <w:u w:val="single"/>
              </w:rPr>
              <w:t xml:space="preserve">   </w:t>
            </w:r>
            <w:r>
              <w:rPr>
                <w:rFonts w:hint="default" w:ascii="宋体" w:hAnsi="宋体" w:eastAsia="宋体" w:cs="宋体"/>
                <w:color w:val="000000"/>
                <w:sz w:val="18"/>
                <w:szCs w:val="18"/>
              </w:rPr>
              <w:t>个。</w:t>
            </w: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8</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特种设备领域</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排查电梯</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部，发现问题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r>
              <w:rPr>
                <w:rFonts w:hint="default" w:ascii="宋体" w:hAnsi="宋体" w:eastAsia="宋体" w:cs="宋体"/>
                <w:color w:val="000000"/>
                <w:kern w:val="0"/>
                <w:sz w:val="18"/>
                <w:szCs w:val="18"/>
                <w:lang w:bidi="ar"/>
              </w:rPr>
              <w:br w:type="textWrapping"/>
            </w:r>
            <w:r>
              <w:rPr>
                <w:rFonts w:hint="default" w:ascii="宋体" w:hAnsi="宋体" w:eastAsia="宋体" w:cs="宋体"/>
                <w:color w:val="000000"/>
                <w:kern w:val="0"/>
                <w:sz w:val="18"/>
                <w:szCs w:val="18"/>
                <w:lang w:bidi="ar"/>
              </w:rPr>
              <w:t>排查冷库压力容器</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个，发现问题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default" w:ascii="宋体" w:hAnsi="宋体" w:eastAsia="宋体" w:cs="宋体"/>
                <w:color w:val="000000"/>
                <w:sz w:val="18"/>
                <w:szCs w:val="18"/>
              </w:rPr>
            </w:pP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rPr>
              <w:t>9</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极端天气下自然灾害风险</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排查地质灾害，山塘水库、水电站</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处，发现问题隐患</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个，整治完成</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整治城市内涝点</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处。</w:t>
            </w:r>
          </w:p>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落实“631”叫应机制，及时转移人员</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个。</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kern w:val="0"/>
                <w:sz w:val="18"/>
                <w:szCs w:val="18"/>
                <w:lang w:bidi="ar"/>
              </w:rPr>
              <w:t>开展巨灾情景构建</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次。</w:t>
            </w: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61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10</w:t>
            </w:r>
          </w:p>
        </w:tc>
        <w:tc>
          <w:tcPr>
            <w:tcW w:w="9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森林防火</w:t>
            </w:r>
          </w:p>
        </w:tc>
        <w:tc>
          <w:tcPr>
            <w:tcW w:w="56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全区安排</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人次开展巡查，安排</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人次在卡口进行检查，打击野外非法用火</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起，清理林缘地带、防火隔离带可燃物</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处。</w:t>
            </w:r>
          </w:p>
        </w:tc>
        <w:tc>
          <w:tcPr>
            <w:tcW w:w="2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对林区</w:t>
            </w:r>
            <w:r>
              <w:rPr>
                <w:rFonts w:hint="default" w:ascii="宋体" w:hAnsi="宋体" w:eastAsia="宋体" w:cs="宋体"/>
                <w:color w:val="000000"/>
                <w:kern w:val="0"/>
                <w:sz w:val="18"/>
                <w:szCs w:val="18"/>
                <w:u w:val="single"/>
                <w:lang w:bidi="ar"/>
              </w:rPr>
              <w:t xml:space="preserve">   </w:t>
            </w:r>
            <w:r>
              <w:rPr>
                <w:rFonts w:hint="default" w:ascii="宋体" w:hAnsi="宋体" w:eastAsia="宋体" w:cs="宋体"/>
                <w:color w:val="000000"/>
                <w:kern w:val="0"/>
                <w:sz w:val="18"/>
                <w:szCs w:val="18"/>
                <w:lang w:bidi="ar"/>
              </w:rPr>
              <w:t>处重要目标、重要设施进行摸底建档。</w:t>
            </w:r>
          </w:p>
        </w:tc>
        <w:tc>
          <w:tcPr>
            <w:tcW w:w="1124"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1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91" w:type="dxa"/>
          <w:trHeight w:val="691" w:hRule="atLeast"/>
        </w:trPr>
        <w:tc>
          <w:tcPr>
            <w:tcW w:w="12937" w:type="dxa"/>
            <w:gridSpan w:val="7"/>
            <w:tcBorders>
              <w:top w:val="nil"/>
              <w:left w:val="nil"/>
              <w:bottom w:val="nil"/>
              <w:right w:val="nil"/>
              <w:tl2br w:val="nil"/>
              <w:tr2bl w:val="nil"/>
            </w:tcBorders>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rPr>
              <w:t>备注：与治本攻坚三年行动、压实企业主体责任两项工作同步进行调度。</w:t>
            </w:r>
          </w:p>
        </w:tc>
      </w:tr>
    </w:tbl>
    <w:p>
      <w:pPr>
        <w:tabs>
          <w:tab w:val="left" w:pos="759"/>
        </w:tabs>
        <w:bidi w:val="0"/>
        <w:jc w:val="left"/>
        <w:rPr>
          <w:rFonts w:hint="eastAsia"/>
          <w:lang w:val="en-US" w:eastAsia="zh-CN"/>
        </w:rPr>
      </w:pPr>
    </w:p>
    <w:p>
      <w:pPr>
        <w:tabs>
          <w:tab w:val="left" w:pos="759"/>
        </w:tabs>
        <w:bidi w:val="0"/>
        <w:jc w:val="left"/>
        <w:rPr>
          <w:rFonts w:hint="eastAsia"/>
          <w:lang w:val="en-US" w:eastAsia="zh-CN"/>
        </w:rPr>
      </w:pPr>
    </w:p>
    <w:p>
      <w:pPr>
        <w:tabs>
          <w:tab w:val="left" w:pos="759"/>
        </w:tabs>
        <w:bidi w:val="0"/>
        <w:jc w:val="left"/>
        <w:rPr>
          <w:rFonts w:hint="eastAsia"/>
          <w:lang w:val="en-US" w:eastAsia="zh-CN"/>
        </w:rPr>
      </w:pPr>
    </w:p>
    <w:p>
      <w:pPr>
        <w:tabs>
          <w:tab w:val="left" w:pos="759"/>
        </w:tabs>
        <w:bidi w:val="0"/>
        <w:jc w:val="left"/>
        <w:rPr>
          <w:rFonts w:hint="eastAsia"/>
          <w:lang w:val="en-US" w:eastAsia="zh-CN"/>
        </w:rPr>
      </w:pPr>
    </w:p>
    <w:p>
      <w:pPr>
        <w:tabs>
          <w:tab w:val="left" w:pos="759"/>
        </w:tabs>
        <w:bidi w:val="0"/>
        <w:jc w:val="left"/>
        <w:rPr>
          <w:rFonts w:hint="eastAsia"/>
          <w:lang w:val="en-US" w:eastAsia="zh-CN"/>
        </w:rPr>
      </w:pPr>
    </w:p>
    <w:p>
      <w:pPr>
        <w:tabs>
          <w:tab w:val="left" w:pos="1726"/>
        </w:tabs>
        <w:bidi w:val="0"/>
        <w:jc w:val="left"/>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sectPr>
          <w:pgSz w:w="16838" w:h="11906" w:orient="landscape"/>
          <w:pgMar w:top="1587" w:right="2098" w:bottom="1587" w:left="2098" w:header="851" w:footer="992" w:gutter="0"/>
          <w:pgNumType w:fmt="decimal"/>
          <w:cols w:space="0" w:num="1"/>
          <w:rtlGutter w:val="0"/>
          <w:docGrid w:type="lines" w:linePitch="436" w:charSpace="0"/>
        </w:sectPr>
      </w:pPr>
    </w:p>
    <w:p>
      <w:pPr>
        <w:pStyle w:val="2"/>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tbl>
      <w:tblPr>
        <w:tblStyle w:val="14"/>
        <w:tblpPr w:leftFromText="180" w:rightFromText="180" w:vertAnchor="text" w:horzAnchor="page" w:tblpX="1581" w:tblpY="60"/>
        <w:tblOverlap w:val="never"/>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000" w:type="pct"/>
            <w:tcBorders>
              <w:top w:val="single" w:color="auto" w:sz="4" w:space="0"/>
              <w:left w:val="nil"/>
              <w:bottom w:val="single" w:color="auto" w:sz="4" w:space="0"/>
              <w:right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280" w:firstLineChars="100"/>
              <w:jc w:val="left"/>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黄金岭街道党政办公室</w:t>
            </w:r>
            <w:r>
              <w:rPr>
                <w:rFonts w:hint="eastAsia" w:ascii="Times New Roman" w:hAnsi="Times New Roman" w:eastAsia="仿宋_GB2312" w:cs="Times New Roman"/>
                <w:sz w:val="28"/>
                <w:szCs w:val="28"/>
                <w:lang w:val="en-US" w:eastAsia="zh-CN"/>
              </w:rPr>
              <w:t xml:space="preserve">                    </w:t>
            </w:r>
            <w:r>
              <w:rPr>
                <w:rFonts w:hint="eastAsia" w:ascii="宋体" w:hAnsi="宋体" w:eastAsia="宋体" w:cs="宋体"/>
                <w:sz w:val="28"/>
                <w:szCs w:val="28"/>
                <w:lang w:val="en-US" w:eastAsia="zh-CN"/>
              </w:rPr>
              <w:t>2025</w:t>
            </w:r>
            <w:r>
              <w:rPr>
                <w:rFonts w:hint="default" w:ascii="Times New Roman" w:hAnsi="Times New Roman" w:eastAsia="仿宋_GB2312" w:cs="Times New Roman"/>
                <w:sz w:val="28"/>
                <w:szCs w:val="28"/>
                <w:lang w:val="en-US" w:eastAsia="zh-CN"/>
              </w:rPr>
              <w:t>年</w:t>
            </w:r>
            <w:r>
              <w:rPr>
                <w:rFonts w:hint="eastAsia" w:ascii="宋体" w:hAnsi="宋体" w:eastAsia="宋体" w:cs="宋体"/>
                <w:sz w:val="28"/>
                <w:szCs w:val="28"/>
                <w:lang w:val="en-US" w:eastAsia="zh-CN"/>
              </w:rPr>
              <w:t>4</w:t>
            </w:r>
            <w:r>
              <w:rPr>
                <w:rFonts w:hint="default" w:ascii="Times New Roman" w:hAnsi="Times New Roman" w:eastAsia="仿宋_GB2312" w:cs="Times New Roman"/>
                <w:sz w:val="28"/>
                <w:szCs w:val="28"/>
                <w:lang w:val="en-US" w:eastAsia="zh-CN"/>
              </w:rPr>
              <w:t>月</w:t>
            </w:r>
            <w:r>
              <w:rPr>
                <w:rFonts w:hint="eastAsia" w:ascii="宋体" w:hAnsi="宋体" w:eastAsia="宋体" w:cs="宋体"/>
                <w:sz w:val="28"/>
                <w:szCs w:val="28"/>
                <w:lang w:val="en-US" w:eastAsia="zh-CN"/>
              </w:rPr>
              <w:t>14</w:t>
            </w:r>
            <w:r>
              <w:rPr>
                <w:rFonts w:hint="default" w:ascii="Times New Roman" w:hAnsi="Times New Roman" w:eastAsia="仿宋_GB2312" w:cs="Times New Roman"/>
                <w:sz w:val="28"/>
                <w:szCs w:val="28"/>
                <w:lang w:val="en-US" w:eastAsia="zh-CN"/>
              </w:rPr>
              <w:t>日印发</w:t>
            </w:r>
          </w:p>
        </w:tc>
      </w:tr>
    </w:tbl>
    <w:p>
      <w:pPr>
        <w:tabs>
          <w:tab w:val="left" w:pos="1460"/>
        </w:tabs>
        <w:bidi w:val="0"/>
        <w:jc w:val="left"/>
        <w:rPr>
          <w:rFonts w:hint="eastAsia"/>
          <w:lang w:val="en-US" w:eastAsia="zh-CN"/>
        </w:rPr>
      </w:pPr>
    </w:p>
    <w:p>
      <w:pPr>
        <w:tabs>
          <w:tab w:val="left" w:pos="1460"/>
        </w:tabs>
        <w:bidi w:val="0"/>
        <w:jc w:val="left"/>
        <w:rPr>
          <w:rFonts w:hint="eastAsia"/>
          <w:lang w:val="en-US" w:eastAsia="zh-CN"/>
        </w:rPr>
      </w:pPr>
    </w:p>
    <w:p>
      <w:pPr>
        <w:tabs>
          <w:tab w:val="left" w:pos="1460"/>
        </w:tabs>
        <w:bidi w:val="0"/>
        <w:jc w:val="left"/>
        <w:rPr>
          <w:rFonts w:hint="eastAsia"/>
          <w:lang w:val="en-US" w:eastAsia="zh-CN"/>
        </w:rPr>
      </w:pPr>
    </w:p>
    <w:p>
      <w:pPr>
        <w:tabs>
          <w:tab w:val="left" w:pos="1460"/>
        </w:tabs>
        <w:bidi w:val="0"/>
        <w:jc w:val="left"/>
        <w:rPr>
          <w:rFonts w:hint="eastAsia"/>
          <w:lang w:val="en-US" w:eastAsia="zh-CN"/>
        </w:rPr>
      </w:pPr>
    </w:p>
    <w:p>
      <w:pPr>
        <w:tabs>
          <w:tab w:val="left" w:pos="1460"/>
        </w:tabs>
        <w:bidi w:val="0"/>
        <w:jc w:val="left"/>
        <w:rPr>
          <w:rFonts w:hint="eastAsia"/>
          <w:lang w:val="en-US" w:eastAsia="zh-CN"/>
        </w:rPr>
      </w:pPr>
    </w:p>
    <w:sectPr>
      <w:pgSz w:w="11906" w:h="16838"/>
      <w:pgMar w:top="2098" w:right="1587" w:bottom="2098" w:left="1587" w:header="851" w:footer="992"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rPr>
        <w:rFonts w:hint="default"/>
        <w:sz w:val="18"/>
        <w:szCs w:val="32"/>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default"/>
        <w:sz w:val="18"/>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spacing w:beforeLines="0" w:afterLines="0"/>
                            <w:rPr>
                              <w:rFonts w:hint="default"/>
                              <w:sz w:val="18"/>
                              <w:szCs w:val="32"/>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pStyle w:val="9"/>
                      <w:spacing w:beforeLines="0" w:afterLines="0"/>
                      <w:rPr>
                        <w:rFonts w:hint="default"/>
                        <w:sz w:val="18"/>
                        <w:szCs w:val="3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21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ZmZmZTAxNTkwZTgwOWM0ODJhNWQ1ZTIxMmU1Y2QifQ=="/>
  </w:docVars>
  <w:rsids>
    <w:rsidRoot w:val="00172A27"/>
    <w:rsid w:val="00027AB0"/>
    <w:rsid w:val="0003789F"/>
    <w:rsid w:val="0004235A"/>
    <w:rsid w:val="000471A6"/>
    <w:rsid w:val="000A7D9E"/>
    <w:rsid w:val="000E19C2"/>
    <w:rsid w:val="0011330C"/>
    <w:rsid w:val="00140335"/>
    <w:rsid w:val="00154F8C"/>
    <w:rsid w:val="00164A14"/>
    <w:rsid w:val="00167D1D"/>
    <w:rsid w:val="00190613"/>
    <w:rsid w:val="001C7902"/>
    <w:rsid w:val="00207A35"/>
    <w:rsid w:val="00234C34"/>
    <w:rsid w:val="002945B6"/>
    <w:rsid w:val="002A0D37"/>
    <w:rsid w:val="002D3821"/>
    <w:rsid w:val="002F1FCD"/>
    <w:rsid w:val="002F32E1"/>
    <w:rsid w:val="003273C2"/>
    <w:rsid w:val="00371F07"/>
    <w:rsid w:val="003C0FF8"/>
    <w:rsid w:val="003F3AE6"/>
    <w:rsid w:val="00400DAD"/>
    <w:rsid w:val="004716FD"/>
    <w:rsid w:val="00486081"/>
    <w:rsid w:val="004950E0"/>
    <w:rsid w:val="00496E4C"/>
    <w:rsid w:val="00497E6C"/>
    <w:rsid w:val="004A6F49"/>
    <w:rsid w:val="004B10DD"/>
    <w:rsid w:val="004E6936"/>
    <w:rsid w:val="00500009"/>
    <w:rsid w:val="00510AA7"/>
    <w:rsid w:val="0055059C"/>
    <w:rsid w:val="005D45A7"/>
    <w:rsid w:val="00642FE7"/>
    <w:rsid w:val="006534DB"/>
    <w:rsid w:val="00667640"/>
    <w:rsid w:val="006A115E"/>
    <w:rsid w:val="006C14FF"/>
    <w:rsid w:val="00752207"/>
    <w:rsid w:val="0077692A"/>
    <w:rsid w:val="007D2EFF"/>
    <w:rsid w:val="00821F22"/>
    <w:rsid w:val="00884280"/>
    <w:rsid w:val="008E163D"/>
    <w:rsid w:val="00933C3E"/>
    <w:rsid w:val="009A4A26"/>
    <w:rsid w:val="00A20033"/>
    <w:rsid w:val="00A41AA4"/>
    <w:rsid w:val="00A73A12"/>
    <w:rsid w:val="00A93380"/>
    <w:rsid w:val="00AB57A1"/>
    <w:rsid w:val="00AD1754"/>
    <w:rsid w:val="00AD4FC6"/>
    <w:rsid w:val="00B679B6"/>
    <w:rsid w:val="00B973B1"/>
    <w:rsid w:val="00BA0192"/>
    <w:rsid w:val="00BA67BC"/>
    <w:rsid w:val="00BC3922"/>
    <w:rsid w:val="00BE46DE"/>
    <w:rsid w:val="00BF0A3A"/>
    <w:rsid w:val="00BF716C"/>
    <w:rsid w:val="00C950ED"/>
    <w:rsid w:val="00CF7706"/>
    <w:rsid w:val="00D36B5C"/>
    <w:rsid w:val="00D42865"/>
    <w:rsid w:val="00D76C3B"/>
    <w:rsid w:val="00D81055"/>
    <w:rsid w:val="00E00D41"/>
    <w:rsid w:val="00E0388A"/>
    <w:rsid w:val="00E122F2"/>
    <w:rsid w:val="00E7258D"/>
    <w:rsid w:val="00F56999"/>
    <w:rsid w:val="00F66556"/>
    <w:rsid w:val="01B96396"/>
    <w:rsid w:val="01DB319C"/>
    <w:rsid w:val="067A313B"/>
    <w:rsid w:val="06BB2EA3"/>
    <w:rsid w:val="078479AD"/>
    <w:rsid w:val="09135080"/>
    <w:rsid w:val="09E26A92"/>
    <w:rsid w:val="0ABC6621"/>
    <w:rsid w:val="0ED43266"/>
    <w:rsid w:val="102313C5"/>
    <w:rsid w:val="13FA243C"/>
    <w:rsid w:val="16A44285"/>
    <w:rsid w:val="18592E99"/>
    <w:rsid w:val="18892194"/>
    <w:rsid w:val="19097221"/>
    <w:rsid w:val="1B1E2AD6"/>
    <w:rsid w:val="1B4E3B46"/>
    <w:rsid w:val="1BA709D9"/>
    <w:rsid w:val="1C823121"/>
    <w:rsid w:val="1E386C37"/>
    <w:rsid w:val="1ECC5FFD"/>
    <w:rsid w:val="22232544"/>
    <w:rsid w:val="22F705A2"/>
    <w:rsid w:val="249D21E9"/>
    <w:rsid w:val="25A65A51"/>
    <w:rsid w:val="25B06DFF"/>
    <w:rsid w:val="262E59F4"/>
    <w:rsid w:val="26A807B8"/>
    <w:rsid w:val="281F08BF"/>
    <w:rsid w:val="29AC219A"/>
    <w:rsid w:val="2AFB39FA"/>
    <w:rsid w:val="2C4771DC"/>
    <w:rsid w:val="2DAF7596"/>
    <w:rsid w:val="2E0179F4"/>
    <w:rsid w:val="2F25448A"/>
    <w:rsid w:val="2FB71F4E"/>
    <w:rsid w:val="30AB07A5"/>
    <w:rsid w:val="31F277B9"/>
    <w:rsid w:val="337F2D3E"/>
    <w:rsid w:val="350200B7"/>
    <w:rsid w:val="35C3679B"/>
    <w:rsid w:val="362E7F95"/>
    <w:rsid w:val="3746278E"/>
    <w:rsid w:val="38453E1F"/>
    <w:rsid w:val="38832151"/>
    <w:rsid w:val="38CD49B5"/>
    <w:rsid w:val="3A9248CD"/>
    <w:rsid w:val="3BF406AA"/>
    <w:rsid w:val="3C517AFB"/>
    <w:rsid w:val="3CD73D60"/>
    <w:rsid w:val="3E4F4B6E"/>
    <w:rsid w:val="3E815CDE"/>
    <w:rsid w:val="42167DEC"/>
    <w:rsid w:val="45194F13"/>
    <w:rsid w:val="45AA51C1"/>
    <w:rsid w:val="465E389B"/>
    <w:rsid w:val="4B7F5DA9"/>
    <w:rsid w:val="4DD70B1D"/>
    <w:rsid w:val="4E63460B"/>
    <w:rsid w:val="4EC4685F"/>
    <w:rsid w:val="501A0BA9"/>
    <w:rsid w:val="50B62F08"/>
    <w:rsid w:val="515C2048"/>
    <w:rsid w:val="551004AF"/>
    <w:rsid w:val="55653B52"/>
    <w:rsid w:val="56C9053F"/>
    <w:rsid w:val="574004C8"/>
    <w:rsid w:val="59C81C62"/>
    <w:rsid w:val="5A0100F8"/>
    <w:rsid w:val="5A9E261A"/>
    <w:rsid w:val="5BFE07EB"/>
    <w:rsid w:val="5C404FD4"/>
    <w:rsid w:val="5C9D733A"/>
    <w:rsid w:val="5E51257E"/>
    <w:rsid w:val="5EB323F5"/>
    <w:rsid w:val="5EDE1B58"/>
    <w:rsid w:val="5FCB199A"/>
    <w:rsid w:val="62DD26EF"/>
    <w:rsid w:val="63A36582"/>
    <w:rsid w:val="63CA49A1"/>
    <w:rsid w:val="66B00697"/>
    <w:rsid w:val="696668F3"/>
    <w:rsid w:val="6A1E448B"/>
    <w:rsid w:val="6ACC4D7D"/>
    <w:rsid w:val="6B2F0969"/>
    <w:rsid w:val="6ED56A28"/>
    <w:rsid w:val="6F2A1738"/>
    <w:rsid w:val="6F952108"/>
    <w:rsid w:val="6FF24457"/>
    <w:rsid w:val="7075637A"/>
    <w:rsid w:val="7440406E"/>
    <w:rsid w:val="753F03D7"/>
    <w:rsid w:val="76AE6010"/>
    <w:rsid w:val="779A47E6"/>
    <w:rsid w:val="787F472C"/>
    <w:rsid w:val="7B275FD7"/>
    <w:rsid w:val="7C6573FB"/>
    <w:rsid w:val="7E7E1F30"/>
    <w:rsid w:val="7EDF2F2D"/>
    <w:rsid w:val="7FC332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2"/>
    <w:basedOn w:val="1"/>
    <w:next w:val="1"/>
    <w:unhideWhenUsed/>
    <w:qFormat/>
    <w:uiPriority w:val="0"/>
    <w:pPr>
      <w:keepNext w:val="0"/>
      <w:keepLines w:val="0"/>
      <w:widowControl w:val="0"/>
      <w:spacing w:line="560" w:lineRule="exact"/>
      <w:jc w:val="both"/>
      <w:outlineLvl w:val="1"/>
    </w:pPr>
    <w:rPr>
      <w:rFonts w:ascii="宋体" w:hAnsi="宋体" w:eastAsia="黑体" w:cs="宋体"/>
      <w:kern w:val="2"/>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toa heading"/>
    <w:basedOn w:val="1"/>
    <w:next w:val="1"/>
    <w:qFormat/>
    <w:uiPriority w:val="0"/>
    <w:pPr>
      <w:spacing w:before="120"/>
    </w:pPr>
    <w:rPr>
      <w:rFonts w:ascii="Cambria" w:hAnsi="Cambria" w:cs="Times New Roman"/>
      <w:sz w:val="24"/>
    </w:rPr>
  </w:style>
  <w:style w:type="paragraph" w:styleId="5">
    <w:name w:val="index 6"/>
    <w:basedOn w:val="1"/>
    <w:next w:val="1"/>
    <w:qFormat/>
    <w:uiPriority w:val="0"/>
    <w:pPr>
      <w:ind w:left="1000" w:leftChars="1000"/>
    </w:pPr>
  </w:style>
  <w:style w:type="paragraph" w:styleId="6">
    <w:name w:val="Body Text"/>
    <w:basedOn w:val="1"/>
    <w:next w:val="7"/>
    <w:semiHidden/>
    <w:qFormat/>
    <w:uiPriority w:val="0"/>
    <w:rPr>
      <w:rFonts w:ascii="Arial" w:hAnsi="Arial" w:eastAsia="Arial" w:cs="Arial"/>
      <w:sz w:val="21"/>
      <w:szCs w:val="21"/>
      <w:lang w:val="en-US" w:eastAsia="en-US" w:bidi="ar-SA"/>
    </w:rPr>
  </w:style>
  <w:style w:type="paragraph" w:styleId="7">
    <w:name w:val="Body Text First Indent"/>
    <w:basedOn w:val="6"/>
    <w:next w:val="5"/>
    <w:qFormat/>
    <w:uiPriority w:val="0"/>
    <w:pPr>
      <w:spacing w:after="0" w:afterLines="0"/>
      <w:ind w:firstLine="420"/>
    </w:pPr>
    <w:rPr>
      <w:rFonts w:ascii="Times New Roman" w:hAnsi="Times New Roman"/>
      <w:sz w:val="32"/>
    </w:rPr>
  </w:style>
  <w:style w:type="paragraph" w:styleId="8">
    <w:name w:val="Body Text Indent"/>
    <w:basedOn w:val="1"/>
    <w:next w:val="3"/>
    <w:qFormat/>
    <w:uiPriority w:val="0"/>
    <w:pPr>
      <w:spacing w:after="120" w:afterLines="0" w:afterAutospacing="0"/>
      <w:ind w:left="420" w:leftChars="200"/>
    </w:pPr>
  </w:style>
  <w:style w:type="paragraph" w:styleId="9">
    <w:name w:val="footer"/>
    <w:basedOn w:val="1"/>
    <w:qFormat/>
    <w:uiPriority w:val="0"/>
    <w:pPr>
      <w:tabs>
        <w:tab w:val="center" w:pos="4153"/>
        <w:tab w:val="right" w:pos="8306"/>
      </w:tabs>
      <w:snapToGrid w:val="0"/>
      <w:jc w:val="left"/>
    </w:pPr>
    <w:rPr>
      <w:rFonts w:eastAsia="仿宋"/>
      <w:sz w:val="30"/>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jc w:val="left"/>
    </w:pPr>
    <w:rPr>
      <w:rFonts w:hint="default" w:ascii="宋体" w:hAnsi="宋体" w:eastAsia="宋体" w:cs="宋体"/>
      <w:kern w:val="0"/>
      <w:sz w:val="24"/>
      <w:szCs w:val="24"/>
      <w:lang w:bidi="ar"/>
    </w:rPr>
  </w:style>
  <w:style w:type="paragraph" w:styleId="12">
    <w:name w:val="Normal (Web)"/>
    <w:basedOn w:val="1"/>
    <w:unhideWhenUsed/>
    <w:qFormat/>
    <w:uiPriority w:val="0"/>
    <w:pPr>
      <w:spacing w:beforeLines="0" w:afterLines="0"/>
    </w:pPr>
    <w:rPr>
      <w:rFonts w:hint="default"/>
      <w:sz w:val="24"/>
      <w:szCs w:val="32"/>
    </w:rPr>
  </w:style>
  <w:style w:type="paragraph" w:styleId="13">
    <w:name w:val="Body Text First Indent 2"/>
    <w:basedOn w:val="8"/>
    <w:next w:val="1"/>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20"/>
    <w:rPr>
      <w:i/>
      <w:iCs/>
    </w:rPr>
  </w:style>
  <w:style w:type="character" w:customStyle="1" w:styleId="18">
    <w:name w:val="页眉 Char"/>
    <w:basedOn w:val="16"/>
    <w:link w:val="10"/>
    <w:qFormat/>
    <w:uiPriority w:val="0"/>
    <w:rPr>
      <w:rFonts w:eastAsia="仿宋_GB2312" w:asciiTheme="minorHAnsi" w:hAnsiTheme="minorHAnsi" w:cstheme="minorBidi"/>
      <w:kern w:val="2"/>
      <w:sz w:val="18"/>
      <w:szCs w:val="18"/>
    </w:rPr>
  </w:style>
  <w:style w:type="character" w:customStyle="1" w:styleId="19">
    <w:name w:val="font11"/>
    <w:basedOn w:val="16"/>
    <w:qFormat/>
    <w:uiPriority w:val="0"/>
    <w:rPr>
      <w:rFonts w:hint="eastAsia" w:ascii="仿宋" w:hAnsi="仿宋" w:eastAsia="仿宋" w:cs="仿宋"/>
      <w:color w:val="000000"/>
      <w:sz w:val="32"/>
      <w:szCs w:val="32"/>
      <w:u w:val="none"/>
    </w:rPr>
  </w:style>
  <w:style w:type="paragraph" w:styleId="20">
    <w:name w:val="List Paragraph"/>
    <w:basedOn w:val="1"/>
    <w:unhideWhenUsed/>
    <w:qFormat/>
    <w:uiPriority w:val="99"/>
    <w:pPr>
      <w:ind w:firstLine="420" w:firstLineChars="200"/>
    </w:pPr>
  </w:style>
  <w:style w:type="paragraph" w:customStyle="1" w:styleId="21">
    <w:name w:val="UserStyle_0"/>
    <w:basedOn w:val="1"/>
    <w:qFormat/>
    <w:uiPriority w:val="0"/>
    <w:pPr>
      <w:ind w:left="420" w:leftChars="200"/>
      <w:textAlignment w:val="baseline"/>
    </w:pPr>
  </w:style>
  <w:style w:type="paragraph" w:customStyle="1" w:styleId="22">
    <w:name w:val="Body text|1"/>
    <w:basedOn w:val="1"/>
    <w:qFormat/>
    <w:uiPriority w:val="0"/>
    <w:pPr>
      <w:widowControl w:val="0"/>
      <w:shd w:val="clear" w:color="auto" w:fill="auto"/>
      <w:spacing w:line="403" w:lineRule="auto"/>
      <w:ind w:firstLine="400"/>
    </w:pPr>
    <w:rPr>
      <w:rFonts w:ascii="宋体" w:eastAsia="宋体" w:cs="宋体"/>
      <w:sz w:val="28"/>
      <w:szCs w:val="28"/>
      <w:u w:val="none"/>
      <w:shd w:val="clear" w:color="auto" w:fill="auto"/>
      <w:lang w:val="zh-TW" w:eastAsia="zh-TW" w:bidi="zh-TW"/>
    </w:rPr>
  </w:style>
  <w:style w:type="paragraph" w:customStyle="1" w:styleId="23">
    <w:name w:val="纯文本1"/>
    <w:basedOn w:val="1"/>
    <w:unhideWhenUsed/>
    <w:qFormat/>
    <w:uiPriority w:val="0"/>
    <w:pPr>
      <w:spacing w:beforeLines="0" w:afterLines="0"/>
      <w:ind w:firstLine="964" w:firstLineChars="200"/>
    </w:pPr>
    <w:rPr>
      <w:rFonts w:hint="default" w:ascii="宋体" w:hAnsi="宋体" w:eastAsia="仿宋"/>
      <w:sz w:val="21"/>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17</Pages>
  <Words>1386</Words>
  <Characters>1406</Characters>
  <Lines>1</Lines>
  <Paragraphs>1</Paragraphs>
  <TotalTime>2</TotalTime>
  <ScaleCrop>false</ScaleCrop>
  <LinksUpToDate>false</LinksUpToDate>
  <CharactersWithSpaces>1406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言三爷很傲娇</cp:lastModifiedBy>
  <cp:lastPrinted>2025-01-17T09:08:00Z</cp:lastPrinted>
  <dcterms:modified xsi:type="dcterms:W3CDTF">2025-04-30T03:18:40Z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KSOSaveFontToCloudKey">
    <vt:lpwstr>382145387_btnclosed</vt:lpwstr>
  </property>
  <property fmtid="{D5CDD505-2E9C-101B-9397-08002B2CF9AE}" pid="4" name="ICV">
    <vt:lpwstr>14BAC8A0EC654085960201A51AABE909_13</vt:lpwstr>
  </property>
  <property fmtid="{D5CDD505-2E9C-101B-9397-08002B2CF9AE}" pid="5" name="KSOTemplateDocerSaveRecord">
    <vt:lpwstr>eyJoZGlkIjoiOWU5MGIwYTc5YzM2Y2Q2ZTNlNzExZWI3OGYwZDU1MGIiLCJ1c2VySWQiOiIzNTQ3NzEyNDgifQ==</vt:lpwstr>
  </property>
</Properties>
</file>