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赣州经济技术开发区消防救援大队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/>
          <w:bCs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一、总体情况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今年以来，经开区消防救援大队按照《条例》有关要求及区管委会的相关规定、有关文件精神，健全领导体制，完善工作机制，认真做好政府信息公开工作，做到信息公开及时、真实，切实保障人民群众的知情权、参与权和监督权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E"/>
        <w:spacing w:before="0" w:beforeAutospacing="0" w:after="0" w:afterAutospacing="0"/>
        <w:ind w:left="0" w:right="0" w:firstLine="632" w:firstLineChars="200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  <w:t>1、加强领导。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  <w:t>我大队将政府信息公开工作纳入大队整体工作进行部署，专门成立政府信息公开工作机构和政府信息公开申请受理机构，并及时向上级部门报告、向社会公开。成立专门的政府信息公开工作领导小组，由大队长担任组长，副大队长担任副组长，大中队干部及文员为成员，领导小组办公室设在大队防火办公室，负责大队政府信息公开日常工作。明确专人负责信息工作的采集、整理和公开，为政府信息公开工作的顺利开展提供了强有力的组织保证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E"/>
        <w:spacing w:before="0" w:beforeAutospacing="0" w:after="0" w:afterAutospacing="0"/>
        <w:ind w:left="0" w:right="0" w:firstLine="632" w:firstLineChars="200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  <w:t>2、完善制度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  <w:t>。为规范和推进政府信息公开工作，大队政府信息公开工作领导小组办公室根据《中华人民共和国政府信息公开条例》和省、市、区有关规定，结合本大队实际，制订了信息公开工作相关的规章制度（试行），规范了政府信息公开工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E"/>
        <w:spacing w:before="0" w:beforeAutospacing="0" w:after="0" w:afterAutospacing="0"/>
        <w:ind w:left="0" w:right="0" w:firstLine="632" w:firstLineChars="200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  <w:t>3、加强学习培训。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  <w:t>对大队全体人员开展学习《条例》培训，提高政府信息公开工作责任感和自觉性，本年度共组织大队多名干部参加培训。同时，我大队定期召开政府信息公开专题会议，对信息公开工作做出点评，及时总结工作中的经验教训，查摆问题，制订整改措施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二、主动公开政府信息情况</w:t>
      </w: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14条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11条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1条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/>
          <w:bCs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三、收到和处理政府信息公开申请情况</w:t>
      </w: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/>
          <w:bCs/>
          <w:snapToGrid/>
          <w:color w:val="333333"/>
          <w:szCs w:val="32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四、政府信息公开行政复议、行政诉讼情况</w:t>
      </w: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五、存在的主要问题及改进情况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大队政务公开工作虽然取得一定的成效，但也存在一些问题和不足:一是认识还不够到位。个别人员对政务公开的重要性和迫切性认识不足，存在“不想公开、不愿公开、不敢公开”等思想和行为。二是有些公开表面化、形式化。公开不及时、不全面的问题仍然存在，部分公开的内容安排不当。三是政务公开长效机制有待进一步完善，现有制度执行力度还有待加强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接下来，大队将加大培训力度，提高业务水平，组织工作人员深入学习《中华人民共和国政府信息公开条例》相关文件精神，积极参加上级组织的培训会，增强大队人员信息公开主动公开意识，提高工作人员业务水平，确保信息公开工作顺利开展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/>
          <w:bCs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六、其他需要报告的事项</w:t>
      </w:r>
    </w:p>
    <w:p>
      <w:pPr>
        <w:ind w:left="0" w:leftChars="0" w:firstLine="632" w:firstLineChars="200"/>
        <w:rPr>
          <w:rFonts w:hint="eastAsia" w:ascii="仿宋_GB2312" w:hAnsi="宋体" w:eastAsia="仿宋_GB2312" w:cs="宋体"/>
          <w:snapToGrid/>
          <w:color w:val="333333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333333"/>
          <w:sz w:val="32"/>
          <w:szCs w:val="32"/>
          <w:lang w:val="en-US" w:eastAsia="zh-CN" w:bidi="ar-SA"/>
        </w:rPr>
        <w:t>无</w:t>
      </w:r>
    </w:p>
    <w:p>
      <w:pPr>
        <w:spacing w:line="590" w:lineRule="exact"/>
        <w:ind w:left="0" w:leftChars="0" w:firstLine="0" w:firstLineChars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0EC3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07E43000"/>
    <w:rsid w:val="11150CB2"/>
    <w:rsid w:val="11740211"/>
    <w:rsid w:val="1671723D"/>
    <w:rsid w:val="2C087BF6"/>
    <w:rsid w:val="2E4732D5"/>
    <w:rsid w:val="30C218B7"/>
    <w:rsid w:val="3147651D"/>
    <w:rsid w:val="4DDA1757"/>
    <w:rsid w:val="59AB6C5C"/>
    <w:rsid w:val="65693AD9"/>
    <w:rsid w:val="666A08A6"/>
    <w:rsid w:val="667F5AA4"/>
    <w:rsid w:val="6AA04060"/>
    <w:rsid w:val="6C6D1D44"/>
    <w:rsid w:val="6FCB19B0"/>
    <w:rsid w:val="7F1F151B"/>
    <w:rsid w:val="7F95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page number"/>
    <w:basedOn w:val="9"/>
    <w:qFormat/>
    <w:uiPriority w:val="0"/>
  </w:style>
  <w:style w:type="character" w:customStyle="1" w:styleId="12">
    <w:name w:val="articlebody"/>
    <w:basedOn w:val="9"/>
    <w:qFormat/>
    <w:uiPriority w:val="0"/>
  </w:style>
  <w:style w:type="paragraph" w:customStyle="1" w:styleId="13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4">
    <w:name w:val="印数"/>
    <w:basedOn w:val="15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5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6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7">
    <w:name w:val="线型"/>
    <w:basedOn w:val="13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19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0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1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2">
    <w:name w:val="紧急程度"/>
    <w:basedOn w:val="23"/>
    <w:qFormat/>
    <w:uiPriority w:val="0"/>
    <w:pPr>
      <w:overflowPunct w:val="0"/>
    </w:pPr>
    <w:rPr>
      <w:sz w:val="32"/>
    </w:rPr>
  </w:style>
  <w:style w:type="paragraph" w:customStyle="1" w:styleId="23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4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5">
    <w:name w:val="样式1"/>
    <w:basedOn w:val="1"/>
    <w:qFormat/>
    <w:uiPriority w:val="0"/>
  </w:style>
  <w:style w:type="paragraph" w:customStyle="1" w:styleId="26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7">
    <w:name w:val="附件栏"/>
    <w:basedOn w:val="1"/>
    <w:qFormat/>
    <w:uiPriority w:val="0"/>
  </w:style>
  <w:style w:type="paragraph" w:customStyle="1" w:styleId="28">
    <w:name w:val="标题3"/>
    <w:basedOn w:val="1"/>
    <w:next w:val="1"/>
    <w:qFormat/>
    <w:uiPriority w:val="0"/>
    <w:rPr>
      <w:rFonts w:eastAsia="方正黑体_GBK"/>
    </w:rPr>
  </w:style>
  <w:style w:type="paragraph" w:customStyle="1" w:styleId="29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11</Pages>
  <Words>722</Words>
  <Characters>4117</Characters>
  <Lines>34</Lines>
  <Paragraphs>9</Paragraphs>
  <TotalTime>1</TotalTime>
  <ScaleCrop>false</ScaleCrop>
  <LinksUpToDate>false</LinksUpToDate>
  <CharactersWithSpaces>4830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user</dc:creator>
  <cp:lastModifiedBy>蕾蕾麻麻</cp:lastModifiedBy>
  <dcterms:modified xsi:type="dcterms:W3CDTF">2022-03-11T04:00:30Z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AE3754A0D4C14734B1A1C3944F641860</vt:lpwstr>
  </property>
</Properties>
</file>