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cs="Times New Roman"/>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赣州</w:t>
      </w:r>
      <w:r>
        <w:rPr>
          <w:rFonts w:hint="eastAsia" w:ascii="方正小标宋简体" w:hAnsi="方正小标宋简体" w:eastAsia="方正小标宋简体" w:cs="方正小标宋简体"/>
          <w:color w:val="333333"/>
          <w:sz w:val="44"/>
          <w:szCs w:val="44"/>
          <w:shd w:val="clear" w:color="auto" w:fill="FFFFFF"/>
          <w:lang w:val="en-US" w:eastAsia="zh-CN"/>
        </w:rPr>
        <w:t>经济技术开发</w:t>
      </w:r>
      <w:r>
        <w:rPr>
          <w:rFonts w:hint="eastAsia" w:ascii="方正小标宋简体" w:hAnsi="方正小标宋简体" w:eastAsia="方正小标宋简体" w:cs="方正小标宋简体"/>
          <w:color w:val="333333"/>
          <w:sz w:val="44"/>
          <w:szCs w:val="44"/>
          <w:shd w:val="clear" w:color="auto" w:fill="FFFFFF"/>
        </w:rPr>
        <w:t>区</w:t>
      </w:r>
      <w:r>
        <w:rPr>
          <w:rFonts w:hint="eastAsia" w:ascii="方正小标宋简体" w:hAnsi="方正小标宋简体" w:eastAsia="方正小标宋简体" w:cs="方正小标宋简体"/>
          <w:color w:val="333333"/>
          <w:sz w:val="44"/>
          <w:szCs w:val="44"/>
          <w:shd w:val="clear" w:color="auto" w:fill="FFFFFF"/>
          <w:lang w:val="en-US" w:eastAsia="zh-CN"/>
        </w:rPr>
        <w:t>应急管理局</w:t>
      </w:r>
      <w:r>
        <w:rPr>
          <w:rFonts w:ascii="方正小标宋简体" w:hAnsi="方正小标宋简体" w:eastAsia="方正小标宋简体" w:cs="方正小标宋简体"/>
          <w:color w:val="333333"/>
          <w:sz w:val="44"/>
          <w:szCs w:val="44"/>
          <w:shd w:val="clear" w:color="auto" w:fill="FFFFFF"/>
        </w:rPr>
        <w:t>20</w:t>
      </w:r>
      <w:r>
        <w:rPr>
          <w:rFonts w:hint="eastAsia" w:ascii="方正小标宋简体" w:hAnsi="方正小标宋简体" w:eastAsia="方正小标宋简体" w:cs="方正小标宋简体"/>
          <w:color w:val="333333"/>
          <w:sz w:val="44"/>
          <w:szCs w:val="44"/>
          <w:shd w:val="clear" w:color="auto" w:fill="FFFFFF"/>
          <w:lang w:val="en-US" w:eastAsia="zh-CN"/>
        </w:rPr>
        <w:t>20</w:t>
      </w:r>
      <w:r>
        <w:rPr>
          <w:rFonts w:hint="eastAsia" w:ascii="方正小标宋简体" w:hAnsi="方正小标宋简体" w:eastAsia="方正小标宋简体" w:cs="方正小标宋简体"/>
          <w:color w:val="333333"/>
          <w:sz w:val="44"/>
          <w:szCs w:val="44"/>
          <w:shd w:val="clear" w:color="auto"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0" w:firstLineChars="200"/>
        <w:jc w:val="left"/>
        <w:rPr>
          <w:rFonts w:hint="eastAsia" w:ascii="仿宋_GB2312" w:hAnsi="仿宋_GB2312" w:eastAsia="仿宋_GB2312" w:cs="仿宋_GB2312"/>
          <w:color w:val="000000" w:themeColor="text1"/>
          <w:sz w:val="32"/>
          <w:szCs w:val="32"/>
        </w:rPr>
      </w:pPr>
      <w:r>
        <w:rPr>
          <w:rFonts w:ascii="仿宋_GB2312" w:eastAsia="仿宋_GB2312" w:cs="仿宋_GB2312"/>
          <w:i w:val="0"/>
          <w:caps w:val="0"/>
          <w:color w:val="000000"/>
          <w:spacing w:val="0"/>
          <w:kern w:val="0"/>
          <w:sz w:val="32"/>
          <w:szCs w:val="32"/>
          <w:shd w:val="clear" w:fill="FFFFFF"/>
          <w:lang w:val="en-US" w:eastAsia="zh-CN" w:bidi="ar"/>
        </w:rPr>
        <w:t>本报告依据《中华人民共和国政府信息公开条例》（国务院令第</w:t>
      </w:r>
      <w:r>
        <w:rPr>
          <w:rFonts w:hint="eastAsia" w:ascii="仿宋_GB2312" w:eastAsia="仿宋_GB2312" w:cs="仿宋_GB2312"/>
          <w:i w:val="0"/>
          <w:caps w:val="0"/>
          <w:color w:val="000000"/>
          <w:spacing w:val="0"/>
          <w:kern w:val="0"/>
          <w:sz w:val="32"/>
          <w:szCs w:val="32"/>
          <w:shd w:val="clear" w:fill="FFFFFF"/>
          <w:lang w:val="en-US" w:eastAsia="zh-CN" w:bidi="ar"/>
        </w:rPr>
        <w:t>711号，以下简称新《条例》）和《国务院办公厅政府信息与政务公开办公室关于政府信息公开工作年度报告有关事项的通知》（国办公开办函〔2019〕60号）要求，由赣州经济技术开发区应急管理局结合有关统计数据编制。本年度报告中所列数据的统计期限自2020年1月1日起至2020年12月31日止。</w:t>
      </w:r>
      <w:r>
        <w:rPr>
          <w:rFonts w:hint="eastAsia" w:ascii="仿宋_GB2312" w:hAnsi="仿宋_GB2312" w:eastAsia="仿宋_GB2312" w:cs="仿宋_GB2312"/>
          <w:color w:val="000000" w:themeColor="text1"/>
          <w:sz w:val="32"/>
          <w:szCs w:val="32"/>
          <w:lang w:val="en-US" w:eastAsia="zh-CN"/>
        </w:rPr>
        <w:t>根据赣州经济技术开发区政务公开相关文件要求，</w:t>
      </w:r>
      <w:r>
        <w:rPr>
          <w:rFonts w:hint="eastAsia" w:ascii="仿宋_GB2312" w:hAnsi="仿宋_GB2312" w:eastAsia="仿宋_GB2312" w:cs="仿宋_GB2312"/>
          <w:color w:val="000000" w:themeColor="text1"/>
          <w:sz w:val="32"/>
          <w:szCs w:val="32"/>
        </w:rPr>
        <w:t>我</w:t>
      </w:r>
      <w:r>
        <w:rPr>
          <w:rFonts w:hint="eastAsia" w:ascii="仿宋_GB2312" w:hAnsi="仿宋_GB2312" w:eastAsia="仿宋_GB2312" w:cs="仿宋_GB2312"/>
          <w:color w:val="000000" w:themeColor="text1"/>
          <w:sz w:val="32"/>
          <w:szCs w:val="32"/>
          <w:lang w:val="en-US" w:eastAsia="zh-CN"/>
        </w:rPr>
        <w:t>局</w:t>
      </w:r>
      <w:r>
        <w:rPr>
          <w:rFonts w:hint="eastAsia" w:ascii="仿宋_GB2312" w:hAnsi="仿宋_GB2312" w:eastAsia="仿宋_GB2312" w:cs="仿宋_GB2312"/>
          <w:color w:val="000000" w:themeColor="text1"/>
          <w:sz w:val="32"/>
          <w:szCs w:val="32"/>
        </w:rPr>
        <w:t>严格全区统一部署，</w:t>
      </w:r>
      <w:r>
        <w:rPr>
          <w:rFonts w:hint="eastAsia" w:ascii="仿宋_GB2312" w:hAnsi="仿宋_GB2312" w:eastAsia="仿宋_GB2312" w:cs="仿宋_GB2312"/>
          <w:color w:val="000000" w:themeColor="text1"/>
          <w:sz w:val="32"/>
          <w:szCs w:val="32"/>
          <w:lang w:eastAsia="zh-CN"/>
        </w:rPr>
        <w:t>积极</w:t>
      </w:r>
      <w:r>
        <w:rPr>
          <w:rFonts w:hint="eastAsia" w:ascii="仿宋_GB2312" w:hAnsi="仿宋_GB2312" w:eastAsia="仿宋_GB2312" w:cs="仿宋_GB2312"/>
          <w:color w:val="000000" w:themeColor="text1"/>
          <w:sz w:val="32"/>
          <w:szCs w:val="32"/>
        </w:rPr>
        <w:t>开展政务党务信息公开工作，圆满完成</w:t>
      </w:r>
      <w:r>
        <w:rPr>
          <w:rStyle w:val="11"/>
          <w:rFonts w:hint="eastAsia" w:ascii="仿宋_GB2312" w:hAnsi="仿宋_GB2312" w:eastAsia="仿宋_GB2312" w:cs="仿宋_GB2312"/>
          <w:color w:val="000000" w:themeColor="text1"/>
          <w:sz w:val="32"/>
          <w:szCs w:val="32"/>
        </w:rPr>
        <w:t>了各项任务</w:t>
      </w:r>
      <w:r>
        <w:rPr>
          <w:rFonts w:hint="eastAsia" w:ascii="仿宋_GB2312" w:hAnsi="仿宋_GB2312" w:eastAsia="仿宋_GB2312" w:cs="仿宋_GB2312"/>
          <w:color w:val="000000" w:themeColor="text1"/>
          <w:sz w:val="32"/>
          <w:szCs w:val="32"/>
        </w:rPr>
        <w:t>，现</w:t>
      </w:r>
      <w:r>
        <w:rPr>
          <w:rFonts w:hint="eastAsia" w:ascii="仿宋_GB2312" w:hAnsi="仿宋_GB2312" w:eastAsia="仿宋_GB2312" w:cs="仿宋_GB2312"/>
          <w:color w:val="000000" w:themeColor="text1"/>
          <w:sz w:val="32"/>
          <w:szCs w:val="32"/>
          <w:lang w:val="en-US" w:eastAsia="zh-CN"/>
        </w:rPr>
        <w:t>将情况汇报</w:t>
      </w:r>
      <w:r>
        <w:rPr>
          <w:rFonts w:hint="eastAsia" w:ascii="仿宋_GB2312" w:hAnsi="仿宋_GB2312" w:eastAsia="仿宋_GB2312" w:cs="仿宋_GB2312"/>
          <w:color w:val="000000" w:themeColor="text1"/>
          <w:sz w:val="32"/>
          <w:szCs w:val="32"/>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在政务党务信息生成之日起10个工作日内发布到相应的信息公开平台公开。我局作为正科级单位全年在政务门户网站公开信息截止至12月31日共发布206条，其中工作动态类166条，部门文件类24条，公告公示类8条，机构职能信息5条，财政信息2条，年度报告1条，动态、要闻类栏目实现一周一更新，通知公告、政策文件类栏目六个月内更新，人事、规划计划类栏目一年内更新，确保了子栏目信息的及时更新。</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Style w:val="12"/>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为加强对政务公开工作的领导，我局成立了政务公开工作领导小组。由局长王名正同志任组长，谢信明、谭侃同志任副组长，3名干部为成员，并下设办公室，负责对政务公开工作的指导和日常工作，抓好政务公开工作的落实，</w:t>
      </w:r>
      <w:r>
        <w:rPr>
          <w:rFonts w:hint="eastAsia" w:ascii="仿宋_GB2312" w:hAnsi="仿宋_GB2312" w:eastAsia="仿宋_GB2312" w:cs="仿宋_GB2312"/>
          <w:color w:val="000000" w:themeColor="text1"/>
          <w:sz w:val="32"/>
          <w:szCs w:val="32"/>
          <w:lang w:eastAsia="zh-CN"/>
        </w:rPr>
        <w:t>由</w:t>
      </w:r>
      <w:r>
        <w:rPr>
          <w:rFonts w:hint="eastAsia" w:ascii="仿宋_GB2312" w:hAnsi="仿宋_GB2312" w:eastAsia="仿宋_GB2312" w:cs="仿宋_GB2312"/>
          <w:color w:val="000000" w:themeColor="text1"/>
          <w:sz w:val="32"/>
          <w:szCs w:val="32"/>
          <w:lang w:val="en-US" w:eastAsia="zh-CN"/>
        </w:rPr>
        <w:t>李凌飞</w:t>
      </w:r>
      <w:r>
        <w:rPr>
          <w:rFonts w:hint="eastAsia" w:ascii="仿宋_GB2312" w:hAnsi="仿宋_GB2312" w:eastAsia="仿宋_GB2312" w:cs="仿宋_GB2312"/>
          <w:color w:val="000000" w:themeColor="text1"/>
          <w:sz w:val="32"/>
          <w:szCs w:val="32"/>
          <w:lang w:eastAsia="zh-CN"/>
        </w:rPr>
        <w:t>同志任办公室主任，</w:t>
      </w:r>
      <w:r>
        <w:rPr>
          <w:rFonts w:hint="eastAsia" w:ascii="仿宋_GB2312" w:hAnsi="仿宋_GB2312" w:eastAsia="仿宋_GB2312" w:cs="仿宋_GB2312"/>
          <w:color w:val="000000" w:themeColor="text1"/>
          <w:sz w:val="32"/>
          <w:szCs w:val="32"/>
          <w:lang w:val="en-US" w:eastAsia="zh-CN"/>
        </w:rPr>
        <w:t>谢文康</w:t>
      </w:r>
      <w:r>
        <w:rPr>
          <w:rFonts w:hint="eastAsia" w:ascii="仿宋_GB2312" w:hAnsi="仿宋_GB2312" w:eastAsia="仿宋_GB2312" w:cs="仿宋_GB2312"/>
          <w:color w:val="000000" w:themeColor="text1"/>
          <w:sz w:val="32"/>
          <w:szCs w:val="32"/>
          <w:lang w:eastAsia="zh-CN"/>
        </w:rPr>
        <w:t>同志</w:t>
      </w:r>
      <w:r>
        <w:rPr>
          <w:rFonts w:hint="eastAsia" w:ascii="仿宋_GB2312" w:hAnsi="仿宋_GB2312" w:eastAsia="仿宋_GB2312" w:cs="仿宋_GB2312"/>
          <w:color w:val="000000" w:themeColor="text1"/>
          <w:sz w:val="32"/>
          <w:szCs w:val="32"/>
          <w:lang w:val="en-US" w:eastAsia="zh-CN"/>
        </w:rPr>
        <w:t>为信息员。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三</w:t>
      </w:r>
      <w:r>
        <w:rPr>
          <w:rFonts w:hint="eastAsia" w:ascii="仿宋_GB2312" w:hAnsi="仿宋_GB2312" w:eastAsia="仿宋_GB2312" w:cs="仿宋_GB2312"/>
          <w:color w:val="000000" w:themeColor="text1"/>
          <w:sz w:val="32"/>
          <w:szCs w:val="32"/>
          <w:lang w:eastAsia="zh-CN"/>
        </w:rPr>
        <w:t>）建立</w:t>
      </w:r>
      <w:r>
        <w:rPr>
          <w:rFonts w:hint="eastAsia" w:ascii="仿宋_GB2312" w:hAnsi="仿宋_GB2312" w:eastAsia="仿宋_GB2312" w:cs="仿宋_GB2312"/>
          <w:color w:val="000000" w:themeColor="text1"/>
          <w:sz w:val="32"/>
          <w:szCs w:val="32"/>
          <w:lang w:val="en-US" w:eastAsia="zh-CN"/>
        </w:rPr>
        <w:t>局内</w:t>
      </w:r>
      <w:r>
        <w:rPr>
          <w:rFonts w:hint="eastAsia" w:ascii="仿宋_GB2312" w:hAnsi="仿宋_GB2312" w:eastAsia="仿宋_GB2312" w:cs="仿宋_GB2312"/>
          <w:color w:val="000000" w:themeColor="text1"/>
          <w:sz w:val="32"/>
          <w:szCs w:val="32"/>
          <w:lang w:eastAsia="zh-CN"/>
        </w:rPr>
        <w:t>的信息发布审核机制，制定了发布方案，建立了信息台账，确保了信息发布不泄密。严格按照信息发布审核机制公开对应信息，保持信息内容、</w:t>
      </w:r>
      <w:r>
        <w:rPr>
          <w:rFonts w:hint="eastAsia" w:ascii="仿宋_GB2312" w:hAnsi="仿宋_GB2312" w:eastAsia="仿宋_GB2312" w:cs="仿宋_GB2312"/>
          <w:color w:val="000000" w:themeColor="text1"/>
          <w:sz w:val="32"/>
          <w:szCs w:val="32"/>
          <w:lang w:val="en-US" w:eastAsia="zh-CN"/>
        </w:rPr>
        <w:t>格式、发布方式、发布时限等</w:t>
      </w:r>
      <w:r>
        <w:rPr>
          <w:rFonts w:hint="eastAsia" w:ascii="仿宋_GB2312" w:hAnsi="仿宋_GB2312" w:eastAsia="仿宋_GB2312" w:cs="仿宋_GB2312"/>
          <w:color w:val="000000" w:themeColor="text1"/>
          <w:sz w:val="32"/>
          <w:szCs w:val="32"/>
          <w:lang w:eastAsia="zh-CN"/>
        </w:rPr>
        <w:t>符合栏目要求，做到无组配空白现象，并再次对各组配内容进行核查，对组配错误的进行调整及更新，</w:t>
      </w:r>
      <w:r>
        <w:rPr>
          <w:rFonts w:hint="eastAsia" w:ascii="仿宋_GB2312" w:hAnsi="仿宋_GB2312" w:eastAsia="仿宋_GB2312" w:cs="仿宋_GB2312"/>
          <w:color w:val="000000" w:themeColor="text1"/>
          <w:sz w:val="32"/>
          <w:szCs w:val="32"/>
          <w:lang w:val="en-US" w:eastAsia="zh-CN"/>
        </w:rPr>
        <w:t>确保信息内容合法、完整、准确、及时</w:t>
      </w:r>
      <w:r>
        <w:rPr>
          <w:rFonts w:hint="eastAsia" w:ascii="仿宋_GB2312" w:hAnsi="仿宋_GB2312" w:eastAsia="仿宋_GB2312" w:cs="仿宋_GB2312"/>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（四）及时对区政务网依申请公开、网上信访、网络问政等互动板块等公众咨询事宜进行了及时处理，并及时进行网站回复。我局2020年在区政务网无相关咨询问题。</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二、主动公开政府信息情况</w:t>
      </w:r>
    </w:p>
    <w:tbl>
      <w:tblPr>
        <w:tblStyle w:val="5"/>
        <w:tblpPr w:leftFromText="180" w:rightFromText="180" w:vertAnchor="text" w:horzAnchor="page" w:tblpXSpec="center" w:tblpY="212"/>
        <w:tblOverlap w:val="never"/>
        <w:tblW w:w="4767" w:type="pct"/>
        <w:jc w:val="center"/>
        <w:tblLayout w:type="autofit"/>
        <w:tblCellMar>
          <w:top w:w="0" w:type="dxa"/>
          <w:left w:w="0" w:type="dxa"/>
          <w:bottom w:w="0" w:type="dxa"/>
          <w:right w:w="0" w:type="dxa"/>
        </w:tblCellMar>
      </w:tblPr>
      <w:tblGrid>
        <w:gridCol w:w="2910"/>
        <w:gridCol w:w="2122"/>
        <w:gridCol w:w="1465"/>
        <w:gridCol w:w="2142"/>
      </w:tblGrid>
      <w:tr>
        <w:tblPrEx>
          <w:tblCellMar>
            <w:top w:w="0" w:type="dxa"/>
            <w:left w:w="0" w:type="dxa"/>
            <w:bottom w:w="0" w:type="dxa"/>
            <w:right w:w="0" w:type="dxa"/>
          </w:tblCellMar>
        </w:tblPrEx>
        <w:trPr>
          <w:trHeight w:val="579"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第二十条第（一）项</w:t>
            </w:r>
          </w:p>
        </w:tc>
      </w:tr>
      <w:tr>
        <w:tblPrEx>
          <w:tblCellMar>
            <w:top w:w="0" w:type="dxa"/>
            <w:left w:w="0" w:type="dxa"/>
            <w:bottom w:w="0" w:type="dxa"/>
            <w:right w:w="0" w:type="dxa"/>
          </w:tblCellMar>
        </w:tblPrEx>
        <w:trPr>
          <w:trHeight w:val="1085"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信息内容</w:t>
            </w:r>
          </w:p>
        </w:tc>
        <w:tc>
          <w:tcPr>
            <w:tcW w:w="122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本年新</w:t>
            </w:r>
            <w:r>
              <w:rPr>
                <w:rFonts w:ascii="宋体" w:cs="Times New Roman"/>
                <w:color w:val="000000" w:themeColor="text1"/>
                <w:kern w:val="0"/>
                <w:sz w:val="20"/>
                <w:szCs w:val="20"/>
              </w:rPr>
              <w:br w:type="textWrapping"/>
            </w:r>
            <w:r>
              <w:rPr>
                <w:rFonts w:hint="eastAsia" w:cs="宋体"/>
                <w:color w:val="000000" w:themeColor="text1"/>
                <w:kern w:val="0"/>
                <w:sz w:val="20"/>
                <w:szCs w:val="20"/>
              </w:rPr>
              <w:t>制作数量</w:t>
            </w:r>
          </w:p>
        </w:tc>
        <w:tc>
          <w:tcPr>
            <w:tcW w:w="84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本年新</w:t>
            </w:r>
            <w:r>
              <w:rPr>
                <w:rFonts w:ascii="宋体" w:cs="Times New Roman"/>
                <w:color w:val="000000" w:themeColor="text1"/>
                <w:kern w:val="0"/>
                <w:sz w:val="20"/>
                <w:szCs w:val="20"/>
              </w:rPr>
              <w:br w:type="textWrapping"/>
            </w:r>
            <w:r>
              <w:rPr>
                <w:rFonts w:hint="eastAsia" w:cs="宋体"/>
                <w:color w:val="000000" w:themeColor="text1"/>
                <w:kern w:val="0"/>
                <w:sz w:val="20"/>
                <w:szCs w:val="20"/>
              </w:rPr>
              <w:t>公开数量</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对外公开总数量</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规章</w:t>
            </w:r>
          </w:p>
        </w:tc>
        <w:tc>
          <w:tcPr>
            <w:tcW w:w="122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0</w:t>
            </w:r>
          </w:p>
        </w:tc>
        <w:tc>
          <w:tcPr>
            <w:tcW w:w="84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cs="Times New Roman"/>
                <w:color w:val="000000" w:themeColor="text1"/>
                <w:kern w:val="0"/>
                <w:sz w:val="20"/>
                <w:szCs w:val="20"/>
                <w:lang w:val="en-US" w:eastAsia="zh-CN"/>
              </w:rPr>
              <w:t>11</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tabs>
                <w:tab w:val="center" w:pos="832"/>
              </w:tabs>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11</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规范性文件</w:t>
            </w:r>
          </w:p>
        </w:tc>
        <w:tc>
          <w:tcPr>
            <w:tcW w:w="122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5</w:t>
            </w:r>
          </w:p>
        </w:tc>
        <w:tc>
          <w:tcPr>
            <w:tcW w:w="84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cs="Times New Roman"/>
                <w:color w:val="000000" w:themeColor="text1"/>
                <w:kern w:val="0"/>
                <w:sz w:val="20"/>
                <w:szCs w:val="20"/>
                <w:lang w:val="en-US" w:eastAsia="zh-CN"/>
              </w:rPr>
              <w:t>10</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10</w:t>
            </w:r>
          </w:p>
        </w:tc>
      </w:tr>
      <w:tr>
        <w:tblPrEx>
          <w:tblCellMar>
            <w:top w:w="0" w:type="dxa"/>
            <w:left w:w="0" w:type="dxa"/>
            <w:bottom w:w="0" w:type="dxa"/>
            <w:right w:w="0" w:type="dxa"/>
          </w:tblCellMar>
        </w:tblPrEx>
        <w:trPr>
          <w:trHeight w:val="579"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第二十条第（五）项</w:t>
            </w:r>
          </w:p>
        </w:tc>
      </w:tr>
      <w:tr>
        <w:tblPrEx>
          <w:tblCellMar>
            <w:top w:w="0" w:type="dxa"/>
            <w:left w:w="0" w:type="dxa"/>
            <w:bottom w:w="0" w:type="dxa"/>
            <w:right w:w="0" w:type="dxa"/>
          </w:tblCellMar>
        </w:tblPrEx>
        <w:trPr>
          <w:trHeight w:val="647"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信息内容</w:t>
            </w:r>
          </w:p>
        </w:tc>
        <w:tc>
          <w:tcPr>
            <w:tcW w:w="122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上一年项目数量</w:t>
            </w:r>
          </w:p>
        </w:tc>
        <w:tc>
          <w:tcPr>
            <w:tcW w:w="84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本年增</w:t>
            </w:r>
            <w:r>
              <w:rPr>
                <w:rFonts w:ascii="宋体" w:hAnsi="宋体" w:cs="宋体"/>
                <w:color w:val="000000" w:themeColor="text1"/>
                <w:kern w:val="0"/>
                <w:sz w:val="20"/>
                <w:szCs w:val="20"/>
              </w:rPr>
              <w:t>/</w:t>
            </w:r>
            <w:r>
              <w:rPr>
                <w:rFonts w:hint="eastAsia" w:ascii="宋体" w:hAnsi="宋体" w:cs="宋体"/>
                <w:color w:val="000000" w:themeColor="text1"/>
                <w:kern w:val="0"/>
                <w:sz w:val="20"/>
                <w:szCs w:val="20"/>
              </w:rPr>
              <w:t>减</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处理决定数量</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行政许可</w:t>
            </w:r>
          </w:p>
        </w:tc>
        <w:tc>
          <w:tcPr>
            <w:tcW w:w="122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9</w:t>
            </w:r>
          </w:p>
        </w:tc>
        <w:tc>
          <w:tcPr>
            <w:tcW w:w="84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cs="Times New Roman"/>
                <w:color w:val="000000" w:themeColor="text1"/>
                <w:lang w:val="en-US"/>
              </w:rPr>
            </w:pPr>
            <w:r>
              <w:rPr>
                <w:rFonts w:hint="eastAsia" w:ascii="宋体" w:hAnsi="宋体" w:cs="宋体"/>
                <w:color w:val="000000" w:themeColor="text1"/>
                <w:kern w:val="0"/>
                <w:sz w:val="20"/>
                <w:szCs w:val="20"/>
                <w:lang w:val="en-US" w:eastAsia="zh-CN"/>
              </w:rPr>
              <w:t>17</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17</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其他对外管理服务事项</w:t>
            </w:r>
          </w:p>
        </w:tc>
        <w:tc>
          <w:tcPr>
            <w:tcW w:w="122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0</w:t>
            </w:r>
          </w:p>
        </w:tc>
        <w:tc>
          <w:tcPr>
            <w:tcW w:w="84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eastAsia="zh-CN"/>
              </w:rPr>
            </w:pPr>
            <w:r>
              <w:rPr>
                <w:rFonts w:hint="eastAsia" w:ascii="宋体" w:hAnsi="宋体" w:cs="宋体"/>
                <w:color w:val="000000" w:themeColor="text1"/>
                <w:kern w:val="0"/>
                <w:sz w:val="20"/>
                <w:szCs w:val="20"/>
                <w:lang w:val="en-US" w:eastAsia="zh-CN"/>
              </w:rPr>
              <w:t>0</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lang w:val="en-US" w:eastAsia="zh-CN"/>
              </w:rPr>
              <w:t>0</w:t>
            </w:r>
          </w:p>
        </w:tc>
      </w:tr>
      <w:tr>
        <w:tblPrEx>
          <w:tblCellMar>
            <w:top w:w="0" w:type="dxa"/>
            <w:left w:w="0" w:type="dxa"/>
            <w:bottom w:w="0" w:type="dxa"/>
            <w:right w:w="0" w:type="dxa"/>
          </w:tblCellMar>
        </w:tblPrEx>
        <w:trPr>
          <w:trHeight w:val="579"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第二十条第（六）项</w:t>
            </w:r>
          </w:p>
        </w:tc>
      </w:tr>
      <w:tr>
        <w:tblPrEx>
          <w:tblCellMar>
            <w:top w:w="0" w:type="dxa"/>
            <w:left w:w="0" w:type="dxa"/>
            <w:bottom w:w="0" w:type="dxa"/>
            <w:right w:w="0" w:type="dxa"/>
          </w:tblCellMar>
        </w:tblPrEx>
        <w:trPr>
          <w:trHeight w:val="647"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信息内容</w:t>
            </w:r>
          </w:p>
        </w:tc>
        <w:tc>
          <w:tcPr>
            <w:tcW w:w="122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上一年项目数量</w:t>
            </w:r>
          </w:p>
        </w:tc>
        <w:tc>
          <w:tcPr>
            <w:tcW w:w="84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本年增</w:t>
            </w:r>
            <w:r>
              <w:rPr>
                <w:rFonts w:ascii="宋体" w:hAnsi="宋体" w:cs="宋体"/>
                <w:color w:val="000000" w:themeColor="text1"/>
                <w:kern w:val="0"/>
                <w:sz w:val="20"/>
                <w:szCs w:val="20"/>
              </w:rPr>
              <w:t>/</w:t>
            </w:r>
            <w:r>
              <w:rPr>
                <w:rFonts w:hint="eastAsia" w:ascii="宋体" w:hAnsi="宋体" w:cs="宋体"/>
                <w:color w:val="000000" w:themeColor="text1"/>
                <w:kern w:val="0"/>
                <w:sz w:val="20"/>
                <w:szCs w:val="20"/>
              </w:rPr>
              <w:t>减</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处理决定数量</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行政处罚</w:t>
            </w:r>
          </w:p>
        </w:tc>
        <w:tc>
          <w:tcPr>
            <w:tcW w:w="122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27</w:t>
            </w:r>
          </w:p>
        </w:tc>
        <w:tc>
          <w:tcPr>
            <w:tcW w:w="84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cs="Times New Roman"/>
                <w:color w:val="000000" w:themeColor="text1"/>
                <w:lang w:val="en-US" w:eastAsia="zh-CN"/>
              </w:rPr>
              <w:t>28</w:t>
            </w:r>
          </w:p>
        </w:tc>
        <w:tc>
          <w:tcPr>
            <w:tcW w:w="1238"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cs="Times New Roman"/>
                <w:color w:val="000000" w:themeColor="text1"/>
                <w:lang w:val="en-US" w:eastAsia="zh-CN"/>
              </w:rPr>
              <w:t>55</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行政强制</w:t>
            </w:r>
          </w:p>
        </w:tc>
        <w:tc>
          <w:tcPr>
            <w:tcW w:w="1228" w:type="pct"/>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lang w:val="en-US" w:eastAsia="zh-CN"/>
              </w:rPr>
              <w:t>0</w:t>
            </w:r>
          </w:p>
        </w:tc>
        <w:tc>
          <w:tcPr>
            <w:tcW w:w="848" w:type="pct"/>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cs="Times New Roman"/>
                <w:color w:val="000000" w:themeColor="text1"/>
                <w:lang w:val="en-US" w:eastAsia="zh-CN"/>
              </w:rPr>
              <w:t>0</w:t>
            </w:r>
          </w:p>
        </w:tc>
        <w:tc>
          <w:tcPr>
            <w:tcW w:w="1238" w:type="pct"/>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eastAsia="宋体" w:cs="Times New Roman"/>
                <w:color w:val="000000" w:themeColor="text1"/>
                <w:lang w:val="en-US" w:eastAsia="zh-CN"/>
              </w:rPr>
            </w:pPr>
            <w:r>
              <w:rPr>
                <w:rFonts w:hint="eastAsia" w:cs="Times New Roman"/>
                <w:color w:val="000000" w:themeColor="text1"/>
                <w:lang w:val="en-US" w:eastAsia="zh-CN"/>
              </w:rPr>
              <w:t>0</w:t>
            </w:r>
          </w:p>
        </w:tc>
      </w:tr>
      <w:tr>
        <w:tblPrEx>
          <w:tblCellMar>
            <w:top w:w="0" w:type="dxa"/>
            <w:left w:w="0" w:type="dxa"/>
            <w:bottom w:w="0" w:type="dxa"/>
            <w:right w:w="0" w:type="dxa"/>
          </w:tblCellMar>
        </w:tblPrEx>
        <w:trPr>
          <w:trHeight w:val="579" w:hRule="atLeast"/>
          <w:jc w:val="center"/>
        </w:trPr>
        <w:tc>
          <w:tcPr>
            <w:tcW w:w="5000" w:type="pct"/>
            <w:gridSpan w:val="4"/>
            <w:tcBorders>
              <w:top w:val="single" w:color="auto" w:sz="4" w:space="0"/>
              <w:left w:val="single" w:color="auto" w:sz="4" w:space="0"/>
              <w:bottom w:val="single" w:color="auto" w:sz="8"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第二十条第（八）项</w:t>
            </w:r>
          </w:p>
        </w:tc>
      </w:tr>
      <w:tr>
        <w:tblPrEx>
          <w:tblCellMar>
            <w:top w:w="0" w:type="dxa"/>
            <w:left w:w="0" w:type="dxa"/>
            <w:bottom w:w="0" w:type="dxa"/>
            <w:right w:w="0" w:type="dxa"/>
          </w:tblCellMar>
        </w:tblPrEx>
        <w:trPr>
          <w:trHeight w:val="579" w:hRule="atLeast"/>
          <w:jc w:val="center"/>
        </w:trPr>
        <w:tc>
          <w:tcPr>
            <w:tcW w:w="1684" w:type="pct"/>
            <w:tcBorders>
              <w:top w:val="nil"/>
              <w:left w:val="single" w:color="auto" w:sz="4"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信息内容</w:t>
            </w:r>
          </w:p>
        </w:tc>
        <w:tc>
          <w:tcPr>
            <w:tcW w:w="1228" w:type="pct"/>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上一年项目数量</w:t>
            </w:r>
          </w:p>
        </w:tc>
        <w:tc>
          <w:tcPr>
            <w:tcW w:w="2087" w:type="pct"/>
            <w:gridSpan w:val="2"/>
            <w:tcBorders>
              <w:top w:val="single" w:color="auto" w:sz="8"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本年增</w:t>
            </w:r>
            <w:r>
              <w:rPr>
                <w:rFonts w:ascii="宋体" w:hAnsi="宋体" w:cs="宋体"/>
                <w:color w:val="000000" w:themeColor="text1"/>
                <w:kern w:val="0"/>
                <w:sz w:val="20"/>
                <w:szCs w:val="20"/>
              </w:rPr>
              <w:t>/</w:t>
            </w:r>
            <w:r>
              <w:rPr>
                <w:rFonts w:hint="eastAsia" w:ascii="宋体" w:hAnsi="宋体" w:cs="宋体"/>
                <w:color w:val="000000" w:themeColor="text1"/>
                <w:kern w:val="0"/>
                <w:sz w:val="20"/>
                <w:szCs w:val="20"/>
              </w:rPr>
              <w:t>减</w:t>
            </w:r>
          </w:p>
        </w:tc>
      </w:tr>
      <w:tr>
        <w:tblPrEx>
          <w:tblCellMar>
            <w:top w:w="0" w:type="dxa"/>
            <w:left w:w="0" w:type="dxa"/>
            <w:bottom w:w="0" w:type="dxa"/>
            <w:right w:w="0" w:type="dxa"/>
          </w:tblCellMar>
        </w:tblPrEx>
        <w:trPr>
          <w:trHeight w:val="579" w:hRule="atLeast"/>
          <w:jc w:val="center"/>
        </w:trPr>
        <w:tc>
          <w:tcPr>
            <w:tcW w:w="1684" w:type="pct"/>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行政事业性收费</w:t>
            </w:r>
          </w:p>
        </w:tc>
        <w:tc>
          <w:tcPr>
            <w:tcW w:w="1228" w:type="pct"/>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eastAsia="宋体" w:cs="Times New Roman"/>
                <w:color w:val="000000" w:themeColor="text1"/>
                <w:lang w:val="en-US" w:eastAsia="zh-CN"/>
              </w:rPr>
            </w:pPr>
            <w:r>
              <w:rPr>
                <w:rFonts w:hint="eastAsia" w:ascii="宋体" w:hAnsi="宋体" w:cs="宋体"/>
                <w:color w:val="000000" w:themeColor="text1"/>
                <w:kern w:val="0"/>
                <w:sz w:val="20"/>
                <w:szCs w:val="20"/>
                <w:lang w:val="en-US" w:eastAsia="zh-CN"/>
              </w:rPr>
              <w:t>0</w:t>
            </w:r>
          </w:p>
        </w:tc>
        <w:tc>
          <w:tcPr>
            <w:tcW w:w="2087" w:type="pct"/>
            <w:gridSpan w:val="2"/>
            <w:tcBorders>
              <w:top w:val="single" w:color="auto" w:sz="4" w:space="0"/>
              <w:left w:val="nil"/>
              <w:bottom w:val="single" w:color="auto" w:sz="4" w:space="0"/>
              <w:right w:val="single" w:color="000000"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eastAsia="zh-CN"/>
              </w:rPr>
            </w:pPr>
            <w:r>
              <w:rPr>
                <w:rFonts w:hint="eastAsia" w:ascii="宋体" w:cs="Times New Roman"/>
                <w:color w:val="000000" w:themeColor="text1"/>
                <w:kern w:val="0"/>
                <w:sz w:val="20"/>
                <w:szCs w:val="20"/>
                <w:lang w:val="en-US" w:eastAsia="zh-CN"/>
              </w:rPr>
              <w:t>0</w:t>
            </w:r>
          </w:p>
        </w:tc>
      </w:tr>
      <w:tr>
        <w:tblPrEx>
          <w:tblCellMar>
            <w:top w:w="0" w:type="dxa"/>
            <w:left w:w="0" w:type="dxa"/>
            <w:bottom w:w="0" w:type="dxa"/>
            <w:right w:w="0" w:type="dxa"/>
          </w:tblCellMar>
        </w:tblPrEx>
        <w:trPr>
          <w:trHeight w:val="553" w:hRule="atLeast"/>
          <w:jc w:val="center"/>
        </w:trPr>
        <w:tc>
          <w:tcPr>
            <w:tcW w:w="5000" w:type="pct"/>
            <w:gridSpan w:val="4"/>
            <w:tcBorders>
              <w:top w:val="single" w:color="auto" w:sz="4" w:space="0"/>
              <w:left w:val="single" w:color="auto" w:sz="4" w:space="0"/>
              <w:bottom w:val="single" w:color="auto" w:sz="8"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第二十条第（九）项</w:t>
            </w:r>
          </w:p>
        </w:tc>
      </w:tr>
      <w:tr>
        <w:tblPrEx>
          <w:tblCellMar>
            <w:top w:w="0" w:type="dxa"/>
            <w:left w:w="0" w:type="dxa"/>
            <w:bottom w:w="0" w:type="dxa"/>
            <w:right w:w="0" w:type="dxa"/>
          </w:tblCellMar>
        </w:tblPrEx>
        <w:trPr>
          <w:trHeight w:val="602" w:hRule="atLeast"/>
          <w:jc w:val="center"/>
        </w:trPr>
        <w:tc>
          <w:tcPr>
            <w:tcW w:w="1684" w:type="pct"/>
            <w:tcBorders>
              <w:top w:val="single" w:color="auto" w:sz="8" w:space="0"/>
              <w:left w:val="single" w:color="auto" w:sz="4" w:space="0"/>
              <w:bottom w:val="single" w:color="auto" w:sz="4"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信息内容</w:t>
            </w:r>
          </w:p>
        </w:tc>
        <w:tc>
          <w:tcPr>
            <w:tcW w:w="1228" w:type="pct"/>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采购项目数量</w:t>
            </w:r>
          </w:p>
        </w:tc>
        <w:tc>
          <w:tcPr>
            <w:tcW w:w="2087" w:type="pct"/>
            <w:gridSpan w:val="2"/>
            <w:tcBorders>
              <w:top w:val="single" w:color="auto" w:sz="8" w:space="0"/>
              <w:left w:val="single" w:color="auto" w:sz="8" w:space="0"/>
              <w:bottom w:val="single" w:color="auto" w:sz="4" w:space="0"/>
              <w:right w:val="single" w:color="auto" w:sz="4"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采购总金额</w:t>
            </w:r>
          </w:p>
        </w:tc>
      </w:tr>
      <w:tr>
        <w:tblPrEx>
          <w:tblCellMar>
            <w:top w:w="0" w:type="dxa"/>
            <w:left w:w="0" w:type="dxa"/>
            <w:bottom w:w="0" w:type="dxa"/>
            <w:right w:w="0" w:type="dxa"/>
          </w:tblCellMar>
        </w:tblPrEx>
        <w:trPr>
          <w:trHeight w:val="625" w:hRule="atLeast"/>
          <w:jc w:val="center"/>
        </w:trPr>
        <w:tc>
          <w:tcPr>
            <w:tcW w:w="1684" w:type="pct"/>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政府集中采购</w:t>
            </w:r>
          </w:p>
        </w:tc>
        <w:tc>
          <w:tcPr>
            <w:tcW w:w="1228" w:type="pct"/>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eastAsia="宋体" w:cs="Times New Roman"/>
                <w:color w:val="000000" w:themeColor="text1"/>
                <w:lang w:val="en-US" w:eastAsia="zh-CN"/>
              </w:rPr>
            </w:pPr>
            <w:r>
              <w:rPr>
                <w:rFonts w:hint="eastAsia" w:ascii="宋体" w:hAnsi="宋体" w:cs="宋体"/>
                <w:color w:val="000000" w:themeColor="text1"/>
                <w:kern w:val="0"/>
                <w:sz w:val="20"/>
                <w:szCs w:val="20"/>
              </w:rPr>
              <w:t>　</w:t>
            </w:r>
            <w:r>
              <w:rPr>
                <w:rFonts w:hint="eastAsia" w:ascii="宋体" w:hAnsi="宋体" w:cs="宋体"/>
                <w:color w:val="000000" w:themeColor="text1"/>
                <w:kern w:val="0"/>
                <w:sz w:val="20"/>
                <w:szCs w:val="20"/>
                <w:lang w:val="en-US" w:eastAsia="zh-CN"/>
              </w:rPr>
              <w:t>0</w:t>
            </w:r>
          </w:p>
        </w:tc>
        <w:tc>
          <w:tcPr>
            <w:tcW w:w="2087" w:type="pct"/>
            <w:gridSpan w:val="2"/>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eastAsia="宋体" w:cs="Times New Roman"/>
                <w:color w:val="000000" w:themeColor="text1"/>
                <w:sz w:val="24"/>
                <w:szCs w:val="24"/>
                <w:lang w:val="en-US" w:eastAsia="zh-CN"/>
              </w:rPr>
            </w:pPr>
            <w:r>
              <w:rPr>
                <w:rFonts w:hint="eastAsia" w:ascii="宋体" w:cs="Times New Roman"/>
                <w:color w:val="000000" w:themeColor="text1"/>
                <w:sz w:val="24"/>
                <w:szCs w:val="24"/>
                <w:lang w:val="en-US" w:eastAsia="zh-CN"/>
              </w:rPr>
              <w:t>0</w:t>
            </w:r>
          </w:p>
        </w:tc>
      </w:tr>
    </w:tbl>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jc w:val="both"/>
        <w:textAlignment w:val="auto"/>
        <w:rPr>
          <w:rFonts w:hint="eastAsia" w:cs="宋体"/>
          <w:color w:val="000000" w:themeColor="text1"/>
          <w:shd w:val="clear" w:color="auto" w:fill="FFFFFF"/>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收到和处理政府信息公开申请情况</w:t>
      </w:r>
    </w:p>
    <w:p>
      <w:pPr>
        <w:pStyle w:val="2"/>
        <w:numPr>
          <w:ilvl w:val="0"/>
          <w:numId w:val="0"/>
        </w:numPr>
        <w:rPr>
          <w:rFonts w:hint="eastAsia"/>
          <w:lang w:val="en-US" w:eastAsia="zh-CN"/>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1.</w:t>
            </w:r>
            <w:r>
              <w:rPr>
                <w:rFonts w:hint="eastAsia" w:ascii="楷体" w:hAnsi="楷体" w:eastAsia="楷体" w:cs="楷体"/>
                <w:color w:val="000000" w:themeColor="text1"/>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2.</w:t>
            </w:r>
            <w:r>
              <w:rPr>
                <w:rFonts w:hint="eastAsia" w:ascii="楷体" w:hAnsi="楷体" w:eastAsia="楷体" w:cs="楷体"/>
                <w:color w:val="000000" w:themeColor="text1"/>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3.</w:t>
            </w:r>
            <w:r>
              <w:rPr>
                <w:rFonts w:hint="eastAsia" w:ascii="楷体" w:hAnsi="楷体" w:eastAsia="楷体" w:cs="楷体"/>
                <w:color w:val="000000" w:themeColor="text1"/>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4.</w:t>
            </w:r>
            <w:r>
              <w:rPr>
                <w:rFonts w:hint="eastAsia" w:ascii="楷体" w:hAnsi="楷体" w:eastAsia="楷体" w:cs="楷体"/>
                <w:color w:val="000000" w:themeColor="text1"/>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5.</w:t>
            </w:r>
            <w:r>
              <w:rPr>
                <w:rFonts w:hint="eastAsia" w:ascii="楷体" w:hAnsi="楷体" w:eastAsia="楷体" w:cs="楷体"/>
                <w:color w:val="000000" w:themeColor="text1"/>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6.</w:t>
            </w:r>
            <w:r>
              <w:rPr>
                <w:rFonts w:hint="eastAsia" w:ascii="楷体" w:hAnsi="楷体" w:eastAsia="楷体" w:cs="楷体"/>
                <w:color w:val="000000" w:themeColor="text1"/>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7.</w:t>
            </w:r>
            <w:r>
              <w:rPr>
                <w:rFonts w:hint="eastAsia" w:ascii="楷体" w:hAnsi="楷体" w:eastAsia="楷体" w:cs="楷体"/>
                <w:color w:val="000000" w:themeColor="text1"/>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8.</w:t>
            </w:r>
            <w:r>
              <w:rPr>
                <w:rFonts w:hint="eastAsia" w:ascii="楷体" w:hAnsi="楷体" w:eastAsia="楷体" w:cs="楷体"/>
                <w:color w:val="000000" w:themeColor="text1"/>
                <w:kern w:val="0"/>
                <w:sz w:val="20"/>
                <w:szCs w:val="20"/>
              </w:rPr>
              <w:t>属于行政查询事项</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1.</w:t>
            </w:r>
            <w:r>
              <w:rPr>
                <w:rFonts w:hint="eastAsia" w:ascii="楷体" w:hAnsi="楷体" w:eastAsia="楷体" w:cs="楷体"/>
                <w:color w:val="000000" w:themeColor="text1"/>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2.</w:t>
            </w:r>
            <w:r>
              <w:rPr>
                <w:rFonts w:hint="eastAsia" w:ascii="楷体" w:hAnsi="楷体" w:eastAsia="楷体" w:cs="楷体"/>
                <w:color w:val="000000" w:themeColor="text1"/>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3.</w:t>
            </w:r>
            <w:r>
              <w:rPr>
                <w:rFonts w:hint="eastAsia" w:ascii="楷体" w:hAnsi="楷体" w:eastAsia="楷体" w:cs="楷体"/>
                <w:color w:val="000000" w:themeColor="text1"/>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1.</w:t>
            </w:r>
            <w:r>
              <w:rPr>
                <w:rFonts w:hint="eastAsia" w:ascii="楷体" w:hAnsi="楷体" w:eastAsia="楷体" w:cs="楷体"/>
                <w:color w:val="000000" w:themeColor="text1"/>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2.</w:t>
            </w:r>
            <w:r>
              <w:rPr>
                <w:rFonts w:hint="eastAsia" w:ascii="楷体" w:hAnsi="楷体" w:eastAsia="楷体" w:cs="楷体"/>
                <w:color w:val="000000" w:themeColor="text1"/>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3.</w:t>
            </w:r>
            <w:r>
              <w:rPr>
                <w:rFonts w:hint="eastAsia" w:ascii="楷体" w:hAnsi="楷体" w:eastAsia="楷体" w:cs="楷体"/>
                <w:color w:val="000000" w:themeColor="text1"/>
                <w:kern w:val="0"/>
                <w:sz w:val="20"/>
                <w:szCs w:val="20"/>
              </w:rPr>
              <w:t>要求提供公开出版物</w:t>
            </w:r>
          </w:p>
        </w:tc>
        <w:tc>
          <w:tcPr>
            <w:tcW w:w="814"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4.</w:t>
            </w:r>
            <w:r>
              <w:rPr>
                <w:rFonts w:hint="eastAsia" w:ascii="楷体" w:hAnsi="楷体" w:eastAsia="楷体" w:cs="楷体"/>
                <w:color w:val="000000" w:themeColor="text1"/>
                <w:kern w:val="0"/>
                <w:sz w:val="20"/>
                <w:szCs w:val="20"/>
              </w:rPr>
              <w:t>无正当理由大量反复申请</w:t>
            </w:r>
          </w:p>
        </w:tc>
        <w:tc>
          <w:tcPr>
            <w:tcW w:w="814"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4" w:space="0"/>
              <w:left w:val="nil"/>
              <w:bottom w:val="single" w:color="auto" w:sz="8"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855" w:type="dxa"/>
            <w:vMerge w:val="continue"/>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089"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ascii="楷体" w:hAnsi="楷体" w:eastAsia="楷体" w:cs="楷体"/>
                <w:color w:val="000000" w:themeColor="text1"/>
                <w:kern w:val="0"/>
                <w:sz w:val="20"/>
                <w:szCs w:val="20"/>
              </w:rPr>
              <w:t>5.</w:t>
            </w:r>
            <w:r>
              <w:rPr>
                <w:rFonts w:hint="eastAsia" w:ascii="楷体" w:hAnsi="楷体" w:eastAsia="楷体" w:cs="楷体"/>
                <w:color w:val="000000" w:themeColor="text1"/>
                <w:kern w:val="0"/>
                <w:sz w:val="20"/>
                <w:szCs w:val="20"/>
              </w:rPr>
              <w:t>要求行政机关确认或重新出具已获取信息</w:t>
            </w:r>
          </w:p>
        </w:tc>
        <w:tc>
          <w:tcPr>
            <w:tcW w:w="814"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nil"/>
              <w:left w:val="nil"/>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2944" w:type="dxa"/>
            <w:gridSpan w:val="2"/>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（六）其他处理</w:t>
            </w:r>
          </w:p>
        </w:tc>
        <w:tc>
          <w:tcPr>
            <w:tcW w:w="814"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cs="Times New Roman"/>
                <w:color w:val="000000" w:themeColor="text1"/>
                <w:lang w:val="en-US"/>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4"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left"/>
              <w:textAlignment w:val="auto"/>
              <w:rPr>
                <w:rFonts w:ascii="宋体" w:cs="Times New Roman"/>
                <w:color w:val="000000" w:themeColor="text1"/>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楷体" w:hAnsi="楷体" w:eastAsia="楷体" w:cs="楷体"/>
                <w:color w:val="000000" w:themeColor="text1"/>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pacing w:line="560" w:lineRule="exact"/>
              <w:jc w:val="left"/>
              <w:textAlignment w:val="auto"/>
              <w:rPr>
                <w:rFonts w:cs="Times New Roman"/>
                <w:color w:val="000000" w:themeColor="text1"/>
              </w:rPr>
            </w:pPr>
            <w:r>
              <w:rPr>
                <w:rFonts w:hint="eastAsia" w:ascii="宋体" w:hAnsi="宋体" w:cs="宋体"/>
                <w:color w:val="000000" w:themeColor="text1"/>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alibri" w:hAnsi="Calibri" w:eastAsia="宋体" w:cs="Times New Roman"/>
                <w:color w:val="000000" w:themeColor="text1"/>
                <w:kern w:val="2"/>
                <w:sz w:val="21"/>
                <w:szCs w:val="21"/>
                <w:lang w:val="en-US" w:eastAsia="zh-CN" w:bidi="ar-SA"/>
              </w:rPr>
            </w:pPr>
            <w:r>
              <w:rPr>
                <w:rFonts w:hint="eastAsia" w:cs="Times New Roman"/>
                <w:color w:val="000000" w:themeColor="text1"/>
                <w:kern w:val="0"/>
                <w:sz w:val="20"/>
                <w:szCs w:val="20"/>
                <w:lang w:val="en-US" w:eastAsia="zh-CN"/>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tcPr>
          <w:p>
            <w:pPr>
              <w:keepNext w:val="0"/>
              <w:keepLines w:val="0"/>
              <w:pageBreakBefore w:val="0"/>
              <w:kinsoku/>
              <w:wordWrap/>
              <w:overflowPunct/>
              <w:topLinePunct w:val="0"/>
              <w:autoSpaceDE/>
              <w:autoSpaceDN/>
              <w:bidi w:val="0"/>
              <w:adjustRightInd/>
              <w:spacing w:line="560" w:lineRule="exact"/>
              <w:jc w:val="center"/>
              <w:textAlignment w:val="auto"/>
              <w:rPr>
                <w:rFonts w:ascii="宋体" w:cs="Times New Roman"/>
                <w:color w:val="000000" w:themeColor="text1"/>
                <w:sz w:val="24"/>
                <w:szCs w:val="24"/>
              </w:rPr>
            </w:pPr>
            <w:r>
              <w:rPr>
                <w:rFonts w:hint="eastAsia" w:cs="Times New Roman"/>
                <w:color w:val="000000" w:themeColor="text1"/>
                <w:kern w:val="0"/>
                <w:sz w:val="20"/>
                <w:szCs w:val="20"/>
                <w:lang w:val="en-US" w:eastAsia="zh-CN"/>
              </w:rPr>
              <w:t>0</w:t>
            </w:r>
          </w:p>
        </w:tc>
      </w:tr>
    </w:tbl>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420"/>
        <w:jc w:val="both"/>
        <w:textAlignment w:val="auto"/>
        <w:rPr>
          <w:rFonts w:cs="Times New Roman"/>
          <w:color w:val="000000" w:themeColor="text1"/>
        </w:rPr>
      </w:pPr>
    </w:p>
    <w:p>
      <w:pPr>
        <w:pStyle w:val="4"/>
        <w:keepNext w:val="0"/>
        <w:keepLines w:val="0"/>
        <w:pageBreakBefore w:val="0"/>
        <w:numPr>
          <w:ilvl w:val="0"/>
          <w:numId w:val="3"/>
        </w:numPr>
        <w:shd w:val="clear" w:color="auto" w:fill="FFFFFF"/>
        <w:kinsoku/>
        <w:wordWrap/>
        <w:overflowPunct/>
        <w:topLinePunct w:val="0"/>
        <w:autoSpaceDE/>
        <w:autoSpaceDN/>
        <w:bidi w:val="0"/>
        <w:adjustRightInd/>
        <w:spacing w:beforeAutospacing="0" w:afterAutospacing="0" w:line="560" w:lineRule="exact"/>
        <w:ind w:firstLine="420"/>
        <w:jc w:val="both"/>
        <w:textAlignment w:val="auto"/>
        <w:rPr>
          <w:rFonts w:hint="eastAsia"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政府信息公开行政复议、行政诉讼情况</w:t>
      </w: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jc w:val="both"/>
        <w:textAlignment w:val="auto"/>
        <w:rPr>
          <w:rFonts w:hint="eastAsia" w:ascii="黑体" w:hAnsi="黑体" w:eastAsia="黑体" w:cs="黑体"/>
          <w:color w:val="000000" w:themeColor="text1"/>
          <w:sz w:val="32"/>
          <w:szCs w:val="32"/>
          <w:shd w:val="clear" w:color="auto" w:fill="FFFFFF"/>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ascii="宋体" w:hAnsi="宋体" w:cs="宋体"/>
                <w:color w:val="000000" w:themeColor="text1"/>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eastAsia="zh-CN"/>
              </w:rPr>
            </w:pPr>
            <w:r>
              <w:rPr>
                <w:rFonts w:hint="eastAsia" w:cs="Times New Roman"/>
                <w:color w:val="000000" w:themeColor="text1"/>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eastAsia="zh-CN"/>
              </w:rPr>
            </w:pPr>
            <w:r>
              <w:rPr>
                <w:rFonts w:hint="eastAsia" w:cs="Times New Roman"/>
                <w:color w:val="000000" w:themeColor="text1"/>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cs="Times New Roman"/>
                <w:color w:val="000000" w:themeColor="text1"/>
                <w:kern w:val="0"/>
                <w:sz w:val="20"/>
                <w:szCs w:val="20"/>
              </w:rPr>
              <w:t> </w:t>
            </w:r>
            <w:r>
              <w:rPr>
                <w:rFonts w:hint="eastAsia" w:cs="Times New Roman"/>
                <w:color w:val="000000" w:themeColor="text1"/>
                <w:kern w:val="0"/>
                <w:sz w:val="20"/>
                <w:szCs w:val="20"/>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eastAsia="zh-CN"/>
              </w:rPr>
            </w:pPr>
            <w:r>
              <w:rPr>
                <w:rFonts w:hint="eastAsia" w:ascii="宋体"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ascii="宋体" w:cs="Times New Roman"/>
                <w:color w:val="000000" w:themeColor="text1"/>
                <w:kern w:val="0"/>
                <w:sz w:val="20"/>
                <w:szCs w:val="20"/>
              </w:rPr>
              <w:t> </w:t>
            </w:r>
            <w:r>
              <w:rPr>
                <w:rFonts w:hint="eastAsia"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hint="eastAsia"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cs="Times New Roman"/>
                <w:color w:val="000000" w:themeColor="text1"/>
              </w:rPr>
            </w:pPr>
            <w:r>
              <w:rPr>
                <w:rFonts w:ascii="宋体" w:cs="Times New Roman"/>
                <w:color w:val="000000" w:themeColor="text1"/>
                <w:kern w:val="0"/>
                <w:sz w:val="20"/>
                <w:szCs w:val="20"/>
              </w:rPr>
              <w:t> </w:t>
            </w:r>
            <w:r>
              <w:rPr>
                <w:rFonts w:hint="eastAsia"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cs="Times New Roman"/>
                <w:color w:val="000000" w:themeColor="text1"/>
                <w:lang w:val="en-US"/>
              </w:rPr>
            </w:pPr>
            <w:r>
              <w:rPr>
                <w:rFonts w:hint="eastAsia" w:cs="Times New Roman"/>
                <w:color w:val="000000" w:themeColor="text1"/>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eastAsia="宋体" w:cs="Times New Roman"/>
                <w:color w:val="000000" w:themeColor="text1"/>
                <w:lang w:val="en-US" w:eastAsia="zh-CN"/>
              </w:rPr>
            </w:pPr>
            <w:r>
              <w:rPr>
                <w:rFonts w:hint="eastAsia" w:cs="Times New Roman"/>
                <w:color w:val="000000" w:themeColor="text1"/>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tabs>
                <w:tab w:val="center" w:pos="254"/>
                <w:tab w:val="left" w:pos="342"/>
              </w:tabs>
              <w:kinsoku/>
              <w:wordWrap/>
              <w:overflowPunct/>
              <w:topLinePunct w:val="0"/>
              <w:autoSpaceDE/>
              <w:autoSpaceDN/>
              <w:bidi w:val="0"/>
              <w:adjustRightInd/>
              <w:spacing w:line="560" w:lineRule="exact"/>
              <w:jc w:val="left"/>
              <w:textAlignment w:val="auto"/>
              <w:rPr>
                <w:rFonts w:hint="eastAsia" w:eastAsia="宋体" w:cs="Times New Roman"/>
                <w:color w:val="000000" w:themeColor="text1"/>
                <w:lang w:eastAsia="zh-CN"/>
              </w:rPr>
            </w:pPr>
            <w:r>
              <w:rPr>
                <w:rFonts w:hint="eastAsia" w:ascii="宋体" w:cs="Times New Roman"/>
                <w:color w:val="000000" w:themeColor="text1"/>
                <w:kern w:val="0"/>
                <w:sz w:val="20"/>
                <w:szCs w:val="20"/>
                <w:lang w:eastAsia="zh-CN"/>
              </w:rPr>
              <w:tab/>
            </w:r>
            <w:r>
              <w:rPr>
                <w:rFonts w:ascii="宋体" w:cs="Times New Roman"/>
                <w:color w:val="000000" w:themeColor="text1"/>
                <w:kern w:val="0"/>
                <w:sz w:val="20"/>
                <w:szCs w:val="20"/>
              </w:rPr>
              <w:t> </w:t>
            </w:r>
            <w:r>
              <w:rPr>
                <w:rFonts w:hint="eastAsia" w:cs="Times New Roman"/>
                <w:color w:val="000000" w:themeColor="text1"/>
                <w:kern w:val="0"/>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ascii="宋体" w:cs="Times New Roman"/>
                <w:color w:val="000000" w:themeColor="text1"/>
                <w:sz w:val="24"/>
                <w:szCs w:val="24"/>
              </w:rPr>
            </w:pPr>
            <w:r>
              <w:rPr>
                <w:rFonts w:hint="eastAsia" w:cs="Times New Roman"/>
                <w:color w:val="000000" w:themeColor="text1"/>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宋体" w:cs="Times New Roman"/>
          <w:color w:val="000000" w:themeColor="text1"/>
          <w:sz w:val="24"/>
          <w:szCs w:val="24"/>
        </w:rPr>
      </w:pP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42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（一）2020年</w:t>
      </w:r>
      <w:r>
        <w:rPr>
          <w:rFonts w:hint="eastAsia" w:ascii="仿宋_GB2312" w:hAnsi="仿宋_GB2312" w:eastAsia="仿宋_GB2312" w:cs="仿宋_GB2312"/>
          <w:color w:val="000000" w:themeColor="text1"/>
          <w:sz w:val="32"/>
          <w:szCs w:val="32"/>
        </w:rPr>
        <w:t>虽然我局在政务公开方面做了大量工作，取得了一定成效，但是依然存在一些问题。一是政务公开工作的主动性还需进一步加强，安全生产工作任务重压力大，今年以来全</w:t>
      </w:r>
      <w:r>
        <w:rPr>
          <w:rFonts w:hint="eastAsia" w:ascii="仿宋_GB2312" w:hAnsi="仿宋_GB2312" w:eastAsia="仿宋_GB2312" w:cs="仿宋_GB2312"/>
          <w:color w:val="000000" w:themeColor="text1"/>
          <w:sz w:val="32"/>
          <w:szCs w:val="32"/>
          <w:lang w:val="en-US" w:eastAsia="zh-CN"/>
        </w:rPr>
        <w:t>区</w:t>
      </w:r>
      <w:r>
        <w:rPr>
          <w:rFonts w:hint="eastAsia" w:ascii="仿宋_GB2312" w:hAnsi="仿宋_GB2312" w:eastAsia="仿宋_GB2312" w:cs="仿宋_GB2312"/>
          <w:color w:val="000000" w:themeColor="text1"/>
          <w:sz w:val="32"/>
          <w:szCs w:val="32"/>
        </w:rPr>
        <w:t>安全生产形势严峻，全局忙于执法检查工作，对其他工作有一定程度的弱化。二是政务公开工作的整体水平有待提高，部分公开信息归类不</w:t>
      </w:r>
      <w:r>
        <w:rPr>
          <w:rFonts w:hint="eastAsia" w:ascii="仿宋_GB2312" w:hAnsi="仿宋_GB2312" w:eastAsia="仿宋_GB2312" w:cs="仿宋_GB2312"/>
          <w:color w:val="000000" w:themeColor="text1"/>
          <w:sz w:val="32"/>
          <w:szCs w:val="32"/>
          <w:lang w:val="en-US" w:eastAsia="zh-CN"/>
        </w:rPr>
        <w:t>全和</w:t>
      </w:r>
      <w:r>
        <w:rPr>
          <w:rFonts w:hint="eastAsia" w:ascii="仿宋_GB2312" w:hAnsi="仿宋_GB2312" w:eastAsia="仿宋_GB2312" w:cs="仿宋_GB2312"/>
          <w:color w:val="000000" w:themeColor="text1"/>
          <w:sz w:val="32"/>
          <w:szCs w:val="32"/>
        </w:rPr>
        <w:t>不够及时。三是栏目信息发布数量不平衡。目前，</w:t>
      </w:r>
      <w:r>
        <w:rPr>
          <w:rFonts w:hint="eastAsia" w:ascii="仿宋_GB2312" w:hAnsi="仿宋_GB2312" w:eastAsia="仿宋_GB2312" w:cs="仿宋_GB2312"/>
          <w:color w:val="000000" w:themeColor="text1"/>
          <w:sz w:val="32"/>
          <w:szCs w:val="32"/>
          <w:lang w:val="en-US" w:eastAsia="zh-CN"/>
        </w:rPr>
        <w:t>我</w:t>
      </w:r>
      <w:r>
        <w:rPr>
          <w:rFonts w:hint="eastAsia" w:ascii="仿宋_GB2312" w:hAnsi="仿宋_GB2312" w:eastAsia="仿宋_GB2312" w:cs="仿宋_GB2312"/>
          <w:color w:val="000000" w:themeColor="text1"/>
          <w:sz w:val="32"/>
          <w:szCs w:val="32"/>
        </w:rPr>
        <w:t>局政务信息公开较多，但涉及公众切身利益、需要公众</w:t>
      </w:r>
      <w:r>
        <w:rPr>
          <w:rFonts w:hint="eastAsia" w:ascii="仿宋_GB2312" w:hAnsi="仿宋_GB2312" w:eastAsia="仿宋_GB2312" w:cs="仿宋_GB2312"/>
          <w:color w:val="000000" w:themeColor="text1"/>
          <w:sz w:val="32"/>
          <w:szCs w:val="32"/>
          <w:lang w:val="en-US" w:eastAsia="zh-CN"/>
        </w:rPr>
        <w:t>广泛参与的信息公开较少。</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（二）在以后的工作中，我局将进一步加大督促检查力度，进一步完善和规范政务信息公开制度，进一步提高信息公开的质量和水平。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pPr>
      <w:r>
        <w:rPr>
          <w:rFonts w:hint="eastAsia" w:ascii="仿宋_GB2312" w:hAnsi="仿宋_GB2312" w:eastAsia="仿宋_GB2312" w:cs="仿宋_GB2312"/>
          <w:color w:val="000000" w:themeColor="text1"/>
          <w:sz w:val="32"/>
          <w:szCs w:val="32"/>
        </w:rPr>
        <w:t>一</w:t>
      </w:r>
      <w:r>
        <w:rPr>
          <w:rFonts w:hint="eastAsia" w:ascii="仿宋_GB2312" w:hAnsi="仿宋_GB2312" w:eastAsia="仿宋_GB2312" w:cs="仿宋_GB2312"/>
          <w:color w:val="000000" w:themeColor="text1"/>
          <w:sz w:val="32"/>
          <w:szCs w:val="32"/>
          <w:lang w:val="en-US" w:eastAsia="zh-CN"/>
        </w:rPr>
        <w:t>是</w:t>
      </w:r>
      <w:r>
        <w:rPr>
          <w:rFonts w:ascii="仿宋_GB2312" w:hAnsi="宋体" w:eastAsia="仿宋_GB2312" w:cs="仿宋_GB2312"/>
          <w:i w:val="0"/>
          <w:caps w:val="0"/>
          <w:color w:val="000000"/>
          <w:spacing w:val="0"/>
          <w:kern w:val="2"/>
          <w:sz w:val="32"/>
          <w:szCs w:val="32"/>
          <w:shd w:val="clear" w:fill="FFFFFF"/>
          <w:lang w:val="en-US" w:eastAsia="zh-CN" w:bidi="ar"/>
        </w:rPr>
        <w:t>切实加强《中华人民共和国政府信息公开条例》及政务公开有关文件的学习，不断提高对信息公开工作重要性的认识，进一步提高政务公开工作水平。</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二是将继续切实强化政务公开工作制度建设，采取有效措施，不断规范工作程序，创新工作方式，使政务公开工作在制度化、规范化方面有新的突破。</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hint="eastAsia" w:ascii="仿宋_GB2312" w:hAnsi="仿宋_GB2312" w:eastAsia="仿宋_GB2312" w:cs="仿宋_GB2312"/>
          <w:color w:val="000000" w:themeColor="text1"/>
          <w:sz w:val="32"/>
          <w:szCs w:val="32"/>
          <w:lang w:val="en-US" w:eastAsia="zh-CN"/>
        </w:rPr>
        <w:t>三是建立培训工作机制，组织信息公开工作人员积极参加区内组织的专业培训，提高信息员的政策把握、解疑释惑和回应引导能力，努力提升信息员的综合信息的处置能力，全面推进政务公开工作上新台阶。</w:t>
      </w:r>
    </w:p>
    <w:p>
      <w:pPr>
        <w:pStyle w:val="2"/>
        <w:rPr>
          <w:rFonts w:hint="default"/>
          <w:lang w:val="en-US" w:eastAsia="zh-CN"/>
        </w:rPr>
      </w:pPr>
    </w:p>
    <w:p>
      <w:pPr>
        <w:pStyle w:val="4"/>
        <w:keepNext w:val="0"/>
        <w:keepLines w:val="0"/>
        <w:pageBreakBefore w:val="0"/>
        <w:numPr>
          <w:ilvl w:val="0"/>
          <w:numId w:val="4"/>
        </w:numPr>
        <w:shd w:val="clear" w:color="auto" w:fill="FFFFFF"/>
        <w:kinsoku/>
        <w:wordWrap/>
        <w:overflowPunct/>
        <w:topLinePunct w:val="0"/>
        <w:autoSpaceDE/>
        <w:autoSpaceDN/>
        <w:bidi w:val="0"/>
        <w:adjustRightInd/>
        <w:spacing w:beforeAutospacing="0" w:afterAutospacing="0" w:line="560" w:lineRule="exact"/>
        <w:ind w:firstLine="420"/>
        <w:jc w:val="both"/>
        <w:textAlignment w:val="auto"/>
        <w:rPr>
          <w:rFonts w:hint="eastAsia"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其他需要报告的事项</w:t>
      </w: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lang w:val="en-US" w:eastAsia="zh-CN"/>
        </w:rPr>
        <w:t>无其他需要报告事项</w:t>
      </w: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rPr>
      </w:pP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rPr>
      </w:pP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rPr>
      </w:pP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right"/>
        <w:textAlignment w:val="auto"/>
        <w:rPr>
          <w:rFonts w:hint="eastAsia" w:ascii="仿宋_GB2312" w:hAnsi="仿宋_GB2312" w:eastAsia="仿宋_GB2312" w:cs="仿宋_GB2312"/>
          <w:color w:val="000000" w:themeColor="text1"/>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lang w:val="en-US" w:eastAsia="zh-CN"/>
        </w:rPr>
        <w:t>赣州经济技术开发区应急管理局</w:t>
      </w:r>
    </w:p>
    <w:p>
      <w:pPr>
        <w:pStyle w:val="4"/>
        <w:keepNext w:val="0"/>
        <w:keepLines w:val="0"/>
        <w:pageBreakBefore w:val="0"/>
        <w:numPr>
          <w:ilvl w:val="0"/>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right"/>
        <w:textAlignment w:val="auto"/>
        <w:rPr>
          <w:rFonts w:cs="Times New Roman"/>
        </w:rPr>
      </w:pPr>
      <w:r>
        <w:rPr>
          <w:rFonts w:hint="eastAsia" w:ascii="仿宋_GB2312" w:hAnsi="仿宋_GB2312" w:eastAsia="仿宋_GB2312" w:cs="仿宋_GB2312"/>
          <w:color w:val="000000" w:themeColor="text1"/>
          <w:sz w:val="32"/>
          <w:szCs w:val="32"/>
          <w:shd w:val="clear" w:color="auto" w:fill="FFFFFF"/>
          <w:lang w:val="en-US" w:eastAsia="zh-CN"/>
        </w:rPr>
        <w:t xml:space="preserve"> 2021年1月20日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FE2B"/>
    <w:multiLevelType w:val="singleLevel"/>
    <w:tmpl w:val="891EFE2B"/>
    <w:lvl w:ilvl="0" w:tentative="0">
      <w:start w:val="4"/>
      <w:numFmt w:val="chineseCounting"/>
      <w:suff w:val="nothing"/>
      <w:lvlText w:val="%1、"/>
      <w:lvlJc w:val="left"/>
      <w:rPr>
        <w:rFonts w:hint="eastAsia"/>
      </w:rPr>
    </w:lvl>
  </w:abstractNum>
  <w:abstractNum w:abstractNumId="1">
    <w:nsid w:val="CE2856AF"/>
    <w:multiLevelType w:val="singleLevel"/>
    <w:tmpl w:val="CE2856AF"/>
    <w:lvl w:ilvl="0" w:tentative="0">
      <w:start w:val="3"/>
      <w:numFmt w:val="chineseCounting"/>
      <w:suff w:val="nothing"/>
      <w:lvlText w:val="%1、"/>
      <w:lvlJc w:val="left"/>
      <w:rPr>
        <w:rFonts w:hint="eastAsia"/>
      </w:rPr>
    </w:lvl>
  </w:abstractNum>
  <w:abstractNum w:abstractNumId="2">
    <w:nsid w:val="486FE596"/>
    <w:multiLevelType w:val="singleLevel"/>
    <w:tmpl w:val="486FE596"/>
    <w:lvl w:ilvl="0" w:tentative="0">
      <w:start w:val="6"/>
      <w:numFmt w:val="chineseCounting"/>
      <w:suff w:val="nothing"/>
      <w:lvlText w:val="%1、"/>
      <w:lvlJc w:val="left"/>
      <w:rPr>
        <w:rFonts w:hint="eastAsia"/>
      </w:rPr>
    </w:lvl>
  </w:abstractNum>
  <w:abstractNum w:abstractNumId="3">
    <w:nsid w:val="64345DE9"/>
    <w:multiLevelType w:val="singleLevel"/>
    <w:tmpl w:val="64345DE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31"/>
    <w:rsid w:val="00085531"/>
    <w:rsid w:val="002E7993"/>
    <w:rsid w:val="0068525B"/>
    <w:rsid w:val="00785EC8"/>
    <w:rsid w:val="00927065"/>
    <w:rsid w:val="0096059C"/>
    <w:rsid w:val="00D36213"/>
    <w:rsid w:val="00E02C27"/>
    <w:rsid w:val="04006AD0"/>
    <w:rsid w:val="1A960ADA"/>
    <w:rsid w:val="241E234F"/>
    <w:rsid w:val="28347C75"/>
    <w:rsid w:val="307B0568"/>
    <w:rsid w:val="39A66E06"/>
    <w:rsid w:val="42092C55"/>
    <w:rsid w:val="4C8C7B33"/>
    <w:rsid w:val="5CD746A9"/>
    <w:rsid w:val="61F52DAA"/>
    <w:rsid w:val="641D72DE"/>
    <w:rsid w:val="75897CB1"/>
    <w:rsid w:val="79A270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2"/>
    <w:qFormat/>
    <w:uiPriority w:val="99"/>
    <w:pPr>
      <w:keepNext/>
      <w:keepLines/>
      <w:spacing w:before="260" w:after="260" w:line="416" w:lineRule="auto"/>
      <w:outlineLvl w:val="1"/>
    </w:pPr>
    <w:rPr>
      <w:rFonts w:ascii="Cambria" w:hAnsi="Cambria" w:cs="Cambria"/>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rFonts w:ascii="Times New Roman" w:hAnsi="Times New Roman"/>
    </w:rPr>
  </w:style>
  <w:style w:type="paragraph" w:styleId="4">
    <w:name w:val="Normal (Web)"/>
    <w:basedOn w:val="1"/>
    <w:qFormat/>
    <w:uiPriority w:val="99"/>
    <w:pPr>
      <w:spacing w:beforeAutospacing="1" w:afterAutospacing="1"/>
      <w:jc w:val="left"/>
    </w:pPr>
    <w:rPr>
      <w:kern w:val="0"/>
      <w:sz w:val="24"/>
      <w:szCs w:val="24"/>
    </w:rPr>
  </w:style>
  <w:style w:type="character" w:styleId="7">
    <w:name w:val="FollowedHyperlink"/>
    <w:basedOn w:val="6"/>
    <w:semiHidden/>
    <w:unhideWhenUsed/>
    <w:uiPriority w:val="99"/>
    <w:rPr>
      <w:color w:val="333333"/>
      <w:u w:val="none"/>
    </w:rPr>
  </w:style>
  <w:style w:type="character" w:styleId="8">
    <w:name w:val="Emphasis"/>
    <w:basedOn w:val="6"/>
    <w:qFormat/>
    <w:locked/>
    <w:uiPriority w:val="99"/>
    <w:rPr>
      <w:i/>
      <w:iCs/>
    </w:rPr>
  </w:style>
  <w:style w:type="character" w:styleId="9">
    <w:name w:val="Hyperlink"/>
    <w:basedOn w:val="6"/>
    <w:qFormat/>
    <w:uiPriority w:val="99"/>
    <w:rPr>
      <w:color w:val="333333"/>
      <w:u w:val="none"/>
    </w:rPr>
  </w:style>
  <w:style w:type="character" w:customStyle="1" w:styleId="10">
    <w:name w:val="Heading 2 Char"/>
    <w:basedOn w:val="6"/>
    <w:link w:val="3"/>
    <w:semiHidden/>
    <w:qFormat/>
    <w:uiPriority w:val="9"/>
    <w:rPr>
      <w:rFonts w:asciiTheme="majorHAnsi" w:hAnsiTheme="majorHAnsi" w:eastAsiaTheme="majorEastAsia" w:cstheme="majorBidi"/>
      <w:b/>
      <w:bCs/>
      <w:sz w:val="32"/>
      <w:szCs w:val="32"/>
    </w:rPr>
  </w:style>
  <w:style w:type="character" w:customStyle="1" w:styleId="11">
    <w:name w:val="apple-style-span"/>
    <w:basedOn w:val="6"/>
    <w:qFormat/>
    <w:uiPriority w:val="0"/>
  </w:style>
  <w:style w:type="character" w:customStyle="1" w:styleId="12">
    <w:name w:val="标题 2 Char"/>
    <w:link w:val="3"/>
    <w:qFormat/>
    <w:uiPriority w:val="0"/>
    <w:rPr>
      <w:rFonts w:ascii="Arial" w:hAnsi="Arial" w:eastAsia="黑体"/>
      <w:b/>
      <w:sz w:val="32"/>
    </w:rPr>
  </w:style>
  <w:style w:type="character" w:customStyle="1" w:styleId="13">
    <w:name w:val="hover13"/>
    <w:basedOn w:val="6"/>
    <w:uiPriority w:val="0"/>
    <w:rPr>
      <w:shd w:val="clear" w:fill="929292"/>
    </w:rPr>
  </w:style>
  <w:style w:type="character" w:customStyle="1" w:styleId="14">
    <w:name w:val="article-icon"/>
    <w:basedOn w:val="6"/>
    <w:uiPriority w:val="0"/>
  </w:style>
  <w:style w:type="character" w:customStyle="1" w:styleId="15">
    <w:name w:val="hover14"/>
    <w:basedOn w:val="6"/>
    <w:uiPriority w:val="0"/>
    <w:rPr>
      <w:shd w:val="clear" w:fill="92929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赣州经开区党政办</Company>
  <Pages>5</Pages>
  <Words>304</Words>
  <Characters>1736</Characters>
  <Lines>0</Lines>
  <Paragraphs>0</Paragraphs>
  <TotalTime>24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2020-01-13T01:55:00Z</dcterms:created>
  <dc:creator>Administrator</dc:creator>
  <cp:lastModifiedBy>BBB</cp:lastModifiedBy>
  <dcterms:modified xsi:type="dcterms:W3CDTF">2021-04-13T07:58:30Z</dcterms:modified>
  <dc:title>政府信息公开工作年度报告格式模板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4484951337B048EAAD2EFD32669341E4</vt:lpwstr>
  </property>
</Properties>
</file>