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rPr>
        <w:t>赣州经开区教体服务中心202</w:t>
      </w:r>
      <w:r>
        <w:rPr>
          <w:rFonts w:hint="eastAsia" w:ascii="方正小标宋简体" w:hAnsi="方正小标宋简体" w:eastAsia="方正小标宋简体" w:cs="方正小标宋简体"/>
          <w:snapToGrid/>
          <w:color w:val="auto"/>
          <w:kern w:val="2"/>
          <w:sz w:val="44"/>
          <w:szCs w:val="44"/>
          <w:lang w:val="en-US" w:eastAsia="zh-CN"/>
        </w:rPr>
        <w:t>3</w:t>
      </w:r>
      <w:r>
        <w:rPr>
          <w:rFonts w:hint="eastAsia" w:ascii="方正小标宋简体" w:hAnsi="方正小标宋简体" w:eastAsia="方正小标宋简体" w:cs="方正小标宋简体"/>
          <w:snapToGrid/>
          <w:color w:val="auto"/>
          <w:kern w:val="2"/>
          <w:sz w:val="44"/>
          <w:szCs w:val="44"/>
        </w:rPr>
        <w:t>年政府信息</w:t>
      </w:r>
    </w:p>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rPr>
        <w:t>公开工作年度报告</w:t>
      </w:r>
    </w:p>
    <w:p>
      <w:pPr>
        <w:pStyle w:val="3"/>
      </w:pPr>
    </w:p>
    <w:p>
      <w:pPr>
        <w:keepNext w:val="0"/>
        <w:keepLines w:val="0"/>
        <w:pageBreakBefore w:val="0"/>
        <w:widowControl/>
        <w:shd w:val="clear" w:color="auto" w:fill="FFFFFF"/>
        <w:kinsoku/>
        <w:wordWrap/>
        <w:overflowPunct/>
        <w:topLinePunct w:val="0"/>
        <w:autoSpaceDE/>
        <w:autoSpaceDN/>
        <w:bidi w:val="0"/>
        <w:snapToGrid/>
        <w:spacing w:line="560" w:lineRule="exact"/>
        <w:ind w:firstLine="632" w:firstLineChars="200"/>
        <w:jc w:val="both"/>
        <w:rPr>
          <w:rFonts w:ascii="黑体" w:hAnsi="黑体" w:eastAsia="黑体" w:cs="宋体"/>
          <w:snapToGrid/>
          <w:color w:val="333333"/>
          <w:szCs w:val="32"/>
        </w:rPr>
      </w:pPr>
      <w:bookmarkStart w:id="0" w:name="OLE_LINK1"/>
      <w:r>
        <w:rPr>
          <w:rFonts w:hint="eastAsia" w:ascii="黑体" w:hAnsi="黑体" w:eastAsia="黑体" w:cs="宋体"/>
          <w:snapToGrid/>
          <w:color w:val="333333"/>
          <w:szCs w:val="32"/>
        </w:rPr>
        <w:t>一、总体情况</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2023年，赣州经济技术开发区教体服务中心始终坚持以习近平新时代中国特色社会主义思想为指导，深入学习贯彻党的二十大精神，在区党工委、管委会的坚强领导下，认真贯彻落实《中华人民共和国政府信息公开条例》及省、市、区相关文件精神，紧密结合工作实际，不断加强组织领导，完善公开制度，规范公开内容，扎实推进政府信息公开各项工作。</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（报告中所列数据的统计期限自2023年1月1日至2023年12月31日止。）</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我中心始终坚持需求导向，突出重点领域信息公开，结合教育工作特点，全面梳理公开事项目录，围绕人民群众最关心、反映最强烈的现实问题，将推进控辍保学、招生入学、教育督导等方面的信息确定为重点公开内容，做到积极主动，多方位公开。2023年，赣州经济技术开发区教体服务中心主动公开政务信息75条，</w:t>
      </w:r>
      <w:r>
        <w:rPr>
          <w:rFonts w:hint="eastAsia" w:ascii="仿宋_GB2312" w:hAnsi="仿宋_GB2312" w:eastAsia="仿宋_GB2312" w:cs="仿宋_GB2312"/>
          <w:color w:val="auto"/>
          <w:sz w:val="32"/>
          <w:szCs w:val="32"/>
        </w:rPr>
        <w:t>严控信息发布时效性，</w:t>
      </w:r>
      <w:r>
        <w:rPr>
          <w:rFonts w:hint="eastAsia" w:ascii="仿宋_GB2312" w:hAnsi="仿宋_GB2312" w:eastAsia="仿宋_GB2312" w:cs="仿宋_GB2312"/>
          <w:color w:val="auto"/>
          <w:sz w:val="32"/>
          <w:szCs w:val="32"/>
          <w:lang w:val="en-US" w:eastAsia="zh-CN"/>
        </w:rPr>
        <w:t>更新频率做到每周一更新，</w:t>
      </w:r>
      <w:r>
        <w:rPr>
          <w:rFonts w:hint="eastAsia" w:ascii="仿宋_GB2312" w:hAnsi="仿宋_GB2312" w:eastAsia="仿宋_GB2312" w:cs="仿宋_GB2312"/>
          <w:snapToGrid/>
          <w:color w:val="auto"/>
          <w:kern w:val="2"/>
          <w:sz w:val="32"/>
          <w:szCs w:val="32"/>
          <w:lang w:val="en-US" w:eastAsia="zh-CN" w:bidi="ar-SA"/>
        </w:rPr>
        <w:t>此外，</w:t>
      </w:r>
      <w:r>
        <w:rPr>
          <w:rFonts w:hint="eastAsia" w:ascii="仿宋_GB2312" w:hAnsi="仿宋_GB2312" w:eastAsia="仿宋_GB2312" w:cs="仿宋_GB2312"/>
          <w:color w:val="auto"/>
          <w:sz w:val="32"/>
          <w:szCs w:val="32"/>
          <w:lang w:val="en-US" w:eastAsia="zh-CN"/>
        </w:rPr>
        <w:t>在问政赣州、12345平台回应群众关切479条，</w:t>
      </w:r>
      <w:r>
        <w:rPr>
          <w:rFonts w:hint="eastAsia" w:ascii="仿宋_GB2312" w:hAnsi="仿宋_GB2312" w:eastAsia="仿宋_GB2312" w:cs="仿宋_GB2312"/>
          <w:snapToGrid/>
          <w:color w:val="auto"/>
          <w:kern w:val="2"/>
          <w:sz w:val="32"/>
          <w:szCs w:val="32"/>
          <w:lang w:val="en-US" w:eastAsia="zh-CN" w:bidi="ar-SA"/>
        </w:rPr>
        <w:t>并坚持公开方式多样化，利用我中心政务新媒体平台（“赣州经开区微研教学”微信公众号）向群众公开信息220条，阅读点击量日趋攀升，做到了群众关切件件有着落，事事有回音。</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2023年，我中心未收到来自单位和个人的政府信息公开申请，我中心未因涉信息公开行政复议、行政诉讼被纠错。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bidi="ar-SA"/>
        </w:rPr>
        <w:t>我中心始终将政务公开工作纳入重要议事日程，根据我中心实际，加大领导力度，优化组织机构，形成了主要领导亲自抓，相关负责人组织实施，层层有人管、层层抓落实的工作格局，结合我中心实际建立了《区教体服务中心信息发布审核制度》，严格落实“三审三校”，健全了目标责任，切实保障政务公开工作的有效落实和高效运转。</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lang w:val="en-US" w:eastAsia="zh-CN"/>
        </w:rPr>
      </w:pPr>
      <w:r>
        <w:rPr>
          <w:rFonts w:hint="eastAsia" w:ascii="楷体_GB2312" w:hAnsi="楷体_GB2312" w:eastAsia="楷体_GB2312" w:cs="楷体_GB2312"/>
          <w:sz w:val="32"/>
          <w:szCs w:val="32"/>
        </w:rPr>
        <w:t>（四）平台建设</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一是以政府门户网站为政务公开第一平台，大力实施“互联网+政务”，利用信息化手段丰富信息公开形式，拓宽信息公开渠道。二是不断优化政务新媒体平台，规范政务新媒体信息报送、录用、审核、发布等流程，加大宣传力度，营造良好氛围，内容涵盖教育资讯、政策解读、教研动态、招生入学等多个方面，紧贴教育实际，力求做到及时、权威、实用、丰富。不断提高工作实效，提升政府公信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楷体" w:hAnsi="楷体" w:eastAsia="楷体" w:cs="楷体"/>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w:t>
      </w:r>
      <w:r>
        <w:rPr>
          <w:rFonts w:hint="eastAsia" w:ascii="楷体" w:hAnsi="楷体" w:eastAsia="楷体" w:cs="楷体"/>
          <w:sz w:val="32"/>
          <w:szCs w:val="32"/>
        </w:rPr>
        <w:t>监督保障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积极组织学习政务公开有关政策、会议精神，提高政府信息公开工作能力和水平，进一步规范信息选题、审核、发布等工作流程，严格落实“三审三校”制度，加强对门户网站、政务新媒体平台的安全管理，及时对已发布的信息进行全面排查，对公开不全面、公开不及时、只公开不回应等问题进行全面整改，不断完善信息公开工作，确保政府信息公开各项工作落到实处，稳步推进政务公开工作深入开展，及时反馈回复，主动接受社会各界和群众监督，不断提高公众对政务信息公开的参与度与满意度。</w:t>
      </w:r>
    </w:p>
    <w:p>
      <w:pPr>
        <w:widowControl/>
        <w:shd w:val="clear" w:color="auto" w:fill="FFFFFF"/>
        <w:autoSpaceDE/>
        <w:autoSpaceDN/>
        <w:snapToGrid/>
        <w:spacing w:line="240" w:lineRule="auto"/>
        <w:ind w:left="0" w:leftChars="0" w:firstLine="0" w:firstLineChars="0"/>
        <w:rPr>
          <w:rFonts w:hint="eastAsia" w:ascii="黑体" w:hAnsi="黑体" w:eastAsia="黑体" w:cs="宋体"/>
          <w:snapToGrid/>
          <w:color w:val="333333"/>
          <w:szCs w:val="32"/>
        </w:rPr>
      </w:pP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eastAsia" w:ascii="黑体" w:hAnsi="黑体" w:eastAsia="黑体" w:cs="宋体"/>
          <w:snapToGrid/>
          <w:color w:val="333333"/>
          <w:szCs w:val="32"/>
        </w:rPr>
        <w:t>二、主动公开政府信息情况</w:t>
      </w:r>
    </w:p>
    <w:tbl>
      <w:tblPr>
        <w:tblStyle w:val="12"/>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Calibri" w:hAnsi="Calibri" w:eastAsia="宋体" w:cs="Calibri"/>
                <w:snapToGrid/>
                <w:sz w:val="21"/>
                <w:szCs w:val="21"/>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Calibri" w:hAnsi="Calibri" w:eastAsia="宋体" w:cs="Calibri"/>
                <w:snapToGrid/>
                <w:sz w:val="21"/>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Calibri" w:hAnsi="Calibri" w:eastAsia="宋体" w:cs="Calibri"/>
                <w:snapToGrid/>
                <w:sz w:val="21"/>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bl>
    <w:p>
      <w:pPr>
        <w:widowControl/>
        <w:shd w:val="clear" w:color="auto" w:fill="FFFFFF"/>
        <w:autoSpaceDE/>
        <w:autoSpaceDN/>
        <w:snapToGrid/>
        <w:spacing w:line="240" w:lineRule="auto"/>
        <w:ind w:left="0" w:leftChars="0" w:firstLine="0" w:firstLineChars="0"/>
        <w:rPr>
          <w:rFonts w:hint="eastAsia" w:ascii="黑体" w:hAnsi="黑体" w:eastAsia="黑体" w:cs="宋体"/>
          <w:snapToGrid/>
          <w:color w:val="333333"/>
          <w:szCs w:val="32"/>
        </w:rPr>
      </w:pPr>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eastAsia" w:ascii="黑体" w:hAnsi="黑体" w:eastAsia="黑体" w:cs="宋体"/>
          <w:snapToGrid/>
          <w:color w:val="333333"/>
          <w:szCs w:val="32"/>
        </w:rPr>
        <w:t>三、收到和处理政府信息公开申请情况</w:t>
      </w:r>
    </w:p>
    <w:tbl>
      <w:tblPr>
        <w:tblStyle w:val="12"/>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rPr>
              <w:t>0</w:t>
            </w:r>
          </w:p>
        </w:tc>
      </w:tr>
    </w:tbl>
    <w:p>
      <w:pPr>
        <w:widowControl/>
        <w:shd w:val="clear" w:color="auto" w:fill="FFFFFF"/>
        <w:autoSpaceDE/>
        <w:autoSpaceDN/>
        <w:snapToGrid/>
        <w:spacing w:line="240" w:lineRule="auto"/>
        <w:ind w:left="0" w:leftChars="0" w:firstLine="0" w:firstLineChars="0"/>
        <w:rPr>
          <w:rFonts w:hint="eastAsia" w:ascii="黑体" w:hAnsi="黑体" w:eastAsia="黑体" w:cs="宋体"/>
          <w:snapToGrid/>
          <w:color w:val="333333"/>
          <w:szCs w:val="32"/>
        </w:rPr>
      </w:pPr>
      <w:bookmarkStart w:id="1" w:name="_GoBack"/>
      <w:bookmarkEnd w:id="1"/>
    </w:p>
    <w:p>
      <w:pPr>
        <w:widowControl/>
        <w:shd w:val="clear" w:color="auto" w:fill="FFFFFF"/>
        <w:autoSpaceDE/>
        <w:autoSpaceDN/>
        <w:snapToGrid/>
        <w:spacing w:line="240" w:lineRule="auto"/>
        <w:ind w:firstLine="480"/>
        <w:rPr>
          <w:rFonts w:ascii="宋体" w:hAnsi="宋体" w:eastAsia="宋体" w:cs="宋体"/>
          <w:snapToGrid/>
          <w:color w:val="333333"/>
          <w:sz w:val="24"/>
          <w:szCs w:val="24"/>
        </w:rPr>
      </w:pPr>
      <w:r>
        <w:rPr>
          <w:rFonts w:hint="eastAsia" w:ascii="黑体" w:hAnsi="黑体" w:eastAsia="黑体" w:cs="宋体"/>
          <w:snapToGrid/>
          <w:color w:val="333333"/>
          <w:szCs w:val="32"/>
        </w:rPr>
        <w:t>四、政府信息公开行政复议、行政诉讼情况</w:t>
      </w:r>
    </w:p>
    <w:tbl>
      <w:tblPr>
        <w:tblStyle w:val="12"/>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4"/>
                <w:szCs w:val="24"/>
              </w:rPr>
              <w:t>0</w:t>
            </w:r>
          </w:p>
        </w:tc>
      </w:tr>
    </w:tbl>
    <w:p>
      <w:pPr>
        <w:widowControl/>
        <w:autoSpaceDE/>
        <w:autoSpaceDN/>
        <w:snapToGrid/>
        <w:spacing w:line="240" w:lineRule="auto"/>
        <w:ind w:firstLine="0"/>
        <w:jc w:val="left"/>
        <w:rPr>
          <w:rFonts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snapToGrid/>
          <w:color w:val="333333"/>
          <w:szCs w:val="32"/>
        </w:rPr>
      </w:pPr>
      <w:r>
        <w:rPr>
          <w:rFonts w:hint="eastAsia" w:ascii="黑体" w:hAnsi="黑体" w:eastAsia="黑体" w:cs="宋体"/>
          <w:snapToGrid/>
          <w:color w:val="333333"/>
          <w:szCs w:val="32"/>
        </w:rPr>
        <w:t>五、存在的主要问题及改进情况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2023年，赣州经济技术开发区教体服务中心的信息公开工作取得一定成效，但仍存在一定的问题和不足，一是对照新时代政府信息公开新要求仍存在一些不足，相关人员对公开事项准确理解、依法办理、规范操作的意识和能力有待进一步提高。二是政务新媒体内容发布有待进一步丰富，质量和时效性上有待进一步加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下一步，区教体服务中心认真执行《条例》规定，高度重视政务信息公开工作，加大政府信息公开力度，不断扩大公开内容范围，丰富公开形式，依法依规做好教育领域政府信息公开工作，进一步丰富政策解读形式，提升政策解读水平。提高我中心人员对政务公开工作重要性的认识，及时规范做好日常政府信息公开工作，做到“应公开、尽公开”。对社会普遍关注的热点问题主动发声，确保教育事业健康发展。</w:t>
      </w:r>
    </w:p>
    <w:p>
      <w:pPr>
        <w:widowControl/>
        <w:shd w:val="clear" w:color="auto" w:fill="FFFFFF"/>
        <w:autoSpaceDE/>
        <w:autoSpaceDN/>
        <w:snapToGrid/>
        <w:spacing w:line="560" w:lineRule="exact"/>
        <w:ind w:firstLine="480"/>
        <w:rPr>
          <w:rFonts w:ascii="黑体" w:hAnsi="黑体" w:eastAsia="黑体" w:cs="宋体"/>
          <w:snapToGrid/>
          <w:color w:val="333333"/>
          <w:szCs w:val="32"/>
        </w:rPr>
      </w:pPr>
      <w:r>
        <w:rPr>
          <w:rFonts w:hint="eastAsia" w:ascii="黑体" w:hAnsi="黑体" w:eastAsia="黑体" w:cs="宋体"/>
          <w:snapToGrid/>
          <w:color w:val="333333"/>
          <w:szCs w:val="32"/>
        </w:rPr>
        <w:t>六、其他需要报告的事项</w:t>
      </w:r>
    </w:p>
    <w:bookmarkEnd w:id="0"/>
    <w:p>
      <w:pPr>
        <w:spacing w:line="590" w:lineRule="exact"/>
        <w:rPr>
          <w:rFonts w:hint="default"/>
          <w:lang w:val="en-US" w:eastAsia="zh-CN"/>
        </w:rPr>
      </w:pPr>
      <w:r>
        <w:rPr>
          <w:rFonts w:hint="eastAsia" w:ascii="仿宋_GB2312" w:hAnsi="仿宋_GB2312" w:eastAsia="仿宋_GB2312" w:cs="仿宋_GB2312"/>
          <w:snapToGrid/>
          <w:color w:val="auto"/>
          <w:kern w:val="2"/>
          <w:sz w:val="32"/>
          <w:szCs w:val="32"/>
          <w:lang w:val="en-US" w:eastAsia="zh-CN" w:bidi="ar-SA"/>
        </w:rPr>
        <w:t>按照《国务院办公厅关于印发〈政府信息公开信息处理费管理办法〉的通知》（国办函〔2020〕109 号）规定的按件、按量收费标准，本年度没有产生信息公开处理费。</w:t>
      </w:r>
    </w:p>
    <w:sectPr>
      <w:headerReference r:id="rId5" w:type="default"/>
      <w:footerReference r:id="rId6" w:type="default"/>
      <w:pgSz w:w="11906" w:h="16838"/>
      <w:pgMar w:top="2098" w:right="1587" w:bottom="2098" w:left="1587" w:header="720" w:footer="1474" w:gutter="0"/>
      <w:paperSrc w:first="2" w:other="2"/>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3C004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DE5ZWFjYzZhNTllZGVmMzI2MzVkMDM0MTc3NDg4ZmQifQ=="/>
  </w:docVars>
  <w:rsids>
    <w:rsidRoot w:val="00F67443"/>
    <w:rsid w:val="0000134B"/>
    <w:rsid w:val="00001659"/>
    <w:rsid w:val="00001875"/>
    <w:rsid w:val="00003673"/>
    <w:rsid w:val="00004A01"/>
    <w:rsid w:val="00004A56"/>
    <w:rsid w:val="00007038"/>
    <w:rsid w:val="00007582"/>
    <w:rsid w:val="0000773B"/>
    <w:rsid w:val="000127F2"/>
    <w:rsid w:val="000139B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2D4"/>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64D2"/>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27310"/>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2F18"/>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0988"/>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572B5"/>
    <w:rsid w:val="00A65FF1"/>
    <w:rsid w:val="00A66552"/>
    <w:rsid w:val="00A66DE2"/>
    <w:rsid w:val="00A67CA4"/>
    <w:rsid w:val="00A7050B"/>
    <w:rsid w:val="00A7227D"/>
    <w:rsid w:val="00A73F35"/>
    <w:rsid w:val="00A7507B"/>
    <w:rsid w:val="00A75A1D"/>
    <w:rsid w:val="00A763B3"/>
    <w:rsid w:val="00A80EB1"/>
    <w:rsid w:val="00A81A07"/>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4152"/>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288"/>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268B4"/>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1203071"/>
    <w:rsid w:val="014976E6"/>
    <w:rsid w:val="01F405F1"/>
    <w:rsid w:val="02504C8A"/>
    <w:rsid w:val="02BE018F"/>
    <w:rsid w:val="03685798"/>
    <w:rsid w:val="0442423B"/>
    <w:rsid w:val="05CE4EAA"/>
    <w:rsid w:val="0869623A"/>
    <w:rsid w:val="089438EA"/>
    <w:rsid w:val="08A43F52"/>
    <w:rsid w:val="099B68C7"/>
    <w:rsid w:val="0A2F5262"/>
    <w:rsid w:val="0A634F0B"/>
    <w:rsid w:val="0A9A6640"/>
    <w:rsid w:val="0AB63135"/>
    <w:rsid w:val="0ABA32A4"/>
    <w:rsid w:val="0CE42333"/>
    <w:rsid w:val="0DE85450"/>
    <w:rsid w:val="0E27079D"/>
    <w:rsid w:val="0FA91612"/>
    <w:rsid w:val="0FB87BC1"/>
    <w:rsid w:val="10091E0C"/>
    <w:rsid w:val="10BE2E9B"/>
    <w:rsid w:val="11150CB2"/>
    <w:rsid w:val="11740211"/>
    <w:rsid w:val="1299771C"/>
    <w:rsid w:val="12F224E0"/>
    <w:rsid w:val="13DB3D64"/>
    <w:rsid w:val="14263231"/>
    <w:rsid w:val="14700951"/>
    <w:rsid w:val="15A17E1E"/>
    <w:rsid w:val="15D34DA3"/>
    <w:rsid w:val="166C5148"/>
    <w:rsid w:val="17066ADD"/>
    <w:rsid w:val="183B1275"/>
    <w:rsid w:val="18F06FEA"/>
    <w:rsid w:val="18F90F15"/>
    <w:rsid w:val="1B9D3B25"/>
    <w:rsid w:val="1C646FED"/>
    <w:rsid w:val="1D2B5F1E"/>
    <w:rsid w:val="1D385D84"/>
    <w:rsid w:val="1E500038"/>
    <w:rsid w:val="1F9F033C"/>
    <w:rsid w:val="235A2EF8"/>
    <w:rsid w:val="27151DB5"/>
    <w:rsid w:val="286F2FA1"/>
    <w:rsid w:val="29746395"/>
    <w:rsid w:val="29DB7C76"/>
    <w:rsid w:val="2A255ACC"/>
    <w:rsid w:val="2A351FC9"/>
    <w:rsid w:val="2A73664D"/>
    <w:rsid w:val="2B011EAB"/>
    <w:rsid w:val="2BDB094E"/>
    <w:rsid w:val="2BE27F2E"/>
    <w:rsid w:val="2C087BF6"/>
    <w:rsid w:val="2CAD5E46"/>
    <w:rsid w:val="2CB2345D"/>
    <w:rsid w:val="2CB371D5"/>
    <w:rsid w:val="2E204D3E"/>
    <w:rsid w:val="2E33418C"/>
    <w:rsid w:val="2E4732D5"/>
    <w:rsid w:val="2E961EB0"/>
    <w:rsid w:val="2F835584"/>
    <w:rsid w:val="30A752A2"/>
    <w:rsid w:val="30C218B7"/>
    <w:rsid w:val="30CE282F"/>
    <w:rsid w:val="30ED7159"/>
    <w:rsid w:val="3147651D"/>
    <w:rsid w:val="31506ACE"/>
    <w:rsid w:val="31AB491E"/>
    <w:rsid w:val="325D3423"/>
    <w:rsid w:val="32A5753D"/>
    <w:rsid w:val="357A11D7"/>
    <w:rsid w:val="35D46B3A"/>
    <w:rsid w:val="366C6D72"/>
    <w:rsid w:val="36B24676"/>
    <w:rsid w:val="38DA1FE0"/>
    <w:rsid w:val="39513FFD"/>
    <w:rsid w:val="3971469F"/>
    <w:rsid w:val="3A135C74"/>
    <w:rsid w:val="3AA7481D"/>
    <w:rsid w:val="3D202664"/>
    <w:rsid w:val="3D2F0AD6"/>
    <w:rsid w:val="3ED96F6F"/>
    <w:rsid w:val="3F3B3785"/>
    <w:rsid w:val="401F09B1"/>
    <w:rsid w:val="41CE08E1"/>
    <w:rsid w:val="42C972FA"/>
    <w:rsid w:val="42F500EF"/>
    <w:rsid w:val="43782F65"/>
    <w:rsid w:val="43C875B2"/>
    <w:rsid w:val="4401320C"/>
    <w:rsid w:val="44150A49"/>
    <w:rsid w:val="46076EE5"/>
    <w:rsid w:val="46696E2A"/>
    <w:rsid w:val="481B4154"/>
    <w:rsid w:val="4B246558"/>
    <w:rsid w:val="4CC4452E"/>
    <w:rsid w:val="4CE01B7E"/>
    <w:rsid w:val="4D005B8C"/>
    <w:rsid w:val="4D536857"/>
    <w:rsid w:val="4DDA1757"/>
    <w:rsid w:val="4E207E26"/>
    <w:rsid w:val="4E481A1B"/>
    <w:rsid w:val="4F7A20A8"/>
    <w:rsid w:val="4F8C3B89"/>
    <w:rsid w:val="5035213F"/>
    <w:rsid w:val="513F4968"/>
    <w:rsid w:val="53EE5CD3"/>
    <w:rsid w:val="53F606F4"/>
    <w:rsid w:val="543A5B79"/>
    <w:rsid w:val="544D38E7"/>
    <w:rsid w:val="54817A35"/>
    <w:rsid w:val="554967A4"/>
    <w:rsid w:val="56102E1E"/>
    <w:rsid w:val="562821F7"/>
    <w:rsid w:val="56850705"/>
    <w:rsid w:val="57D21EF4"/>
    <w:rsid w:val="589812D1"/>
    <w:rsid w:val="58FA3BBB"/>
    <w:rsid w:val="5ACC27AE"/>
    <w:rsid w:val="5BDE1AE9"/>
    <w:rsid w:val="5BE014E5"/>
    <w:rsid w:val="5E0B1654"/>
    <w:rsid w:val="5F9100A0"/>
    <w:rsid w:val="60673F83"/>
    <w:rsid w:val="60712451"/>
    <w:rsid w:val="60A30D33"/>
    <w:rsid w:val="60D847A8"/>
    <w:rsid w:val="611759A9"/>
    <w:rsid w:val="62053A53"/>
    <w:rsid w:val="634C49D0"/>
    <w:rsid w:val="63B4753A"/>
    <w:rsid w:val="645C48E3"/>
    <w:rsid w:val="64B11C70"/>
    <w:rsid w:val="651144BD"/>
    <w:rsid w:val="65693AD9"/>
    <w:rsid w:val="657A6506"/>
    <w:rsid w:val="667F5AA4"/>
    <w:rsid w:val="67120124"/>
    <w:rsid w:val="68DB7828"/>
    <w:rsid w:val="693669B3"/>
    <w:rsid w:val="69A36499"/>
    <w:rsid w:val="69DA57C5"/>
    <w:rsid w:val="6AA04060"/>
    <w:rsid w:val="6AC364B9"/>
    <w:rsid w:val="6BE97F42"/>
    <w:rsid w:val="6C3C2767"/>
    <w:rsid w:val="6CAD0F6F"/>
    <w:rsid w:val="6CAD5413"/>
    <w:rsid w:val="6D2A6A64"/>
    <w:rsid w:val="6DA4380B"/>
    <w:rsid w:val="6EE669BA"/>
    <w:rsid w:val="6FCB19B0"/>
    <w:rsid w:val="749371D7"/>
    <w:rsid w:val="74A37438"/>
    <w:rsid w:val="75B32B69"/>
    <w:rsid w:val="76AA651F"/>
    <w:rsid w:val="784D3606"/>
    <w:rsid w:val="78C80EDF"/>
    <w:rsid w:val="78CE0BEB"/>
    <w:rsid w:val="7A65347F"/>
    <w:rsid w:val="7A8970C4"/>
    <w:rsid w:val="7AD941E0"/>
    <w:rsid w:val="7B971768"/>
    <w:rsid w:val="7C0B40EB"/>
    <w:rsid w:val="7C2D6E68"/>
    <w:rsid w:val="7CAD0B17"/>
    <w:rsid w:val="7D3D00ED"/>
    <w:rsid w:val="7E6D0694"/>
    <w:rsid w:val="7EC5039A"/>
    <w:rsid w:val="7EFE38AC"/>
    <w:rsid w:val="7F0C2F67"/>
    <w:rsid w:val="7F1F151B"/>
    <w:rsid w:val="7F4532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ody Text Indent"/>
    <w:basedOn w:val="1"/>
    <w:next w:val="5"/>
    <w:autoRedefine/>
    <w:qFormat/>
    <w:uiPriority w:val="0"/>
    <w:pPr>
      <w:spacing w:after="120" w:afterLines="0" w:afterAutospacing="0"/>
      <w:ind w:left="420" w:leftChars="200"/>
    </w:pPr>
  </w:style>
  <w:style w:type="paragraph" w:styleId="5">
    <w:name w:val="envelope return"/>
    <w:basedOn w:val="1"/>
    <w:autoRedefine/>
    <w:qFormat/>
    <w:uiPriority w:val="0"/>
    <w:pPr>
      <w:snapToGrid w:val="0"/>
    </w:pPr>
    <w:rPr>
      <w:rFonts w:ascii="Arial" w:hAnsi="Arial"/>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pacing w:line="400" w:lineRule="atLeast"/>
      <w:ind w:firstLine="0"/>
      <w:jc w:val="center"/>
    </w:pPr>
    <w:rPr>
      <w:sz w:val="28"/>
    </w:rPr>
  </w:style>
  <w:style w:type="paragraph" w:styleId="8">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styleId="10">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1">
    <w:name w:val="Body Text First Indent 2"/>
    <w:basedOn w:val="4"/>
    <w:autoRedefine/>
    <w:qFormat/>
    <w:uiPriority w:val="0"/>
    <w:pPr>
      <w:ind w:firstLine="420" w:firstLineChars="200"/>
    </w:pPr>
  </w:style>
  <w:style w:type="character" w:styleId="14">
    <w:name w:val="page number"/>
    <w:basedOn w:val="13"/>
    <w:autoRedefine/>
    <w:qFormat/>
    <w:uiPriority w:val="0"/>
  </w:style>
  <w:style w:type="paragraph" w:customStyle="1" w:styleId="15">
    <w:name w:val="_Style 24"/>
    <w:basedOn w:val="1"/>
    <w:autoRedefine/>
    <w:qFormat/>
    <w:uiPriority w:val="0"/>
    <w:pPr>
      <w:autoSpaceDE/>
      <w:autoSpaceDN/>
      <w:snapToGrid/>
      <w:spacing w:line="240" w:lineRule="auto"/>
      <w:ind w:firstLine="0"/>
    </w:pPr>
    <w:rPr>
      <w:rFonts w:eastAsia="宋体"/>
      <w:snapToGrid/>
      <w:kern w:val="2"/>
      <w:sz w:val="21"/>
      <w:szCs w:val="32"/>
    </w:rPr>
  </w:style>
  <w:style w:type="character" w:customStyle="1" w:styleId="16">
    <w:name w:val="articlebody"/>
    <w:basedOn w:val="13"/>
    <w:autoRedefine/>
    <w:qFormat/>
    <w:uiPriority w:val="0"/>
  </w:style>
  <w:style w:type="paragraph" w:customStyle="1" w:styleId="17">
    <w:name w:val="抄送栏"/>
    <w:basedOn w:val="1"/>
    <w:autoRedefine/>
    <w:qFormat/>
    <w:uiPriority w:val="0"/>
    <w:pPr>
      <w:adjustRightInd w:val="0"/>
      <w:snapToGrid/>
      <w:spacing w:line="454" w:lineRule="atLeast"/>
      <w:ind w:left="1310" w:right="357" w:hanging="953"/>
    </w:pPr>
  </w:style>
  <w:style w:type="paragraph" w:customStyle="1" w:styleId="18">
    <w:name w:val="印数"/>
    <w:basedOn w:val="19"/>
    <w:autoRedefine/>
    <w:qFormat/>
    <w:uiPriority w:val="0"/>
    <w:pPr>
      <w:tabs>
        <w:tab w:val="right" w:pos="8465"/>
      </w:tabs>
      <w:spacing w:line="400" w:lineRule="atLeast"/>
      <w:jc w:val="right"/>
    </w:pPr>
  </w:style>
  <w:style w:type="paragraph" w:customStyle="1" w:styleId="19">
    <w:name w:val="印发栏"/>
    <w:basedOn w:val="3"/>
    <w:autoRedefine/>
    <w:qFormat/>
    <w:uiPriority w:val="0"/>
    <w:pPr>
      <w:tabs>
        <w:tab w:val="right" w:pos="8465"/>
      </w:tabs>
      <w:spacing w:line="454" w:lineRule="atLeast"/>
      <w:ind w:left="357" w:right="357"/>
    </w:pPr>
    <w:rPr>
      <w:spacing w:val="0"/>
    </w:rPr>
  </w:style>
  <w:style w:type="paragraph" w:customStyle="1" w:styleId="20">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21">
    <w:name w:val="线型"/>
    <w:basedOn w:val="17"/>
    <w:autoRedefine/>
    <w:qFormat/>
    <w:uiPriority w:val="0"/>
    <w:pPr>
      <w:spacing w:line="240" w:lineRule="auto"/>
      <w:ind w:left="0" w:firstLine="0"/>
      <w:jc w:val="center"/>
    </w:pPr>
    <w:rPr>
      <w:sz w:val="21"/>
    </w:rPr>
  </w:style>
  <w:style w:type="paragraph" w:customStyle="1" w:styleId="22">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23">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4">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5">
    <w:name w:val="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6">
    <w:name w:val="紧急程度"/>
    <w:basedOn w:val="27"/>
    <w:autoRedefine/>
    <w:qFormat/>
    <w:uiPriority w:val="0"/>
    <w:pPr>
      <w:overflowPunct w:val="0"/>
    </w:pPr>
    <w:rPr>
      <w:sz w:val="32"/>
    </w:rPr>
  </w:style>
  <w:style w:type="paragraph" w:customStyle="1" w:styleId="27">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8">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9">
    <w:name w:val="样式1"/>
    <w:basedOn w:val="1"/>
    <w:autoRedefine/>
    <w:qFormat/>
    <w:uiPriority w:val="0"/>
  </w:style>
  <w:style w:type="paragraph" w:customStyle="1" w:styleId="30">
    <w:name w:val="标题2"/>
    <w:basedOn w:val="1"/>
    <w:next w:val="1"/>
    <w:autoRedefine/>
    <w:qFormat/>
    <w:uiPriority w:val="0"/>
    <w:pPr>
      <w:ind w:firstLine="0"/>
      <w:jc w:val="center"/>
    </w:pPr>
    <w:rPr>
      <w:rFonts w:eastAsia="方正楷体_GBK"/>
    </w:rPr>
  </w:style>
  <w:style w:type="paragraph" w:customStyle="1" w:styleId="31">
    <w:name w:val="附件栏"/>
    <w:basedOn w:val="1"/>
    <w:autoRedefine/>
    <w:qFormat/>
    <w:uiPriority w:val="0"/>
  </w:style>
  <w:style w:type="paragraph" w:customStyle="1" w:styleId="32">
    <w:name w:val="标题3"/>
    <w:basedOn w:val="1"/>
    <w:next w:val="1"/>
    <w:autoRedefine/>
    <w:qFormat/>
    <w:uiPriority w:val="0"/>
    <w:rPr>
      <w:rFonts w:eastAsia="方正黑体_GBK"/>
    </w:rPr>
  </w:style>
  <w:style w:type="paragraph" w:customStyle="1" w:styleId="33">
    <w:name w:val="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Company>UQi.me</Company>
  <Pages>5</Pages>
  <Words>2088</Words>
  <Characters>2132</Characters>
  <Lines>289</Lines>
  <Paragraphs>382</Paragraphs>
  <TotalTime>1</TotalTime>
  <ScaleCrop>false</ScaleCrop>
  <LinksUpToDate>false</LinksUpToDate>
  <CharactersWithSpaces>2335</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李袁真</cp:lastModifiedBy>
  <cp:lastPrinted>2022-12-30T05:13:00Z</cp:lastPrinted>
  <dcterms:modified xsi:type="dcterms:W3CDTF">2024-01-30T07:25:18Z</dcterms:modified>
  <dc:title>苏政办发模板</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589E4DEFF32A44728F573C6425C0AC5B</vt:lpwstr>
  </property>
</Properties>
</file>