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D6EA4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经开区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年柑橘黄龙病防控工作方案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71F02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0F8D7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当前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全市柑橘黄龙病发生形势严峻，我区2024年柑橘黄龙病发病率创下2013年以来峰值，严重威胁赣南脐橙产业安全</w:t>
      </w:r>
      <w:r>
        <w:rPr>
          <w:rFonts w:hint="eastAsia"/>
        </w:rPr>
        <w:t>。为打好柑橘黄龙病防控阻击战，全力控制病情蔓延态势，保障赣南脐橙产业安全持续稳定发展，特制定本工作方案。</w:t>
      </w:r>
    </w:p>
    <w:p w14:paraId="5469F0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指导思想</w:t>
      </w:r>
    </w:p>
    <w:p w14:paraId="3A9A0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坚持政府主导、属地主责、农户主体、联防联控的防控体系，按照</w:t>
      </w:r>
      <w:r>
        <w:rPr>
          <w:rFonts w:hint="eastAsia"/>
        </w:rPr>
        <w:t>彻底清除病株、及时防除木虱、杜绝带病种苗、建立</w:t>
      </w:r>
      <w:r>
        <w:rPr>
          <w:rFonts w:hint="eastAsia"/>
          <w:lang w:val="en-US" w:eastAsia="zh-CN"/>
        </w:rPr>
        <w:t>长效</w:t>
      </w:r>
      <w:r>
        <w:rPr>
          <w:rFonts w:hint="eastAsia"/>
        </w:rPr>
        <w:t>防控机制</w:t>
      </w:r>
      <w:r>
        <w:rPr>
          <w:rFonts w:hint="eastAsia"/>
          <w:lang w:val="en-US" w:eastAsia="zh-CN"/>
        </w:rPr>
        <w:t>的总要求，全面推进柑橘黄龙病防控工作，坚决遏制柑橘黄龙病蔓延态势，全力保障赣南脐橙产业安全。</w:t>
      </w:r>
    </w:p>
    <w:p w14:paraId="20A55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、工作目标</w:t>
      </w:r>
    </w:p>
    <w:p w14:paraId="31149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，全区柑橘果园普查率达100%，对普查出的病树清理率达100%，全面清除失管果园，建立市级柑橘危险性病虫监测点1个，关键时期组织开展柑橘木虱统防统治，推广建设柑橘苗木假植网棚面积500平方米以上，加大宣传培训力度，充分发挥果农主体作用，有效遏制病情扩散蔓延。</w:t>
      </w:r>
    </w:p>
    <w:p w14:paraId="69DC5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eastAsia" w:ascii="黑体" w:hAnsi="黑体" w:eastAsia="黑体" w:cs="黑体"/>
        </w:rPr>
        <w:t>、重点任务</w:t>
      </w:r>
    </w:p>
    <w:p w14:paraId="29D5C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</w:rPr>
        <w:t>（一）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不留死角，全面清除柑橘病树</w:t>
      </w:r>
      <w:r>
        <w:rPr>
          <w:rFonts w:hint="eastAsia" w:ascii="楷体_GB2312" w:hAnsi="楷体_GB2312" w:eastAsia="楷体_GB2312" w:cs="楷体_GB2312"/>
          <w:b/>
          <w:bCs/>
        </w:rPr>
        <w:t>。</w:t>
      </w:r>
      <w:r>
        <w:rPr>
          <w:rFonts w:hint="eastAsia"/>
          <w:lang w:val="en-US" w:eastAsia="zh-CN"/>
        </w:rPr>
        <w:t>广泛</w:t>
      </w:r>
      <w:r>
        <w:rPr>
          <w:rFonts w:hint="eastAsia"/>
        </w:rPr>
        <w:t>动员果农开展常态化自主防控，及时清理果园病树，做到随时发现、随时清理</w:t>
      </w:r>
      <w:r>
        <w:rPr>
          <w:rFonts w:hint="eastAsia"/>
          <w:lang w:val="en-US" w:eastAsia="zh-CN"/>
        </w:rPr>
        <w:t>。在秋冬季（9-12月）病树最易识别的重点时期，</w:t>
      </w:r>
      <w:r>
        <w:rPr>
          <w:rFonts w:hint="eastAsia"/>
        </w:rPr>
        <w:t>各</w:t>
      </w:r>
      <w:r>
        <w:rPr>
          <w:rFonts w:hint="eastAsia"/>
          <w:lang w:eastAsia="zh-CN"/>
        </w:rPr>
        <w:t>镇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科技城指挥部办公室要组建由镇干部、村组干部、农民果技员和有经验的果农等人员组成的专业工作队，按照“镇不漏村、村不漏组、组不漏片、片不漏园、园不漏株”的要求，分片区对辖区内所有柑橘果园、零星果树进行全面普查，规范标识病树（喷漆至主干）。在病树清除前，要督促果农做好木虱防治工作，对果农不配合病树清除的由各镇采取应急处置措施清除到位。加大对辖区内房前屋后零星种植的柑橘类果树及失管、半失管果园、发病率超过30%的果园的排查力度，建立重点管控清单，分类施策，同时明确责任领导和责任干部，倒排工期，逐一销号，确保病树全面清除到位。</w:t>
      </w:r>
    </w:p>
    <w:p w14:paraId="1881E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全域共治</w:t>
      </w:r>
      <w:r>
        <w:rPr>
          <w:rFonts w:hint="eastAsia" w:ascii="楷体_GB2312" w:hAnsi="楷体_GB2312" w:eastAsia="楷体_GB2312" w:cs="楷体_GB2312"/>
          <w:b/>
          <w:bCs/>
        </w:rPr>
        <w:t>，切断病害传播途径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。</w:t>
      </w:r>
      <w:r>
        <w:rPr>
          <w:rFonts w:hint="eastAsia"/>
        </w:rPr>
        <w:t>完善监测预警机制，</w:t>
      </w:r>
      <w:r>
        <w:rPr>
          <w:rFonts w:hint="eastAsia"/>
          <w:lang w:val="en-US" w:eastAsia="zh-CN"/>
        </w:rPr>
        <w:t>加强科技城病虫监测点建设，</w:t>
      </w:r>
      <w:r>
        <w:rPr>
          <w:rFonts w:hint="eastAsia"/>
        </w:rPr>
        <w:t>规范柑橘危险性病虫发生动态监测，结合物候期及时发布病虫情报，指导果农精准高效防治柑橘木虱</w:t>
      </w:r>
      <w:r>
        <w:rPr>
          <w:rFonts w:hint="eastAsia"/>
          <w:lang w:eastAsia="zh-CN"/>
        </w:rPr>
        <w:t>。</w:t>
      </w:r>
      <w:r>
        <w:rPr>
          <w:rFonts w:hint="eastAsia"/>
        </w:rPr>
        <w:t>特别是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冬季、早春、夏梢、秋梢、晚秋梢萌发期“五个关键期”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充分</w:t>
      </w:r>
      <w:r>
        <w:rPr>
          <w:rFonts w:hint="eastAsia"/>
        </w:rPr>
        <w:t>动员果业协会、能人、大户等牵头组建区域性联防联控组织，做到区域内统一防治柑橘木虱，避免木虱向未喷药果园迁移。为提升防治效果，区级</w:t>
      </w:r>
      <w:r>
        <w:rPr>
          <w:rFonts w:hint="eastAsia"/>
          <w:lang w:val="en-US" w:eastAsia="zh-CN"/>
        </w:rPr>
        <w:t>在防治关键期购买无人机喷药服务进行统防统治或者</w:t>
      </w:r>
      <w:r>
        <w:rPr>
          <w:rFonts w:hint="eastAsia"/>
        </w:rPr>
        <w:t>采购一批高效木虱防治药剂</w:t>
      </w:r>
      <w:r>
        <w:rPr>
          <w:rFonts w:hint="eastAsia"/>
          <w:lang w:eastAsia="zh-CN"/>
        </w:rPr>
        <w:t>。</w:t>
      </w:r>
      <w:r>
        <w:rPr>
          <w:rFonts w:hint="eastAsia"/>
        </w:rPr>
        <w:t>积极推广使用植保无人机等现代植保机械，鼓励种果大户、合作社、果业公司（我区有基地）采购高效喷药器械，在防控专项资金中给予49%设备购置补贴（单</w:t>
      </w:r>
      <w:r>
        <w:rPr>
          <w:rFonts w:hint="eastAsia"/>
          <w:lang w:val="en-US" w:eastAsia="zh-CN"/>
        </w:rPr>
        <w:t>个主体</w:t>
      </w:r>
      <w:r>
        <w:rPr>
          <w:rFonts w:hint="eastAsia"/>
        </w:rPr>
        <w:t>补贴金额不超过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万元）。</w:t>
      </w:r>
    </w:p>
    <w:p w14:paraId="1FD6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多措并举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提升病害防控动能</w:t>
      </w:r>
      <w:r>
        <w:rPr>
          <w:rFonts w:hint="eastAsia" w:ascii="楷体_GB2312" w:hAnsi="楷体_GB2312" w:eastAsia="楷体_GB2312" w:cs="楷体_GB2312"/>
          <w:b/>
          <w:bCs/>
          <w:lang w:eastAsia="zh-CN"/>
        </w:rPr>
        <w:t>。</w:t>
      </w:r>
      <w:r>
        <w:rPr>
          <w:rFonts w:hint="eastAsia"/>
          <w:lang w:eastAsia="zh-CN"/>
        </w:rPr>
        <w:t>建立健全果业技术推广服务体系，按照每3000亩柑橘种植面积聘用1名农民果技员的要求，在三江</w:t>
      </w:r>
      <w:r>
        <w:rPr>
          <w:rFonts w:hint="eastAsia"/>
          <w:lang w:val="en-US" w:eastAsia="zh-CN"/>
        </w:rPr>
        <w:t>镇</w:t>
      </w:r>
      <w:r>
        <w:rPr>
          <w:rFonts w:hint="eastAsia"/>
          <w:lang w:eastAsia="zh-CN"/>
        </w:rPr>
        <w:t>和科技城指挥部办公室各选聘1名当地有经验、懂技术的果农为农民果技员，指导辖区内果农做好木虱防控等工作。加大宣传培训力度，</w:t>
      </w:r>
      <w:r>
        <w:rPr>
          <w:rFonts w:hint="eastAsia"/>
          <w:lang w:val="en-US" w:eastAsia="zh-CN"/>
        </w:rPr>
        <w:t>按照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区</w:t>
      </w:r>
      <w:r>
        <w:rPr>
          <w:rFonts w:hint="eastAsia"/>
          <w:lang w:eastAsia="zh-CN"/>
        </w:rPr>
        <w:t>培训镇、镇培训到户”的</w:t>
      </w:r>
      <w:r>
        <w:rPr>
          <w:rFonts w:hint="eastAsia"/>
          <w:lang w:val="en-US" w:eastAsia="zh-CN"/>
        </w:rPr>
        <w:t>原则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采用</w:t>
      </w:r>
      <w:r>
        <w:rPr>
          <w:rFonts w:hint="eastAsia"/>
          <w:lang w:eastAsia="zh-CN"/>
        </w:rPr>
        <w:t>“老带新”“强带弱”、现场观摩、案例</w:t>
      </w:r>
      <w:r>
        <w:rPr>
          <w:rFonts w:hint="eastAsia"/>
          <w:lang w:val="en-US" w:eastAsia="zh-CN"/>
        </w:rPr>
        <w:t>分享</w:t>
      </w:r>
      <w:r>
        <w:rPr>
          <w:rFonts w:hint="eastAsia"/>
          <w:lang w:eastAsia="zh-CN"/>
        </w:rPr>
        <w:t>、经验交流</w:t>
      </w:r>
      <w:r>
        <w:rPr>
          <w:rFonts w:hint="eastAsia"/>
          <w:lang w:val="en-US" w:eastAsia="zh-CN"/>
        </w:rPr>
        <w:t>等</w:t>
      </w:r>
      <w:r>
        <w:rPr>
          <w:rFonts w:hint="eastAsia"/>
          <w:lang w:eastAsia="zh-CN"/>
        </w:rPr>
        <w:t>方式，多形式开展高密度、全覆盖的防控技术培训，提高果农防控水平和防控信心。充分发挥党员、干部</w:t>
      </w:r>
      <w:r>
        <w:rPr>
          <w:rFonts w:hint="eastAsia"/>
          <w:lang w:val="en-US" w:eastAsia="zh-CN"/>
        </w:rPr>
        <w:t>及种果大户的</w:t>
      </w:r>
      <w:r>
        <w:rPr>
          <w:rFonts w:hint="eastAsia"/>
          <w:lang w:eastAsia="zh-CN"/>
        </w:rPr>
        <w:t>带头作用，率先落实砍病树、防木虱等各项防控措施，带动</w:t>
      </w:r>
      <w:r>
        <w:rPr>
          <w:rFonts w:hint="eastAsia"/>
          <w:lang w:val="en-US" w:eastAsia="zh-CN"/>
        </w:rPr>
        <w:t>周边</w:t>
      </w:r>
      <w:r>
        <w:rPr>
          <w:rFonts w:hint="eastAsia"/>
          <w:lang w:eastAsia="zh-CN"/>
        </w:rPr>
        <w:t>果农自觉主动防控，</w:t>
      </w:r>
      <w:r>
        <w:rPr>
          <w:rFonts w:hint="eastAsia"/>
          <w:lang w:val="en-US" w:eastAsia="zh-CN"/>
        </w:rPr>
        <w:t>形成浓厚的防控氛围</w:t>
      </w:r>
      <w:r>
        <w:rPr>
          <w:rFonts w:hint="eastAsia"/>
          <w:lang w:eastAsia="zh-CN"/>
        </w:rPr>
        <w:t>。实行政策联动机制，对</w:t>
      </w:r>
      <w:r>
        <w:rPr>
          <w:rFonts w:hint="eastAsia"/>
          <w:lang w:val="en-US" w:eastAsia="zh-CN"/>
        </w:rPr>
        <w:t>拒不配合</w:t>
      </w:r>
      <w:r>
        <w:rPr>
          <w:rFonts w:hint="eastAsia"/>
          <w:lang w:eastAsia="zh-CN"/>
        </w:rPr>
        <w:t>落实防控措施的果农取消享受果业相关奖补政策资格。</w:t>
      </w:r>
    </w:p>
    <w:p w14:paraId="4DF50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（四）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加强监管</w:t>
      </w:r>
      <w:r>
        <w:rPr>
          <w:rFonts w:hint="eastAsia" w:ascii="楷体_GB2312" w:hAnsi="楷体_GB2312" w:eastAsia="楷体_GB2312" w:cs="楷体_GB2312"/>
          <w:b/>
          <w:bCs/>
        </w:rPr>
        <w:t>，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打击违法违规行为</w:t>
      </w:r>
      <w:r>
        <w:rPr>
          <w:rFonts w:hint="eastAsia" w:ascii="楷体_GB2312" w:hAnsi="楷体_GB2312" w:eastAsia="楷体_GB2312" w:cs="楷体_GB2312"/>
          <w:b/>
          <w:bCs/>
        </w:rPr>
        <w:t>。</w:t>
      </w:r>
      <w:r>
        <w:rPr>
          <w:rFonts w:hint="eastAsia"/>
        </w:rPr>
        <w:t>各</w:t>
      </w:r>
      <w:r>
        <w:rPr>
          <w:rFonts w:hint="eastAsia"/>
          <w:lang w:val="en-US" w:eastAsia="zh-CN"/>
        </w:rPr>
        <w:t>镇村要加强《</w:t>
      </w:r>
      <w:r>
        <w:rPr>
          <w:rFonts w:hint="eastAsia"/>
        </w:rPr>
        <w:t>赣南脐橙保护条例</w:t>
      </w:r>
      <w:r>
        <w:rPr>
          <w:rFonts w:hint="eastAsia"/>
          <w:lang w:val="en-US" w:eastAsia="zh-CN"/>
        </w:rPr>
        <w:t>》的宣传，让果农充分认识到黄龙病的危害和防控主体责任。</w:t>
      </w:r>
      <w:r>
        <w:rPr>
          <w:rFonts w:hint="eastAsia"/>
        </w:rPr>
        <w:t>要加大执法力度，按照《条例》要求对柑橘黄龙病防控各个环节开展专项检查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坚决整治大田露天育苗和</w:t>
      </w:r>
      <w:r>
        <w:rPr>
          <w:rFonts w:hint="eastAsia"/>
          <w:lang w:val="en-US" w:eastAsia="zh-CN"/>
        </w:rPr>
        <w:t>圩镇</w:t>
      </w:r>
      <w:r>
        <w:rPr>
          <w:rFonts w:hint="eastAsia"/>
        </w:rPr>
        <w:t>市场交易不健康苗木等行为，从种苗源头控制病害传播。严厉打击向树体注射抗生素及其他不明成分药物“治疗”病树行为，追溯销售源头，严肃查处存在违法违规行为的经销商和果园主。建立柑橘黄龙病防控监督举报机制，充分发挥群众监督作用，引导其对不清除病树、使用抗生素及其他不明成分药物、大田露天育苗和市场交易不健康苗木等行为进行举报。</w:t>
      </w:r>
    </w:p>
    <w:p w14:paraId="7B3D8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（五）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因地制宜</w:t>
      </w:r>
      <w:r>
        <w:rPr>
          <w:rFonts w:hint="eastAsia" w:ascii="楷体_GB2312" w:hAnsi="楷体_GB2312" w:eastAsia="楷体_GB2312" w:cs="楷体_GB2312"/>
          <w:b/>
          <w:bCs/>
        </w:rPr>
        <w:t>，引导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科学</w:t>
      </w:r>
      <w:r>
        <w:rPr>
          <w:rFonts w:hint="eastAsia" w:ascii="楷体_GB2312" w:hAnsi="楷体_GB2312" w:eastAsia="楷体_GB2312" w:cs="楷体_GB2312"/>
          <w:b/>
          <w:bCs/>
        </w:rPr>
        <w:t>有序复产。</w:t>
      </w:r>
      <w:r>
        <w:rPr>
          <w:rFonts w:hint="eastAsia"/>
        </w:rPr>
        <w:t>各</w:t>
      </w:r>
      <w:r>
        <w:rPr>
          <w:rFonts w:hint="eastAsia"/>
          <w:lang w:val="en-US" w:eastAsia="zh-CN"/>
        </w:rPr>
        <w:t>镇</w:t>
      </w:r>
      <w:r>
        <w:rPr>
          <w:rFonts w:hint="eastAsia"/>
        </w:rPr>
        <w:t>要根据病情发生程度和果园管理状态，分类采取不同的防控策略进行管理。对全园砍除的失管、半失管和发病率超过30%的重病果园，</w:t>
      </w:r>
      <w:r>
        <w:rPr>
          <w:rFonts w:hint="eastAsia"/>
          <w:lang w:val="en-US" w:eastAsia="zh-CN"/>
        </w:rPr>
        <w:t>要结合周边果园管理情况</w:t>
      </w:r>
      <w:r>
        <w:rPr>
          <w:rFonts w:hint="eastAsia"/>
        </w:rPr>
        <w:t>重新分析研判，不适宜种植的区域应实行退出机制，视情况复耕、还林或转产；果园和周边病树清理到位的，鼓励果农适时恢复生产，复种应坚持生态建园的原则，</w:t>
      </w:r>
      <w:r>
        <w:rPr>
          <w:rFonts w:hint="eastAsia"/>
          <w:lang w:val="en-US" w:eastAsia="zh-CN"/>
        </w:rPr>
        <w:t>规划好隔离带，</w:t>
      </w:r>
      <w:r>
        <w:rPr>
          <w:rFonts w:hint="eastAsia"/>
        </w:rPr>
        <w:t>并尽量选择早晚熟和优新特品种。对发病率在10%—30%的中病区果园，要重点清除病树，加强柑橘木虱监测和防治，病树清除不到位的应暂缓补种，防止新种幼树染病。对病株率10%以下的果园，要加强日常管护和木虱防治，发现病树及时清除，适时补种，确保果园经济效益。推广健康苗木上山种植，</w:t>
      </w:r>
      <w:r>
        <w:rPr>
          <w:rFonts w:hint="eastAsia"/>
          <w:lang w:val="en-US" w:eastAsia="zh-CN"/>
        </w:rPr>
        <w:t>今年全区新建假植网棚500平方米以上，</w:t>
      </w:r>
      <w:r>
        <w:rPr>
          <w:rFonts w:hint="eastAsia"/>
        </w:rPr>
        <w:t>引导果农补（复）种网棚假植1—2年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安全大苗，有效规避幼苗期感染柑橘黄龙病的风险。</w:t>
      </w:r>
    </w:p>
    <w:p w14:paraId="03629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</w:rPr>
        <w:t>、保障措施</w:t>
      </w:r>
    </w:p>
    <w:p w14:paraId="24925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（一）加强组织领导。</w:t>
      </w:r>
      <w:r>
        <w:rPr>
          <w:rFonts w:hint="eastAsia"/>
          <w:lang w:val="en-US" w:eastAsia="zh-CN"/>
        </w:rPr>
        <w:t>严格落实属地管理和“一把手”责任制，建立区主要领导为防控工作总指挥，区分管领导包乡镇，各镇领导包村、村组干部包片的网格化干部责任体系。</w:t>
      </w:r>
      <w:r>
        <w:rPr>
          <w:rFonts w:hint="eastAsia"/>
        </w:rPr>
        <w:t>各</w:t>
      </w:r>
      <w:r>
        <w:rPr>
          <w:rFonts w:hint="eastAsia"/>
          <w:lang w:eastAsia="zh-CN"/>
        </w:rPr>
        <w:t>镇、</w:t>
      </w:r>
      <w:r>
        <w:rPr>
          <w:rFonts w:hint="eastAsia"/>
          <w:lang w:val="en-US" w:eastAsia="zh-CN"/>
        </w:rPr>
        <w:t>科技城指挥部办公室要提高政治站位，深刻认识到</w:t>
      </w:r>
      <w:r>
        <w:rPr>
          <w:rFonts w:hint="eastAsia"/>
        </w:rPr>
        <w:t>当前柑橘黄龙病防控形势的严峻性和复杂性，</w:t>
      </w:r>
      <w:r>
        <w:rPr>
          <w:rFonts w:hint="eastAsia"/>
          <w:lang w:val="en-US" w:eastAsia="zh-CN"/>
        </w:rPr>
        <w:t>严格</w:t>
      </w:r>
      <w:r>
        <w:rPr>
          <w:rFonts w:hint="eastAsia"/>
        </w:rPr>
        <w:t>抓好防控各关键环节，形成上下联动、齐抓共管的浓厚氛围，确保防控工作落到实处，取得实效。</w:t>
      </w:r>
    </w:p>
    <w:p w14:paraId="3B519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（二）</w:t>
      </w:r>
      <w:r>
        <w:rPr>
          <w:rFonts w:hint="eastAsia" w:ascii="楷体_GB2312" w:hAnsi="楷体_GB2312" w:eastAsia="楷体_GB2312" w:cs="Times New Roman"/>
          <w:b/>
          <w:kern w:val="0"/>
          <w:sz w:val="32"/>
          <w:szCs w:val="20"/>
        </w:rPr>
        <w:t>强化资金保障</w:t>
      </w:r>
      <w:r>
        <w:rPr>
          <w:rFonts w:hint="eastAsia" w:ascii="楷体_GB2312" w:hAnsi="楷体_GB2312" w:eastAsia="楷体_GB2312" w:cs="楷体_GB2312"/>
          <w:b/>
          <w:bCs/>
        </w:rPr>
        <w:t>。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年继续做好柑橘黄龙病防控专项资金的保障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防控资金重点用于无病苗</w:t>
      </w:r>
      <w:r>
        <w:rPr>
          <w:rFonts w:hint="eastAsia"/>
          <w:lang w:val="en-US" w:eastAsia="zh-CN"/>
        </w:rPr>
        <w:t>木</w:t>
      </w:r>
      <w:r>
        <w:rPr>
          <w:rFonts w:hint="eastAsia"/>
        </w:rPr>
        <w:t>、假植网棚、</w:t>
      </w:r>
      <w:r>
        <w:rPr>
          <w:rFonts w:hint="eastAsia"/>
          <w:lang w:eastAsia="zh-CN"/>
        </w:rPr>
        <w:t>水肥一体化设施安装</w:t>
      </w:r>
      <w:r>
        <w:rPr>
          <w:rFonts w:hint="eastAsia"/>
        </w:rPr>
        <w:t>、病树普查和清理防控工作经费补贴及相关物资购置、柑橘木虱统防统治农药购置、农民果技员聘用、高效喷药器械购置补贴、</w:t>
      </w:r>
      <w:r>
        <w:rPr>
          <w:rFonts w:hint="eastAsia"/>
          <w:lang w:eastAsia="zh-CN"/>
        </w:rPr>
        <w:t>柑橘保险补贴、</w:t>
      </w:r>
      <w:r>
        <w:rPr>
          <w:rFonts w:hint="eastAsia"/>
        </w:rPr>
        <w:t>培训和宣传工作、监测点建设与完善、防控技术试验与推广、失管果园清理工作经费</w:t>
      </w:r>
      <w:r>
        <w:rPr>
          <w:rFonts w:hint="eastAsia"/>
          <w:lang w:eastAsia="zh-CN"/>
        </w:rPr>
        <w:t>、果园安全生产等</w:t>
      </w:r>
      <w:r>
        <w:rPr>
          <w:rFonts w:hint="eastAsia"/>
        </w:rPr>
        <w:t>有助于黄龙病防控工作的支出。本年度无病毒柑橘苗补助5元/株（</w:t>
      </w:r>
      <w:r>
        <w:rPr>
          <w:rFonts w:hint="eastAsia"/>
          <w:lang w:val="en-US" w:eastAsia="zh-CN"/>
        </w:rPr>
        <w:t>含市级补助，下同；其中赣南早、安远早、伦晚、会昌桔柚、寻乌密桔补助6元/株，脱贫户及监测对象统一</w:t>
      </w:r>
      <w:r>
        <w:rPr>
          <w:rFonts w:hint="eastAsia"/>
        </w:rPr>
        <w:t>补助6元/株），假植网棚补助15元/m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，黄龙病病树普查清理经费5元/株。</w:t>
      </w:r>
    </w:p>
    <w:p w14:paraId="52494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</w:rPr>
        <w:t>（</w:t>
      </w: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</w:rPr>
        <w:t>）</w:t>
      </w:r>
      <w:r>
        <w:rPr>
          <w:rFonts w:hint="eastAsia" w:ascii="楷体_GB2312" w:hAnsi="楷体_GB2312" w:eastAsia="楷体_GB2312" w:cs="Times New Roman"/>
          <w:b/>
          <w:kern w:val="0"/>
          <w:sz w:val="32"/>
          <w:szCs w:val="20"/>
        </w:rPr>
        <w:t>严格督导考核</w:t>
      </w:r>
      <w:r>
        <w:rPr>
          <w:rFonts w:hint="eastAsia" w:ascii="楷体_GB2312" w:hAnsi="楷体_GB2312" w:eastAsia="楷体_GB2312" w:cs="楷体_GB2312"/>
          <w:b/>
          <w:bCs/>
        </w:rPr>
        <w:t>。</w:t>
      </w:r>
      <w:r>
        <w:rPr>
          <w:rFonts w:hint="eastAsia"/>
          <w:lang w:val="en-US" w:eastAsia="zh-CN"/>
        </w:rPr>
        <w:t>市政府将采取“四不两直”的方式对各地柑橘黄龙病防控工作进行实地核查，对核查发现防控不力的实行重点县（市、区）、乡镇（街道）管理制度和约谈机制。区级部门也将不定期对各镇病树清理情况进行现场核查，对于黄龙病防控工作落实有差距、造成我区在全市被通报的乡镇，将在乡村全面振兴考核中予以扣分。</w:t>
      </w:r>
    </w:p>
    <w:sectPr>
      <w:footerReference r:id="rId5" w:type="default"/>
      <w:pgSz w:w="11906" w:h="16838"/>
      <w:pgMar w:top="2098" w:right="1587" w:bottom="1984" w:left="1587" w:header="851" w:footer="1361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D2F7B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50B4D">
                          <w:pPr>
                            <w:pStyle w:val="4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5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650B4D">
                    <w:pPr>
                      <w:pStyle w:val="4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5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3B98EA"/>
    <w:multiLevelType w:val="singleLevel"/>
    <w:tmpl w:val="C23B98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71D76"/>
    <w:rsid w:val="066C5818"/>
    <w:rsid w:val="069F3A56"/>
    <w:rsid w:val="0B1969E7"/>
    <w:rsid w:val="0B240E2A"/>
    <w:rsid w:val="0D1C363C"/>
    <w:rsid w:val="0E8E612A"/>
    <w:rsid w:val="11F1104F"/>
    <w:rsid w:val="15222844"/>
    <w:rsid w:val="15C730B4"/>
    <w:rsid w:val="15F822DF"/>
    <w:rsid w:val="161435F9"/>
    <w:rsid w:val="1823154D"/>
    <w:rsid w:val="18D678D6"/>
    <w:rsid w:val="21EA493C"/>
    <w:rsid w:val="24A95C9D"/>
    <w:rsid w:val="29A0546B"/>
    <w:rsid w:val="2BA207D1"/>
    <w:rsid w:val="304819E1"/>
    <w:rsid w:val="307E23C8"/>
    <w:rsid w:val="335D3A7E"/>
    <w:rsid w:val="33E79DD3"/>
    <w:rsid w:val="34412DBB"/>
    <w:rsid w:val="35072CA2"/>
    <w:rsid w:val="38B05A93"/>
    <w:rsid w:val="394D1000"/>
    <w:rsid w:val="396C3C34"/>
    <w:rsid w:val="3A0371BD"/>
    <w:rsid w:val="3E3573AA"/>
    <w:rsid w:val="3E4F3D65"/>
    <w:rsid w:val="41430757"/>
    <w:rsid w:val="41765073"/>
    <w:rsid w:val="41C2580D"/>
    <w:rsid w:val="45B81A35"/>
    <w:rsid w:val="462E437E"/>
    <w:rsid w:val="4787358C"/>
    <w:rsid w:val="47F462DE"/>
    <w:rsid w:val="49C65C3E"/>
    <w:rsid w:val="4ACF2632"/>
    <w:rsid w:val="4BD25845"/>
    <w:rsid w:val="4CC95E8A"/>
    <w:rsid w:val="4D686C8D"/>
    <w:rsid w:val="4D8B0E57"/>
    <w:rsid w:val="4F8D0B04"/>
    <w:rsid w:val="503924D7"/>
    <w:rsid w:val="50620A54"/>
    <w:rsid w:val="50CD0002"/>
    <w:rsid w:val="53140861"/>
    <w:rsid w:val="53DE2F0E"/>
    <w:rsid w:val="53E00F9D"/>
    <w:rsid w:val="54A73CAD"/>
    <w:rsid w:val="5608639D"/>
    <w:rsid w:val="59B212B6"/>
    <w:rsid w:val="5C271D76"/>
    <w:rsid w:val="5D781B0A"/>
    <w:rsid w:val="61083CA5"/>
    <w:rsid w:val="61475127"/>
    <w:rsid w:val="61A961D6"/>
    <w:rsid w:val="62D72BDE"/>
    <w:rsid w:val="62DC4040"/>
    <w:rsid w:val="63A72101"/>
    <w:rsid w:val="646D113A"/>
    <w:rsid w:val="66C5208A"/>
    <w:rsid w:val="679BC789"/>
    <w:rsid w:val="67FF5B37"/>
    <w:rsid w:val="6890131A"/>
    <w:rsid w:val="68CE333F"/>
    <w:rsid w:val="69746FDB"/>
    <w:rsid w:val="6CAD02DA"/>
    <w:rsid w:val="6DCA4468"/>
    <w:rsid w:val="6E0B5889"/>
    <w:rsid w:val="6E874F37"/>
    <w:rsid w:val="6E95057F"/>
    <w:rsid w:val="6ECF27FD"/>
    <w:rsid w:val="6F022E08"/>
    <w:rsid w:val="72E97193"/>
    <w:rsid w:val="74175D5D"/>
    <w:rsid w:val="74EE114F"/>
    <w:rsid w:val="757B5C96"/>
    <w:rsid w:val="76435989"/>
    <w:rsid w:val="7ABE5F44"/>
    <w:rsid w:val="7ACF907D"/>
    <w:rsid w:val="7C907BE3"/>
    <w:rsid w:val="7D832C10"/>
    <w:rsid w:val="7DED3EFC"/>
    <w:rsid w:val="7E39D699"/>
    <w:rsid w:val="7F781D0E"/>
    <w:rsid w:val="7FF79556"/>
    <w:rsid w:val="9FBDD259"/>
    <w:rsid w:val="EFFD7291"/>
    <w:rsid w:val="F7E5FC93"/>
    <w:rsid w:val="FF78B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Lines="0" w:afterAutospacing="0" w:line="600" w:lineRule="exact"/>
      <w:outlineLvl w:val="1"/>
    </w:pPr>
    <w:rPr>
      <w:rFonts w:ascii="Arial" w:hAnsi="Arial" w:eastAsia="黑体" w:cs="Times New Roma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146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2023-03-30T09:42:00Z</dcterms:created>
  <dc:creator>Administrator</dc:creator>
  <cp:lastModifiedBy>陈</cp:lastModifiedBy>
  <cp:lastPrinted>2023-04-05T10:14:00Z</cp:lastPrinted>
  <dcterms:modified xsi:type="dcterms:W3CDTF">2025-03-13T11:18:43Z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EC985831C4CD882BE6D82B6442281D82</vt:lpwstr>
  </property>
</Properties>
</file>