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lang w:val="en-US" w:eastAsia="zh-CN"/>
        </w:rPr>
        <w:t>赣州市自然资源局赣州经济技术开发区分局2020年</w:t>
      </w:r>
      <w:r>
        <w:rPr>
          <w:rFonts w:hint="eastAsia" w:ascii="宋体" w:hAnsi="宋体" w:eastAsia="宋体" w:cs="宋体"/>
          <w:b/>
          <w:i w:val="0"/>
          <w:caps w:val="0"/>
          <w:color w:val="333333"/>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ind w:firstLine="640" w:firstLineChars="200"/>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本报告依据《中华人民共和国政府信息公开条例》（国务院令第711号，以下简称新《条例》）和《国务院办公厅政府信息与政务公开办公室关于政府信息公开工作年度报告有关事项的通知》（国办公开办函〔2019〕60号）要求，由赣州市自然资源局赣州经济技术开发区分局</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(以下简称区自然资源分局)</w:t>
      </w:r>
      <w:r>
        <w:rPr>
          <w:rFonts w:hint="eastAsia" w:ascii="仿宋" w:hAnsi="仿宋" w:eastAsia="仿宋" w:cs="仿宋"/>
          <w:i w:val="0"/>
          <w:caps w:val="0"/>
          <w:color w:val="000000" w:themeColor="text1"/>
          <w:spacing w:val="0"/>
          <w:sz w:val="32"/>
          <w:szCs w:val="32"/>
          <w14:textFill>
            <w14:solidFill>
              <w14:schemeClr w14:val="tx1"/>
            </w14:solidFill>
          </w14:textFill>
        </w:rPr>
        <w:t>结合有关统计数据编制。本年度报告中所列数据的统计期限自</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2020</w:t>
      </w:r>
      <w:r>
        <w:rPr>
          <w:rFonts w:hint="eastAsia" w:ascii="仿宋" w:hAnsi="仿宋" w:eastAsia="仿宋" w:cs="仿宋"/>
          <w:i w:val="0"/>
          <w:caps w:val="0"/>
          <w:color w:val="000000" w:themeColor="text1"/>
          <w:spacing w:val="0"/>
          <w:sz w:val="32"/>
          <w:szCs w:val="32"/>
          <w14:textFill>
            <w14:solidFill>
              <w14:schemeClr w14:val="tx1"/>
            </w14:solidFill>
          </w14:textFill>
        </w:rPr>
        <w:t>年1月1日起至</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2020</w:t>
      </w:r>
      <w:r>
        <w:rPr>
          <w:rFonts w:hint="eastAsia" w:ascii="仿宋" w:hAnsi="仿宋" w:eastAsia="仿宋" w:cs="仿宋"/>
          <w:i w:val="0"/>
          <w:caps w:val="0"/>
          <w:color w:val="000000" w:themeColor="text1"/>
          <w:spacing w:val="0"/>
          <w:sz w:val="32"/>
          <w:szCs w:val="32"/>
          <w14:textFill>
            <w14:solidFill>
              <w14:schemeClr w14:val="tx1"/>
            </w14:solidFill>
          </w14:textFill>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赣州经济技术开发区管委会</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门户</w:t>
      </w:r>
      <w:r>
        <w:rPr>
          <w:rFonts w:hint="eastAsia" w:ascii="仿宋" w:hAnsi="仿宋" w:eastAsia="仿宋" w:cs="仿宋"/>
          <w:i w:val="0"/>
          <w:caps w:val="0"/>
          <w:color w:val="000000" w:themeColor="text1"/>
          <w:spacing w:val="0"/>
          <w:sz w:val="32"/>
          <w:szCs w:val="32"/>
          <w14:textFill>
            <w14:solidFill>
              <w14:schemeClr w14:val="tx1"/>
            </w14:solidFill>
          </w14:textFill>
        </w:rPr>
        <w:t>网站下载。如对本报告有任何疑问，请与</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自然资源分局</w:t>
      </w:r>
      <w:r>
        <w:rPr>
          <w:rFonts w:hint="eastAsia" w:ascii="仿宋" w:hAnsi="仿宋" w:eastAsia="仿宋" w:cs="仿宋"/>
          <w:i w:val="0"/>
          <w:caps w:val="0"/>
          <w:color w:val="000000" w:themeColor="text1"/>
          <w:spacing w:val="0"/>
          <w:sz w:val="32"/>
          <w:szCs w:val="32"/>
          <w14:textFill>
            <w14:solidFill>
              <w14:schemeClr w14:val="tx1"/>
            </w14:solidFill>
          </w14:textFill>
        </w:rPr>
        <w:t>联系（地址：</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赣州经开区华坚南路76号</w:t>
      </w:r>
      <w:r>
        <w:rPr>
          <w:rFonts w:hint="eastAsia" w:ascii="仿宋" w:hAnsi="仿宋" w:eastAsia="仿宋" w:cs="仿宋"/>
          <w:i w:val="0"/>
          <w:caps w:val="0"/>
          <w:color w:val="000000" w:themeColor="text1"/>
          <w:spacing w:val="0"/>
          <w:sz w:val="32"/>
          <w:szCs w:val="32"/>
          <w14:textFill>
            <w14:solidFill>
              <w14:schemeClr w14:val="tx1"/>
            </w14:solidFill>
          </w14:textFill>
        </w:rPr>
        <w:t>，电话：</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8373359</w:t>
      </w:r>
      <w:r>
        <w:rPr>
          <w:rFonts w:hint="eastAsia" w:ascii="仿宋" w:hAnsi="仿宋" w:eastAsia="仿宋" w:cs="仿宋"/>
          <w:i w:val="0"/>
          <w:caps w:val="0"/>
          <w:color w:val="000000" w:themeColor="text1"/>
          <w:spacing w:val="0"/>
          <w:sz w:val="32"/>
          <w:szCs w:val="32"/>
          <w14:textFill>
            <w14:solidFill>
              <w14:schemeClr w14:val="tx1"/>
            </w14:solidFill>
          </w14:textFill>
        </w:rPr>
        <w:t>，邮编：341000）。</w:t>
      </w:r>
    </w:p>
    <w:p>
      <w:pPr>
        <w:ind w:firstLine="640" w:firstLineChars="200"/>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一、</w:t>
      </w:r>
      <w:r>
        <w:rPr>
          <w:rFonts w:hint="eastAsia" w:ascii="黑体" w:hAnsi="黑体" w:eastAsia="黑体" w:cs="黑体"/>
          <w:i w:val="0"/>
          <w:caps w:val="0"/>
          <w:color w:val="000000" w:themeColor="text1"/>
          <w:spacing w:val="0"/>
          <w:sz w:val="32"/>
          <w:szCs w:val="32"/>
          <w14:textFill>
            <w14:solidFill>
              <w14:schemeClr w14:val="tx1"/>
            </w14:solidFill>
          </w14:textFill>
        </w:rPr>
        <w:t>总体情况</w:t>
      </w:r>
    </w:p>
    <w:p>
      <w:pPr>
        <w:ind w:firstLine="640" w:firstLineChars="200"/>
        <w:rPr>
          <w:rFonts w:hint="eastAsia" w:ascii="宋体" w:hAnsi="宋体" w:eastAsia="宋体" w:cs="宋体"/>
          <w:b/>
          <w:i w:val="0"/>
          <w:caps w:val="0"/>
          <w:color w:val="333333"/>
          <w:spacing w:val="0"/>
          <w:sz w:val="32"/>
          <w:szCs w:val="32"/>
          <w:shd w:val="clear" w:fill="FFFFFF"/>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2020年区自然资源分局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同时紧紧围绕上级关于政务公开工作要求及社会群众关注关切，着力提升政府信息公开质量，推进拓宽政府信息公开渠道，不断增强政府信息公开实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caps w:val="0"/>
          <w:color w:val="333333"/>
          <w:spacing w:val="0"/>
          <w:sz w:val="32"/>
          <w:szCs w:val="32"/>
          <w:shd w:val="clear" w:fill="FFFFFF"/>
          <w:lang w:eastAsia="zh-CN"/>
        </w:rPr>
      </w:pPr>
      <w:r>
        <w:rPr>
          <w:rFonts w:hint="eastAsia" w:ascii="楷体" w:hAnsi="楷体" w:eastAsia="楷体" w:cs="楷体"/>
          <w:b/>
          <w:bCs/>
          <w:i w:val="0"/>
          <w:caps w:val="0"/>
          <w:color w:val="333333"/>
          <w:spacing w:val="0"/>
          <w:sz w:val="32"/>
          <w:szCs w:val="32"/>
          <w:shd w:val="clear" w:fill="FFFFFF"/>
          <w:lang w:eastAsia="zh-CN"/>
        </w:rPr>
        <w:t>主动公开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全年累计发布政务信息156条，其中部门概况信息4条，法律法规类信息5条，政务动态信息 48条，公示公告信息97，财经信息2条，年度报告信息 1条。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caps w:val="0"/>
          <w:color w:val="333333"/>
          <w:spacing w:val="0"/>
          <w:sz w:val="32"/>
          <w:szCs w:val="32"/>
          <w:shd w:val="clear" w:fill="FFFFFF"/>
          <w:lang w:eastAsia="zh-CN"/>
        </w:rPr>
      </w:pPr>
      <w:r>
        <w:rPr>
          <w:rFonts w:hint="eastAsia" w:ascii="楷体" w:hAnsi="楷体" w:eastAsia="楷体" w:cs="楷体"/>
          <w:b/>
          <w:bCs/>
          <w:i w:val="0"/>
          <w:caps w:val="0"/>
          <w:color w:val="333333"/>
          <w:spacing w:val="0"/>
          <w:sz w:val="32"/>
          <w:szCs w:val="32"/>
          <w:shd w:val="clear" w:fill="FFFFFF"/>
          <w:lang w:eastAsia="zh-CN"/>
        </w:rPr>
        <w:t>依申请公开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以来，我局立足于依法行政为目标，认真履职，高度重视重视政府信息公开工作，进一步提升政府信息依申请公开的管理水平和服务能力，全年受理的13件依申请公开，均为通过邮寄方式申请公开；其中11件涉及征地拆迁领域，1件涉及规划管理领域，1件为申请不动产查询，全部在法定时限内办结。</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b/>
          <w:bCs/>
          <w:i w:val="0"/>
          <w:caps w:val="0"/>
          <w:color w:val="333333"/>
          <w:spacing w:val="0"/>
          <w:sz w:val="32"/>
          <w:szCs w:val="32"/>
          <w:shd w:val="clear" w:fill="FFFFFF"/>
          <w:lang w:eastAsia="zh-CN"/>
        </w:rPr>
      </w:pPr>
      <w:r>
        <w:rPr>
          <w:rFonts w:hint="eastAsia" w:ascii="楷体" w:hAnsi="楷体" w:eastAsia="楷体" w:cs="楷体"/>
          <w:b/>
          <w:bCs/>
          <w:i w:val="0"/>
          <w:caps w:val="0"/>
          <w:color w:val="333333"/>
          <w:spacing w:val="0"/>
          <w:sz w:val="32"/>
          <w:szCs w:val="32"/>
          <w:shd w:val="clear" w:fill="FFFFFF"/>
          <w:lang w:eastAsia="zh-CN"/>
        </w:rPr>
        <w:t>政府信息管理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i w:val="0"/>
          <w:caps w:val="0"/>
          <w:color w:val="333333"/>
          <w:spacing w:val="0"/>
          <w:sz w:val="32"/>
          <w:szCs w:val="32"/>
          <w:shd w:val="clear" w:fill="FFFFFF"/>
          <w:lang w:eastAsia="zh-CN"/>
        </w:rPr>
      </w:pPr>
      <w:r>
        <w:rPr>
          <w:rFonts w:hint="eastAsia" w:ascii="仿宋" w:hAnsi="仿宋" w:eastAsia="仿宋" w:cs="仿宋"/>
          <w:b w:val="0"/>
          <w:bCs w:val="0"/>
          <w:sz w:val="32"/>
          <w:szCs w:val="32"/>
          <w:lang w:val="en-US" w:eastAsia="zh-CN"/>
        </w:rPr>
        <w:t>制定了《赣州市自然资源局赣州经济技术开发区分局关于印发&lt;政府信息公开工作实施方案&gt;的通知》，所有政务信息生成之日起10个工作日内发布。</w:t>
      </w:r>
      <w:r>
        <w:rPr>
          <w:rFonts w:hint="eastAsia" w:ascii="仿宋" w:hAnsi="仿宋" w:eastAsia="仿宋" w:cs="宋体"/>
          <w:color w:val="000000"/>
          <w:kern w:val="0"/>
          <w:sz w:val="32"/>
          <w:szCs w:val="32"/>
        </w:rPr>
        <w:t>严格执行</w:t>
      </w:r>
      <w:r>
        <w:rPr>
          <w:rFonts w:hint="eastAsia" w:ascii="仿宋" w:hAnsi="仿宋" w:eastAsia="仿宋" w:cs="仿宋"/>
          <w:sz w:val="32"/>
          <w:szCs w:val="32"/>
          <w:lang w:val="en-US" w:eastAsia="zh-CN"/>
        </w:rPr>
        <w:t>信息发布审核机制,按照</w:t>
      </w:r>
      <w:r>
        <w:rPr>
          <w:rFonts w:hint="eastAsia" w:ascii="仿宋" w:hAnsi="仿宋" w:eastAsia="仿宋" w:cs="宋体"/>
          <w:color w:val="000000"/>
          <w:kern w:val="0"/>
          <w:sz w:val="32"/>
          <w:szCs w:val="32"/>
        </w:rPr>
        <w:t>“</w:t>
      </w:r>
      <w:r>
        <w:rPr>
          <w:rFonts w:hint="eastAsia" w:ascii="仿宋" w:hAnsi="仿宋" w:eastAsia="仿宋"/>
          <w:sz w:val="30"/>
          <w:szCs w:val="30"/>
        </w:rPr>
        <w:t>以公开为原则，不公开为例外”</w:t>
      </w:r>
      <w:r>
        <w:rPr>
          <w:rFonts w:hint="eastAsia" w:ascii="仿宋" w:hAnsi="仿宋" w:eastAsia="仿宋"/>
          <w:sz w:val="32"/>
          <w:szCs w:val="32"/>
        </w:rPr>
        <w:t>、</w:t>
      </w:r>
      <w:r>
        <w:rPr>
          <w:rFonts w:hint="eastAsia" w:ascii="仿宋" w:hAnsi="仿宋" w:eastAsia="仿宋" w:cs="宋体"/>
          <w:color w:val="000000"/>
          <w:kern w:val="0"/>
          <w:sz w:val="32"/>
          <w:szCs w:val="32"/>
        </w:rPr>
        <w:t>“涉密不公开，公开不涉密”的原则</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所有政务信息公开一律经分管领导审核后公开发布</w:t>
      </w:r>
      <w:r>
        <w:rPr>
          <w:rFonts w:hint="eastAsia" w:ascii="仿宋" w:hAnsi="仿宋" w:eastAsia="仿宋" w:cs="宋体"/>
          <w:color w:val="000000"/>
          <w:kern w:val="0"/>
          <w:sz w:val="32"/>
          <w:szCs w:val="32"/>
          <w:lang w:val="en-US" w:eastAsia="zh-CN"/>
        </w:rPr>
        <w:t>，</w:t>
      </w:r>
      <w:r>
        <w:rPr>
          <w:rFonts w:hint="eastAsia" w:ascii="仿宋" w:hAnsi="仿宋" w:eastAsia="仿宋"/>
          <w:sz w:val="32"/>
          <w:szCs w:val="32"/>
        </w:rPr>
        <w:t>由</w:t>
      </w:r>
      <w:r>
        <w:rPr>
          <w:rFonts w:hint="eastAsia" w:ascii="仿宋" w:hAnsi="仿宋" w:eastAsia="仿宋" w:cs="宋体"/>
          <w:color w:val="000000"/>
          <w:kern w:val="0"/>
          <w:sz w:val="32"/>
          <w:szCs w:val="32"/>
        </w:rPr>
        <w:t>局分管领导负责审核所分管科室政务公开保密审查工作</w:t>
      </w:r>
      <w:r>
        <w:rPr>
          <w:rFonts w:hint="eastAsia" w:ascii="仿宋" w:hAnsi="仿宋" w:eastAsia="仿宋" w:cs="宋体"/>
          <w:color w:val="000000"/>
          <w:kern w:val="0"/>
          <w:sz w:val="32"/>
          <w:szCs w:val="32"/>
          <w:lang w:eastAsia="zh-CN"/>
        </w:rPr>
        <w:t>，建立了信息发布台账，各项政务信息公开严格</w:t>
      </w:r>
      <w:r>
        <w:rPr>
          <w:rFonts w:hint="eastAsia" w:ascii="仿宋" w:hAnsi="仿宋" w:eastAsia="仿宋" w:cs="仿宋"/>
          <w:sz w:val="32"/>
          <w:szCs w:val="32"/>
          <w:lang w:val="en-US" w:eastAsia="zh-CN"/>
        </w:rPr>
        <w:t>按照政府网站信息内容的格式、发布方式、发布时限等要求做好信息编辑工作，确保信息内容合法、完整、准确、及时</w:t>
      </w:r>
      <w:r>
        <w:rPr>
          <w:rFonts w:hint="eastAsia" w:ascii="仿宋" w:hAnsi="仿宋" w:eastAsia="仿宋" w:cs="宋体"/>
          <w:color w:val="000000"/>
          <w:kern w:val="0"/>
          <w:sz w:val="32"/>
          <w:szCs w:val="32"/>
          <w:lang w:eastAsia="zh-CN"/>
        </w:rPr>
        <w:t>。</w:t>
      </w:r>
    </w:p>
    <w:p>
      <w:pPr>
        <w:numPr>
          <w:ilvl w:val="0"/>
          <w:numId w:val="0"/>
        </w:numPr>
        <w:spacing w:line="540" w:lineRule="exact"/>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主动公开政府信息情况</w:t>
      </w:r>
    </w:p>
    <w:tbl>
      <w:tblPr>
        <w:tblStyle w:val="3"/>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本年新制作数量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本年新公开数量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    章</w:t>
            </w:r>
          </w:p>
        </w:tc>
        <w:tc>
          <w:tcPr>
            <w:tcW w:w="2460"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规范性文件（本单位制发的）</w:t>
            </w:r>
          </w:p>
        </w:tc>
        <w:tc>
          <w:tcPr>
            <w:tcW w:w="2460"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行政许可</w:t>
            </w:r>
          </w:p>
        </w:tc>
        <w:tc>
          <w:tcPr>
            <w:tcW w:w="2460"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2025" w:type="dxa"/>
            <w:shd w:val="clear" w:color="auto" w:fill="auto"/>
          </w:tcPr>
          <w:p>
            <w:pPr>
              <w:spacing w:line="46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2295" w:type="dxa"/>
            <w:shd w:val="clear" w:color="auto" w:fill="auto"/>
          </w:tcPr>
          <w:p>
            <w:pPr>
              <w:spacing w:line="46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其他对外管理服务事项</w:t>
            </w:r>
          </w:p>
        </w:tc>
        <w:tc>
          <w:tcPr>
            <w:tcW w:w="2460"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2025"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行政处罚</w:t>
            </w:r>
          </w:p>
        </w:tc>
        <w:tc>
          <w:tcPr>
            <w:tcW w:w="2460"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行政强制</w:t>
            </w:r>
          </w:p>
        </w:tc>
        <w:tc>
          <w:tcPr>
            <w:tcW w:w="2460"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行政事业性收费</w:t>
            </w:r>
          </w:p>
        </w:tc>
        <w:tc>
          <w:tcPr>
            <w:tcW w:w="2460" w:type="dxa"/>
            <w:shd w:val="clear" w:color="auto" w:fill="auto"/>
            <w:vAlign w:val="top"/>
          </w:tcPr>
          <w:p>
            <w:pPr>
              <w:spacing w:line="4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2</w:t>
            </w:r>
          </w:p>
        </w:tc>
        <w:tc>
          <w:tcPr>
            <w:tcW w:w="4320" w:type="dxa"/>
            <w:gridSpan w:val="2"/>
            <w:shd w:val="clear" w:color="auto" w:fill="auto"/>
            <w:vAlign w:val="top"/>
          </w:tcPr>
          <w:p>
            <w:pPr>
              <w:spacing w:line="46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政府集中采购</w:t>
            </w:r>
          </w:p>
        </w:tc>
        <w:tc>
          <w:tcPr>
            <w:tcW w:w="2460" w:type="dxa"/>
            <w:shd w:val="clear" w:color="auto" w:fill="auto"/>
            <w:vAlign w:val="top"/>
          </w:tcPr>
          <w:p>
            <w:pPr>
              <w:spacing w:line="46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13</w:t>
            </w:r>
          </w:p>
        </w:tc>
        <w:tc>
          <w:tcPr>
            <w:tcW w:w="4320" w:type="dxa"/>
            <w:gridSpan w:val="2"/>
            <w:shd w:val="clear" w:color="auto" w:fill="auto"/>
            <w:vAlign w:val="top"/>
          </w:tcPr>
          <w:p>
            <w:pPr>
              <w:spacing w:line="460" w:lineRule="exact"/>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szCs w:val="21"/>
              </w:rPr>
              <w:t>1110.647万元</w:t>
            </w:r>
          </w:p>
        </w:tc>
      </w:tr>
    </w:tbl>
    <w:p>
      <w:pPr>
        <w:spacing w:line="540" w:lineRule="exact"/>
        <w:rPr>
          <w:rFonts w:ascii="仿宋_GB2312" w:hAnsi="仿宋" w:eastAsia="仿宋_GB2312" w:cs="仿宋"/>
          <w:b/>
          <w:color w:val="auto"/>
          <w:sz w:val="32"/>
          <w:szCs w:val="32"/>
        </w:rPr>
      </w:pPr>
    </w:p>
    <w:p>
      <w:pPr>
        <w:numPr>
          <w:ilvl w:val="0"/>
          <w:numId w:val="0"/>
        </w:num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ascii="仿宋" w:hAnsi="仿宋" w:eastAsia="仿宋" w:cs="仿宋"/>
                <w:color w:val="auto"/>
                <w:sz w:val="24"/>
                <w:szCs w:val="24"/>
                <w:lang w:val="en-US" w:eastAsia="zh-CN"/>
              </w:rPr>
              <w:t>13</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default" w:cs="Times New Roman"/>
                <w:color w:val="auto"/>
                <w:lang w:val="en-US"/>
              </w:rPr>
            </w:pPr>
            <w:r>
              <w:rPr>
                <w:rFonts w:hint="eastAsia"/>
                <w:color w:val="auto"/>
                <w:kern w:val="0"/>
                <w:sz w:val="20"/>
                <w:szCs w:val="20"/>
                <w:lang w:val="en-US" w:eastAsia="zh-CN"/>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left"/>
              <w:rPr>
                <w:rFonts w:cs="Times New Roman"/>
                <w:color w:val="auto"/>
              </w:rPr>
            </w:pPr>
            <w:r>
              <w:rPr>
                <w:rFonts w:hint="eastAsia" w:ascii="楷体" w:hAnsi="楷体" w:eastAsia="楷体" w:cs="楷体"/>
                <w:color w:val="auto"/>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s="Times New Roman"/>
                <w:color w:val="auto"/>
                <w:kern w:val="0"/>
                <w:sz w:val="20"/>
                <w:szCs w:val="20"/>
                <w:lang w:val="en-US" w:eastAsia="zh-CN"/>
              </w:rPr>
              <w:t>9</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3</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val="en-US" w:eastAsia="zh-CN"/>
              </w:rPr>
            </w:pPr>
            <w:r>
              <w:rPr>
                <w:rFonts w:hint="eastAsia" w:cs="Times New Roman"/>
                <w:color w:val="auto"/>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6.</w:t>
            </w:r>
            <w:r>
              <w:rPr>
                <w:rFonts w:hint="eastAsia" w:ascii="楷体" w:hAnsi="楷体" w:eastAsia="楷体" w:cs="楷体"/>
                <w:color w:val="auto"/>
                <w:kern w:val="0"/>
                <w:sz w:val="20"/>
                <w:szCs w:val="20"/>
              </w:rPr>
              <w:t>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7.</w:t>
            </w:r>
            <w:r>
              <w:rPr>
                <w:rFonts w:hint="eastAsia" w:ascii="楷体" w:hAnsi="楷体" w:eastAsia="楷体" w:cs="楷体"/>
                <w:color w:val="auto"/>
                <w:kern w:val="0"/>
                <w:sz w:val="20"/>
                <w:szCs w:val="20"/>
              </w:rPr>
              <w:t>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8.</w:t>
            </w:r>
            <w:r>
              <w:rPr>
                <w:rFonts w:hint="eastAsia" w:ascii="楷体" w:hAnsi="楷体" w:eastAsia="楷体" w:cs="楷体"/>
                <w:color w:val="auto"/>
                <w:kern w:val="0"/>
                <w:sz w:val="20"/>
                <w:szCs w:val="20"/>
              </w:rPr>
              <w:t>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1</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default" w:cs="Times New Roman" w:eastAsiaTheme="minorEastAsia"/>
                <w:color w:val="auto"/>
                <w:lang w:val="en-US" w:eastAsia="zh-CN"/>
              </w:rPr>
            </w:pPr>
            <w:r>
              <w:rPr>
                <w:rFonts w:hint="eastAsia"/>
                <w:color w:val="auto"/>
                <w:kern w:val="0"/>
                <w:sz w:val="20"/>
                <w:szCs w:val="20"/>
                <w:lang w:val="en-US" w:eastAsia="zh-CN"/>
              </w:rPr>
              <w:t>13</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default" w:cs="Times New Roman" w:eastAsiaTheme="minorEastAsia"/>
                <w:color w:val="auto"/>
                <w:lang w:val="en-US" w:eastAsia="zh-CN"/>
              </w:rPr>
            </w:pPr>
            <w:r>
              <w:rPr>
                <w:rFonts w:hint="eastAsia" w:cs="Times New Roman"/>
                <w:color w:val="auto"/>
                <w:lang w:val="en-US" w:eastAsia="zh-CN"/>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宋体"/>
                <w:color w:val="auto"/>
                <w:sz w:val="24"/>
                <w:szCs w:val="24"/>
              </w:rPr>
            </w:pPr>
            <w:r>
              <w:rPr>
                <w:rFonts w:ascii="宋体" w:cs="宋体"/>
                <w:color w:val="auto"/>
                <w:sz w:val="24"/>
                <w:szCs w:val="24"/>
              </w:rPr>
              <w:t>0</w:t>
            </w:r>
          </w:p>
        </w:tc>
      </w:tr>
    </w:tbl>
    <w:p>
      <w:pPr>
        <w:spacing w:line="540" w:lineRule="exact"/>
        <w:rPr>
          <w:rFonts w:ascii="仿宋" w:hAnsi="仿宋" w:eastAsia="仿宋" w:cs="仿宋"/>
          <w:color w:val="auto"/>
        </w:rPr>
      </w:pPr>
    </w:p>
    <w:p>
      <w:pPr>
        <w:numPr>
          <w:ilvl w:val="0"/>
          <w:numId w:val="0"/>
        </w:num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政府信息公开行政复议、行政诉讼情况</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行政复议</w:t>
            </w:r>
            <w:r>
              <w:rPr>
                <w:rFonts w:ascii="仿宋" w:hAnsi="仿宋" w:eastAsia="仿宋" w:cs="仿宋"/>
                <w:color w:val="auto"/>
                <w:sz w:val="24"/>
              </w:rPr>
              <w:br w:type="textWrapping"/>
            </w:r>
            <w:r>
              <w:rPr>
                <w:rFonts w:hint="eastAsia" w:ascii="仿宋" w:hAnsi="仿宋" w:eastAsia="仿宋" w:cs="仿宋"/>
                <w:b/>
                <w:color w:val="auto"/>
                <w:sz w:val="24"/>
              </w:rPr>
              <w:t>（因政府信息公开被行政复议）</w:t>
            </w:r>
          </w:p>
        </w:tc>
        <w:tc>
          <w:tcPr>
            <w:tcW w:w="5680" w:type="dxa"/>
            <w:gridSpan w:val="10"/>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行政诉讼</w:t>
            </w:r>
            <w:r>
              <w:rPr>
                <w:rFonts w:ascii="仿宋" w:hAnsi="仿宋" w:eastAsia="仿宋" w:cs="仿宋"/>
                <w:color w:val="auto"/>
                <w:sz w:val="24"/>
              </w:rPr>
              <w:br w:type="textWrapping"/>
            </w:r>
            <w:r>
              <w:rPr>
                <w:rFonts w:hint="eastAsia" w:ascii="仿宋" w:hAnsi="仿宋" w:eastAsia="仿宋" w:cs="仿宋"/>
                <w:b/>
                <w:color w:val="auto"/>
                <w:sz w:val="24"/>
              </w:rPr>
              <w:t>（因政府信息公开被行政诉讼）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shd w:val="clear" w:color="auto" w:fill="FFFFFF"/>
              </w:rPr>
              <w:t>未经复议直接起诉</w:t>
            </w:r>
          </w:p>
        </w:tc>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color w:val="0000FF"/>
                <w:sz w:val="24"/>
                <w:lang w:val="en-US" w:eastAsia="zh-CN"/>
              </w:rPr>
              <w:t>1</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0</w:t>
            </w:r>
          </w:p>
        </w:tc>
        <w:tc>
          <w:tcPr>
            <w:tcW w:w="568" w:type="dxa"/>
            <w:shd w:val="clear" w:color="auto" w:fill="auto"/>
            <w:vAlign w:val="center"/>
          </w:tcPr>
          <w:p>
            <w:pPr>
              <w:spacing w:line="5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b w:val="0"/>
          <w:bCs/>
          <w:i w:val="0"/>
          <w:caps w:val="0"/>
          <w:color w:val="333333"/>
          <w:spacing w:val="0"/>
          <w:sz w:val="32"/>
          <w:szCs w:val="32"/>
          <w:shd w:val="clear" w:fill="FFFFFF"/>
        </w:rPr>
      </w:pPr>
      <w:r>
        <w:rPr>
          <w:rFonts w:hint="eastAsia" w:ascii="仿宋" w:hAnsi="仿宋" w:eastAsia="仿宋" w:cs="仿宋"/>
          <w:b w:val="0"/>
          <w:bCs/>
          <w:i w:val="0"/>
          <w:caps w:val="0"/>
          <w:color w:val="333333"/>
          <w:spacing w:val="0"/>
          <w:sz w:val="32"/>
          <w:szCs w:val="32"/>
          <w:shd w:val="clear" w:fill="FFFFFF"/>
        </w:rPr>
        <w:t>本年度政府信息公开工作虽然取得了明显成效，但是仍然存在一些问题和不足，</w:t>
      </w:r>
      <w:r>
        <w:rPr>
          <w:rFonts w:hint="eastAsia" w:ascii="仿宋" w:hAnsi="仿宋" w:eastAsia="仿宋" w:cs="仿宋"/>
          <w:b w:val="0"/>
          <w:bCs/>
          <w:i w:val="0"/>
          <w:caps w:val="0"/>
          <w:color w:val="333333"/>
          <w:spacing w:val="0"/>
          <w:sz w:val="32"/>
          <w:szCs w:val="32"/>
          <w:shd w:val="clear" w:fill="FFFFFF"/>
          <w:lang w:eastAsia="zh-CN"/>
        </w:rPr>
        <w:t>一是</w:t>
      </w:r>
      <w:r>
        <w:rPr>
          <w:rFonts w:hint="eastAsia" w:ascii="仿宋" w:hAnsi="仿宋" w:eastAsia="仿宋" w:cs="仿宋"/>
          <w:b w:val="0"/>
          <w:bCs/>
          <w:i w:val="0"/>
          <w:caps w:val="0"/>
          <w:color w:val="333333"/>
          <w:spacing w:val="0"/>
          <w:sz w:val="32"/>
          <w:szCs w:val="32"/>
          <w:shd w:val="clear" w:fill="FFFFFF"/>
        </w:rPr>
        <w:t>部分</w:t>
      </w:r>
      <w:r>
        <w:rPr>
          <w:rFonts w:hint="eastAsia" w:ascii="仿宋" w:hAnsi="仿宋" w:eastAsia="仿宋" w:cs="仿宋"/>
          <w:b w:val="0"/>
          <w:bCs/>
          <w:i w:val="0"/>
          <w:caps w:val="0"/>
          <w:color w:val="333333"/>
          <w:spacing w:val="0"/>
          <w:sz w:val="32"/>
          <w:szCs w:val="32"/>
          <w:shd w:val="clear" w:fill="FFFFFF"/>
          <w:lang w:eastAsia="zh-CN"/>
        </w:rPr>
        <w:t>科室</w:t>
      </w:r>
      <w:r>
        <w:rPr>
          <w:rFonts w:hint="eastAsia" w:ascii="仿宋" w:hAnsi="仿宋" w:eastAsia="仿宋" w:cs="仿宋"/>
          <w:b w:val="0"/>
          <w:bCs/>
          <w:i w:val="0"/>
          <w:caps w:val="0"/>
          <w:color w:val="333333"/>
          <w:spacing w:val="0"/>
          <w:sz w:val="32"/>
          <w:szCs w:val="32"/>
          <w:shd w:val="clear" w:fill="FFFFFF"/>
        </w:rPr>
        <w:t>对政府信息公开的重要性还未充分了解，</w:t>
      </w:r>
      <w:r>
        <w:rPr>
          <w:rFonts w:hint="eastAsia" w:ascii="仿宋" w:hAnsi="仿宋" w:eastAsia="仿宋" w:cs="仿宋"/>
          <w:b w:val="0"/>
          <w:bCs/>
          <w:i w:val="0"/>
          <w:caps w:val="0"/>
          <w:color w:val="333333"/>
          <w:spacing w:val="0"/>
          <w:sz w:val="32"/>
          <w:szCs w:val="32"/>
          <w:shd w:val="clear" w:fill="FFFFFF"/>
          <w:lang w:eastAsia="zh-CN"/>
        </w:rPr>
        <w:t>主动性不强</w:t>
      </w:r>
      <w:r>
        <w:rPr>
          <w:rFonts w:hint="eastAsia" w:ascii="仿宋" w:hAnsi="仿宋" w:eastAsia="仿宋" w:cs="仿宋"/>
          <w:b w:val="0"/>
          <w:bCs/>
          <w:i w:val="0"/>
          <w:caps w:val="0"/>
          <w:color w:val="333333"/>
          <w:spacing w:val="0"/>
          <w:sz w:val="32"/>
          <w:szCs w:val="32"/>
          <w:shd w:val="clear" w:fill="FFFFFF"/>
        </w:rPr>
        <w:t>；二是能力不强。信息公开工作能力亟待加强，特别是在办理依申请公开和行政应复、应诉方面能力方面，需要持续加强指导和监督。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宋体" w:hAnsi="宋体" w:eastAsia="宋体" w:cs="宋体"/>
          <w:b/>
          <w:i w:val="0"/>
          <w:caps w:val="0"/>
          <w:color w:val="333333"/>
          <w:spacing w:val="0"/>
          <w:sz w:val="32"/>
          <w:szCs w:val="32"/>
          <w:shd w:val="clear" w:fill="FFFFFF"/>
        </w:rPr>
      </w:pPr>
      <w:r>
        <w:rPr>
          <w:rFonts w:hint="eastAsia" w:ascii="仿宋" w:hAnsi="仿宋" w:eastAsia="仿宋" w:cs="仿宋"/>
          <w:b w:val="0"/>
          <w:bCs/>
          <w:i w:val="0"/>
          <w:caps w:val="0"/>
          <w:color w:val="333333"/>
          <w:spacing w:val="0"/>
          <w:sz w:val="32"/>
          <w:szCs w:val="32"/>
          <w:shd w:val="clear" w:fill="FFFFFF"/>
        </w:rPr>
        <w:t>下一步，</w:t>
      </w:r>
      <w:r>
        <w:rPr>
          <w:rFonts w:hint="eastAsia" w:ascii="仿宋" w:hAnsi="仿宋" w:eastAsia="仿宋" w:cs="仿宋"/>
          <w:b w:val="0"/>
          <w:bCs/>
          <w:i w:val="0"/>
          <w:caps w:val="0"/>
          <w:color w:val="333333"/>
          <w:spacing w:val="0"/>
          <w:sz w:val="32"/>
          <w:szCs w:val="32"/>
          <w:shd w:val="clear" w:fill="FFFFFF"/>
          <w:lang w:eastAsia="zh-CN"/>
        </w:rPr>
        <w:t>我局加大</w:t>
      </w:r>
      <w:r>
        <w:rPr>
          <w:rFonts w:hint="eastAsia" w:ascii="仿宋" w:hAnsi="仿宋" w:eastAsia="仿宋" w:cs="仿宋"/>
          <w:b w:val="0"/>
          <w:bCs/>
          <w:i w:val="0"/>
          <w:caps w:val="0"/>
          <w:color w:val="333333"/>
          <w:spacing w:val="0"/>
          <w:sz w:val="32"/>
          <w:szCs w:val="32"/>
          <w:shd w:val="clear" w:fill="FFFFFF"/>
        </w:rPr>
        <w:t>政府信息主动公开的力度，确保依法、及时、准确、规范公开。尤其是针对重点领域信息，要时时紧盯，及时更新，并认真研究，细挖亮点，进一步做出亮点，创出特色。</w:t>
      </w:r>
      <w:r>
        <w:rPr>
          <w:rFonts w:hint="eastAsia" w:ascii="仿宋" w:hAnsi="仿宋" w:eastAsia="仿宋" w:cs="仿宋"/>
          <w:b w:val="0"/>
          <w:bCs/>
          <w:i w:val="0"/>
          <w:caps w:val="0"/>
          <w:color w:val="333333"/>
          <w:spacing w:val="0"/>
          <w:sz w:val="32"/>
          <w:szCs w:val="32"/>
          <w:shd w:val="clear" w:fill="FFFFFF"/>
          <w:lang w:eastAsia="zh-CN"/>
        </w:rPr>
        <w:t>同时，</w:t>
      </w:r>
      <w:r>
        <w:rPr>
          <w:rFonts w:hint="eastAsia" w:ascii="仿宋" w:hAnsi="仿宋" w:eastAsia="仿宋" w:cs="仿宋"/>
          <w:b w:val="0"/>
          <w:bCs/>
          <w:i w:val="0"/>
          <w:caps w:val="0"/>
          <w:color w:val="333333"/>
          <w:spacing w:val="0"/>
          <w:sz w:val="32"/>
          <w:szCs w:val="32"/>
          <w:shd w:val="clear" w:fill="FFFFFF"/>
        </w:rPr>
        <w:t>加强政务公开有关法律法规及文件的学习，累积经验，不断提高应对依申请公开办理的业务能力。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sz w:val="32"/>
          <w:szCs w:val="32"/>
          <w:lang w:val="en-US" w:eastAsia="zh-CN"/>
        </w:rPr>
      </w:pPr>
      <w:r>
        <w:rPr>
          <w:rFonts w:hint="eastAsia"/>
          <w:sz w:val="32"/>
          <w:szCs w:val="32"/>
          <w:lang w:val="en-US" w:eastAsia="zh-CN"/>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760" w:firstLineChars="1800"/>
        <w:jc w:val="both"/>
        <w:rPr>
          <w:rFonts w:hint="eastAsia" w:ascii="仿宋" w:hAnsi="仿宋" w:eastAsia="仿宋" w:cs="仿宋"/>
          <w:b w:val="0"/>
          <w:bCs/>
          <w:i w:val="0"/>
          <w:caps w:val="0"/>
          <w:color w:val="333333"/>
          <w:spacing w:val="0"/>
          <w:sz w:val="32"/>
          <w:szCs w:val="32"/>
          <w:shd w:val="clear" w:fill="FFFFFF"/>
          <w:lang w:val="en-US" w:eastAsia="zh-CN"/>
        </w:rPr>
      </w:pPr>
      <w:r>
        <w:rPr>
          <w:rFonts w:hint="eastAsia" w:ascii="仿宋" w:hAnsi="仿宋" w:eastAsia="仿宋" w:cs="仿宋"/>
          <w:b w:val="0"/>
          <w:bCs/>
          <w:i w:val="0"/>
          <w:caps w:val="0"/>
          <w:color w:val="333333"/>
          <w:spacing w:val="0"/>
          <w:sz w:val="32"/>
          <w:szCs w:val="32"/>
          <w:shd w:val="clear" w:fill="FFFFFF"/>
          <w:lang w:val="en-US" w:eastAsia="zh-CN"/>
        </w:rPr>
        <w:t>2021年1月31日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45C3"/>
    <w:multiLevelType w:val="singleLevel"/>
    <w:tmpl w:val="128F45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4BA5"/>
    <w:rsid w:val="0D0F3DDB"/>
    <w:rsid w:val="0E1D4A96"/>
    <w:rsid w:val="0F42566A"/>
    <w:rsid w:val="0FE32618"/>
    <w:rsid w:val="17534F7D"/>
    <w:rsid w:val="1B931963"/>
    <w:rsid w:val="23B06487"/>
    <w:rsid w:val="2480713E"/>
    <w:rsid w:val="519D4381"/>
    <w:rsid w:val="566E50F8"/>
    <w:rsid w:val="56857A37"/>
    <w:rsid w:val="5FCE6A83"/>
    <w:rsid w:val="6EB526D3"/>
    <w:rsid w:val="6EC41F3F"/>
    <w:rsid w:val="711A5324"/>
    <w:rsid w:val="7B440FF1"/>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夏侯</cp:lastModifiedBy>
  <dcterms:modified xsi:type="dcterms:W3CDTF">2021-02-01T03:30:56Z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