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44"/>
          <w:szCs w:val="44"/>
        </w:rPr>
      </w:pPr>
      <w:r>
        <w:rPr>
          <w:rFonts w:hint="eastAsia" w:ascii="宋体" w:hAnsi="宋体" w:eastAsia="宋体" w:cs="宋体"/>
          <w:b/>
          <w:i w:val="0"/>
          <w:caps w:val="0"/>
          <w:color w:val="333333"/>
          <w:spacing w:val="0"/>
          <w:sz w:val="44"/>
          <w:szCs w:val="44"/>
          <w:shd w:val="clear" w:fill="FFFFFF"/>
          <w:lang w:val="en-US" w:eastAsia="zh-CN"/>
        </w:rPr>
        <w:t>赣州经济技术开发区房地产管理所2020年</w:t>
      </w:r>
      <w:r>
        <w:rPr>
          <w:rFonts w:hint="eastAsia" w:ascii="宋体" w:hAnsi="宋体" w:eastAsia="宋体" w:cs="宋体"/>
          <w:b/>
          <w:i w:val="0"/>
          <w:caps w:val="0"/>
          <w:color w:val="333333"/>
          <w:spacing w:val="0"/>
          <w:sz w:val="44"/>
          <w:szCs w:val="44"/>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i w:val="0"/>
          <w:caps w:val="0"/>
          <w:color w:val="000000" w:themeColor="text1"/>
          <w:spacing w:val="0"/>
          <w:sz w:val="32"/>
          <w:szCs w:val="32"/>
          <w:highlight w:val="none"/>
          <w14:textFill>
            <w14:solidFill>
              <w14:schemeClr w14:val="tx1"/>
            </w14:solidFill>
          </w14:textFill>
        </w:rPr>
      </w:pPr>
      <w:r>
        <w:rPr>
          <w:rFonts w:hint="eastAsia" w:ascii="宋体" w:hAnsi="宋体" w:eastAsia="宋体" w:cs="宋体"/>
          <w:i w:val="0"/>
          <w:caps w:val="0"/>
          <w:color w:val="000000" w:themeColor="text1"/>
          <w:spacing w:val="0"/>
          <w:sz w:val="32"/>
          <w:szCs w:val="32"/>
          <w14:textFill>
            <w14:solidFill>
              <w14:schemeClr w14:val="tx1"/>
            </w14:solidFill>
          </w14:textFill>
        </w:rPr>
        <w:t>本报告依据《中华人民共和国政府信息公开条例》（国务院令第711号，以下简称新《条例》）和《国务院办公厅政府信息与政务公开办公室关于政府信息公开工作年度报告有关事项的通知》（国办公开办函〔2019〕60号）要求，由</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我所</w:t>
      </w:r>
      <w:r>
        <w:rPr>
          <w:rFonts w:hint="eastAsia" w:ascii="宋体" w:hAnsi="宋体" w:eastAsia="宋体" w:cs="宋体"/>
          <w:i w:val="0"/>
          <w:caps w:val="0"/>
          <w:color w:val="000000" w:themeColor="text1"/>
          <w:spacing w:val="0"/>
          <w:sz w:val="32"/>
          <w:szCs w:val="32"/>
          <w14:textFill>
            <w14:solidFill>
              <w14:schemeClr w14:val="tx1"/>
            </w14:solidFill>
          </w14:textFill>
        </w:rPr>
        <w:t>结合有关统计数据编制。本年度报告中所列数据的统计期限自</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2020</w:t>
      </w:r>
      <w:r>
        <w:rPr>
          <w:rFonts w:hint="eastAsia" w:ascii="宋体" w:hAnsi="宋体" w:eastAsia="宋体" w:cs="宋体"/>
          <w:i w:val="0"/>
          <w:caps w:val="0"/>
          <w:color w:val="000000" w:themeColor="text1"/>
          <w:spacing w:val="0"/>
          <w:sz w:val="32"/>
          <w:szCs w:val="32"/>
          <w14:textFill>
            <w14:solidFill>
              <w14:schemeClr w14:val="tx1"/>
            </w14:solidFill>
          </w14:textFill>
        </w:rPr>
        <w:t>年1月1日起至</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2020</w:t>
      </w:r>
      <w:r>
        <w:rPr>
          <w:rFonts w:hint="eastAsia" w:ascii="宋体" w:hAnsi="宋体" w:eastAsia="宋体" w:cs="宋体"/>
          <w:i w:val="0"/>
          <w:caps w:val="0"/>
          <w:color w:val="000000" w:themeColor="text1"/>
          <w:spacing w:val="0"/>
          <w:sz w:val="32"/>
          <w:szCs w:val="32"/>
          <w14:textFill>
            <w14:solidFill>
              <w14:schemeClr w14:val="tx1"/>
            </w14:solidFill>
          </w14:textFill>
        </w:rPr>
        <w:t>年12月31日止。全文包括总体情况、主动公开政府信息情况、收到和处理政府信息公开申请情况、政府信息公开行政复议行政诉讼情况、存</w:t>
      </w:r>
      <w:r>
        <w:rPr>
          <w:rFonts w:hint="eastAsia" w:ascii="宋体" w:hAnsi="宋体" w:eastAsia="宋体" w:cs="宋体"/>
          <w:i w:val="0"/>
          <w:caps w:val="0"/>
          <w:color w:val="000000" w:themeColor="text1"/>
          <w:spacing w:val="0"/>
          <w:sz w:val="32"/>
          <w:szCs w:val="32"/>
          <w:highlight w:val="none"/>
          <w14:textFill>
            <w14:solidFill>
              <w14:schemeClr w14:val="tx1"/>
            </w14:solidFill>
          </w14:textFill>
        </w:rPr>
        <w:t>在的主要问题及改进情况、其他需要报告的事项。本年度报告的电子版可以从</w:t>
      </w:r>
      <w:r>
        <w:rPr>
          <w:rFonts w:hint="eastAsia" w:ascii="宋体" w:hAnsi="宋体" w:eastAsia="宋体" w:cs="宋体"/>
          <w:i w:val="0"/>
          <w:caps w:val="0"/>
          <w:color w:val="000000" w:themeColor="text1"/>
          <w:spacing w:val="0"/>
          <w:sz w:val="32"/>
          <w:szCs w:val="32"/>
          <w:highlight w:val="none"/>
          <w:lang w:val="en-US" w:eastAsia="zh-CN"/>
          <w14:textFill>
            <w14:solidFill>
              <w14:schemeClr w14:val="tx1"/>
            </w14:solidFill>
          </w14:textFill>
        </w:rPr>
        <w:t>赣州经济技术开发区</w:t>
      </w:r>
      <w:r>
        <w:rPr>
          <w:rFonts w:hint="eastAsia" w:ascii="宋体" w:hAnsi="宋体" w:eastAsia="宋体" w:cs="宋体"/>
          <w:i w:val="0"/>
          <w:caps w:val="0"/>
          <w:color w:val="000000" w:themeColor="text1"/>
          <w:spacing w:val="0"/>
          <w:sz w:val="32"/>
          <w:szCs w:val="32"/>
          <w:highlight w:val="none"/>
          <w14:textFill>
            <w14:solidFill>
              <w14:schemeClr w14:val="tx1"/>
            </w14:solidFill>
          </w14:textFill>
        </w:rPr>
        <w:t>网站（http://gzjkq.ganzhou.gov.cn/）下载。如对本报告有任何疑问，请与</w:t>
      </w:r>
      <w:r>
        <w:rPr>
          <w:rFonts w:hint="eastAsia" w:ascii="宋体" w:hAnsi="宋体" w:eastAsia="宋体" w:cs="宋体"/>
          <w:i w:val="0"/>
          <w:caps w:val="0"/>
          <w:color w:val="000000" w:themeColor="text1"/>
          <w:spacing w:val="0"/>
          <w:sz w:val="32"/>
          <w:szCs w:val="32"/>
          <w:highlight w:val="none"/>
          <w:lang w:val="en-US" w:eastAsia="zh-CN"/>
          <w14:textFill>
            <w14:solidFill>
              <w14:schemeClr w14:val="tx1"/>
            </w14:solidFill>
          </w14:textFill>
        </w:rPr>
        <w:t>赣州经济技术开发区房地产管理所</w:t>
      </w:r>
      <w:r>
        <w:rPr>
          <w:rFonts w:hint="eastAsia" w:ascii="宋体" w:hAnsi="宋体" w:eastAsia="宋体" w:cs="宋体"/>
          <w:i w:val="0"/>
          <w:caps w:val="0"/>
          <w:color w:val="000000" w:themeColor="text1"/>
          <w:spacing w:val="0"/>
          <w:sz w:val="32"/>
          <w:szCs w:val="32"/>
          <w:highlight w:val="none"/>
          <w14:textFill>
            <w14:solidFill>
              <w14:schemeClr w14:val="tx1"/>
            </w14:solidFill>
          </w14:textFill>
        </w:rPr>
        <w:t>联系（地址：赣州经开区金邮路方基塞纳春天15#18号，电话：</w:t>
      </w:r>
      <w:r>
        <w:rPr>
          <w:rFonts w:hint="eastAsia" w:ascii="宋体" w:hAnsi="宋体" w:eastAsia="宋体" w:cs="宋体"/>
          <w:i w:val="0"/>
          <w:caps w:val="0"/>
          <w:color w:val="000000" w:themeColor="text1"/>
          <w:spacing w:val="0"/>
          <w:sz w:val="32"/>
          <w:szCs w:val="32"/>
          <w:highlight w:val="none"/>
          <w:lang w:val="en-US" w:eastAsia="zh-CN"/>
          <w14:textFill>
            <w14:solidFill>
              <w14:schemeClr w14:val="tx1"/>
            </w14:solidFill>
          </w14:textFill>
        </w:rPr>
        <w:t>0797-8372581</w:t>
      </w:r>
      <w:r>
        <w:rPr>
          <w:rFonts w:hint="eastAsia" w:ascii="宋体" w:hAnsi="宋体" w:eastAsia="宋体" w:cs="宋体"/>
          <w:i w:val="0"/>
          <w:caps w:val="0"/>
          <w:color w:val="000000" w:themeColor="text1"/>
          <w:spacing w:val="0"/>
          <w:sz w:val="32"/>
          <w:szCs w:val="32"/>
          <w:highlight w:val="none"/>
          <w14:textFill>
            <w14:solidFill>
              <w14:schemeClr w14:val="tx1"/>
            </w14:solidFill>
          </w14:textFill>
        </w:rPr>
        <w:t>，邮编：</w:t>
      </w:r>
      <w:r>
        <w:rPr>
          <w:rFonts w:hint="eastAsia" w:ascii="宋体" w:hAnsi="宋体" w:eastAsia="宋体" w:cs="宋体"/>
          <w:i w:val="0"/>
          <w:caps w:val="0"/>
          <w:color w:val="000000" w:themeColor="text1"/>
          <w:spacing w:val="0"/>
          <w:sz w:val="32"/>
          <w:szCs w:val="32"/>
          <w:highlight w:val="none"/>
          <w:lang w:val="en-US" w:eastAsia="zh-CN"/>
          <w14:textFill>
            <w14:solidFill>
              <w14:schemeClr w14:val="tx1"/>
            </w14:solidFill>
          </w14:textFill>
        </w:rPr>
        <w:t>341000</w:t>
      </w:r>
      <w:r>
        <w:rPr>
          <w:rFonts w:hint="eastAsia" w:ascii="宋体" w:hAnsi="宋体" w:eastAsia="宋体" w:cs="宋体"/>
          <w:i w:val="0"/>
          <w:caps w:val="0"/>
          <w:color w:val="000000" w:themeColor="text1"/>
          <w:spacing w:val="0"/>
          <w:sz w:val="32"/>
          <w:szCs w:val="32"/>
          <w:highlight w:val="none"/>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宋体" w:hAnsi="宋体" w:eastAsia="宋体" w:cs="宋体"/>
          <w:i w:val="0"/>
          <w:caps w:val="0"/>
          <w:color w:val="000000" w:themeColor="text1"/>
          <w:spacing w:val="0"/>
          <w:sz w:val="32"/>
          <w:szCs w:val="32"/>
          <w14:textFill>
            <w14:solidFill>
              <w14:schemeClr w14:val="tx1"/>
            </w14:solidFill>
          </w14:textFill>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总体情况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b/>
          <w:i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caps w:val="0"/>
          <w:color w:val="000000" w:themeColor="text1"/>
          <w:spacing w:val="0"/>
          <w:sz w:val="32"/>
          <w:szCs w:val="32"/>
          <w:shd w:val="clear" w:fill="FFFFFF"/>
          <w:lang w:val="en-US" w:eastAsia="zh-CN"/>
          <w14:textFill>
            <w14:solidFill>
              <w14:schemeClr w14:val="tx1"/>
            </w14:solidFill>
          </w14:textFill>
        </w:rPr>
        <w:t>2020年我所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紧紧围绕省委、省政府中心工作及社会群众关注关切，着力提升政府信息公开质量，推进拓宽政府信息公开渠道，不断增强政府信息公开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i w:val="0"/>
          <w:caps w:val="0"/>
          <w:color w:val="000000" w:themeColor="text1"/>
          <w:spacing w:val="0"/>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i w:val="0"/>
          <w:caps w:val="0"/>
          <w:color w:val="000000" w:themeColor="text1"/>
          <w:spacing w:val="0"/>
          <w:sz w:val="32"/>
          <w:szCs w:val="32"/>
          <w:lang w:eastAsia="zh-CN"/>
          <w14:textFill>
            <w14:solidFill>
              <w14:schemeClr w14:val="tx1"/>
            </w14:solidFill>
          </w14:textFill>
        </w:rPr>
      </w:pPr>
      <w:r>
        <w:rPr>
          <w:rFonts w:hint="eastAsia" w:ascii="宋体" w:hAnsi="宋体" w:eastAsia="宋体" w:cs="宋体"/>
          <w:i w:val="0"/>
          <w:caps w:val="0"/>
          <w:color w:val="000000" w:themeColor="text1"/>
          <w:spacing w:val="0"/>
          <w:sz w:val="32"/>
          <w:szCs w:val="32"/>
          <w:lang w:eastAsia="zh-CN"/>
          <w14:textFill>
            <w14:solidFill>
              <w14:schemeClr w14:val="tx1"/>
            </w14:solidFill>
          </w14:textFill>
        </w:rPr>
        <w:t>（</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一</w:t>
      </w:r>
      <w:r>
        <w:rPr>
          <w:rFonts w:hint="eastAsia" w:ascii="宋体" w:hAnsi="宋体" w:eastAsia="宋体" w:cs="宋体"/>
          <w:i w:val="0"/>
          <w:caps w:val="0"/>
          <w:color w:val="000000" w:themeColor="text1"/>
          <w:spacing w:val="0"/>
          <w:sz w:val="32"/>
          <w:szCs w:val="32"/>
          <w:lang w:eastAsia="zh-CN"/>
          <w14:textFill>
            <w14:solidFill>
              <w14:schemeClr w14:val="tx1"/>
            </w14:solidFill>
          </w14:textFill>
        </w:rPr>
        <w:t>）主动公开</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政府信息的情况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i w:val="0"/>
          <w:caps w:val="0"/>
          <w:color w:val="000000" w:themeColor="text1"/>
          <w:spacing w:val="0"/>
          <w:sz w:val="32"/>
          <w:szCs w:val="32"/>
          <w:lang w:eastAsia="zh-CN"/>
          <w14:textFill>
            <w14:solidFill>
              <w14:schemeClr w14:val="tx1"/>
            </w14:solidFill>
          </w14:textFill>
        </w:rPr>
      </w:pPr>
      <w:r>
        <w:rPr>
          <w:rFonts w:hint="eastAsia" w:ascii="宋体" w:hAnsi="宋体" w:eastAsia="宋体" w:cs="宋体"/>
          <w:i w:val="0"/>
          <w:caps w:val="0"/>
          <w:color w:val="000000" w:themeColor="text1"/>
          <w:spacing w:val="0"/>
          <w:sz w:val="32"/>
          <w:szCs w:val="32"/>
          <w:lang w:eastAsia="zh-CN"/>
          <w14:textFill>
            <w14:solidFill>
              <w14:schemeClr w14:val="tx1"/>
            </w14:solidFill>
          </w14:textFill>
        </w:rPr>
        <w:t>根据全区政府信息公开工作统一部署和要求，我</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所</w:t>
      </w:r>
      <w:r>
        <w:rPr>
          <w:rFonts w:hint="eastAsia" w:ascii="宋体" w:hAnsi="宋体" w:eastAsia="宋体" w:cs="宋体"/>
          <w:i w:val="0"/>
          <w:caps w:val="0"/>
          <w:color w:val="000000" w:themeColor="text1"/>
          <w:spacing w:val="0"/>
          <w:sz w:val="32"/>
          <w:szCs w:val="32"/>
          <w:lang w:eastAsia="zh-CN"/>
          <w14:textFill>
            <w14:solidFill>
              <w14:schemeClr w14:val="tx1"/>
            </w14:solidFill>
          </w14:textFill>
        </w:rPr>
        <w:t>把政府信息公开工作列入重要议事日程，今年以来，我</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所</w:t>
      </w:r>
      <w:r>
        <w:rPr>
          <w:rFonts w:hint="eastAsia" w:ascii="宋体" w:hAnsi="宋体" w:eastAsia="宋体" w:cs="宋体"/>
          <w:i w:val="0"/>
          <w:caps w:val="0"/>
          <w:color w:val="000000" w:themeColor="text1"/>
          <w:spacing w:val="0"/>
          <w:sz w:val="32"/>
          <w:szCs w:val="32"/>
          <w:lang w:eastAsia="zh-CN"/>
          <w14:textFill>
            <w14:solidFill>
              <w14:schemeClr w14:val="tx1"/>
            </w14:solidFill>
          </w14:textFill>
        </w:rPr>
        <w:t>突出重点，创新形式，及时准确发布工作信息，主动公开政府信息共7</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1</w:t>
      </w:r>
      <w:r>
        <w:rPr>
          <w:rFonts w:hint="eastAsia" w:ascii="宋体" w:hAnsi="宋体" w:eastAsia="宋体" w:cs="宋体"/>
          <w:i w:val="0"/>
          <w:caps w:val="0"/>
          <w:color w:val="000000" w:themeColor="text1"/>
          <w:spacing w:val="0"/>
          <w:sz w:val="32"/>
          <w:szCs w:val="32"/>
          <w:lang w:eastAsia="zh-CN"/>
          <w14:textFill>
            <w14:solidFill>
              <w14:schemeClr w14:val="tx1"/>
            </w14:solidFill>
          </w14:textFill>
        </w:rPr>
        <w:t>条，信息公开更加全面、及时、准确，信息员对政府信息公开内容进行维护和组织协调得到提升，各</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科（股）</w:t>
      </w:r>
      <w:r>
        <w:rPr>
          <w:rFonts w:hint="eastAsia" w:ascii="宋体" w:hAnsi="宋体" w:eastAsia="宋体" w:cs="宋体"/>
          <w:i w:val="0"/>
          <w:caps w:val="0"/>
          <w:color w:val="000000" w:themeColor="text1"/>
          <w:spacing w:val="0"/>
          <w:sz w:val="32"/>
          <w:szCs w:val="32"/>
          <w:lang w:eastAsia="zh-CN"/>
          <w14:textFill>
            <w14:solidFill>
              <w14:schemeClr w14:val="tx1"/>
            </w14:solidFill>
          </w14:textFill>
        </w:rPr>
        <w:t>信息员收集、整理政府信息的能力得到得到增强，单位信息员统一发布的效率得到提高，政府信息公开工作保障能力得到增强，政府信息公开责任、审核、监督等制度得到完善，政府信息公开工作更加规范、有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i w:val="0"/>
          <w:caps w:val="0"/>
          <w:color w:val="000000" w:themeColor="text1"/>
          <w:spacing w:val="0"/>
          <w:sz w:val="32"/>
          <w:szCs w:val="32"/>
          <w:lang w:eastAsia="zh-CN"/>
          <w14:textFill>
            <w14:solidFill>
              <w14:schemeClr w14:val="tx1"/>
            </w14:solidFill>
          </w14:textFill>
        </w:rPr>
      </w:pPr>
      <w:r>
        <w:rPr>
          <w:rFonts w:hint="eastAsia" w:ascii="宋体" w:hAnsi="宋体" w:eastAsia="宋体" w:cs="宋体"/>
          <w:i w:val="0"/>
          <w:caps w:val="0"/>
          <w:color w:val="000000" w:themeColor="text1"/>
          <w:spacing w:val="0"/>
          <w:sz w:val="32"/>
          <w:szCs w:val="32"/>
          <w:lang w:eastAsia="zh-CN"/>
          <w14:textFill>
            <w14:solidFill>
              <w14:schemeClr w14:val="tx1"/>
            </w14:solidFill>
          </w14:textFill>
        </w:rPr>
        <w:t>（二）加强政府信息管理。严格执行信息公开保密审查制度，对拟公开的政府信息，依法依规做好保密审查；涉及其他行政机关的，及时与有关行政机关沟通确认，确保了公开的政府信息准确一致。严格执行主动公开制度、依申请公开制度等相关制度。我</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所</w:t>
      </w:r>
      <w:r>
        <w:rPr>
          <w:rFonts w:hint="eastAsia" w:ascii="宋体" w:hAnsi="宋体" w:eastAsia="宋体" w:cs="宋体"/>
          <w:i w:val="0"/>
          <w:caps w:val="0"/>
          <w:color w:val="000000" w:themeColor="text1"/>
          <w:spacing w:val="0"/>
          <w:sz w:val="32"/>
          <w:szCs w:val="32"/>
          <w:lang w:eastAsia="zh-CN"/>
          <w14:textFill>
            <w14:solidFill>
              <w14:schemeClr w14:val="tx1"/>
            </w14:solidFill>
          </w14:textFill>
        </w:rPr>
        <w:t>的政府信息公开工作运行正常。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宋体" w:hAnsi="宋体" w:eastAsia="宋体" w:cs="宋体"/>
          <w:i w:val="0"/>
          <w:caps w:val="0"/>
          <w:color w:val="000000" w:themeColor="text1"/>
          <w:spacing w:val="0"/>
          <w:sz w:val="32"/>
          <w:szCs w:val="32"/>
          <w14:textFill>
            <w14:solidFill>
              <w14:schemeClr w14:val="tx1"/>
            </w14:solidFill>
          </w14:textFill>
        </w:rPr>
      </w:pP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（三）行政机关依法申请公开政府信息和不予公开政府信息的情况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i w:val="0"/>
          <w:caps w:val="0"/>
          <w:color w:val="000000" w:themeColor="text1"/>
          <w:spacing w:val="0"/>
          <w:sz w:val="32"/>
          <w:szCs w:val="32"/>
          <w14:textFill>
            <w14:solidFill>
              <w14:schemeClr w14:val="tx1"/>
            </w14:solidFill>
          </w14:textFill>
        </w:rPr>
      </w:pP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20</w:t>
      </w:r>
      <w:r>
        <w:rPr>
          <w:rFonts w:hint="default" w:ascii="宋体" w:hAnsi="宋体" w:eastAsia="宋体" w:cs="宋体"/>
          <w:i w:val="0"/>
          <w:caps w:val="0"/>
          <w:color w:val="000000" w:themeColor="text1"/>
          <w:spacing w:val="0"/>
          <w:sz w:val="32"/>
          <w:szCs w:val="32"/>
          <w:lang w:val="en-US" w:eastAsia="zh-CN"/>
          <w14:textFill>
            <w14:solidFill>
              <w14:schemeClr w14:val="tx1"/>
            </w14:solidFill>
          </w14:textFill>
        </w:rPr>
        <w:t>20年，我</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所</w:t>
      </w:r>
      <w:r>
        <w:rPr>
          <w:rFonts w:hint="default" w:ascii="宋体" w:hAnsi="宋体" w:eastAsia="宋体" w:cs="宋体"/>
          <w:i w:val="0"/>
          <w:caps w:val="0"/>
          <w:color w:val="000000" w:themeColor="text1"/>
          <w:spacing w:val="0"/>
          <w:sz w:val="32"/>
          <w:szCs w:val="32"/>
          <w:lang w:val="en-US" w:eastAsia="zh-CN"/>
          <w14:textFill>
            <w14:solidFill>
              <w14:schemeClr w14:val="tx1"/>
            </w14:solidFill>
          </w14:textFill>
        </w:rPr>
        <w:t>未收到来自单位和个人的政府信息公开申请。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i w:val="0"/>
          <w:caps w:val="0"/>
          <w:color w:val="000000" w:themeColor="text1"/>
          <w:spacing w:val="0"/>
          <w:sz w:val="32"/>
          <w:szCs w:val="32"/>
          <w:lang w:eastAsia="zh-CN"/>
          <w14:textFill>
            <w14:solidFill>
              <w14:schemeClr w14:val="tx1"/>
            </w14:solidFill>
          </w14:textFill>
        </w:rPr>
      </w:pPr>
      <w:r>
        <w:rPr>
          <w:rFonts w:hint="eastAsia" w:ascii="宋体" w:hAnsi="宋体" w:eastAsia="宋体" w:cs="宋体"/>
          <w:i w:val="0"/>
          <w:caps w:val="0"/>
          <w:color w:val="000000" w:themeColor="text1"/>
          <w:spacing w:val="0"/>
          <w:sz w:val="32"/>
          <w:szCs w:val="32"/>
          <w:lang w:eastAsia="zh-CN"/>
          <w14:textFill>
            <w14:solidFill>
              <w14:schemeClr w14:val="tx1"/>
            </w14:solidFill>
          </w14:textFill>
        </w:rPr>
        <w:t>（</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四</w:t>
      </w:r>
      <w:r>
        <w:rPr>
          <w:rFonts w:hint="eastAsia" w:ascii="宋体" w:hAnsi="宋体" w:eastAsia="宋体" w:cs="宋体"/>
          <w:i w:val="0"/>
          <w:caps w:val="0"/>
          <w:color w:val="000000" w:themeColor="text1"/>
          <w:spacing w:val="0"/>
          <w:sz w:val="32"/>
          <w:szCs w:val="32"/>
          <w:lang w:eastAsia="zh-CN"/>
          <w14:textFill>
            <w14:solidFill>
              <w14:schemeClr w14:val="tx1"/>
            </w14:solidFill>
          </w14:textFill>
        </w:rPr>
        <w:t>）因政府信息公开申请行政复议，提起行政诉讼的情况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宋体" w:hAnsi="宋体" w:eastAsia="宋体" w:cs="宋体"/>
          <w:i w:val="0"/>
          <w:caps w:val="0"/>
          <w:color w:val="000000" w:themeColor="text1"/>
          <w:spacing w:val="0"/>
          <w:sz w:val="32"/>
          <w:szCs w:val="32"/>
          <w:lang w:eastAsia="zh-CN"/>
          <w14:textFill>
            <w14:solidFill>
              <w14:schemeClr w14:val="tx1"/>
            </w14:solidFill>
          </w14:textFill>
        </w:rPr>
      </w:pPr>
      <w:r>
        <w:rPr>
          <w:rFonts w:hint="eastAsia" w:ascii="宋体" w:hAnsi="宋体" w:eastAsia="宋体" w:cs="宋体"/>
          <w:i w:val="0"/>
          <w:caps w:val="0"/>
          <w:color w:val="000000" w:themeColor="text1"/>
          <w:spacing w:val="0"/>
          <w:sz w:val="32"/>
          <w:szCs w:val="32"/>
          <w:lang w:eastAsia="zh-CN"/>
          <w14:textFill>
            <w14:solidFill>
              <w14:schemeClr w14:val="tx1"/>
            </w14:solidFill>
          </w14:textFill>
        </w:rPr>
        <w:t>本单位2020年度未发生针对本部门有关政府信息公开事务的行政复议案，行政诉讼案和有关的申诉案。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pPr>
      <w:r>
        <w:rPr>
          <w:rFonts w:hint="eastAsia" w:ascii="宋体" w:hAnsi="宋体" w:eastAsia="宋体" w:cs="宋体"/>
          <w:i w:val="0"/>
          <w:caps w:val="0"/>
          <w:color w:val="000000" w:themeColor="text1"/>
          <w:spacing w:val="0"/>
          <w:sz w:val="32"/>
          <w:szCs w:val="32"/>
          <w:lang w:eastAsia="zh-CN"/>
          <w14:textFill>
            <w14:solidFill>
              <w14:schemeClr w14:val="tx1"/>
            </w14:solidFill>
          </w14:textFill>
        </w:rPr>
        <w:t>（</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五</w:t>
      </w:r>
      <w:r>
        <w:rPr>
          <w:rFonts w:hint="eastAsia" w:ascii="宋体" w:hAnsi="宋体" w:eastAsia="宋体" w:cs="宋体"/>
          <w:i w:val="0"/>
          <w:caps w:val="0"/>
          <w:color w:val="000000" w:themeColor="text1"/>
          <w:spacing w:val="0"/>
          <w:sz w:val="32"/>
          <w:szCs w:val="32"/>
          <w:lang w:eastAsia="zh-CN"/>
          <w14:textFill>
            <w14:solidFill>
              <w14:schemeClr w14:val="tx1"/>
            </w14:solidFill>
          </w14:textFill>
        </w:rPr>
        <w:t>）</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宋体" w:hAnsi="宋体" w:eastAsia="宋体" w:cs="宋体"/>
          <w:i w:val="0"/>
          <w:caps w:val="0"/>
          <w:color w:val="000000" w:themeColor="text1"/>
          <w:spacing w:val="0"/>
          <w:sz w:val="32"/>
          <w:szCs w:val="32"/>
          <w:lang w:eastAsia="zh-CN"/>
          <w14:textFill>
            <w14:solidFill>
              <w14:schemeClr w14:val="tx1"/>
            </w14:solidFill>
          </w14:textFill>
        </w:rPr>
      </w:pPr>
      <w:r>
        <w:rPr>
          <w:rFonts w:hint="eastAsia" w:ascii="宋体" w:hAnsi="宋体" w:eastAsia="宋体" w:cs="宋体"/>
          <w:i w:val="0"/>
          <w:caps w:val="0"/>
          <w:color w:val="000000" w:themeColor="text1"/>
          <w:spacing w:val="0"/>
          <w:sz w:val="32"/>
          <w:szCs w:val="32"/>
          <w:lang w:eastAsia="zh-CN"/>
          <w14:textFill>
            <w14:solidFill>
              <w14:schemeClr w14:val="tx1"/>
            </w14:solidFill>
          </w14:textFill>
        </w:rPr>
        <w:t>我</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所</w:t>
      </w:r>
      <w:r>
        <w:rPr>
          <w:rFonts w:hint="default" w:ascii="宋体" w:hAnsi="宋体" w:eastAsia="宋体" w:cs="宋体"/>
          <w:i w:val="0"/>
          <w:caps w:val="0"/>
          <w:color w:val="000000" w:themeColor="text1"/>
          <w:spacing w:val="0"/>
          <w:sz w:val="32"/>
          <w:szCs w:val="32"/>
          <w:lang w:eastAsia="zh-CN"/>
          <w14:textFill>
            <w14:solidFill>
              <w14:schemeClr w14:val="tx1"/>
            </w14:solidFill>
          </w14:textFill>
        </w:rPr>
        <w:t>大力推进政府网站、政务微博</w:t>
      </w:r>
      <w:r>
        <w:rPr>
          <w:rFonts w:hint="eastAsia" w:ascii="宋体" w:hAnsi="宋体" w:eastAsia="宋体" w:cs="宋体"/>
          <w:i w:val="0"/>
          <w:caps w:val="0"/>
          <w:color w:val="000000" w:themeColor="text1"/>
          <w:spacing w:val="0"/>
          <w:sz w:val="32"/>
          <w:szCs w:val="32"/>
          <w:lang w:eastAsia="zh-CN"/>
          <w14:textFill>
            <w14:solidFill>
              <w14:schemeClr w14:val="tx1"/>
            </w14:solidFill>
          </w14:textFill>
        </w:rPr>
        <w:t>、</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微信公众号</w:t>
      </w:r>
      <w:r>
        <w:rPr>
          <w:rFonts w:hint="default" w:ascii="宋体" w:hAnsi="宋体" w:eastAsia="宋体" w:cs="宋体"/>
          <w:i w:val="0"/>
          <w:caps w:val="0"/>
          <w:color w:val="000000" w:themeColor="text1"/>
          <w:spacing w:val="0"/>
          <w:sz w:val="32"/>
          <w:szCs w:val="32"/>
          <w:lang w:eastAsia="zh-CN"/>
          <w14:textFill>
            <w14:solidFill>
              <w14:schemeClr w14:val="tx1"/>
            </w14:solidFill>
          </w14:textFill>
        </w:rPr>
        <w:t>等公开平台建设，拓宽政务公开渠道。一是强化政府网站管理。加强门户网站内容建设，不断丰富信息资源。二是推进新媒体健康有序发展。充分发挥</w:t>
      </w:r>
      <w:r>
        <w:rPr>
          <w:rFonts w:hint="eastAsia" w:ascii="宋体" w:hAnsi="宋体" w:eastAsia="宋体" w:cs="宋体"/>
          <w:i w:val="0"/>
          <w:caps w:val="0"/>
          <w:color w:val="000000" w:themeColor="text1"/>
          <w:spacing w:val="0"/>
          <w:sz w:val="32"/>
          <w:szCs w:val="32"/>
          <w:lang w:val="en-US" w:eastAsia="zh-CN"/>
          <w14:textFill>
            <w14:solidFill>
              <w14:schemeClr w14:val="tx1"/>
            </w14:solidFill>
          </w14:textFill>
        </w:rPr>
        <w:t>所</w:t>
      </w:r>
      <w:r>
        <w:rPr>
          <w:rFonts w:hint="default" w:ascii="宋体" w:hAnsi="宋体" w:eastAsia="宋体" w:cs="宋体"/>
          <w:i w:val="0"/>
          <w:caps w:val="0"/>
          <w:color w:val="000000" w:themeColor="text1"/>
          <w:spacing w:val="0"/>
          <w:sz w:val="32"/>
          <w:szCs w:val="32"/>
          <w:lang w:eastAsia="zh-CN"/>
          <w14:textFill>
            <w14:solidFill>
              <w14:schemeClr w14:val="tx1"/>
            </w14:solidFill>
          </w14:textFill>
        </w:rPr>
        <w:t>政务微博新媒体作用，及时精准推送政策信息。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宋体" w:hAnsi="宋体" w:eastAsia="宋体" w:cs="宋体"/>
          <w:i w:val="0"/>
          <w:caps w:val="0"/>
          <w:color w:val="000000" w:themeColor="text1"/>
          <w:spacing w:val="0"/>
          <w:sz w:val="32"/>
          <w:szCs w:val="32"/>
          <w:lang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楷体" w:hAnsi="楷体" w:eastAsia="楷体" w:cs="楷体"/>
          <w:i w:val="0"/>
          <w:caps w:val="0"/>
          <w:color w:val="000000" w:themeColor="text1"/>
          <w:spacing w:val="0"/>
          <w:sz w:val="32"/>
          <w:szCs w:val="32"/>
          <w:shd w:val="clear" w:fill="FFFFFF"/>
          <w:lang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宋体" w:hAnsi="宋体" w:eastAsia="宋体" w:cs="宋体"/>
          <w:i w:val="0"/>
          <w:caps w:val="0"/>
          <w:color w:val="000000" w:themeColor="text1"/>
          <w:spacing w:val="0"/>
          <w:sz w:val="32"/>
          <w:szCs w:val="32"/>
          <w:shd w:val="clear" w:fill="FFFFFF"/>
          <w:lang w:eastAsia="zh-CN"/>
          <w14:textFill>
            <w14:solidFill>
              <w14:schemeClr w14:val="tx1"/>
            </w14:solidFill>
          </w14:textFill>
        </w:rPr>
      </w:pPr>
    </w:p>
    <w:p>
      <w:pPr>
        <w:numPr>
          <w:ilvl w:val="0"/>
          <w:numId w:val="0"/>
        </w:numPr>
        <w:spacing w:line="540" w:lineRule="exac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主动公开政府信息情况</w:t>
      </w:r>
    </w:p>
    <w:tbl>
      <w:tblPr>
        <w:tblStyle w:val="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信息内容</w:t>
            </w:r>
          </w:p>
        </w:tc>
        <w:tc>
          <w:tcPr>
            <w:tcW w:w="2460"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本年新制作数量</w:t>
            </w:r>
          </w:p>
        </w:tc>
        <w:tc>
          <w:tcPr>
            <w:tcW w:w="2025"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本年新公开数量</w:t>
            </w:r>
          </w:p>
        </w:tc>
        <w:tc>
          <w:tcPr>
            <w:tcW w:w="2295"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    章</w:t>
            </w:r>
          </w:p>
        </w:tc>
        <w:tc>
          <w:tcPr>
            <w:tcW w:w="2460"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2025"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2295"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规范性文件</w:t>
            </w:r>
          </w:p>
        </w:tc>
        <w:tc>
          <w:tcPr>
            <w:tcW w:w="2460"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2025"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2295"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信息内容</w:t>
            </w:r>
          </w:p>
        </w:tc>
        <w:tc>
          <w:tcPr>
            <w:tcW w:w="2460"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上一年项目数量</w:t>
            </w:r>
          </w:p>
        </w:tc>
        <w:tc>
          <w:tcPr>
            <w:tcW w:w="2025"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本年增/减</w:t>
            </w:r>
          </w:p>
        </w:tc>
        <w:tc>
          <w:tcPr>
            <w:tcW w:w="2295"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行政许可</w:t>
            </w:r>
          </w:p>
        </w:tc>
        <w:tc>
          <w:tcPr>
            <w:tcW w:w="2460"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p>
        </w:tc>
        <w:tc>
          <w:tcPr>
            <w:tcW w:w="2025" w:type="dxa"/>
            <w:shd w:val="clear" w:color="auto" w:fill="auto"/>
          </w:tcPr>
          <w:p>
            <w:pPr>
              <w:spacing w:line="460" w:lineRule="exact"/>
              <w:jc w:val="left"/>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2295"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其他对外管理服务事项</w:t>
            </w:r>
          </w:p>
        </w:tc>
        <w:tc>
          <w:tcPr>
            <w:tcW w:w="2460"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2025"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p>
        </w:tc>
        <w:tc>
          <w:tcPr>
            <w:tcW w:w="2295"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信息内容</w:t>
            </w:r>
          </w:p>
        </w:tc>
        <w:tc>
          <w:tcPr>
            <w:tcW w:w="2460"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上一年项目数量</w:t>
            </w:r>
          </w:p>
        </w:tc>
        <w:tc>
          <w:tcPr>
            <w:tcW w:w="2025"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本年增/减</w:t>
            </w:r>
          </w:p>
        </w:tc>
        <w:tc>
          <w:tcPr>
            <w:tcW w:w="2295"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行政处罚</w:t>
            </w:r>
          </w:p>
        </w:tc>
        <w:tc>
          <w:tcPr>
            <w:tcW w:w="2460"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2025"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2295"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行政强制</w:t>
            </w:r>
          </w:p>
        </w:tc>
        <w:tc>
          <w:tcPr>
            <w:tcW w:w="2460"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2025"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2295"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信息内容</w:t>
            </w:r>
          </w:p>
        </w:tc>
        <w:tc>
          <w:tcPr>
            <w:tcW w:w="2460"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上一年项目数量</w:t>
            </w:r>
          </w:p>
        </w:tc>
        <w:tc>
          <w:tcPr>
            <w:tcW w:w="4320" w:type="dxa"/>
            <w:gridSpan w:val="2"/>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行政事业性收费</w:t>
            </w:r>
          </w:p>
        </w:tc>
        <w:tc>
          <w:tcPr>
            <w:tcW w:w="2460"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4320" w:type="dxa"/>
            <w:gridSpan w:val="2"/>
            <w:shd w:val="clear" w:color="auto" w:fill="auto"/>
          </w:tcPr>
          <w:p>
            <w:pPr>
              <w:spacing w:line="460" w:lineRule="exact"/>
              <w:jc w:val="left"/>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信息内容</w:t>
            </w:r>
          </w:p>
        </w:tc>
        <w:tc>
          <w:tcPr>
            <w:tcW w:w="2460"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采购项目数量</w:t>
            </w:r>
          </w:p>
        </w:tc>
        <w:tc>
          <w:tcPr>
            <w:tcW w:w="4320" w:type="dxa"/>
            <w:gridSpan w:val="2"/>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政府集中采购</w:t>
            </w:r>
          </w:p>
        </w:tc>
        <w:tc>
          <w:tcPr>
            <w:tcW w:w="2460" w:type="dxa"/>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4320" w:type="dxa"/>
            <w:gridSpan w:val="2"/>
            <w:shd w:val="clear" w:color="auto" w:fill="auto"/>
          </w:tcPr>
          <w:p>
            <w:pPr>
              <w:spacing w:line="46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r>
    </w:tbl>
    <w:p>
      <w:pPr>
        <w:spacing w:line="540" w:lineRule="exact"/>
        <w:rPr>
          <w:rFonts w:ascii="仿宋_GB2312" w:hAnsi="仿宋" w:eastAsia="仿宋_GB2312" w:cs="仿宋"/>
          <w:b/>
          <w:color w:val="000000" w:themeColor="text1"/>
          <w:sz w:val="32"/>
          <w:szCs w:val="32"/>
          <w14:textFill>
            <w14:solidFill>
              <w14:schemeClr w14:val="tx1"/>
            </w14:solidFill>
          </w14:textFill>
        </w:rPr>
      </w:pPr>
    </w:p>
    <w:p>
      <w:pPr>
        <w:numPr>
          <w:ilvl w:val="0"/>
          <w:numId w:val="0"/>
        </w:numPr>
        <w:spacing w:line="540" w:lineRule="exac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收到和处理政府信息公开申请情况</w:t>
      </w:r>
    </w:p>
    <w:tbl>
      <w:tblPr>
        <w:tblStyle w:val="4"/>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5"/>
        <w:gridCol w:w="2089"/>
        <w:gridCol w:w="814"/>
        <w:gridCol w:w="756"/>
        <w:gridCol w:w="756"/>
        <w:gridCol w:w="815"/>
        <w:gridCol w:w="976"/>
        <w:gridCol w:w="713"/>
        <w:gridCol w:w="6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（本列数据的勾稽关系为：第一项加第二项之和，等于第三项加第四项之和）</w:t>
            </w:r>
          </w:p>
        </w:tc>
        <w:tc>
          <w:tcPr>
            <w:tcW w:w="5509"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14"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自然人</w:t>
            </w:r>
          </w:p>
        </w:tc>
        <w:tc>
          <w:tcPr>
            <w:tcW w:w="4016"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法人或其他组织</w:t>
            </w:r>
          </w:p>
        </w:tc>
        <w:tc>
          <w:tcPr>
            <w:tcW w:w="67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14"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商业企业</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科研机构</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社会公益组织</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法律服务机构</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p>
        </w:tc>
        <w:tc>
          <w:tcPr>
            <w:tcW w:w="67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一、本年新收政府信息公开申请数量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二、上年结转政府信息公开申请数量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三、本年度办理结果</w:t>
            </w: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left"/>
              <w:rPr>
                <w:rFonts w:cs="Times New Roman"/>
                <w:color w:val="000000" w:themeColor="text1"/>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（一）予以公开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eastAsia="zh-CN"/>
                <w14:textFill>
                  <w14:solidFill>
                    <w14:schemeClr w14:val="tx1"/>
                  </w14:solidFill>
                </w14:textFill>
              </w:rPr>
            </w:pPr>
            <w:r>
              <w:rPr>
                <w:rFonts w:hint="eastAsia" w:cs="Times New Roman"/>
                <w:color w:val="000000" w:themeColor="text1"/>
                <w:kern w:val="0"/>
                <w:sz w:val="20"/>
                <w:szCs w:val="20"/>
                <w:lang w:val="en-US" w:eastAsia="zh-CN"/>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val="en-US" w:eastAsia="zh-CN"/>
                <w14:textFill>
                  <w14:solidFill>
                    <w14:schemeClr w14:val="tx1"/>
                  </w14:solidFill>
                </w14:textFill>
              </w:rPr>
            </w:pPr>
            <w:r>
              <w:rPr>
                <w:rFonts w:hint="eastAsia" w:cs="Times New Roman"/>
                <w:color w:val="000000" w:themeColor="text1"/>
                <w:kern w:val="0"/>
                <w:sz w:val="20"/>
                <w:szCs w:val="20"/>
                <w:lang w:val="en-US" w:eastAsia="zh-CN"/>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（二）部分公开（区分处理的，只计这一情形，不计其他情形）</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eastAsia="zh-CN"/>
                <w14:textFill>
                  <w14:solidFill>
                    <w14:schemeClr w14:val="tx1"/>
                  </w14:solidFill>
                </w14:textFill>
              </w:rPr>
            </w:pPr>
            <w:r>
              <w:rPr>
                <w:rFonts w:hint="eastAsia" w:cs="Times New Roman"/>
                <w:color w:val="000000" w:themeColor="text1"/>
                <w:kern w:val="0"/>
                <w:sz w:val="20"/>
                <w:szCs w:val="20"/>
                <w:lang w:val="en-US" w:eastAsia="zh-CN"/>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val="en-US" w:eastAsia="zh-CN"/>
                <w14:textFill>
                  <w14:solidFill>
                    <w14:schemeClr w14:val="tx1"/>
                  </w14:solidFill>
                </w14:textFill>
              </w:rPr>
            </w:pPr>
            <w:r>
              <w:rPr>
                <w:rFonts w:hint="eastAsia" w:cs="Times New Roman"/>
                <w:color w:val="000000" w:themeColor="text1"/>
                <w:kern w:val="0"/>
                <w:sz w:val="20"/>
                <w:szCs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（三）不予公开</w:t>
            </w: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1.</w:t>
            </w:r>
            <w:r>
              <w:rPr>
                <w:rFonts w:hint="eastAsia" w:ascii="楷体" w:hAnsi="楷体" w:eastAsia="楷体" w:cs="楷体"/>
                <w:color w:val="000000" w:themeColor="text1"/>
                <w:kern w:val="0"/>
                <w:sz w:val="20"/>
                <w:szCs w:val="20"/>
                <w14:textFill>
                  <w14:solidFill>
                    <w14:schemeClr w14:val="tx1"/>
                  </w14:solidFill>
                </w14:textFill>
              </w:rPr>
              <w:t>属于国家秘密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2.</w:t>
            </w:r>
            <w:r>
              <w:rPr>
                <w:rFonts w:hint="eastAsia" w:ascii="楷体" w:hAnsi="楷体" w:eastAsia="楷体" w:cs="楷体"/>
                <w:color w:val="000000" w:themeColor="text1"/>
                <w:kern w:val="0"/>
                <w:sz w:val="20"/>
                <w:szCs w:val="20"/>
                <w14:textFill>
                  <w14:solidFill>
                    <w14:schemeClr w14:val="tx1"/>
                  </w14:solidFill>
                </w14:textFill>
              </w:rPr>
              <w:t>其他法律行政法规禁止公开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3.</w:t>
            </w:r>
            <w:r>
              <w:rPr>
                <w:rFonts w:hint="eastAsia" w:ascii="楷体" w:hAnsi="楷体" w:eastAsia="楷体" w:cs="楷体"/>
                <w:color w:val="000000" w:themeColor="text1"/>
                <w:kern w:val="0"/>
                <w:sz w:val="20"/>
                <w:szCs w:val="20"/>
                <w14:textFill>
                  <w14:solidFill>
                    <w14:schemeClr w14:val="tx1"/>
                  </w14:solidFill>
                </w14:textFill>
              </w:rPr>
              <w:t>危及“三安全一稳定”</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4.</w:t>
            </w:r>
            <w:r>
              <w:rPr>
                <w:rFonts w:hint="eastAsia" w:ascii="楷体" w:hAnsi="楷体" w:eastAsia="楷体" w:cs="楷体"/>
                <w:color w:val="000000" w:themeColor="text1"/>
                <w:kern w:val="0"/>
                <w:sz w:val="20"/>
                <w:szCs w:val="20"/>
                <w14:textFill>
                  <w14:solidFill>
                    <w14:schemeClr w14:val="tx1"/>
                  </w14:solidFill>
                </w14:textFill>
              </w:rPr>
              <w:t>保护第三方合法权益</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5.</w:t>
            </w:r>
            <w:r>
              <w:rPr>
                <w:rFonts w:hint="eastAsia" w:ascii="楷体" w:hAnsi="楷体" w:eastAsia="楷体" w:cs="楷体"/>
                <w:color w:val="000000" w:themeColor="text1"/>
                <w:kern w:val="0"/>
                <w:sz w:val="20"/>
                <w:szCs w:val="20"/>
                <w14:textFill>
                  <w14:solidFill>
                    <w14:schemeClr w14:val="tx1"/>
                  </w14:solidFill>
                </w14:textFill>
              </w:rPr>
              <w:t>属于三类内部事务信息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6.</w:t>
            </w:r>
            <w:r>
              <w:rPr>
                <w:rFonts w:hint="eastAsia" w:ascii="楷体" w:hAnsi="楷体" w:eastAsia="楷体" w:cs="楷体"/>
                <w:color w:val="000000" w:themeColor="text1"/>
                <w:kern w:val="0"/>
                <w:sz w:val="20"/>
                <w:szCs w:val="20"/>
                <w14:textFill>
                  <w14:solidFill>
                    <w14:schemeClr w14:val="tx1"/>
                  </w14:solidFill>
                </w14:textFill>
              </w:rPr>
              <w:t>属于四类过程性信息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7.</w:t>
            </w:r>
            <w:r>
              <w:rPr>
                <w:rFonts w:hint="eastAsia" w:ascii="楷体" w:hAnsi="楷体" w:eastAsia="楷体" w:cs="楷体"/>
                <w:color w:val="000000" w:themeColor="text1"/>
                <w:kern w:val="0"/>
                <w:sz w:val="20"/>
                <w:szCs w:val="20"/>
                <w14:textFill>
                  <w14:solidFill>
                    <w14:schemeClr w14:val="tx1"/>
                  </w14:solidFill>
                </w14:textFill>
              </w:rPr>
              <w:t>属于行政执法案卷</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8.</w:t>
            </w:r>
            <w:r>
              <w:rPr>
                <w:rFonts w:hint="eastAsia" w:ascii="楷体" w:hAnsi="楷体" w:eastAsia="楷体" w:cs="楷体"/>
                <w:color w:val="000000" w:themeColor="text1"/>
                <w:kern w:val="0"/>
                <w:sz w:val="20"/>
                <w:szCs w:val="20"/>
                <w14:textFill>
                  <w14:solidFill>
                    <w14:schemeClr w14:val="tx1"/>
                  </w14:solidFill>
                </w14:textFill>
              </w:rPr>
              <w:t>属于行政查询事项</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（四）无法提供</w:t>
            </w: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1.</w:t>
            </w:r>
            <w:r>
              <w:rPr>
                <w:rFonts w:hint="eastAsia" w:ascii="楷体" w:hAnsi="楷体" w:eastAsia="楷体" w:cs="楷体"/>
                <w:color w:val="000000" w:themeColor="text1"/>
                <w:kern w:val="0"/>
                <w:sz w:val="20"/>
                <w:szCs w:val="20"/>
                <w14:textFill>
                  <w14:solidFill>
                    <w14:schemeClr w14:val="tx1"/>
                  </w14:solidFill>
                </w14:textFill>
              </w:rPr>
              <w:t>本机关不掌握相关政府信息</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2.</w:t>
            </w:r>
            <w:r>
              <w:rPr>
                <w:rFonts w:hint="eastAsia" w:ascii="楷体" w:hAnsi="楷体" w:eastAsia="楷体" w:cs="楷体"/>
                <w:color w:val="000000" w:themeColor="text1"/>
                <w:kern w:val="0"/>
                <w:sz w:val="20"/>
                <w:szCs w:val="20"/>
                <w14:textFill>
                  <w14:solidFill>
                    <w14:schemeClr w14:val="tx1"/>
                  </w14:solidFill>
                </w14:textFill>
              </w:rPr>
              <w:t>没有现成信息需要另行制作</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3.</w:t>
            </w:r>
            <w:r>
              <w:rPr>
                <w:rFonts w:hint="eastAsia" w:ascii="楷体" w:hAnsi="楷体" w:eastAsia="楷体" w:cs="楷体"/>
                <w:color w:val="000000" w:themeColor="text1"/>
                <w:kern w:val="0"/>
                <w:sz w:val="20"/>
                <w:szCs w:val="20"/>
                <w14:textFill>
                  <w14:solidFill>
                    <w14:schemeClr w14:val="tx1"/>
                  </w14:solidFill>
                </w14:textFill>
              </w:rPr>
              <w:t>补正后申请内容仍不明确</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（五）不予处理</w:t>
            </w: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1.</w:t>
            </w:r>
            <w:r>
              <w:rPr>
                <w:rFonts w:hint="eastAsia" w:ascii="楷体" w:hAnsi="楷体" w:eastAsia="楷体" w:cs="楷体"/>
                <w:color w:val="000000" w:themeColor="text1"/>
                <w:kern w:val="0"/>
                <w:sz w:val="20"/>
                <w:szCs w:val="20"/>
                <w14:textFill>
                  <w14:solidFill>
                    <w14:schemeClr w14:val="tx1"/>
                  </w14:solidFill>
                </w14:textFill>
              </w:rPr>
              <w:t>信访举报投诉类申请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2.</w:t>
            </w:r>
            <w:r>
              <w:rPr>
                <w:rFonts w:hint="eastAsia" w:ascii="楷体" w:hAnsi="楷体" w:eastAsia="楷体" w:cs="楷体"/>
                <w:color w:val="000000" w:themeColor="text1"/>
                <w:kern w:val="0"/>
                <w:sz w:val="20"/>
                <w:szCs w:val="20"/>
                <w14:textFill>
                  <w14:solidFill>
                    <w14:schemeClr w14:val="tx1"/>
                  </w14:solidFill>
                </w14:textFill>
              </w:rPr>
              <w:t>重复申请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3.</w:t>
            </w:r>
            <w:r>
              <w:rPr>
                <w:rFonts w:hint="eastAsia" w:ascii="楷体" w:hAnsi="楷体" w:eastAsia="楷体" w:cs="楷体"/>
                <w:color w:val="000000" w:themeColor="text1"/>
                <w:kern w:val="0"/>
                <w:sz w:val="20"/>
                <w:szCs w:val="20"/>
                <w14:textFill>
                  <w14:solidFill>
                    <w14:schemeClr w14:val="tx1"/>
                  </w14:solidFill>
                </w14:textFill>
              </w:rPr>
              <w:t>要求提供公开出版物</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4.</w:t>
            </w:r>
            <w:r>
              <w:rPr>
                <w:rFonts w:hint="eastAsia" w:ascii="楷体" w:hAnsi="楷体" w:eastAsia="楷体" w:cs="楷体"/>
                <w:color w:val="000000" w:themeColor="text1"/>
                <w:kern w:val="0"/>
                <w:sz w:val="20"/>
                <w:szCs w:val="20"/>
                <w14:textFill>
                  <w14:solidFill>
                    <w14:schemeClr w14:val="tx1"/>
                  </w14:solidFill>
                </w14:textFill>
              </w:rPr>
              <w:t>无正当理由大量反复申请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000000" w:themeColor="text1"/>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5.</w:t>
            </w:r>
            <w:r>
              <w:rPr>
                <w:rFonts w:hint="eastAsia" w:ascii="楷体" w:hAnsi="楷体" w:eastAsia="楷体" w:cs="楷体"/>
                <w:color w:val="000000" w:themeColor="text1"/>
                <w:kern w:val="0"/>
                <w:sz w:val="20"/>
                <w:szCs w:val="20"/>
                <w14:textFill>
                  <w14:solidFill>
                    <w14:schemeClr w14:val="tx1"/>
                  </w14:solidFill>
                </w14:textFill>
              </w:rPr>
              <w:t>要求行政机关确认或重新出具已获取信息</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944" w:type="dxa"/>
            <w:gridSpan w:val="2"/>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（六）其他处理</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000000" w:themeColor="text1"/>
                <w:sz w:val="24"/>
                <w:szCs w:val="24"/>
                <w14:textFill>
                  <w14:solidFill>
                    <w14:schemeClr w14:val="tx1"/>
                  </w14:solidFill>
                </w14:textFill>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（七）总计</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000000" w:themeColor="text1"/>
                <w:lang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default" w:cs="Times New Roman" w:eastAsiaTheme="minorEastAsia"/>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四、结转下年度继续办理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000000" w:themeColor="text1"/>
                <w14:textFill>
                  <w14:solidFill>
                    <w14:schemeClr w14:val="tx1"/>
                  </w14:solidFill>
                </w14:textFill>
              </w:rPr>
            </w:pPr>
            <w:r>
              <w:rPr>
                <w:color w:val="000000" w:themeColor="text1"/>
                <w:kern w:val="0"/>
                <w:sz w:val="20"/>
                <w:szCs w:val="20"/>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宋体"/>
                <w:color w:val="000000" w:themeColor="text1"/>
                <w:sz w:val="24"/>
                <w:szCs w:val="24"/>
                <w14:textFill>
                  <w14:solidFill>
                    <w14:schemeClr w14:val="tx1"/>
                  </w14:solidFill>
                </w14:textFill>
              </w:rPr>
            </w:pPr>
            <w:r>
              <w:rPr>
                <w:rFonts w:ascii="宋体" w:cs="宋体"/>
                <w:color w:val="000000" w:themeColor="text1"/>
                <w:sz w:val="24"/>
                <w:szCs w:val="24"/>
                <w14:textFill>
                  <w14:solidFill>
                    <w14:schemeClr w14:val="tx1"/>
                  </w14:solidFill>
                </w14:textFill>
              </w:rPr>
              <w:t>0</w:t>
            </w:r>
          </w:p>
        </w:tc>
      </w:tr>
    </w:tbl>
    <w:p>
      <w:pPr>
        <w:numPr>
          <w:ilvl w:val="0"/>
          <w:numId w:val="0"/>
        </w:numPr>
        <w:rPr>
          <w:rFonts w:hint="eastAsia" w:ascii="黑体" w:hAnsi="黑体" w:eastAsia="黑体" w:cs="黑体"/>
          <w:b w:val="0"/>
          <w:bCs/>
          <w:color w:val="000000" w:themeColor="text1"/>
          <w:sz w:val="32"/>
          <w:szCs w:val="32"/>
          <w14:textFill>
            <w14:solidFill>
              <w14:schemeClr w14:val="tx1"/>
            </w14:solidFill>
          </w14:textFill>
        </w:rPr>
      </w:pPr>
    </w:p>
    <w:p>
      <w:pPr>
        <w:spacing w:line="540" w:lineRule="exact"/>
        <w:rPr>
          <w:rFonts w:ascii="仿宋" w:hAnsi="仿宋" w:eastAsia="仿宋" w:cs="仿宋"/>
          <w:color w:val="000000" w:themeColor="text1"/>
          <w14:textFill>
            <w14:solidFill>
              <w14:schemeClr w14:val="tx1"/>
            </w14:solidFill>
          </w14:textFill>
        </w:rPr>
      </w:pPr>
    </w:p>
    <w:p>
      <w:pPr>
        <w:numPr>
          <w:ilvl w:val="0"/>
          <w:numId w:val="0"/>
        </w:numPr>
        <w:spacing w:line="540" w:lineRule="exac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四、</w:t>
      </w:r>
      <w:r>
        <w:rPr>
          <w:rFonts w:hint="eastAsia" w:ascii="黑体" w:hAnsi="黑体" w:eastAsia="黑体" w:cs="黑体"/>
          <w:b w:val="0"/>
          <w:bCs/>
          <w:color w:val="000000" w:themeColor="text1"/>
          <w:sz w:val="32"/>
          <w:szCs w:val="32"/>
          <w14:textFill>
            <w14:solidFill>
              <w14:schemeClr w14:val="tx1"/>
            </w14:solidFill>
          </w14:textFill>
        </w:rPr>
        <w:t>政府信息公开行政复议、行政诉讼情况</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5"/>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行政复议</w:t>
            </w:r>
            <w:r>
              <w:rPr>
                <w:rFonts w:ascii="仿宋" w:hAnsi="仿宋" w:eastAsia="仿宋" w:cs="仿宋"/>
                <w:color w:val="000000" w:themeColor="text1"/>
                <w:sz w:val="24"/>
                <w14:textFill>
                  <w14:solidFill>
                    <w14:schemeClr w14:val="tx1"/>
                  </w14:solidFill>
                </w14:textFill>
              </w:rPr>
              <w:br w:type="textWrapping"/>
            </w:r>
          </w:p>
        </w:tc>
        <w:tc>
          <w:tcPr>
            <w:tcW w:w="5680" w:type="dxa"/>
            <w:gridSpan w:val="10"/>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行政诉讼</w:t>
            </w:r>
            <w:r>
              <w:rPr>
                <w:rFonts w:ascii="仿宋" w:hAnsi="仿宋" w:eastAsia="仿宋" w:cs="仿宋"/>
                <w:color w:val="000000" w:themeColor="text1"/>
                <w:sz w:val="24"/>
                <w14:textFill>
                  <w14:solidFill>
                    <w14:schemeClr w14:val="tx1"/>
                  </w14:solidFill>
                </w14:textFil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restart"/>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结果维护</w:t>
            </w:r>
          </w:p>
        </w:tc>
        <w:tc>
          <w:tcPr>
            <w:tcW w:w="568" w:type="dxa"/>
            <w:vMerge w:val="restart"/>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结果纠正</w:t>
            </w:r>
          </w:p>
        </w:tc>
        <w:tc>
          <w:tcPr>
            <w:tcW w:w="568" w:type="dxa"/>
            <w:vMerge w:val="restart"/>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其他结果</w:t>
            </w:r>
          </w:p>
        </w:tc>
        <w:tc>
          <w:tcPr>
            <w:tcW w:w="568" w:type="dxa"/>
            <w:vMerge w:val="restart"/>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尚未审结</w:t>
            </w:r>
          </w:p>
        </w:tc>
        <w:tc>
          <w:tcPr>
            <w:tcW w:w="568" w:type="dxa"/>
            <w:vMerge w:val="restart"/>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总计</w:t>
            </w:r>
          </w:p>
        </w:tc>
        <w:tc>
          <w:tcPr>
            <w:tcW w:w="2840" w:type="dxa"/>
            <w:gridSpan w:val="5"/>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未经复议直接起诉</w:t>
            </w:r>
          </w:p>
        </w:tc>
        <w:tc>
          <w:tcPr>
            <w:tcW w:w="2840" w:type="dxa"/>
            <w:gridSpan w:val="5"/>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continue"/>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p>
        </w:tc>
        <w:tc>
          <w:tcPr>
            <w:tcW w:w="568" w:type="dxa"/>
            <w:vMerge w:val="continue"/>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p>
        </w:tc>
        <w:tc>
          <w:tcPr>
            <w:tcW w:w="568" w:type="dxa"/>
            <w:vMerge w:val="continue"/>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p>
        </w:tc>
        <w:tc>
          <w:tcPr>
            <w:tcW w:w="568" w:type="dxa"/>
            <w:vMerge w:val="continue"/>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p>
        </w:tc>
        <w:tc>
          <w:tcPr>
            <w:tcW w:w="568" w:type="dxa"/>
            <w:vMerge w:val="continue"/>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p>
        </w:tc>
        <w:tc>
          <w:tcPr>
            <w:tcW w:w="568" w:type="dxa"/>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结果维护</w:t>
            </w:r>
          </w:p>
        </w:tc>
        <w:tc>
          <w:tcPr>
            <w:tcW w:w="568" w:type="dxa"/>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结果纠正</w:t>
            </w:r>
          </w:p>
        </w:tc>
        <w:tc>
          <w:tcPr>
            <w:tcW w:w="568" w:type="dxa"/>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其他结果</w:t>
            </w:r>
          </w:p>
        </w:tc>
        <w:tc>
          <w:tcPr>
            <w:tcW w:w="568" w:type="dxa"/>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尚未审结</w:t>
            </w:r>
          </w:p>
        </w:tc>
        <w:tc>
          <w:tcPr>
            <w:tcW w:w="568" w:type="dxa"/>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总计</w:t>
            </w:r>
          </w:p>
        </w:tc>
        <w:tc>
          <w:tcPr>
            <w:tcW w:w="568" w:type="dxa"/>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结果维护</w:t>
            </w:r>
          </w:p>
        </w:tc>
        <w:tc>
          <w:tcPr>
            <w:tcW w:w="568" w:type="dxa"/>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结果纠正</w:t>
            </w:r>
          </w:p>
        </w:tc>
        <w:tc>
          <w:tcPr>
            <w:tcW w:w="568" w:type="dxa"/>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其他结果</w:t>
            </w:r>
          </w:p>
        </w:tc>
        <w:tc>
          <w:tcPr>
            <w:tcW w:w="568" w:type="dxa"/>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尚未审结</w:t>
            </w:r>
          </w:p>
        </w:tc>
        <w:tc>
          <w:tcPr>
            <w:tcW w:w="568" w:type="dxa"/>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568" w:type="dxa"/>
            <w:shd w:val="clear" w:color="auto" w:fill="auto"/>
          </w:tcPr>
          <w:p>
            <w:pPr>
              <w:spacing w:line="5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bookmarkStart w:id="0" w:name="_GoBack"/>
            <w:bookmarkEnd w:id="0"/>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000000" w:themeColor="text1"/>
          <w:spacing w:val="0"/>
          <w:sz w:val="32"/>
          <w:szCs w:val="32"/>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2020年，我</w:t>
      </w:r>
      <w:r>
        <w:rPr>
          <w:rFonts w:hint="eastAsia" w:ascii="宋体" w:hAnsi="宋体" w:eastAsia="宋体" w:cs="宋体"/>
          <w:i w:val="0"/>
          <w:caps w:val="0"/>
          <w:color w:val="000000" w:themeColor="text1"/>
          <w:spacing w:val="0"/>
          <w:sz w:val="32"/>
          <w:szCs w:val="32"/>
          <w:shd w:val="clear" w:fill="FFFFFF"/>
          <w:lang w:val="en-US" w:eastAsia="zh-CN"/>
          <w14:textFill>
            <w14:solidFill>
              <w14:schemeClr w14:val="tx1"/>
            </w14:solidFill>
          </w14:textFill>
        </w:rPr>
        <w:t>所</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信息公开工作虽然取得了一定成绩，但还存在涉企政策宣传解读有待加强，信息公开质量有待提高等问题，下一步，重点抓好以下改进措施：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一是提高认识，切实加强《中华人民共和国政府信息公开条例》及政务公开有关文件的学习，不断提高对信息公开工作重要性的认识，进一步提高政务公开工作水平。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both"/>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二是结合我</w:t>
      </w:r>
      <w:r>
        <w:rPr>
          <w:rFonts w:hint="eastAsia" w:ascii="宋体" w:hAnsi="宋体" w:eastAsia="宋体" w:cs="宋体"/>
          <w:i w:val="0"/>
          <w:caps w:val="0"/>
          <w:color w:val="000000" w:themeColor="text1"/>
          <w:spacing w:val="0"/>
          <w:sz w:val="32"/>
          <w:szCs w:val="32"/>
          <w:shd w:val="clear" w:fill="FFFFFF"/>
          <w:lang w:val="en-US" w:eastAsia="zh-CN"/>
          <w14:textFill>
            <w14:solidFill>
              <w14:schemeClr w14:val="tx1"/>
            </w14:solidFill>
          </w14:textFill>
        </w:rPr>
        <w:t>所</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重点中心工作，进一步丰富信息公开形式和内容，增强信息公开工作的针对性和有效性，推进政务信息公开工作上新台阶。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eastAsiaTheme="minor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DB681"/>
    <w:multiLevelType w:val="singleLevel"/>
    <w:tmpl w:val="E49DB6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30F4E"/>
    <w:rsid w:val="072F4BA5"/>
    <w:rsid w:val="07A5287F"/>
    <w:rsid w:val="0D0F3DDB"/>
    <w:rsid w:val="0F42566A"/>
    <w:rsid w:val="0FE32618"/>
    <w:rsid w:val="17534F7D"/>
    <w:rsid w:val="1B931963"/>
    <w:rsid w:val="1D8E42DA"/>
    <w:rsid w:val="1EA056C6"/>
    <w:rsid w:val="23B06487"/>
    <w:rsid w:val="2480713E"/>
    <w:rsid w:val="370F33FA"/>
    <w:rsid w:val="418D09FE"/>
    <w:rsid w:val="44695C7B"/>
    <w:rsid w:val="454659BC"/>
    <w:rsid w:val="4AF40A52"/>
    <w:rsid w:val="519D4381"/>
    <w:rsid w:val="55E930D3"/>
    <w:rsid w:val="566E50F8"/>
    <w:rsid w:val="56857A37"/>
    <w:rsid w:val="5FCE6A83"/>
    <w:rsid w:val="6EB526D3"/>
    <w:rsid w:val="6EC41F3F"/>
    <w:rsid w:val="7B440FF1"/>
    <w:rsid w:val="7B460EE3"/>
    <w:rsid w:val="7D7C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2021-01-07T01:14:00Z</dcterms:created>
  <dc:creator>Administrator</dc:creator>
  <cp:lastModifiedBy>gzjkqfgs</cp:lastModifiedBy>
  <dcterms:modified xsi:type="dcterms:W3CDTF">2022-03-15T11:50:52Z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