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5994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赣州经开区财政局</w:t>
      </w:r>
      <w:r>
        <w:rPr>
          <w:rFonts w:hint="eastAsia" w:ascii="方正小标宋简体" w:hAnsi="方正小标宋简体" w:eastAsia="方正小标宋简体" w:cs="方正小标宋简体"/>
          <w:b w:val="0"/>
          <w:bCs/>
          <w:sz w:val="44"/>
          <w:szCs w:val="44"/>
          <w:lang w:eastAsia="zh-Hans"/>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lang w:val="en-US" w:eastAsia="zh-Hans"/>
        </w:rPr>
        <w:t>年</w:t>
      </w:r>
      <w:r>
        <w:rPr>
          <w:rFonts w:hint="eastAsia" w:ascii="方正小标宋简体" w:hAnsi="方正小标宋简体" w:eastAsia="方正小标宋简体" w:cs="方正小标宋简体"/>
          <w:b w:val="0"/>
          <w:bCs/>
          <w:sz w:val="44"/>
          <w:szCs w:val="44"/>
        </w:rPr>
        <w:t>政府信息公开</w:t>
      </w:r>
    </w:p>
    <w:p w14:paraId="349FB3FE">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sz w:val="44"/>
          <w:szCs w:val="44"/>
        </w:rPr>
        <w:t>工作年度报告</w:t>
      </w:r>
    </w:p>
    <w:p w14:paraId="52797545">
      <w:pPr>
        <w:pStyle w:val="2"/>
        <w:keepNext w:val="0"/>
        <w:keepLines w:val="0"/>
        <w:widowControl/>
        <w:suppressLineNumbers w:val="0"/>
        <w:spacing w:before="0" w:beforeAutospacing="0" w:after="0" w:afterAutospacing="0"/>
        <w:jc w:val="center"/>
        <w:rPr>
          <w:rFonts w:hint="eastAsia" w:ascii="宋体" w:hAnsi="宋体" w:eastAsia="宋体" w:cs="宋体"/>
        </w:rPr>
      </w:pPr>
    </w:p>
    <w:p w14:paraId="01606D88">
      <w:pPr>
        <w:keepNext w:val="0"/>
        <w:keepLines w:val="0"/>
        <w:widowControl/>
        <w:suppressLineNumbers w:val="0"/>
        <w:jc w:val="left"/>
        <w:rPr>
          <w:rFonts w:ascii="宋体" w:hAnsi="宋体" w:eastAsia="宋体" w:cs="宋体"/>
          <w:kern w:val="0"/>
          <w:sz w:val="24"/>
          <w:szCs w:val="24"/>
          <w:lang w:val="en-US" w:eastAsia="zh-CN" w:bidi="ar"/>
        </w:rPr>
      </w:pPr>
    </w:p>
    <w:p w14:paraId="661CF5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依据《中华人民共和国政府信息公开条例》(以下简称《政府信息公开条例》)和《关于印发中华人民共和国政府信息公开工作年度报告格式的通知》(国办公开办函〔2021〕30号)要求，编制本报告。</w:t>
      </w:r>
    </w:p>
    <w:p w14:paraId="1BF8869D">
      <w:pPr>
        <w:pStyle w:val="2"/>
        <w:keepNext w:val="0"/>
        <w:keepLines w:val="0"/>
        <w:widowControl/>
        <w:suppressLineNumbers w:val="0"/>
        <w:spacing w:before="0" w:beforeAutospacing="0" w:after="0" w:afterAutospacing="0"/>
        <w:ind w:firstLine="640" w:firstLineChars="200"/>
        <w:jc w:val="both"/>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一、总体情况</w:t>
      </w:r>
    </w:p>
    <w:p w14:paraId="0BE2E42F">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2024年，赣州经开区财政局坚持以习近平新时代中国特色社会主义思想为指导，深入贯彻落实中央和省、市关于政务公开工作的决策部署，坚持以</w:t>
      </w:r>
      <w:bookmarkStart w:id="0" w:name="_GoBack"/>
      <w:bookmarkEnd w:id="0"/>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人民为中心推进政务公开及财政信息公开工作，围绕财政工作重点领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域，积极解读财政政策，让社会公众更加了解财政工作，不断提升平台政务服务水平。</w:t>
      </w:r>
    </w:p>
    <w:p w14:paraId="64A95CD5">
      <w:pPr>
        <w:pStyle w:val="2"/>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楷体" w:hAnsi="楷体" w:eastAsia="楷体" w:cs="楷体"/>
          <w:b/>
          <w:bCs/>
          <w:color w:val="000000" w:themeColor="text1"/>
          <w:kern w:val="0"/>
          <w:sz w:val="32"/>
          <w:szCs w:val="32"/>
          <w:lang w:val="en-US" w:eastAsia="zh-CN" w:bidi="ar"/>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color w:val="000000" w:themeColor="text1"/>
          <w:kern w:val="0"/>
          <w:sz w:val="32"/>
          <w:szCs w:val="32"/>
          <w:lang w:eastAsia="zh-CN" w:bidi="ar"/>
          <w14:textFill>
            <w14:solidFill>
              <w14:schemeClr w14:val="tx1"/>
            </w14:solidFill>
          </w14:textFill>
        </w:rPr>
        <w:t>主动公开</w:t>
      </w:r>
      <w:r>
        <w:rPr>
          <w:rFonts w:hint="eastAsia" w:ascii="楷体" w:hAnsi="楷体" w:eastAsia="楷体" w:cs="楷体"/>
          <w:b/>
          <w:bCs/>
          <w:color w:val="000000" w:themeColor="text1"/>
          <w:kern w:val="0"/>
          <w:sz w:val="32"/>
          <w:szCs w:val="32"/>
          <w:lang w:val="en-US" w:eastAsia="zh-Hans" w:bidi="ar"/>
          <w14:textFill>
            <w14:solidFill>
              <w14:schemeClr w14:val="tx1"/>
            </w14:solidFill>
          </w14:textFill>
        </w:rPr>
        <w:t>情况</w:t>
      </w:r>
    </w:p>
    <w:p w14:paraId="1A645A07">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严格按照《中华人民共和国政府信息公开条例》及省、市政务公开有关工作要求，及时公开财政直达资金、财政预算、决算报告，部门预算、决算信息，“三公”经费使用情况等财政资金信息，主动接受社会监督。2024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赣州经开区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财政局主动公开政府信息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条，其中，部门文件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条，财政预决算信息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条，政务动态</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条，公告公示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条，其他文件、直达资金、政府采购、政府债务等信息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w:t>
      </w:r>
    </w:p>
    <w:p w14:paraId="0E7E61F7">
      <w:pPr>
        <w:pStyle w:val="2"/>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）依申请公开</w:t>
      </w:r>
      <w:r>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t>情况</w:t>
      </w:r>
    </w:p>
    <w:p w14:paraId="2D8696C3">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2024年，我局收到依申请公开3件，均按规定时限答复，答复率100%，无依申请公开举报投诉和行政复议、行政诉讼等情况。</w:t>
      </w:r>
    </w:p>
    <w:p w14:paraId="797FA024">
      <w:pPr>
        <w:pStyle w:val="2"/>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）政府信息管理</w:t>
      </w:r>
      <w:r>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t>情况</w:t>
      </w:r>
    </w:p>
    <w:p w14:paraId="2B6A3CA2">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2024年，重点加强对政府信息的规范化、标准化、信息化管理。一是强化安排部署。将政务公开工作与</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局</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重点工作同谋划、同部署、同推进、同考核，有效落实政府信息公开各项工作。二是压紧压实责任。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将政务公开工作纳入年度考核，</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明确工作任务、责任</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工作组</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，切实压紧压实责任</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进一步提升政务公开质量</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。三是严格信息审核。按照《中华人民共和国政府信息公开条例》《中华人民共和国保守国家秘密法》等要求，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严格落实“三审三校”制度</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，确保信息发布准确无误。</w:t>
      </w:r>
    </w:p>
    <w:p w14:paraId="511A7376">
      <w:pPr>
        <w:pStyle w:val="2"/>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t>四</w:t>
      </w: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）政府信息公开平台建设</w:t>
      </w:r>
      <w:r>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t>情况</w:t>
      </w:r>
    </w:p>
    <w:p w14:paraId="25B0DC2E">
      <w:pPr>
        <w:pStyle w:val="2"/>
        <w:keepNext w:val="0"/>
        <w:keepLines w:val="0"/>
        <w:widowControl/>
        <w:suppressLineNumbers w:val="0"/>
        <w:spacing w:before="0" w:beforeAutospacing="0" w:after="0" w:afterAutospacing="0"/>
        <w:ind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明确专人负责门户网站日常更新维护工作，加大平台建设力度，不断丰富政府信息公开内容。</w:t>
      </w:r>
    </w:p>
    <w:p w14:paraId="6E794A3C">
      <w:pPr>
        <w:pStyle w:val="2"/>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）监督保障</w:t>
      </w:r>
      <w:r>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t>情况</w:t>
      </w:r>
    </w:p>
    <w:p w14:paraId="6CDB1641">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一是加强组织领导。健全完善分管领导牵头抓、局办公室具体抓、各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工作组</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密切配合的工作机制，全面做好政府信息公开工作的组织领导、统筹协调和推进落实。二是强化业务培训。开展政府信息公开培训，进一步提高政府信息公开工作的责任意识和业务水平。三是开展督促检查。定期对公开信息的数量、内容、审查程序、时效性等进行专项自查，及时发现问题，解决问题，并将此项工作纳入年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考核</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内容，充分发挥好考核“指挥棒”的监督作用。</w:t>
      </w:r>
    </w:p>
    <w:p w14:paraId="51FDD4F3">
      <w:pPr>
        <w:pStyle w:val="2"/>
        <w:keepNext w:val="0"/>
        <w:keepLines w:val="0"/>
        <w:widowControl/>
        <w:suppressLineNumbers w:val="0"/>
        <w:spacing w:before="0" w:beforeAutospacing="0" w:after="0" w:afterAutospacing="0"/>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tbl>
      <w:tblPr>
        <w:tblStyle w:val="3"/>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671F5658">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A24259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0CFCE8E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7955B39">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E489DA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4922B2D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A40A42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66C3B0D1">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2F62953">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55F9201">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1DD27410">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90D2482">
            <w:pPr>
              <w:keepNext w:val="0"/>
              <w:keepLines w:val="0"/>
              <w:widowControl/>
              <w:suppressLineNumbers w:val="0"/>
              <w:spacing w:before="0" w:beforeAutospacing="1" w:after="0" w:afterLines="0" w:afterAutospacing="0"/>
              <w:ind w:left="0" w:right="0"/>
              <w:jc w:val="left"/>
              <w:rPr>
                <w:rFonts w:hint="default"/>
                <w:lang w:val="en-US"/>
              </w:rPr>
            </w:pPr>
            <w:r>
              <w:rPr>
                <w:rFonts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14:paraId="44AF2F50">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138A4E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2C3C91B">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1C1EEEC3">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EFC806E">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14:paraId="10217BB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1C5E715">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025CB4E9">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75A4983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F6F98C3">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4D774A40">
        <w:tblPrEx>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4B9F6A7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F8C6E56">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14:paraId="193A58D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3591937">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6871A73B">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4B0C1E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B228AC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14:paraId="42524EB6">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A6537D">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5F668BB">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14:paraId="2C63F66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1E9E906">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68EDE29">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14:paraId="7B930F22">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DB2B8DA">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5026E22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65DB0A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32FBA5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5134E2BF">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DB8344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A7369AA">
            <w:pPr>
              <w:rPr>
                <w:rFonts w:hint="eastAsia" w:ascii="宋体" w:eastAsiaTheme="minorEastAsia"/>
                <w:sz w:val="24"/>
                <w:szCs w:val="24"/>
                <w:lang w:val="en-US" w:eastAsia="zh-CN"/>
              </w:rPr>
            </w:pPr>
            <w:r>
              <w:rPr>
                <w:rFonts w:hint="eastAsia" w:ascii="宋体"/>
                <w:sz w:val="24"/>
                <w:szCs w:val="24"/>
                <w:lang w:val="en-US" w:eastAsia="zh-CN"/>
              </w:rPr>
              <w:t>0</w:t>
            </w:r>
          </w:p>
        </w:tc>
      </w:tr>
    </w:tbl>
    <w:p w14:paraId="28ECED4E">
      <w:pPr>
        <w:pStyle w:val="2"/>
        <w:keepNext w:val="0"/>
        <w:keepLines w:val="0"/>
        <w:widowControl/>
        <w:suppressLineNumbers w:val="0"/>
        <w:spacing w:before="0" w:beforeAutospacing="0" w:after="0" w:afterAutospacing="0"/>
        <w:ind w:firstLine="320" w:firstLineChars="100"/>
        <w:jc w:val="both"/>
        <w:rPr>
          <w:rFonts w:hint="eastAsia" w:ascii="黑体" w:hAnsi="黑体" w:eastAsia="黑体" w:cs="黑体"/>
          <w:b w:val="0"/>
          <w:bCs/>
          <w:sz w:val="32"/>
          <w:szCs w:val="32"/>
        </w:rPr>
      </w:pPr>
      <w:r>
        <w:rPr>
          <w:rFonts w:hint="eastAsia" w:ascii="黑体" w:hAnsi="黑体" w:eastAsia="黑体" w:cs="黑体"/>
          <w:b w:val="0"/>
          <w:bCs/>
          <w:sz w:val="32"/>
          <w:szCs w:val="32"/>
        </w:rPr>
        <w:t>三、收到和处理政府信息公开申请情况</w:t>
      </w:r>
    </w:p>
    <w:tbl>
      <w:tblPr>
        <w:tblStyle w:val="3"/>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14:paraId="210605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157C8E6">
            <w:pPr>
              <w:keepNext w:val="0"/>
              <w:keepLines w:val="0"/>
              <w:widowControl/>
              <w:suppressLineNumbers w:val="0"/>
              <w:spacing w:before="0" w:beforeAutospacing="1" w:after="0" w:afterLines="0" w:afterAutospacing="0"/>
              <w:ind w:left="0" w:right="0"/>
              <w:jc w:val="left"/>
            </w:pPr>
            <w:r>
              <w:rPr>
                <w:rFonts w:hint="eastAsia" w:ascii="黑体" w:hAnsi="黑体" w:eastAsia="黑体" w:cs="黑体"/>
                <w:b w:val="0"/>
                <w:bCs/>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14:paraId="345799F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申请人情况</w:t>
            </w:r>
          </w:p>
        </w:tc>
      </w:tr>
      <w:tr w14:paraId="05AD99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6B753AB4">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vAlign w:val="center"/>
          </w:tcPr>
          <w:p w14:paraId="02731237">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14:paraId="1FD5797E">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14:paraId="7B66EBF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总计</w:t>
            </w:r>
          </w:p>
        </w:tc>
      </w:tr>
      <w:tr w14:paraId="0AFDB5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7EE93975">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vAlign w:val="center"/>
          </w:tcPr>
          <w:p w14:paraId="0D7A0D09">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vAlign w:val="center"/>
          </w:tcPr>
          <w:p w14:paraId="287D1E5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商业</w:t>
            </w:r>
          </w:p>
          <w:p w14:paraId="722DC24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14:paraId="4FC1A2A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科研</w:t>
            </w:r>
          </w:p>
          <w:p w14:paraId="02AF08A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183EF8F3">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14:paraId="2249A26A">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5B4C695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14:paraId="226AFF6D">
            <w:pPr>
              <w:rPr>
                <w:rFonts w:hint="eastAsia" w:ascii="宋体"/>
                <w:sz w:val="24"/>
                <w:szCs w:val="24"/>
              </w:rPr>
            </w:pPr>
          </w:p>
        </w:tc>
      </w:tr>
      <w:tr w14:paraId="2296AD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31A2E95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26AC37BB">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3</w:t>
            </w:r>
          </w:p>
        </w:tc>
        <w:tc>
          <w:tcPr>
            <w:tcW w:w="685" w:type="dxa"/>
            <w:tcBorders>
              <w:top w:val="nil"/>
              <w:left w:val="nil"/>
              <w:bottom w:val="single" w:color="auto" w:sz="8" w:space="0"/>
              <w:right w:val="single" w:color="auto" w:sz="8" w:space="0"/>
            </w:tcBorders>
            <w:shd w:val="clear" w:color="auto" w:fill="auto"/>
            <w:vAlign w:val="center"/>
          </w:tcPr>
          <w:p w14:paraId="0B7AD0C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09C1FC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534771B">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18A5336">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01F68CD">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C27EC8A">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3</w:t>
            </w:r>
          </w:p>
        </w:tc>
      </w:tr>
      <w:tr w14:paraId="0B6DF3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0C844DB6">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5486A8BA">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3180CBB">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B9F1F65">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1E2B4D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92ADFA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959697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19B7E82">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AA229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14:paraId="178E918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14:paraId="6AB4924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14:paraId="0D4FBD3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3</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C881715">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D1CA183">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B9FEB0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EE1834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3E9944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426F8B1E">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3</w:t>
            </w:r>
          </w:p>
        </w:tc>
      </w:tr>
      <w:tr w14:paraId="6BD0CD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AA97805">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16D1254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（二）部分公开</w:t>
            </w:r>
            <w:r>
              <w:rPr>
                <w:rFonts w:hint="eastAsia" w:ascii="黑体" w:hAnsi="黑体" w:eastAsia="黑体" w:cs="黑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14:paraId="3386493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BCF03CB">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C7379F6">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E83CBE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94966D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98CE45C">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40EB05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E04CA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111CA034">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7D5C10D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14:paraId="6B678A86">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center"/>
          </w:tcPr>
          <w:p w14:paraId="64A6B9F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559A25F">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C4E7708">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A52D68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F3DFFA2">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0806E6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177B190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45D147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0261BE1">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1FDFAB2">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12B001BF">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center"/>
          </w:tcPr>
          <w:p w14:paraId="66E5B64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FBA6711">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A071F6D">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D8AD96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6C9763C">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454DB4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5A5ECC2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B1736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C0C5C3A">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250D3DE">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6D2A58B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center"/>
          </w:tcPr>
          <w:p w14:paraId="0979AEB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F2FBBB5">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072B612">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E2B283C">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4BA713D">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05C59F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D519B6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5B54B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10D8F7C7">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141C1F52">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3443A49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center"/>
          </w:tcPr>
          <w:p w14:paraId="4B4211D2">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69B99B6">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D142865">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526C062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34298A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68F3FE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CEA3D4D">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441BA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42A63CC">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398B6F7B">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16BD5D8B">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center"/>
          </w:tcPr>
          <w:p w14:paraId="4820B1E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06B3BDF">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C9E92A7">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CF3C25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2E5923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8B9976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68887D2">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15C9D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F106AE1">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0C45416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592F7C2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center"/>
          </w:tcPr>
          <w:p w14:paraId="6218BBE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B0E5F3D">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2A75C1A">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5DB36F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06B0011">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207DA9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25EBEE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63C14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683A250B">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5150224">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1A8A211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center"/>
          </w:tcPr>
          <w:p w14:paraId="1BDA5AA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86B437E">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23AE9A1">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9240E8D">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7CF1D1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248370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50780A3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9DF5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1B99B60">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43D8B45">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10A938E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center"/>
          </w:tcPr>
          <w:p w14:paraId="4A9AE26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6F2D514">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6208BA9">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61DFFBD">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502FBF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8062FB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8EB4CCB">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D3055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1D79F82B">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3055798C">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14:paraId="794A64DB">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center"/>
          </w:tcPr>
          <w:p w14:paraId="5D7C44B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AA2B9CD">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D0A4CA5">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8234CB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E1994DD">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973FDE2">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5581A5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7E671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D7FC092">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69C4DB95">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05B4ADC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center"/>
          </w:tcPr>
          <w:p w14:paraId="3593FA2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71CB9CB">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1C69706">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4AE451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DE633D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FE0F5EB">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729224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60838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3FFFDF4">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FB5E4E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4EEFE55D">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center"/>
          </w:tcPr>
          <w:p w14:paraId="5055A0E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3DDBC62">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38C5A0F">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A5395B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D2C05E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4B303A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BB69B2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F7A21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2E28CBE">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40B9010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14:paraId="228AFB13">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center"/>
          </w:tcPr>
          <w:p w14:paraId="0DCD574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E6DDB10">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4EA372C">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E9389FC">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71DAE3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09B3AF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F2CA68B">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C7C01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65CE650">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AB43C06">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10BCAC7D">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center"/>
          </w:tcPr>
          <w:p w14:paraId="05A37D81">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4068D55A">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49478318">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7D19DD1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7539632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76C3860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31E59E61">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71201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16478E5">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6391EDB9">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55F2855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center"/>
          </w:tcPr>
          <w:p w14:paraId="7EE7138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446D0C5C">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49F084DD">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332F1E4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4FC2DD4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4A4B790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40AE210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56031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F54DC4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D625FD5">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49EA2E7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center"/>
          </w:tcPr>
          <w:p w14:paraId="4D3649F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73092D1A">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1DE9A483">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7B9010A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0B19FDF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212FDDC">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19360AC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96FCB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0476DB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6511933">
            <w:pPr>
              <w:rPr>
                <w:rFonts w:hint="eastAsia" w:ascii="宋体"/>
                <w:sz w:val="24"/>
                <w:szCs w:val="24"/>
              </w:rPr>
            </w:pPr>
          </w:p>
        </w:tc>
        <w:tc>
          <w:tcPr>
            <w:tcW w:w="3271" w:type="dxa"/>
            <w:tcBorders>
              <w:top w:val="nil"/>
              <w:left w:val="nil"/>
              <w:bottom w:val="outset" w:color="auto" w:sz="6" w:space="0"/>
              <w:right w:val="single" w:color="auto" w:sz="8" w:space="0"/>
            </w:tcBorders>
            <w:shd w:val="clear" w:color="auto" w:fill="auto"/>
            <w:vAlign w:val="center"/>
          </w:tcPr>
          <w:p w14:paraId="6F25E314">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center"/>
          </w:tcPr>
          <w:p w14:paraId="44C28901">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241CF2AE">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center"/>
          </w:tcPr>
          <w:p w14:paraId="31C10F9B">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center"/>
          </w:tcPr>
          <w:p w14:paraId="674E532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0F56510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1D45B25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14:paraId="4C719E4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0F916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ECC8FA6">
            <w:pPr>
              <w:rPr>
                <w:rFonts w:hint="eastAsia" w:ascii="宋体"/>
                <w:sz w:val="24"/>
                <w:szCs w:val="24"/>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14:paraId="2F51AFCF">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14:paraId="6C905D39">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59237C9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3EAF279">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6918839">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EF62FB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3F59B3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52124B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D88EFE2">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47A499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14D457A6">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4E4B1B4D">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64E208AF">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64261711">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5F74858">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8BE4EB2">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6717A22">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B5C669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02315A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F27C4B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8E5A6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F97CDFF">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5487B143">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50AAB2A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center"/>
          </w:tcPr>
          <w:p w14:paraId="369705DC">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7B40C74">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0A33BB0">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A51C00C">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5514A5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05DEA3B">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1EACEB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5E95A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579E663">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671C691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14:paraId="47E1C17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3</w:t>
            </w:r>
          </w:p>
        </w:tc>
        <w:tc>
          <w:tcPr>
            <w:tcW w:w="685" w:type="dxa"/>
            <w:tcBorders>
              <w:top w:val="nil"/>
              <w:left w:val="nil"/>
              <w:bottom w:val="single" w:color="auto" w:sz="8" w:space="0"/>
              <w:right w:val="single" w:color="auto" w:sz="8" w:space="0"/>
            </w:tcBorders>
            <w:shd w:val="clear" w:color="auto" w:fill="auto"/>
            <w:vAlign w:val="center"/>
          </w:tcPr>
          <w:p w14:paraId="111AEDB1">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7EA4F5D">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C51561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A2AE8A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D9E1D1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0421DF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3</w:t>
            </w:r>
          </w:p>
        </w:tc>
      </w:tr>
      <w:tr w14:paraId="254DD0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0A0CD77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center"/>
          </w:tcPr>
          <w:p w14:paraId="35650AD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642C58E">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0AC1015">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D99AB5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0F04CC1">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9F48C9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5A479A5">
            <w:pPr>
              <w:keepNext w:val="0"/>
              <w:keepLines w:val="0"/>
              <w:widowControl/>
              <w:suppressLineNumbers w:val="0"/>
              <w:spacing w:before="0" w:beforeAutospacing="1" w:after="0" w:afterLines="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14:paraId="667238AA">
      <w:pPr>
        <w:pStyle w:val="2"/>
        <w:keepNext w:val="0"/>
        <w:keepLines w:val="0"/>
        <w:widowControl/>
        <w:suppressLineNumbers w:val="0"/>
        <w:spacing w:before="0" w:beforeAutospacing="0" w:after="0" w:afterAutospacing="0"/>
        <w:ind w:firstLine="320" w:firstLineChars="100"/>
        <w:jc w:val="both"/>
        <w:rPr>
          <w:rFonts w:hint="eastAsia" w:ascii="黑体" w:hAnsi="黑体" w:eastAsia="黑体" w:cs="黑体"/>
          <w:b w:val="0"/>
          <w:bCs/>
          <w:sz w:val="32"/>
          <w:szCs w:val="32"/>
        </w:rPr>
      </w:pPr>
      <w:r>
        <w:rPr>
          <w:rFonts w:hint="eastAsia" w:ascii="黑体" w:hAnsi="黑体" w:eastAsia="黑体" w:cs="黑体"/>
          <w:b w:val="0"/>
          <w:bCs/>
          <w:sz w:val="32"/>
          <w:szCs w:val="32"/>
        </w:rPr>
        <w:t>四、政府信息公开行政复议、行政诉讼情况</w:t>
      </w:r>
    </w:p>
    <w:p w14:paraId="4E2C5C7C">
      <w:pPr>
        <w:keepNext w:val="0"/>
        <w:keepLines w:val="0"/>
        <w:widowControl/>
        <w:suppressLineNumbers w:val="0"/>
        <w:jc w:val="center"/>
      </w:pPr>
    </w:p>
    <w:tbl>
      <w:tblPr>
        <w:tblStyle w:val="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661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DE644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DE3C7D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行政诉讼</w:t>
            </w:r>
          </w:p>
        </w:tc>
      </w:tr>
      <w:tr w14:paraId="334B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46C062BA">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7151D3B4">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03FB2F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5C904D">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1CBF1B72">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85FD8B">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34288A3E">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E8F007">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BC9DE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725373">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复议后起诉</w:t>
            </w:r>
          </w:p>
        </w:tc>
      </w:tr>
      <w:tr w14:paraId="28E3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01CAB66A">
            <w:pPr>
              <w:rPr>
                <w:rFonts w:hint="eastAsia" w:ascii="宋体"/>
                <w:sz w:val="24"/>
                <w:szCs w:val="24"/>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71347449">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91E96">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60FAF">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33006">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D5C68CC">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C6F9325">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BA20E98">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3E9EE0F3">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F2AF47C">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0C5FAAD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71153E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5E03EBA2">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65B109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E4A82FC">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54AC5697">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0358BE4">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0B2D9E7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34807B5">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52F521E7">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8B3578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401E47E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259E482">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14:paraId="1651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465CCA0">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ascii="黑体" w:hAnsi="宋体" w:eastAsia="黑体" w:cs="黑体"/>
                <w:kern w:val="2"/>
                <w:sz w:val="20"/>
                <w:szCs w:val="20"/>
                <w:lang w:val="en-US" w:eastAsia="zh-CN" w:bidi="ar"/>
              </w:rPr>
              <w:t> </w:t>
            </w: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7E06F9E">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04E8D4E">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A8CF946">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1600219">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1B81D5C">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17518CBC">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A9C2B5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F4C2716">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7572DB7">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49F84CE">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9E18442">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4CA9A1C">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2F89222">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FFE91F8">
            <w:pPr>
              <w:rPr>
                <w:rFonts w:hint="eastAsia" w:ascii="宋体" w:eastAsiaTheme="minorEastAsia"/>
                <w:sz w:val="24"/>
                <w:szCs w:val="24"/>
                <w:lang w:val="en-US" w:eastAsia="zh-CN"/>
              </w:rPr>
            </w:pPr>
            <w:r>
              <w:rPr>
                <w:rFonts w:hint="eastAsia" w:ascii="宋体"/>
                <w:sz w:val="24"/>
                <w:szCs w:val="24"/>
                <w:lang w:val="en-US" w:eastAsia="zh-CN"/>
              </w:rPr>
              <w:t>0</w:t>
            </w:r>
          </w:p>
        </w:tc>
      </w:tr>
    </w:tbl>
    <w:p w14:paraId="672319B3">
      <w:pPr>
        <w:pStyle w:val="2"/>
        <w:keepNext w:val="0"/>
        <w:keepLines w:val="0"/>
        <w:widowControl/>
        <w:numPr>
          <w:ilvl w:val="0"/>
          <w:numId w:val="0"/>
        </w:numPr>
        <w:suppressLineNumbers w:val="0"/>
        <w:spacing w:before="0" w:beforeAutospacing="0" w:after="0" w:afterAutospacing="0"/>
        <w:ind w:leftChars="100" w:right="0" w:rightChars="0"/>
        <w:jc w:val="both"/>
        <w:rPr>
          <w:rFonts w:ascii="Calibri" w:hAnsi="Calibri" w:cs="Calibri"/>
          <w:i w:val="0"/>
          <w:iCs w:val="0"/>
          <w:caps w:val="0"/>
          <w:color w:val="000000" w:themeColor="text1"/>
          <w:spacing w:val="0"/>
          <w:sz w:val="21"/>
          <w:szCs w:val="21"/>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存在的主要问题及改进情况</w:t>
      </w:r>
    </w:p>
    <w:p w14:paraId="7A626ED9">
      <w:pPr>
        <w:pStyle w:val="2"/>
        <w:keepNext w:val="0"/>
        <w:keepLines w:val="0"/>
        <w:widowControl/>
        <w:numPr>
          <w:ilvl w:val="0"/>
          <w:numId w:val="0"/>
        </w:numPr>
        <w:suppressLineNumbers w:val="0"/>
        <w:spacing w:before="0" w:beforeAutospacing="0" w:after="0" w:afterAutospacing="0"/>
        <w:ind w:leftChars="100" w:right="0" w:rightChars="0" w:firstLine="321" w:firstLineChars="100"/>
        <w:jc w:val="both"/>
        <w:rPr>
          <w:rFonts w:ascii="Calibri" w:hAnsi="Calibri" w:cs="Calibri"/>
          <w:i w:val="0"/>
          <w:iCs w:val="0"/>
          <w:caps w:val="0"/>
          <w:color w:val="000000" w:themeColor="text1"/>
          <w:spacing w:val="0"/>
          <w:sz w:val="21"/>
          <w:szCs w:val="21"/>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t>存在的问题</w:t>
      </w:r>
    </w:p>
    <w:p w14:paraId="1728AC44">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2024</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我</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局信息公开工作取得了一定成效，但我们清醒地认识到还存在一些短板和不足，主要表现在：公开质效不够明显。重要信息公开和解读工作的力度还需进一步加强，特别是深入解读涉及群众切身利益的政策举措力度不够，需进一步提升政务信息公开质效。</w:t>
      </w:r>
    </w:p>
    <w:p w14:paraId="4F6ABD5C">
      <w:pPr>
        <w:pStyle w:val="2"/>
        <w:keepNext w:val="0"/>
        <w:keepLines w:val="0"/>
        <w:widowControl/>
        <w:numPr>
          <w:ilvl w:val="0"/>
          <w:numId w:val="0"/>
        </w:numPr>
        <w:suppressLineNumbers w:val="0"/>
        <w:spacing w:before="0" w:beforeAutospacing="0" w:after="0" w:afterAutospacing="0"/>
        <w:ind w:leftChars="100" w:right="0" w:rightChars="0" w:firstLine="321" w:firstLineChars="100"/>
        <w:jc w:val="both"/>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 w:hAnsi="楷体" w:eastAsia="楷体" w:cs="楷体"/>
          <w:b/>
          <w:bCs/>
          <w:i w:val="0"/>
          <w:iCs w:val="0"/>
          <w:caps w:val="0"/>
          <w:color w:val="000000" w:themeColor="text1"/>
          <w:spacing w:val="0"/>
          <w:sz w:val="32"/>
          <w:szCs w:val="32"/>
          <w:shd w:val="clear" w:fill="FFFFFF"/>
          <w:lang w:val="en-US" w:eastAsia="zh-Hans"/>
          <w14:textFill>
            <w14:solidFill>
              <w14:schemeClr w14:val="tx1"/>
            </w14:solidFill>
          </w14:textFill>
        </w:rPr>
        <w:t>问题改进情况</w:t>
      </w:r>
    </w:p>
    <w:p w14:paraId="3BCAE78D">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下一步，我们将坚持问题导向，加大培训力度，进一步提升信息公开质量和时效，进一步提高社会对财政政策的关注度和知晓率。</w:t>
      </w:r>
    </w:p>
    <w:p w14:paraId="6027F6C6">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六、其他需要报告的事项</w:t>
      </w:r>
    </w:p>
    <w:p w14:paraId="1D7C33D5">
      <w:pPr>
        <w:pStyle w:val="2"/>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仿宋_GB2312" w:hAnsi="仿宋_GB2312" w:eastAsia="仿宋_GB2312" w:cs="仿宋_GB2312"/>
          <w:b/>
          <w:bCs/>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Hans"/>
          <w14:textFill>
            <w14:solidFill>
              <w14:schemeClr w14:val="tx1"/>
            </w14:solidFill>
          </w14:textFill>
        </w:rPr>
        <w:t>（一）政府信息处理费收取情况</w:t>
      </w:r>
    </w:p>
    <w:p w14:paraId="049BACE6">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2024年度</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区财政局</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未收取政府信息处理费用。</w:t>
      </w:r>
    </w:p>
    <w:p w14:paraId="39F85F47">
      <w:pPr>
        <w:pStyle w:val="2"/>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仿宋_GB2312" w:hAnsi="仿宋_GB2312" w:eastAsia="仿宋_GB2312" w:cs="仿宋_GB2312"/>
          <w:b/>
          <w:bCs/>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Hans"/>
          <w14:textFill>
            <w14:solidFill>
              <w14:schemeClr w14:val="tx1"/>
            </w14:solidFill>
          </w14:textFill>
        </w:rPr>
        <w:t>（二）政务公开工作要点完成情况</w:t>
      </w:r>
    </w:p>
    <w:p w14:paraId="27954764">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严格落实《关于做好2024年政务公开工作的通知》（赣经开办字〔2024〕69号），做到了政策措施、工作进展、基本信息等应公开尽公开，高标准完成各项任务。</w:t>
      </w:r>
    </w:p>
    <w:p w14:paraId="674571EF">
      <w:pPr>
        <w:pStyle w:val="2"/>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仿宋_GB2312" w:hAnsi="仿宋_GB2312" w:eastAsia="仿宋_GB2312" w:cs="仿宋_GB2312"/>
          <w:b/>
          <w:bCs/>
          <w:i w:val="0"/>
          <w:iCs w:val="0"/>
          <w:caps w:val="0"/>
          <w:color w:val="000000" w:themeColor="text1"/>
          <w:spacing w:val="0"/>
          <w:sz w:val="32"/>
          <w:szCs w:val="32"/>
          <w:shd w:val="clear" w:fill="FFFFFF"/>
          <w:lang w:val="en-US" w:eastAsia="zh-Hans"/>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Hans"/>
          <w14:textFill>
            <w14:solidFill>
              <w14:schemeClr w14:val="tx1"/>
            </w14:solidFill>
          </w14:textFill>
        </w:rPr>
        <w:t>（三）重点领域信息公开情况</w:t>
      </w:r>
    </w:p>
    <w:p w14:paraId="28A81B28">
      <w:pPr>
        <w:pStyle w:val="2"/>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kern w:val="0"/>
          <w:sz w:val="32"/>
          <w:szCs w:val="32"/>
          <w:shd w:val="clear" w:fill="FFFFFF"/>
          <w:lang w:val="en-US" w:eastAsia="zh-Hans"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围绕财政</w:t>
      </w:r>
      <w:r>
        <w:rPr>
          <w:rFonts w:hint="eastAsia" w:ascii="仿宋_GB2312" w:hAnsi="仿宋_GB2312" w:eastAsia="仿宋_GB2312" w:cs="仿宋_GB2312"/>
          <w:i w:val="0"/>
          <w:iCs w:val="0"/>
          <w:caps w:val="0"/>
          <w:color w:val="000000" w:themeColor="text1"/>
          <w:spacing w:val="0"/>
          <w:sz w:val="32"/>
          <w:szCs w:val="32"/>
          <w:shd w:val="clear" w:fill="FFFFFF"/>
          <w:lang w:val="en-US" w:eastAsia="zh-Hans"/>
          <w14:textFill>
            <w14:solidFill>
              <w14:schemeClr w14:val="tx1"/>
            </w14:solidFill>
          </w14:textFill>
        </w:rPr>
        <w:t>重点领域，扎实推进政府信息公开工作，</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不断提升政务公开</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的规范化、精细度和实效性，全面提高政务公开质量。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772AC"/>
    <w:rsid w:val="1DE657E0"/>
    <w:rsid w:val="210E39CB"/>
    <w:rsid w:val="2836553C"/>
    <w:rsid w:val="48785637"/>
    <w:rsid w:val="50A754DB"/>
    <w:rsid w:val="6424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2262</Words>
  <Characters>2321</Characters>
  <Lines>0</Lines>
  <Paragraphs>0</Paragraphs>
  <TotalTime>0</TotalTime>
  <ScaleCrop>false</ScaleCrop>
  <LinksUpToDate>false</LinksUpToDate>
  <CharactersWithSpaces>2521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2022-03-19T09:57:00Z</dcterms:created>
  <dc:creator>Yolanda</dc:creator>
  <cp:lastModifiedBy>sa啷嘿</cp:lastModifiedBy>
  <cp:lastPrinted>2025-01-24T03:32:00Z</cp:lastPrinted>
  <dcterms:modified xsi:type="dcterms:W3CDTF">2025-02-05T00:45:29Z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821DEB1C70B847ADA0CA5FF9E4EAD358_13</vt:lpwstr>
  </property>
  <property fmtid="{D5CDD505-2E9C-101B-9397-08002B2CF9AE}" pid="4" name="KSOTemplateDocerSaveRecord">
    <vt:lpwstr>eyJoZGlkIjoiMTc4MzVkYWM5NTlkNmRlYTY2OTk2Mjc5MGI2N2NkZWUiLCJ1c2VySWQiOiIzNTM0NDA5NDUifQ==</vt:lpwstr>
  </property>
</Properties>
</file>