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14:textFill>
            <w14:solidFill>
              <w14:schemeClr w14:val="tx1"/>
            </w14:solidFill>
          </w14:textFill>
        </w:rPr>
        <w:t>赣州</w:t>
      </w: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eastAsia="zh-CN"/>
          <w14:textFill>
            <w14:solidFill>
              <w14:schemeClr w14:val="tx1"/>
            </w14:solidFill>
          </w14:textFill>
        </w:rPr>
        <w:t>经济技术开发区企业服务和工信局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val="en-US" w:eastAsia="zh-CN"/>
          <w14:textFill>
            <w14:solidFill>
              <w14:schemeClr w14:val="tx1"/>
            </w14:solidFill>
          </w14:textFill>
        </w:rPr>
        <w:t>2023年</w:t>
      </w:r>
      <w:r>
        <w:rPr>
          <w:rFonts w:hint="eastAsia" w:ascii="方正小标宋简体" w:hAnsi="方正小标宋简体" w:eastAsia="方正小标宋简体" w:cs="方正小标宋简体"/>
          <w:b w:val="0"/>
          <w:bCs/>
          <w:i w:val="0"/>
          <w:caps w:val="0"/>
          <w:color w:val="000000" w:themeColor="text1"/>
          <w:spacing w:val="0"/>
          <w:sz w:val="44"/>
          <w:szCs w:val="44"/>
          <w:shd w:val="clear" w:color="auto" w:fill="FFFFFF"/>
          <w:lang w:eastAsia="zh-CN"/>
          <w14:textFill>
            <w14:solidFill>
              <w14:schemeClr w14:val="tx1"/>
            </w14:solidFill>
          </w14:textFill>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000000" w:themeColor="text1"/>
          <w:sz w:val="24"/>
          <w:szCs w:val="2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b w:val="0"/>
          <w:bCs w:val="0"/>
          <w:snapToGrid/>
          <w:color w:val="000000" w:themeColor="text1"/>
          <w:szCs w:val="32"/>
          <w14:textFill>
            <w14:solidFill>
              <w14:schemeClr w14:val="tx1"/>
            </w14:solidFill>
          </w14:textFill>
        </w:rPr>
      </w:pPr>
      <w:r>
        <w:rPr>
          <w:rFonts w:hint="eastAsia" w:ascii="仿宋_GB2312" w:hAnsi="宋体" w:eastAsia="仿宋_GB2312" w:cs="宋体"/>
          <w:snapToGrid/>
          <w:color w:val="000000" w:themeColor="text1"/>
          <w:szCs w:val="32"/>
          <w14:textFill>
            <w14:solidFill>
              <w14:schemeClr w14:val="tx1"/>
            </w14:solidFill>
          </w14:textFill>
        </w:rPr>
        <w:t>本报告依据《中华人民共和国政府信息公开条例》（国务院令第711号）（以下简称《条例》）和《国务院办公厅政府信息与政务公开办公室关于印发&lt;中华人民共和国政府信息公开工作年度报告格式&gt;的通知》（国办公开办函〔2021〕30号）要求，由赣州</w:t>
      </w:r>
      <w:r>
        <w:rPr>
          <w:rFonts w:hint="eastAsia" w:ascii="仿宋_GB2312" w:hAnsi="宋体" w:eastAsia="仿宋_GB2312" w:cs="宋体"/>
          <w:snapToGrid/>
          <w:color w:val="000000" w:themeColor="text1"/>
          <w:szCs w:val="32"/>
          <w:lang w:val="en-US" w:eastAsia="zh-CN"/>
          <w14:textFill>
            <w14:solidFill>
              <w14:schemeClr w14:val="tx1"/>
            </w14:solidFill>
          </w14:textFill>
        </w:rPr>
        <w:t>经开区</w:t>
      </w:r>
      <w:r>
        <w:rPr>
          <w:rFonts w:hint="eastAsia" w:ascii="仿宋_GB2312" w:hAnsi="宋体" w:eastAsia="仿宋_GB2312" w:cs="宋体"/>
          <w:snapToGrid/>
          <w:color w:val="000000" w:themeColor="text1"/>
          <w:szCs w:val="32"/>
          <w:lang w:eastAsia="zh-CN"/>
          <w14:textFill>
            <w14:solidFill>
              <w14:schemeClr w14:val="tx1"/>
            </w14:solidFill>
          </w14:textFill>
        </w:rPr>
        <w:t>企业服务和工信局</w:t>
      </w:r>
      <w:r>
        <w:rPr>
          <w:rFonts w:hint="eastAsia" w:ascii="仿宋_GB2312" w:hAnsi="宋体" w:eastAsia="仿宋_GB2312" w:cs="宋体"/>
          <w:snapToGrid/>
          <w:color w:val="000000" w:themeColor="text1"/>
          <w:szCs w:val="32"/>
          <w14:textFill>
            <w14:solidFill>
              <w14:schemeClr w14:val="tx1"/>
            </w14:solidFill>
          </w14:textFill>
        </w:rPr>
        <w:t>结合有关统计数据编制。本年度报告中所列数据的统计期限自202</w:t>
      </w:r>
      <w:r>
        <w:rPr>
          <w:rFonts w:hint="eastAsia" w:ascii="仿宋_GB2312" w:hAnsi="宋体" w:eastAsia="仿宋_GB2312" w:cs="宋体"/>
          <w:snapToGrid/>
          <w:color w:val="000000" w:themeColor="text1"/>
          <w:szCs w:val="32"/>
          <w:lang w:val="en-US" w:eastAsia="zh-CN"/>
          <w14:textFill>
            <w14:solidFill>
              <w14:schemeClr w14:val="tx1"/>
            </w14:solidFill>
          </w14:textFill>
        </w:rPr>
        <w:t>3</w:t>
      </w:r>
      <w:r>
        <w:rPr>
          <w:rFonts w:hint="eastAsia" w:ascii="仿宋_GB2312" w:hAnsi="宋体" w:eastAsia="仿宋_GB2312" w:cs="宋体"/>
          <w:snapToGrid/>
          <w:color w:val="000000" w:themeColor="text1"/>
          <w:szCs w:val="32"/>
          <w14:textFill>
            <w14:solidFill>
              <w14:schemeClr w14:val="tx1"/>
            </w14:solidFill>
          </w14:textFill>
        </w:rPr>
        <w:t>年1月1日起至202</w:t>
      </w:r>
      <w:r>
        <w:rPr>
          <w:rFonts w:hint="eastAsia" w:ascii="仿宋_GB2312" w:hAnsi="宋体" w:eastAsia="仿宋_GB2312" w:cs="宋体"/>
          <w:snapToGrid/>
          <w:color w:val="000000" w:themeColor="text1"/>
          <w:szCs w:val="32"/>
          <w:lang w:val="en-US" w:eastAsia="zh-CN"/>
          <w14:textFill>
            <w14:solidFill>
              <w14:schemeClr w14:val="tx1"/>
            </w14:solidFill>
          </w14:textFill>
        </w:rPr>
        <w:t>3</w:t>
      </w:r>
      <w:r>
        <w:rPr>
          <w:rFonts w:hint="eastAsia" w:ascii="仿宋_GB2312" w:hAnsi="宋体" w:eastAsia="仿宋_GB2312" w:cs="宋体"/>
          <w:snapToGrid/>
          <w:color w:val="000000" w:themeColor="text1"/>
          <w:szCs w:val="32"/>
          <w14:textFill>
            <w14:solidFill>
              <w14:schemeClr w14:val="tx1"/>
            </w14:solidFill>
          </w14:textFill>
        </w:rPr>
        <w:t>年12月31日止。本年度报告的电子版可以从赣州经济技术开发区政务网（http://gzjkq.ganzhou.gov.cn）下载。如对本报告有任何疑问，</w:t>
      </w:r>
      <w:r>
        <w:rPr>
          <w:rFonts w:hint="eastAsia" w:ascii="仿宋_GB2312" w:hAnsi="宋体" w:eastAsia="仿宋_GB2312" w:cs="宋体"/>
          <w:snapToGrid/>
          <w:color w:val="000000" w:themeColor="text1"/>
          <w:szCs w:val="32"/>
          <w:lang w:eastAsia="zh-CN"/>
          <w14:textFill>
            <w14:solidFill>
              <w14:schemeClr w14:val="tx1"/>
            </w14:solidFill>
          </w14:textFill>
        </w:rPr>
        <w:t>请联系：</w:t>
      </w:r>
      <w:bookmarkStart w:id="0" w:name="_GoBack"/>
      <w:bookmarkEnd w:id="0"/>
      <w:r>
        <w:rPr>
          <w:rFonts w:hint="eastAsia" w:ascii="仿宋_GB2312" w:hAnsi="宋体" w:eastAsia="仿宋_GB2312" w:cs="宋体"/>
          <w:snapToGrid/>
          <w:color w:val="000000" w:themeColor="text1"/>
          <w:szCs w:val="32"/>
          <w:lang w:eastAsia="zh-CN"/>
          <w14:textFill>
            <w14:solidFill>
              <w14:schemeClr w14:val="tx1"/>
            </w14:solidFill>
          </w14:textFill>
        </w:rPr>
        <w:t>赣州经开区企业服务和工信局</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（地址：赣州经开区华坚南路管委会东楼二楼2119室，电话：</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0797－</w:t>
      </w: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8164906</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w:t>
      </w:r>
      <w:r>
        <w:rPr>
          <w:rFonts w:hint="eastAsia" w:ascii="仿宋_GB2312" w:hAnsi="宋体" w:eastAsia="仿宋_GB2312" w:cs="宋体"/>
          <w:snapToGrid/>
          <w:color w:val="000000" w:themeColor="text1"/>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一、总体情况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2023年，我局坚持以习近平新时代中国特色社会主义思想为指导，全面贯彻落实党的二十大精神和习近平总书记考察江西重要讲话精神，聚焦“三大战略、八大行动”、“一极两地四中心”建设，着力拓宽政府信息公开渠道、增强政府信息公开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Autospacing="0" w:afterAutospacing="0" w:line="560" w:lineRule="exact"/>
        <w:ind w:left="0" w:right="0" w:firstLine="480"/>
        <w:jc w:val="left"/>
        <w:textAlignment w:val="auto"/>
        <w:rPr>
          <w:rFonts w:hint="eastAsia" w:ascii="楷体_GB2312" w:hAnsi="楷体_GB2312" w:eastAsia="楷体_GB2312" w:cs="楷体_GB2312"/>
          <w:i w:val="0"/>
          <w:iCs w:val="0"/>
          <w:caps w:val="0"/>
          <w:color w:val="000000" w:themeColor="text1"/>
          <w:spacing w:val="0"/>
          <w:sz w:val="21"/>
          <w:szCs w:val="21"/>
          <w14:textFill>
            <w14:solidFill>
              <w14:schemeClr w14:val="tx1"/>
            </w14:solidFill>
          </w14:textFill>
        </w:rPr>
      </w:pPr>
      <w:r>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（一）主动公开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default"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t>我局政务信息公开平台全年主动公开政务信息共计105条，其中机构职能1条，部门文件3条，工作动态99条，财政预决算1条，年度报告1条，涵盖产业培育、项目建设、企业服务等领域，公开相关政策举措、工作进展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Autospacing="0" w:afterAutospacing="0" w:line="560" w:lineRule="exact"/>
        <w:ind w:left="0" w:right="0" w:firstLine="480"/>
        <w:jc w:val="left"/>
        <w:textAlignment w:val="auto"/>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（二）依申请公开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t>2023年，我局未收到来自单位和个人的政府信息公开申请。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Autospacing="0" w:afterAutospacing="0" w:line="560" w:lineRule="exact"/>
        <w:ind w:left="0" w:right="0" w:firstLine="480"/>
        <w:jc w:val="left"/>
        <w:textAlignment w:val="auto"/>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（三）政府信息管理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严格落实网络意识形态工作责任制，成立政务公开工作领导小组，形成局主要领导亲自抓，分管领导具体抓，牵头工作组具体负责的工作机制。加强政务信息发布审查，按要求更新政府信息公开指南，明确专人负责信息上传，严格落实信息发布保密审核制度和“三审三核”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snapToGrid/>
          <w:color w:val="000000" w:themeColor="text1"/>
          <w:szCs w:val="32"/>
          <w:lang w:val="en-US" w:eastAsia="zh-CN"/>
          <w14:textFill>
            <w14:solidFill>
              <w14:schemeClr w14:val="tx1"/>
            </w14:solidFill>
          </w14:textFill>
        </w:rPr>
      </w:pPr>
      <w:r>
        <w:rPr>
          <w:rFonts w:hint="eastAsia" w:ascii="楷体_GB2312" w:hAnsi="楷体_GB2312" w:eastAsia="楷体_GB2312" w:cs="楷体_GB2312"/>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（四）监督保障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积极参加区内组织的政务公开工作业务培训会，提升政务公开工作能力和水平。将政务公开纳入机关年度考核，考核结果作为年度评先评优重要依据。由综合组牵头，定期组织监督检查信息公开工作的实施情况，确保政务公开工作有序推进。</w:t>
      </w:r>
    </w:p>
    <w:p>
      <w:pPr>
        <w:widowControl/>
        <w:shd w:val="clear" w:color="auto" w:fill="FFFFFF"/>
        <w:autoSpaceDE/>
        <w:autoSpaceDN/>
        <w:snapToGrid/>
        <w:spacing w:line="240" w:lineRule="auto"/>
        <w:ind w:firstLine="480"/>
        <w:rPr>
          <w:rFonts w:hint="eastAsia" w:ascii="宋体" w:hAnsi="宋体" w:eastAsia="宋体" w:cs="宋体"/>
          <w:snapToGrid/>
          <w:color w:val="000000" w:themeColor="text1"/>
          <w:sz w:val="24"/>
          <w:szCs w:val="24"/>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二、主动公开政府信息情况</w:t>
      </w:r>
    </w:p>
    <w:tbl>
      <w:tblPr>
        <w:tblStyle w:val="9"/>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本年</w:t>
            </w:r>
            <w:r>
              <w:rPr>
                <w:rFonts w:ascii="宋体" w:hAnsi="宋体" w:eastAsia="宋体" w:cs="Calibri"/>
                <w:snapToGrid/>
                <w:color w:val="000000" w:themeColor="text1"/>
                <w:sz w:val="20"/>
                <w14:textFill>
                  <w14:solidFill>
                    <w14:schemeClr w14:val="tx1"/>
                  </w14:solidFill>
                </w14:textFill>
              </w:rPr>
              <w:t>制</w:t>
            </w:r>
            <w:r>
              <w:rPr>
                <w:rFonts w:hint="eastAsia" w:ascii="宋体" w:hAnsi="宋体" w:eastAsia="宋体" w:cs="宋体"/>
                <w:snapToGrid/>
                <w:color w:val="000000" w:themeColor="text1"/>
                <w:sz w:val="20"/>
                <w14:textFill>
                  <w14:solidFill>
                    <w14:schemeClr w14:val="tx1"/>
                  </w14:solidFill>
                </w14:textFill>
              </w:rPr>
              <w:t>发件</w:t>
            </w:r>
            <w:r>
              <w:rPr>
                <w:rFonts w:ascii="宋体" w:hAnsi="宋体" w:eastAsia="宋体" w:cs="Calibri"/>
                <w:snapToGrid/>
                <w:color w:val="000000" w:themeColor="text1"/>
                <w:sz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现行有效件</w:t>
            </w:r>
            <w:r>
              <w:rPr>
                <w:rFonts w:ascii="宋体" w:hAnsi="宋体" w:eastAsia="宋体" w:cs="Calibri"/>
                <w:snapToGrid/>
                <w:color w:val="000000" w:themeColor="text1"/>
                <w:sz w:val="20"/>
                <w14:textFill>
                  <w14:solidFill>
                    <w14:schemeClr w14:val="tx1"/>
                  </w14:solidFill>
                </w14:textFill>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Calibri" w:hAnsi="Calibri" w:eastAsia="宋体" w:cs="Calibri"/>
                <w:snapToGrid/>
                <w:color w:val="000000" w:themeColor="text1"/>
                <w:sz w:val="21"/>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Calibri" w:hAnsi="Calibri" w:eastAsia="宋体" w:cs="Calibri"/>
                <w:snapToGrid/>
                <w:color w:val="000000" w:themeColor="text1"/>
                <w:sz w:val="21"/>
                <w:szCs w:val="21"/>
                <w:lang w:val="en-US" w:eastAsia="zh-CN"/>
                <w14:textFill>
                  <w14:solidFill>
                    <w14:schemeClr w14:val="tx1"/>
                  </w14:solidFill>
                </w14:textFill>
              </w:rPr>
              <w:t>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color w:val="000000" w:themeColor="text1"/>
                <w:sz w:val="24"/>
                <w:szCs w:val="24"/>
                <w:lang w:val="en-US" w:eastAsia="zh-CN"/>
                <w14:textFill>
                  <w14:solidFill>
                    <w14:schemeClr w14:val="tx1"/>
                  </w14:solidFill>
                </w14:textFill>
              </w:rPr>
            </w:pPr>
            <w:r>
              <w:rPr>
                <w:rFonts w:hint="eastAsia" w:ascii="Calibri" w:hAnsi="Calibri" w:eastAsia="宋体" w:cs="Calibri"/>
                <w:snapToGrid/>
                <w:color w:val="000000" w:themeColor="text1"/>
                <w:sz w:val="21"/>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4"/>
                <w:szCs w:val="24"/>
                <w:lang w:val="en-US" w:eastAsia="zh-CN"/>
                <w14:textFill>
                  <w14:solidFill>
                    <w14:schemeClr w14:val="tx1"/>
                  </w14:solidFill>
                </w14:textFill>
              </w:rPr>
            </w:pPr>
            <w:r>
              <w:rPr>
                <w:rFonts w:hint="eastAsia" w:ascii="宋体" w:hAnsi="宋体" w:eastAsia="宋体" w:cs="宋体"/>
                <w:snapToGrid/>
                <w:color w:val="000000" w:themeColor="text1"/>
                <w:sz w:val="24"/>
                <w:szCs w:val="24"/>
                <w:lang w:val="en-US" w:eastAsia="zh-CN"/>
                <w14:textFill>
                  <w14:solidFill>
                    <w14:schemeClr w14:val="tx1"/>
                  </w14:solidFill>
                </w14:textFill>
              </w:rPr>
              <w:t>0</w:t>
            </w:r>
          </w:p>
        </w:tc>
      </w:tr>
    </w:tbl>
    <w:p>
      <w:pPr>
        <w:pStyle w:val="8"/>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000000" w:themeColor="text1"/>
          <w:sz w:val="32"/>
          <w:szCs w:val="32"/>
          <w14:textFill>
            <w14:solidFill>
              <w14:schemeClr w14:val="tx1"/>
            </w14:solidFill>
          </w14:textFill>
        </w:rPr>
      </w:pPr>
    </w:p>
    <w:p>
      <w:pPr>
        <w:pStyle w:val="8"/>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000000" w:themeColor="text1"/>
          <w:sz w:val="32"/>
          <w:szCs w:val="32"/>
          <w:lang w:eastAsia="zh-CN"/>
          <w14:textFill>
            <w14:solidFill>
              <w14:schemeClr w14:val="tx1"/>
            </w14:solidFill>
          </w14:textFill>
        </w:rPr>
      </w:pPr>
      <w:r>
        <w:rPr>
          <w:rFonts w:hint="eastAsia" w:ascii="黑体" w:hAnsi="黑体" w:eastAsia="黑体" w:cs="黑体"/>
          <w:b w:val="0"/>
          <w:bCs w:val="0"/>
          <w:snapToGrid/>
          <w:color w:val="000000" w:themeColor="text1"/>
          <w:sz w:val="32"/>
          <w:szCs w:val="32"/>
          <w14:textFill>
            <w14:solidFill>
              <w14:schemeClr w14:val="tx1"/>
            </w14:solidFill>
          </w14:textFill>
        </w:rPr>
        <w:t>三、收到和处理政府信息公开申请情况</w:t>
      </w:r>
    </w:p>
    <w:tbl>
      <w:tblPr>
        <w:tblStyle w:val="9"/>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楷体" w:hAnsi="楷体" w:eastAsia="楷体" w:cs="宋体"/>
                <w:snapToGrid/>
                <w:color w:val="000000" w:themeColor="text1"/>
                <w:sz w:val="20"/>
                <w14:textFill>
                  <w14:solidFill>
                    <w14:schemeClr w14:val="tx1"/>
                  </w14:solidFill>
                </w14:textFill>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商业</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科研</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（二）部分公开</w:t>
            </w:r>
            <w:r>
              <w:rPr>
                <w:rFonts w:hint="eastAsia" w:ascii="楷体" w:hAnsi="楷体" w:eastAsia="楷体" w:cs="宋体"/>
                <w:snapToGrid/>
                <w:color w:val="000000" w:themeColor="text1"/>
                <w:sz w:val="20"/>
                <w14:textFill>
                  <w14:solidFill>
                    <w14:schemeClr w14:val="tx1"/>
                  </w14:solidFill>
                </w14:textFill>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cs="Calibri"/>
                <w:snapToGrid/>
                <w:color w:val="000000" w:themeColor="text1"/>
                <w:sz w:val="20"/>
                <w:lang w:val="en-US" w:eastAsia="zh-CN"/>
                <w14:textFill>
                  <w14:solidFill>
                    <w14:schemeClr w14:val="tx1"/>
                  </w14:solidFill>
                </w14:textFill>
              </w:rPr>
            </w:pPr>
          </w:p>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cs="Calibri"/>
                <w:snapToGrid/>
                <w:color w:val="000000" w:themeColor="text1"/>
                <w:sz w:val="20"/>
                <w:lang w:val="en-US" w:eastAsia="zh-CN"/>
                <w14:textFill>
                  <w14:solidFill>
                    <w14:schemeClr w14:val="tx1"/>
                  </w14:solidFill>
                </w14:textFill>
              </w:rPr>
            </w:pPr>
          </w:p>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cs="Calibri"/>
                <w:snapToGrid/>
                <w:color w:val="000000" w:themeColor="text1"/>
                <w:sz w:val="20"/>
                <w:lang w:val="en-US" w:eastAsia="zh-CN"/>
                <w14:textFill>
                  <w14:solidFill>
                    <w14:schemeClr w14:val="tx1"/>
                  </w14:solidFill>
                </w14:textFill>
              </w:rPr>
            </w:pPr>
          </w:p>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cs="Calibri"/>
                <w:snapToGrid/>
                <w:color w:val="000000" w:themeColor="text1"/>
                <w:sz w:val="20"/>
                <w:lang w:val="en-US" w:eastAsia="zh-CN"/>
                <w14:textFill>
                  <w14:solidFill>
                    <w14:schemeClr w14:val="tx1"/>
                  </w14:solidFill>
                </w14:textFill>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000000" w:themeColor="text1"/>
          <w:sz w:val="24"/>
          <w:szCs w:val="24"/>
          <w14:textFill>
            <w14:solidFill>
              <w14:schemeClr w14:val="tx1"/>
            </w14:solidFill>
          </w14:textFill>
        </w:rPr>
      </w:pPr>
    </w:p>
    <w:p>
      <w:pPr>
        <w:widowControl/>
        <w:shd w:val="clear" w:color="auto" w:fill="FFFFFF"/>
        <w:autoSpaceDE/>
        <w:autoSpaceDN/>
        <w:snapToGrid/>
        <w:spacing w:line="240" w:lineRule="auto"/>
        <w:ind w:firstLine="480"/>
        <w:rPr>
          <w:rFonts w:hint="eastAsia" w:ascii="宋体" w:hAnsi="宋体" w:eastAsia="宋体" w:cs="宋体"/>
          <w:snapToGrid/>
          <w:color w:val="000000" w:themeColor="text1"/>
          <w:sz w:val="24"/>
          <w:szCs w:val="24"/>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四、政府信息公开行政复议、行政诉讼情况</w:t>
      </w:r>
    </w:p>
    <w:tbl>
      <w:tblPr>
        <w:tblStyle w:val="9"/>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其他</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尚未</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color w:val="000000" w:themeColor="text1"/>
                <w:sz w:val="24"/>
                <w:szCs w:val="24"/>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其他</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尚未</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其他</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themeColor="text1"/>
                <w:sz w:val="20"/>
                <w:lang w:eastAsia="zh-CN"/>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尚未</w:t>
            </w:r>
          </w:p>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color w:val="000000" w:themeColor="text1"/>
                <w:sz w:val="24"/>
                <w:szCs w:val="24"/>
                <w14:textFill>
                  <w14:solidFill>
                    <w14:schemeClr w14:val="tx1"/>
                  </w14:solidFill>
                </w14:textFill>
              </w:rPr>
            </w:pPr>
            <w:r>
              <w:rPr>
                <w:rFonts w:hint="eastAsia" w:ascii="宋体" w:hAnsi="宋体" w:eastAsia="宋体" w:cs="宋体"/>
                <w:snapToGrid/>
                <w:color w:val="000000" w:themeColor="text1"/>
                <w:sz w:val="20"/>
                <w14:textFill>
                  <w14:solidFill>
                    <w14:schemeClr w14:val="tx1"/>
                  </w14:solidFill>
                </w14:textFill>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color w:val="000000" w:themeColor="text1"/>
                <w:sz w:val="24"/>
                <w:szCs w:val="24"/>
                <w:lang w:val="en-US" w:eastAsia="zh-CN" w:bidi="ar-SA"/>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cs="宋体"/>
                <w:snapToGrid/>
                <w:color w:val="000000" w:themeColor="text1"/>
                <w:sz w:val="20"/>
                <w:lang w:val="en-US" w:eastAsia="zh-CN"/>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cs="宋体"/>
                <w:snapToGrid/>
                <w:color w:val="000000" w:themeColor="text1"/>
                <w:sz w:val="20"/>
                <w:lang w:val="en-US" w:eastAsia="zh-CN"/>
                <w14:textFill>
                  <w14:solidFill>
                    <w14:schemeClr w14:val="tx1"/>
                  </w14:solidFill>
                </w14:textFill>
              </w:rPr>
            </w:pPr>
            <w:r>
              <w:rPr>
                <w:rFonts w:hint="eastAsia" w:ascii="宋体" w:hAnsi="宋体" w:cs="宋体"/>
                <w:snapToGrid/>
                <w:color w:val="000000" w:themeColor="text1"/>
                <w:sz w:val="20"/>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五、存在的主要问题及改进情况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2023年，我局</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政务公开工作虽然取得了一定的成效，但对照党中央、国务院及省、市、区深化政务公开的要求还存在一定差距：一是政策解读形式不够丰富，解读的深度和广度不够；二是政务公开内容有待进一步提升。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针对上述问题，将从以下几方面改进提升：一是丰富政策解读的形式，提高政策解读的深度和广度。如，可以通过召开新闻发布会等形式向社会公众解读相关政策，尤其要注重向企业宣传宣讲相关惠企政策，提高政策解读的针对性。二是加强政务公开的业务培训，不断提高政务公开人员的素质，提高政务公开的质量和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000000" w:themeColor="text1"/>
          <w:szCs w:val="32"/>
          <w14:textFill>
            <w14:solidFill>
              <w14:schemeClr w14:val="tx1"/>
            </w14:solidFill>
          </w14:textFill>
        </w:rPr>
      </w:pPr>
      <w:r>
        <w:rPr>
          <w:rFonts w:hint="eastAsia" w:ascii="黑体" w:hAnsi="黑体" w:eastAsia="黑体" w:cs="宋体"/>
          <w:b w:val="0"/>
          <w:bCs w:val="0"/>
          <w:snapToGrid/>
          <w:color w:val="000000" w:themeColor="text1"/>
          <w:szCs w:val="32"/>
          <w14:textFill>
            <w14:solidFill>
              <w14:schemeClr w14:val="tx1"/>
            </w14:solidFill>
          </w14:textFill>
        </w:rPr>
        <w:t>六、其他需要报告的事项</w:t>
      </w:r>
    </w:p>
    <w:p>
      <w:pPr>
        <w:pStyle w:val="8"/>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32"/>
        <w:jc w:val="both"/>
        <w:textAlignment w:val="auto"/>
        <w:rPr>
          <w:rFonts w:hint="eastAsia"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snapToGrid w:val="0"/>
          <w:color w:val="000000" w:themeColor="text1"/>
          <w:spacing w:val="0"/>
          <w:sz w:val="32"/>
          <w:szCs w:val="32"/>
          <w:shd w:val="clear" w:color="auto" w:fill="FFFFFF"/>
          <w:lang w:val="en-US" w:eastAsia="zh-CN" w:bidi="ar-SA"/>
          <w14:textFill>
            <w14:solidFill>
              <w14:schemeClr w14:val="tx1"/>
            </w14:solidFill>
          </w14:textFill>
        </w:rPr>
        <w:t>按照《国务院办公厅关于印发〈政府信息公开信息处理费管理办法〉的通知》（国办函〔2020〕109 号）规定的按件、按量收费标准，本年度没有产生信息公开处理费。</w:t>
      </w:r>
    </w:p>
    <w:p>
      <w:pPr>
        <w:pStyle w:val="8"/>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32"/>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赣州经济技术开发区企业服务和工信局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xml:space="preserve">     2024年1月30日</w:t>
      </w:r>
    </w:p>
    <w:p>
      <w:pPr>
        <w:pStyle w:val="8"/>
        <w:keepNext w:val="0"/>
        <w:keepLines w:val="0"/>
        <w:widowControl/>
        <w:suppressLineNumbers w:val="0"/>
        <w:autoSpaceDE w:val="0"/>
        <w:autoSpaceDN/>
        <w:snapToGrid w:val="0"/>
        <w:spacing w:before="0" w:beforeAutospacing="0" w:after="0" w:afterAutospacing="0" w:line="540" w:lineRule="atLeast"/>
        <w:ind w:left="0" w:right="0" w:firstLine="632"/>
        <w:jc w:val="both"/>
        <w:rPr>
          <w:rFonts w:hint="default" w:ascii="仿宋" w:hAnsi="仿宋" w:eastAsia="仿宋" w:cs="仿宋"/>
          <w:color w:val="000000" w:themeColor="text1"/>
          <w:sz w:val="32"/>
          <w:szCs w:val="32"/>
          <w14:textFill>
            <w14:solidFill>
              <w14:schemeClr w14:val="tx1"/>
            </w14:solidFill>
          </w14:textFill>
        </w:rPr>
      </w:pPr>
    </w:p>
    <w:p>
      <w:pPr>
        <w:pStyle w:val="20"/>
        <w:rPr>
          <w:rFonts w:hint="eastAsia"/>
          <w:color w:val="000000" w:themeColor="text1"/>
          <w14:textFill>
            <w14:solidFill>
              <w14:schemeClr w14:val="tx1"/>
            </w14:solidFill>
          </w14:textFill>
        </w:rPr>
      </w:pPr>
    </w:p>
    <w:p>
      <w:pPr>
        <w:spacing w:line="590" w:lineRule="exact"/>
        <w:rPr>
          <w:rFonts w:hint="eastAsia"/>
          <w:color w:val="000000" w:themeColor="text1"/>
          <w14:textFill>
            <w14:solidFill>
              <w14:schemeClr w14:val="tx1"/>
            </w14:solidFill>
          </w14:textFill>
        </w:rPr>
      </w:pPr>
    </w:p>
    <w:p>
      <w:pPr>
        <w:spacing w:line="590" w:lineRule="exact"/>
        <w:rPr>
          <w:rFonts w:hint="eastAsia"/>
          <w:color w:val="000000" w:themeColor="text1"/>
          <w14:textFill>
            <w14:solidFill>
              <w14:schemeClr w14:val="tx1"/>
            </w14:solidFill>
          </w14:textFill>
        </w:rPr>
      </w:pPr>
    </w:p>
    <w:sectPr>
      <w:headerReference r:id="rId5" w:type="default"/>
      <w:footerReference r:id="rId6" w:type="default"/>
      <w:pgSz w:w="11906" w:h="16838"/>
      <w:pgMar w:top="2098" w:right="1587" w:bottom="2098" w:left="1587"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 </w:t>
                          </w:r>
                          <w:r>
                            <w:fldChar w:fldCharType="begin"/>
                          </w:r>
                          <w:r>
                            <w:rPr>
                              <w:rStyle w:val="12"/>
                            </w:rPr>
                            <w:instrText xml:space="preserve"> PAGE </w:instrText>
                          </w:r>
                          <w:r>
                            <w:fldChar w:fldCharType="separate"/>
                          </w:r>
                          <w:r>
                            <w:rPr>
                              <w:rStyle w:val="12"/>
                            </w:rPr>
                            <w:t>1</w:t>
                          </w:r>
                          <w:r>
                            <w:fldChar w:fldCharType="end"/>
                          </w:r>
                          <w:r>
                            <w:rPr>
                              <w:rStyle w:val="12"/>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rPr>
                      <w:t xml:space="preserve">— </w:t>
                    </w:r>
                    <w:r>
                      <w:fldChar w:fldCharType="begin"/>
                    </w:r>
                    <w:r>
                      <w:rPr>
                        <w:rStyle w:val="12"/>
                      </w:rPr>
                      <w:instrText xml:space="preserve"> PAGE </w:instrText>
                    </w:r>
                    <w:r>
                      <w:fldChar w:fldCharType="separate"/>
                    </w:r>
                    <w:r>
                      <w:rPr>
                        <w:rStyle w:val="12"/>
                      </w:rPr>
                      <w:t>1</w:t>
                    </w:r>
                    <w:r>
                      <w:fldChar w:fldCharType="end"/>
                    </w:r>
                    <w:r>
                      <w:rPr>
                        <w:rStyle w:val="12"/>
                        <w:rFonts w:hint="eastAsia"/>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NkZWU4NGUzZjJhZTM2ZWNjNTQ0NDUyNjRlNW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0324A4"/>
    <w:rsid w:val="2B173807"/>
    <w:rsid w:val="2C087BF6"/>
    <w:rsid w:val="2E4732D5"/>
    <w:rsid w:val="30C218B7"/>
    <w:rsid w:val="3147651D"/>
    <w:rsid w:val="4DDA1757"/>
    <w:rsid w:val="502740AC"/>
    <w:rsid w:val="562821F7"/>
    <w:rsid w:val="5D7A5641"/>
    <w:rsid w:val="602E1FC6"/>
    <w:rsid w:val="65693AD9"/>
    <w:rsid w:val="667F5AA4"/>
    <w:rsid w:val="695B21AB"/>
    <w:rsid w:val="6AA04060"/>
    <w:rsid w:val="6FCB19B0"/>
    <w:rsid w:val="71327C95"/>
    <w:rsid w:val="74AA631B"/>
    <w:rsid w:val="74AF26F4"/>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1">
    <w:name w:val="_Style 24"/>
    <w:basedOn w:val="1"/>
    <w:link w:val="10"/>
    <w:autoRedefine/>
    <w:qFormat/>
    <w:uiPriority w:val="0"/>
    <w:pPr>
      <w:autoSpaceDE/>
      <w:autoSpaceDN/>
      <w:snapToGrid/>
      <w:spacing w:line="240" w:lineRule="auto"/>
      <w:ind w:firstLine="0"/>
    </w:pPr>
    <w:rPr>
      <w:rFonts w:eastAsia="宋体"/>
      <w:snapToGrid/>
      <w:kern w:val="2"/>
      <w:sz w:val="21"/>
      <w:szCs w:val="32"/>
    </w:rPr>
  </w:style>
  <w:style w:type="character" w:styleId="12">
    <w:name w:val="page number"/>
    <w:basedOn w:val="10"/>
    <w:autoRedefine/>
    <w:qFormat/>
    <w:uiPriority w:val="0"/>
  </w:style>
  <w:style w:type="character" w:customStyle="1" w:styleId="13">
    <w:name w:val="articlebody"/>
    <w:basedOn w:val="10"/>
    <w:autoRedefine/>
    <w:qFormat/>
    <w:uiPriority w:val="0"/>
  </w:style>
  <w:style w:type="paragraph" w:customStyle="1" w:styleId="14">
    <w:name w:val="抄送栏"/>
    <w:basedOn w:val="1"/>
    <w:autoRedefine/>
    <w:qFormat/>
    <w:uiPriority w:val="0"/>
    <w:pPr>
      <w:adjustRightInd w:val="0"/>
      <w:snapToGrid/>
      <w:spacing w:line="454" w:lineRule="atLeast"/>
      <w:ind w:left="1310" w:right="357" w:hanging="953"/>
    </w:pPr>
  </w:style>
  <w:style w:type="paragraph" w:customStyle="1" w:styleId="15">
    <w:name w:val="印数"/>
    <w:basedOn w:val="16"/>
    <w:autoRedefine/>
    <w:qFormat/>
    <w:uiPriority w:val="0"/>
    <w:pPr>
      <w:tabs>
        <w:tab w:val="right" w:pos="8465"/>
      </w:tabs>
      <w:spacing w:line="400" w:lineRule="atLeast"/>
      <w:jc w:val="right"/>
    </w:pPr>
  </w:style>
  <w:style w:type="paragraph" w:customStyle="1" w:styleId="16">
    <w:name w:val="印发栏"/>
    <w:basedOn w:val="4"/>
    <w:qFormat/>
    <w:uiPriority w:val="0"/>
    <w:pPr>
      <w:tabs>
        <w:tab w:val="right" w:pos="8465"/>
      </w:tabs>
      <w:spacing w:line="454" w:lineRule="atLeast"/>
      <w:ind w:left="357" w:right="357"/>
    </w:pPr>
    <w:rPr>
      <w:spacing w:val="0"/>
    </w:rPr>
  </w:style>
  <w:style w:type="paragraph" w:customStyle="1" w:styleId="17">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8">
    <w:name w:val="线型"/>
    <w:basedOn w:val="14"/>
    <w:autoRedefine/>
    <w:qFormat/>
    <w:uiPriority w:val="0"/>
    <w:pPr>
      <w:spacing w:line="240" w:lineRule="auto"/>
      <w:ind w:left="0" w:firstLine="0"/>
      <w:jc w:val="center"/>
    </w:pPr>
    <w:rPr>
      <w:sz w:val="21"/>
    </w:rPr>
  </w:style>
  <w:style w:type="paragraph" w:customStyle="1" w:styleId="19">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0">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2">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3">
    <w:name w:val="紧急程度"/>
    <w:basedOn w:val="24"/>
    <w:qFormat/>
    <w:uiPriority w:val="0"/>
    <w:pPr>
      <w:overflowPunct w:val="0"/>
    </w:pPr>
    <w:rPr>
      <w:sz w:val="32"/>
    </w:rPr>
  </w:style>
  <w:style w:type="paragraph" w:customStyle="1" w:styleId="24">
    <w:name w:val="密级"/>
    <w:basedOn w:val="1"/>
    <w:qFormat/>
    <w:uiPriority w:val="0"/>
    <w:pPr>
      <w:adjustRightInd w:val="0"/>
      <w:spacing w:line="440" w:lineRule="atLeast"/>
      <w:ind w:firstLine="0"/>
      <w:jc w:val="right"/>
    </w:pPr>
    <w:rPr>
      <w:rFonts w:ascii="黑体" w:eastAsia="黑体"/>
      <w:sz w:val="30"/>
    </w:rPr>
  </w:style>
  <w:style w:type="paragraph" w:customStyle="1" w:styleId="2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样式1"/>
    <w:basedOn w:val="1"/>
    <w:qFormat/>
    <w:uiPriority w:val="0"/>
  </w:style>
  <w:style w:type="paragraph" w:customStyle="1" w:styleId="27">
    <w:name w:val="标题2"/>
    <w:basedOn w:val="1"/>
    <w:next w:val="1"/>
    <w:autoRedefine/>
    <w:qFormat/>
    <w:uiPriority w:val="0"/>
    <w:pPr>
      <w:ind w:firstLine="0"/>
      <w:jc w:val="center"/>
    </w:pPr>
    <w:rPr>
      <w:rFonts w:eastAsia="方正楷体_GBK"/>
    </w:rPr>
  </w:style>
  <w:style w:type="paragraph" w:customStyle="1" w:styleId="28">
    <w:name w:val="附件栏"/>
    <w:basedOn w:val="1"/>
    <w:qFormat/>
    <w:uiPriority w:val="0"/>
  </w:style>
  <w:style w:type="paragraph" w:customStyle="1" w:styleId="29">
    <w:name w:val="标题3"/>
    <w:basedOn w:val="1"/>
    <w:next w:val="1"/>
    <w:qFormat/>
    <w:uiPriority w:val="0"/>
    <w:rPr>
      <w:rFonts w:eastAsia="方正黑体_GBK"/>
    </w:rPr>
  </w:style>
  <w:style w:type="paragraph" w:customStyle="1" w:styleId="30">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3</TotalTime>
  <ScaleCrop>false</ScaleCrop>
  <LinksUpToDate>false</LinksUpToDate>
  <CharactersWithSpaces>1000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cxl</cp:lastModifiedBy>
  <cp:lastPrinted>2024-01-31T01:02:11Z</cp:lastPrinted>
  <dcterms:modified xsi:type="dcterms:W3CDTF">2024-01-31T01:02:19Z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