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9BED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赣州经济技术开发区商务局</w:t>
      </w:r>
    </w:p>
    <w:p w14:paraId="6806C63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 w14:paraId="0B92E79B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4A809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本年度报告中所列数据的统计期限自20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年1月1日起至20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年12月31日止。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  <w:t xml:space="preserve">   </w:t>
      </w:r>
    </w:p>
    <w:p w14:paraId="6B32A0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一、总体情况</w:t>
      </w:r>
    </w:p>
    <w:p w14:paraId="2B14A0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2024年，区商务局认真贯彻落实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《中华人民共和国政府信息公开条例》(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国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务院令第711号)(以下简称《条例》)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，坚持以习近平新时代中国特色社会主义思想为指导，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深入贯彻党的二十大和二十届二中、三中全会以及习近平总书记考察江西重要讲话精神，围绕国家、省、市、区政务公开重点工作部署，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结合工作实际，</w:t>
      </w:r>
      <w:bookmarkStart w:id="0" w:name="_GoBack"/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切实提高政务公开工作规范化水平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End w:id="0"/>
    </w:p>
    <w:p w14:paraId="2EFBD7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（一）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eastAsia="zh-CN" w:bidi="ar"/>
        </w:rPr>
        <w:t>主动公开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646E0E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我局政务信息公开平台全年主动公开政务信息共计198条，其中机构职能1条，部门文件3条，工作动态123条，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招商动态67条，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财政预决算2条，法治政府建设年报1条，年度报告1条，涵盖招商引资、项目建设、商贸消费、企业服务等领域，公开相关政策举措、工作进展等。</w:t>
      </w:r>
    </w:p>
    <w:p w14:paraId="64AE0A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（二）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依申请公开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66F9DE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2024年，我局收到依申请公开政府信息0件。无相关行政复议、行政诉讼处理情况。</w:t>
      </w:r>
    </w:p>
    <w:p w14:paraId="3EE954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）政府信息管理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758A1C2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严格信息审核流程，认真执行“三审三校”制度，凡是对外发布信息、文章等内容均进行严格审核，同时,做好隐私信息去标识化处理后公开,杜绝无泄密事件发生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22CCCF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（四）监督保障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715F39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 w:bidi="ar"/>
        </w:rPr>
        <w:t>加强组织领导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 w:bidi="ar"/>
        </w:rPr>
        <w:t>强化责任意识,坚持与业务工作同部署、同检查、同考核,主动公开咨询电话,自觉接受社会评议。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2024年度，我局未发生责任追究事件。</w:t>
      </w:r>
    </w:p>
    <w:p w14:paraId="652A20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0433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0"/>
        <w:gridCol w:w="5"/>
        <w:gridCol w:w="675"/>
        <w:gridCol w:w="10"/>
        <w:gridCol w:w="670"/>
        <w:gridCol w:w="15"/>
        <w:gridCol w:w="665"/>
        <w:gridCol w:w="20"/>
        <w:gridCol w:w="660"/>
        <w:gridCol w:w="25"/>
        <w:gridCol w:w="655"/>
        <w:gridCol w:w="30"/>
        <w:gridCol w:w="650"/>
        <w:gridCol w:w="3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gridSpan w:val="2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8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1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C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2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9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1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D631B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四、政府信息公开行政复议、行政诉讼情况</w:t>
      </w:r>
    </w:p>
    <w:p w14:paraId="0F423E4A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420" w:firstLineChars="200"/>
        <w:jc w:val="center"/>
        <w:textAlignment w:val="auto"/>
        <w:rPr>
          <w:rFonts w:ascii="宋体" w:hAnsi="宋体"/>
        </w:rPr>
      </w:pPr>
    </w:p>
    <w:tbl>
      <w:tblPr>
        <w:tblStyle w:val="3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A64A1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</w:p>
    <w:p w14:paraId="298049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五、存在的主要问题及改进情况</w:t>
      </w:r>
    </w:p>
    <w:p w14:paraId="5028BB4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一</w:t>
      </w: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存在的问题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一是主动公开的信息内容主要聚焦在招商、商贸消费等与业务工作密切相关的内容，广度不够宽；二是对外宣传不够深入，公布的信息主要集中在工作成效展示，与群众互动性的信息内容较少，公众参与度不够高。</w:t>
      </w:r>
    </w:p>
    <w:p w14:paraId="1153C64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eastAsia="zh-Hans"/>
        </w:rPr>
      </w:pP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二</w:t>
      </w: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问题改进情况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我局多次进行专项自查，梳理公布的各类信息资料，及时修正调整内容，确保相关信息应公开尽公开、准确及时。同时，加大商贸消费活动宣传力度，提升公众的知晓度和参与度。</w:t>
      </w:r>
    </w:p>
    <w:p w14:paraId="53A32F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六、其他需要报告的事项</w:t>
      </w:r>
    </w:p>
    <w:p w14:paraId="6BC994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政府信息公开信息处理费收取情况</w:t>
      </w:r>
    </w:p>
    <w:p w14:paraId="5B61DC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Hans"/>
        </w:rPr>
        <w:t>202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sz w:val="32"/>
          <w:szCs w:val="32"/>
          <w:lang w:val="en-US" w:eastAsia="zh-Hans"/>
        </w:rPr>
        <w:t>年度本机关未收取信息处理费。发出收费通知的件数和总金额，以及实际收取的总金额均为0。</w:t>
      </w:r>
    </w:p>
    <w:p w14:paraId="6FD587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政务公开工作要点完成情况</w:t>
      </w:r>
    </w:p>
    <w:p w14:paraId="0B6637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已根据相关工作要求全面完成和落实。</w:t>
      </w:r>
    </w:p>
    <w:p w14:paraId="397006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重点领域信息公开情况</w:t>
      </w:r>
    </w:p>
    <w:p w14:paraId="7E346229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及时发布了我区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招商引资项目签约、建设等情况，以及商贸领域安全生产工作相关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进展、取得的成效等。</w:t>
      </w:r>
    </w:p>
    <w:p w14:paraId="6F1351C9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E06AC54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653A8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赣州经济技术开发区商务局</w:t>
      </w:r>
    </w:p>
    <w:p w14:paraId="2BBAA9F5">
      <w:pPr>
        <w:keepNext w:val="0"/>
        <w:keepLines w:val="0"/>
        <w:pageBreakBefore w:val="0"/>
        <w:kinsoku/>
        <w:wordWrap w:val="0"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2025年1月23日   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3BE6"/>
    <w:rsid w:val="125E06FC"/>
    <w:rsid w:val="1B7B7EF5"/>
    <w:rsid w:val="29356175"/>
    <w:rsid w:val="410C1B59"/>
    <w:rsid w:val="5D694500"/>
    <w:rsid w:val="6B001345"/>
    <w:rsid w:val="7F9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1920</Words>
  <Characters>1978</Characters>
  <Lines>0</Lines>
  <Paragraphs>0</Paragraphs>
  <TotalTime>4</TotalTime>
  <ScaleCrop>false</ScaleCrop>
  <LinksUpToDate>false</LinksUpToDate>
  <CharactersWithSpaces>1986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Echo</cp:lastModifiedBy>
  <cp:lastPrinted>2025-01-23T01:28:00Z</cp:lastPrinted>
  <dcterms:modified xsi:type="dcterms:W3CDTF">2025-01-23T07:44:47Z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eyJoZGlkIjoiNTE2NWRjMGE4YjFhOWY0NDU0MWNjNWQwNGU0NjgwZDUiLCJ1c2VySWQiOiI0MDg1OTI2ODAifQ==</vt:lpwstr>
  </property>
</Properties>
</file>