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8C6A0">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lang w:val="en-US" w:eastAsia="zh-CN"/>
        </w:rPr>
        <w:t>赣州经开区商务局2023年</w:t>
      </w:r>
      <w:r>
        <w:rPr>
          <w:rFonts w:hint="eastAsia" w:ascii="方正小标宋简体" w:hAnsi="方正小标宋简体" w:eastAsia="方正小标宋简体" w:cs="方正小标宋简体"/>
          <w:b w:val="0"/>
          <w:bCs w:val="0"/>
          <w:snapToGrid/>
          <w:color w:val="333333"/>
          <w:sz w:val="36"/>
          <w:szCs w:val="36"/>
        </w:rPr>
        <w:t>政府信息公开工作年度报告</w:t>
      </w:r>
    </w:p>
    <w:p w14:paraId="311C948B">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p w14:paraId="596E868D">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snapToGrid/>
          <w:color w:val="auto"/>
          <w:sz w:val="32"/>
          <w:szCs w:val="32"/>
          <w:lang w:val="en-US" w:eastAsia="zh-CN"/>
        </w:rPr>
      </w:pPr>
      <w:r>
        <w:rPr>
          <w:rFonts w:hint="eastAsia" w:ascii="Times New Roman" w:hAnsi="Times New Roman" w:eastAsia="仿宋_GB2312" w:cs="宋体"/>
          <w:snapToGrid/>
          <w:color w:val="auto"/>
          <w:sz w:val="32"/>
          <w:szCs w:val="32"/>
          <w:lang w:val="en-US" w:eastAsia="zh-CN"/>
        </w:rPr>
        <w:t>本报告依据《中华人民共和国政府信息公开条例》（国务院令第711号，以下简称新《条例》）和《国务院办公厅政府信息与政务公开办公室关于政府信息公开工作年度报告有关事项的通知》（国办公开办函〔2019〕60号）要求，由赣州经开区商务局结合有关统计数据编制。本年度报告中所列数据的统计期限自2023年1月1日起至2023年12月31日止。全文包括总体情况、主动公开政府信息情况、收到和处理政府信息公开申请情况、政府信息公开行政复议行政诉讼情况、存在的主要问题及改进情况、其他需要报告的事项。本年度报告的电子版可以从赣州经济技术开发区政务网</w:t>
      </w:r>
      <w:r>
        <w:rPr>
          <w:rFonts w:hint="eastAsia" w:ascii="仿宋" w:hAnsi="仿宋" w:eastAsia="仿宋" w:cs="仿宋"/>
          <w:i w:val="0"/>
          <w:iCs w:val="0"/>
          <w:caps w:val="0"/>
          <w:color w:val="333333"/>
          <w:spacing w:val="0"/>
          <w:sz w:val="32"/>
          <w:szCs w:val="32"/>
          <w:shd w:val="clear" w:fill="FFFFFF"/>
        </w:rPr>
        <w:t>（</w:t>
      </w:r>
      <w:r>
        <w:rPr>
          <w:rFonts w:ascii="微软雅黑" w:hAnsi="微软雅黑" w:eastAsia="微软雅黑" w:cs="微软雅黑"/>
          <w:i w:val="0"/>
          <w:iCs w:val="0"/>
          <w:caps w:val="0"/>
          <w:color w:val="333333"/>
          <w:spacing w:val="0"/>
          <w:sz w:val="26"/>
          <w:szCs w:val="26"/>
          <w:u w:val="none"/>
          <w:shd w:val="clear" w:fill="FFFFFF"/>
        </w:rPr>
        <w:fldChar w:fldCharType="begin"/>
      </w:r>
      <w:r>
        <w:rPr>
          <w:rFonts w:ascii="微软雅黑" w:hAnsi="微软雅黑" w:eastAsia="微软雅黑" w:cs="微软雅黑"/>
          <w:i w:val="0"/>
          <w:iCs w:val="0"/>
          <w:caps w:val="0"/>
          <w:color w:val="333333"/>
          <w:spacing w:val="0"/>
          <w:sz w:val="26"/>
          <w:szCs w:val="26"/>
          <w:u w:val="none"/>
          <w:shd w:val="clear" w:fill="FFFFFF"/>
        </w:rPr>
        <w:instrText xml:space="preserve"> HYPERLINK "http://www.zgq.gov.cn/" \t "http://gzjkq.ganzhou.gov.cn/jkqxxgk/c110040/202302/_blank" </w:instrText>
      </w:r>
      <w:r>
        <w:rPr>
          <w:rFonts w:ascii="微软雅黑" w:hAnsi="微软雅黑" w:eastAsia="微软雅黑" w:cs="微软雅黑"/>
          <w:i w:val="0"/>
          <w:iCs w:val="0"/>
          <w:caps w:val="0"/>
          <w:color w:val="333333"/>
          <w:spacing w:val="0"/>
          <w:sz w:val="26"/>
          <w:szCs w:val="26"/>
          <w:u w:val="none"/>
          <w:shd w:val="clear" w:fill="FFFFFF"/>
        </w:rPr>
        <w:fldChar w:fldCharType="separate"/>
      </w:r>
      <w:r>
        <w:rPr>
          <w:rStyle w:val="12"/>
          <w:rFonts w:hint="default" w:ascii="Times New Roman" w:hAnsi="Times New Roman" w:eastAsia="微软雅黑" w:cs="Times New Roman"/>
          <w:i w:val="0"/>
          <w:iCs w:val="0"/>
          <w:caps w:val="0"/>
          <w:color w:val="333333"/>
          <w:spacing w:val="0"/>
          <w:sz w:val="32"/>
          <w:szCs w:val="32"/>
          <w:u w:val="none"/>
          <w:shd w:val="clear" w:fill="FFFFFF"/>
        </w:rPr>
        <w:t>http://gzjkq.ganzhou.gov.cn</w:t>
      </w:r>
      <w:r>
        <w:rPr>
          <w:rFonts w:hint="eastAsia" w:ascii="微软雅黑" w:hAnsi="微软雅黑" w:eastAsia="微软雅黑" w:cs="微软雅黑"/>
          <w:i w:val="0"/>
          <w:iCs w:val="0"/>
          <w:caps w:val="0"/>
          <w:color w:val="333333"/>
          <w:spacing w:val="0"/>
          <w:sz w:val="26"/>
          <w:szCs w:val="26"/>
          <w:u w:val="none"/>
          <w:shd w:val="clear" w:fill="FFFFFF"/>
        </w:rPr>
        <w:fldChar w:fldCharType="end"/>
      </w:r>
      <w:r>
        <w:rPr>
          <w:rFonts w:hint="eastAsia" w:ascii="仿宋" w:hAnsi="仿宋" w:eastAsia="仿宋" w:cs="仿宋"/>
          <w:i w:val="0"/>
          <w:iCs w:val="0"/>
          <w:caps w:val="0"/>
          <w:color w:val="333333"/>
          <w:spacing w:val="0"/>
          <w:sz w:val="32"/>
          <w:szCs w:val="32"/>
          <w:shd w:val="clear" w:fill="FFFFFF"/>
        </w:rPr>
        <w:t>）</w:t>
      </w:r>
      <w:r>
        <w:rPr>
          <w:rFonts w:hint="eastAsia" w:ascii="Times New Roman" w:hAnsi="Times New Roman" w:eastAsia="仿宋_GB2312" w:cs="宋体"/>
          <w:snapToGrid/>
          <w:color w:val="auto"/>
          <w:sz w:val="32"/>
          <w:szCs w:val="32"/>
          <w:lang w:val="en-US" w:eastAsia="zh-CN"/>
        </w:rPr>
        <w:t>下载</w:t>
      </w:r>
      <w:r>
        <w:rPr>
          <w:rFonts w:hint="eastAsia" w:ascii="仿宋" w:hAnsi="仿宋" w:eastAsia="仿宋" w:cs="仿宋"/>
          <w:i w:val="0"/>
          <w:iCs w:val="0"/>
          <w:caps w:val="0"/>
          <w:color w:val="333333"/>
          <w:spacing w:val="0"/>
          <w:sz w:val="32"/>
          <w:szCs w:val="32"/>
          <w:shd w:val="clear" w:fill="FFFFFF"/>
        </w:rPr>
        <w:t>。</w:t>
      </w:r>
      <w:r>
        <w:rPr>
          <w:rFonts w:hint="eastAsia" w:ascii="Times New Roman" w:hAnsi="Times New Roman" w:eastAsia="仿宋_GB2312" w:cs="宋体"/>
          <w:snapToGrid/>
          <w:color w:val="auto"/>
          <w:sz w:val="32"/>
          <w:szCs w:val="32"/>
          <w:lang w:val="en-US" w:eastAsia="zh-CN"/>
        </w:rPr>
        <w:t>如对本报告有任何疑问，请与赣州经开区商务局联系（地址：华坚南路69号，电话：8371030，邮编：341000）。</w:t>
      </w:r>
    </w:p>
    <w:p w14:paraId="01F75F9A">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一、总体情况</w:t>
      </w:r>
    </w:p>
    <w:p w14:paraId="77FAA82A">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ascii="Times New Roman" w:hAnsi="Times New Roman" w:eastAsia="仿宋_GB2312" w:cs="宋体"/>
          <w:color w:val="auto"/>
          <w:sz w:val="32"/>
          <w:szCs w:val="32"/>
        </w:rPr>
      </w:pPr>
      <w:r>
        <w:rPr>
          <w:rFonts w:hint="eastAsia" w:eastAsia="仿宋_GB2312" w:cs="宋体"/>
          <w:color w:val="auto"/>
          <w:sz w:val="32"/>
          <w:szCs w:val="32"/>
          <w:lang w:val="en-US" w:eastAsia="zh-CN"/>
        </w:rPr>
        <w:t>2023</w:t>
      </w:r>
      <w:r>
        <w:rPr>
          <w:rFonts w:ascii="Times New Roman" w:hAnsi="Times New Roman" w:eastAsia="仿宋_GB2312" w:cs="宋体"/>
          <w:color w:val="auto"/>
          <w:sz w:val="32"/>
          <w:szCs w:val="32"/>
        </w:rPr>
        <w:t>年赣州经开区</w:t>
      </w:r>
      <w:r>
        <w:rPr>
          <w:rFonts w:hint="eastAsia" w:ascii="Times New Roman" w:hAnsi="Times New Roman" w:eastAsia="仿宋_GB2312" w:cs="宋体"/>
          <w:color w:val="auto"/>
          <w:sz w:val="32"/>
          <w:szCs w:val="32"/>
          <w:lang w:eastAsia="zh-CN"/>
        </w:rPr>
        <w:t>商务局</w:t>
      </w:r>
      <w:r>
        <w:rPr>
          <w:rFonts w:ascii="Times New Roman" w:hAnsi="Times New Roman" w:eastAsia="仿宋_GB2312" w:cs="宋体"/>
          <w:color w:val="auto"/>
          <w:sz w:val="32"/>
          <w:szCs w:val="32"/>
        </w:rPr>
        <w:t>严格落实《国务院办公厅印发〈关于全面推进政务公开工作的意见〉实施细则的通知》（国办发〔2016〕80号）和有关工作要求</w:t>
      </w:r>
      <w:r>
        <w:rPr>
          <w:rFonts w:hint="eastAsia" w:ascii="Times New Roman" w:hAnsi="Times New Roman" w:eastAsia="仿宋_GB2312" w:cs="宋体"/>
          <w:color w:val="auto"/>
          <w:sz w:val="32"/>
          <w:szCs w:val="32"/>
          <w:lang w:eastAsia="zh-CN"/>
        </w:rPr>
        <w:t>，</w:t>
      </w:r>
      <w:r>
        <w:rPr>
          <w:rFonts w:ascii="Times New Roman" w:hAnsi="Times New Roman" w:eastAsia="仿宋_GB2312" w:cs="宋体"/>
          <w:color w:val="auto"/>
          <w:sz w:val="32"/>
          <w:szCs w:val="32"/>
        </w:rPr>
        <w:t>同时积极对《关于印发全市政务公开定期通报制度》和《赣州经济技术开发区全面推进基层政务公开标准化规范化实施方案》明确目标任务，紧紧围绕</w:t>
      </w:r>
      <w:r>
        <w:rPr>
          <w:rFonts w:hint="eastAsia" w:ascii="Times New Roman" w:hAnsi="Times New Roman" w:eastAsia="仿宋_GB2312" w:cs="宋体"/>
          <w:color w:val="auto"/>
          <w:sz w:val="32"/>
          <w:szCs w:val="32"/>
          <w:lang w:eastAsia="zh-CN"/>
        </w:rPr>
        <w:t>上级</w:t>
      </w:r>
      <w:r>
        <w:rPr>
          <w:rFonts w:ascii="Times New Roman" w:hAnsi="Times New Roman" w:eastAsia="仿宋_GB2312" w:cs="宋体"/>
          <w:color w:val="auto"/>
          <w:sz w:val="32"/>
          <w:szCs w:val="32"/>
        </w:rPr>
        <w:t>中心工作及社会群众关注关切，着力提升政府信息公开质量，推进拓宽政府信息公开渠道，不断增强政府信息公开实效。</w:t>
      </w:r>
    </w:p>
    <w:p w14:paraId="260947A4">
      <w:pPr>
        <w:rPr>
          <w:rFonts w:eastAsia="仿宋_GB2312"/>
          <w:sz w:val="32"/>
        </w:rPr>
      </w:pPr>
      <w:r>
        <w:rPr>
          <w:rFonts w:hint="eastAsia" w:eastAsia="仿宋_GB2312"/>
          <w:sz w:val="32"/>
          <w:lang w:val="en-US" w:eastAsia="zh-CN"/>
        </w:rPr>
        <w:t>（一）主动公开。主</w:t>
      </w:r>
      <w:r>
        <w:rPr>
          <w:rFonts w:eastAsia="仿宋_GB2312"/>
          <w:sz w:val="32"/>
        </w:rPr>
        <w:t>动公开政府信息</w:t>
      </w:r>
      <w:r>
        <w:rPr>
          <w:rFonts w:hint="eastAsia" w:eastAsia="仿宋_GB2312"/>
          <w:sz w:val="32"/>
        </w:rPr>
        <w:t>主要包括</w:t>
      </w:r>
      <w:r>
        <w:rPr>
          <w:rFonts w:hint="eastAsia" w:eastAsia="仿宋_GB2312"/>
          <w:sz w:val="32"/>
          <w:lang w:eastAsia="zh-CN"/>
        </w:rPr>
        <w:t>招商动态、</w:t>
      </w:r>
      <w:r>
        <w:rPr>
          <w:rFonts w:hint="eastAsia" w:eastAsia="仿宋_GB2312"/>
          <w:sz w:val="32"/>
        </w:rPr>
        <w:t>机构职能、部门文件、工作动态、公告公示、财政预决算、年度报告</w:t>
      </w:r>
      <w:r>
        <w:rPr>
          <w:rFonts w:hint="eastAsia" w:eastAsia="仿宋_GB2312"/>
          <w:sz w:val="32"/>
          <w:lang w:eastAsia="zh-CN"/>
        </w:rPr>
        <w:t>等</w:t>
      </w:r>
      <w:r>
        <w:rPr>
          <w:rFonts w:hint="eastAsia" w:eastAsia="仿宋_GB2312"/>
          <w:sz w:val="32"/>
        </w:rPr>
        <w:t>。</w:t>
      </w:r>
      <w:r>
        <w:rPr>
          <w:rFonts w:hint="eastAsia" w:eastAsia="仿宋_GB2312"/>
          <w:sz w:val="32"/>
          <w:lang w:val="en-US" w:eastAsia="zh-CN"/>
        </w:rPr>
        <w:t>2023</w:t>
      </w:r>
      <w:r>
        <w:rPr>
          <w:rFonts w:hint="eastAsia" w:eastAsia="仿宋_GB2312"/>
          <w:sz w:val="32"/>
        </w:rPr>
        <w:t>年，</w:t>
      </w:r>
      <w:r>
        <w:rPr>
          <w:rFonts w:hint="eastAsia" w:eastAsia="仿宋_GB2312"/>
          <w:sz w:val="32"/>
          <w:lang w:eastAsia="zh-CN"/>
        </w:rPr>
        <w:t>区商务局</w:t>
      </w:r>
      <w:r>
        <w:rPr>
          <w:rFonts w:hint="eastAsia" w:eastAsia="仿宋_GB2312"/>
          <w:sz w:val="32"/>
        </w:rPr>
        <w:t>主动在门户网站信息公开</w:t>
      </w:r>
      <w:r>
        <w:rPr>
          <w:rFonts w:hint="eastAsia" w:eastAsia="仿宋_GB2312"/>
          <w:sz w:val="32"/>
          <w:lang w:eastAsia="zh-CN"/>
        </w:rPr>
        <w:t>平台公开</w:t>
      </w:r>
      <w:r>
        <w:rPr>
          <w:rFonts w:hint="eastAsia" w:eastAsia="仿宋_GB2312"/>
          <w:sz w:val="32"/>
        </w:rPr>
        <w:t>政务动态</w:t>
      </w:r>
      <w:r>
        <w:rPr>
          <w:rFonts w:hint="eastAsia" w:eastAsia="仿宋_GB2312"/>
          <w:sz w:val="32"/>
          <w:lang w:val="en-US" w:eastAsia="zh-CN"/>
        </w:rPr>
        <w:t>121</w:t>
      </w:r>
      <w:r>
        <w:rPr>
          <w:rFonts w:hint="eastAsia" w:eastAsia="仿宋_GB2312"/>
          <w:sz w:val="32"/>
        </w:rPr>
        <w:t>条，</w:t>
      </w:r>
      <w:r>
        <w:rPr>
          <w:rFonts w:hint="eastAsia" w:eastAsia="仿宋_GB2312"/>
          <w:sz w:val="32"/>
          <w:lang w:eastAsia="zh-CN"/>
        </w:rPr>
        <w:t>招商动态</w:t>
      </w:r>
      <w:r>
        <w:rPr>
          <w:rFonts w:hint="eastAsia" w:eastAsia="仿宋_GB2312"/>
          <w:sz w:val="32"/>
          <w:lang w:val="en-US" w:eastAsia="zh-CN"/>
        </w:rPr>
        <w:t>62条，</w:t>
      </w:r>
      <w:r>
        <w:rPr>
          <w:rFonts w:hint="eastAsia" w:eastAsia="仿宋_GB2312"/>
          <w:sz w:val="32"/>
        </w:rPr>
        <w:t>公告公示</w:t>
      </w:r>
      <w:r>
        <w:rPr>
          <w:rFonts w:hint="eastAsia" w:eastAsia="仿宋_GB2312"/>
          <w:sz w:val="32"/>
          <w:lang w:val="en-US" w:eastAsia="zh-CN"/>
        </w:rPr>
        <w:t>2</w:t>
      </w:r>
      <w:r>
        <w:rPr>
          <w:rFonts w:hint="eastAsia" w:eastAsia="仿宋_GB2312"/>
          <w:sz w:val="32"/>
        </w:rPr>
        <w:t>条，</w:t>
      </w:r>
      <w:r>
        <w:rPr>
          <w:rFonts w:hint="eastAsia" w:eastAsia="仿宋_GB2312"/>
          <w:sz w:val="32"/>
          <w:lang w:eastAsia="zh-CN"/>
        </w:rPr>
        <w:t>部门</w:t>
      </w:r>
      <w:r>
        <w:rPr>
          <w:rFonts w:hint="eastAsia" w:eastAsia="仿宋_GB2312"/>
          <w:sz w:val="32"/>
        </w:rPr>
        <w:t>文件</w:t>
      </w:r>
      <w:r>
        <w:rPr>
          <w:rFonts w:hint="eastAsia" w:eastAsia="仿宋_GB2312"/>
          <w:sz w:val="32"/>
          <w:lang w:val="en-US" w:eastAsia="zh-CN"/>
        </w:rPr>
        <w:t>4</w:t>
      </w:r>
      <w:r>
        <w:rPr>
          <w:rFonts w:hint="eastAsia" w:eastAsia="仿宋_GB2312"/>
          <w:sz w:val="32"/>
        </w:rPr>
        <w:t>条，</w:t>
      </w:r>
      <w:r>
        <w:rPr>
          <w:rFonts w:hint="eastAsia" w:eastAsia="仿宋_GB2312"/>
          <w:sz w:val="32"/>
          <w:lang w:eastAsia="zh-CN"/>
        </w:rPr>
        <w:t>法规文件</w:t>
      </w:r>
      <w:r>
        <w:rPr>
          <w:rFonts w:hint="eastAsia" w:eastAsia="仿宋_GB2312"/>
          <w:sz w:val="32"/>
          <w:lang w:val="en-US" w:eastAsia="zh-CN"/>
        </w:rPr>
        <w:t>1条，</w:t>
      </w:r>
      <w:r>
        <w:rPr>
          <w:rFonts w:hint="eastAsia" w:eastAsia="仿宋_GB2312"/>
          <w:sz w:val="32"/>
          <w:lang w:eastAsia="zh-CN"/>
        </w:rPr>
        <w:t>年度报告1条，机构职能</w:t>
      </w:r>
      <w:r>
        <w:rPr>
          <w:rFonts w:hint="eastAsia" w:eastAsia="仿宋_GB2312"/>
          <w:sz w:val="32"/>
          <w:lang w:val="en-US" w:eastAsia="zh-CN"/>
        </w:rPr>
        <w:t>1</w:t>
      </w:r>
      <w:r>
        <w:rPr>
          <w:rFonts w:hint="eastAsia" w:eastAsia="仿宋_GB2312"/>
          <w:sz w:val="32"/>
          <w:lang w:eastAsia="zh-CN"/>
        </w:rPr>
        <w:t>条，投资政策</w:t>
      </w:r>
      <w:r>
        <w:rPr>
          <w:rFonts w:hint="eastAsia" w:eastAsia="仿宋_GB2312"/>
          <w:sz w:val="32"/>
          <w:lang w:val="en-US" w:eastAsia="zh-CN"/>
        </w:rPr>
        <w:t>1条，财政预算1条，财政决算1条，</w:t>
      </w:r>
      <w:r>
        <w:rPr>
          <w:rFonts w:hint="eastAsia" w:eastAsia="仿宋_GB2312"/>
          <w:sz w:val="32"/>
          <w:lang w:eastAsia="zh-CN"/>
        </w:rPr>
        <w:t>累计公开信息</w:t>
      </w:r>
      <w:r>
        <w:rPr>
          <w:rFonts w:hint="eastAsia" w:eastAsia="仿宋_GB2312"/>
          <w:sz w:val="32"/>
          <w:lang w:val="en-US" w:eastAsia="zh-CN"/>
        </w:rPr>
        <w:t>195</w:t>
      </w:r>
      <w:r>
        <w:rPr>
          <w:rFonts w:hint="eastAsia" w:eastAsia="仿宋_GB2312"/>
          <w:sz w:val="32"/>
          <w:lang w:eastAsia="zh-CN"/>
        </w:rPr>
        <w:t>条。有效地借助网络方式提高了企业及公众对我区经济工作的知悉度。</w:t>
      </w:r>
    </w:p>
    <w:p w14:paraId="38908F48">
      <w:pPr>
        <w:keepNext w:val="0"/>
        <w:keepLines w:val="0"/>
        <w:pageBreakBefore w:val="0"/>
        <w:widowControl w:val="0"/>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仿宋_GB2312" w:hAnsi="宋体" w:eastAsia="仿宋_GB2312" w:cs="宋体"/>
          <w:b/>
          <w:bCs/>
          <w:snapToGrid/>
          <w:color w:val="333333"/>
          <w:szCs w:val="32"/>
          <w:lang w:eastAsia="zh-CN"/>
        </w:rPr>
        <w:t>（二）</w:t>
      </w:r>
      <w:r>
        <w:rPr>
          <w:rFonts w:hint="eastAsia" w:ascii="仿宋_GB2312" w:hAnsi="宋体" w:eastAsia="仿宋_GB2312" w:cs="宋体"/>
          <w:b/>
          <w:bCs/>
          <w:snapToGrid/>
          <w:color w:val="333333"/>
          <w:szCs w:val="32"/>
        </w:rPr>
        <w:t>依申请公开</w:t>
      </w:r>
      <w:r>
        <w:rPr>
          <w:rFonts w:hint="eastAsia" w:ascii="仿宋_GB2312" w:hAnsi="宋体" w:eastAsia="仿宋_GB2312" w:cs="宋体"/>
          <w:b/>
          <w:bCs/>
          <w:snapToGrid/>
          <w:color w:val="333333"/>
          <w:szCs w:val="32"/>
          <w:lang w:eastAsia="zh-CN"/>
        </w:rPr>
        <w:t>。</w:t>
      </w:r>
      <w:r>
        <w:rPr>
          <w:rFonts w:hint="eastAsia" w:ascii="Times New Roman" w:hAnsi="Times New Roman" w:eastAsia="仿宋_GB2312" w:cs="宋体"/>
          <w:color w:val="auto"/>
          <w:sz w:val="32"/>
          <w:szCs w:val="32"/>
          <w:lang w:val="en-US" w:eastAsia="zh-CN"/>
        </w:rPr>
        <w:t>本年新收政府信息公开申请数量0条，上年结转政府信息公开申请数量0条，需要结转下年度继续办理0条。</w:t>
      </w:r>
    </w:p>
    <w:p w14:paraId="40D2B821">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没有出现因政府信息公开工作被申请行政复议、提起行政诉讼情况。</w:t>
      </w:r>
    </w:p>
    <w:p w14:paraId="5C56A69E">
      <w:pPr>
        <w:widowControl/>
        <w:numPr>
          <w:ilvl w:val="0"/>
          <w:numId w:val="0"/>
        </w:numPr>
        <w:shd w:val="clear" w:color="auto" w:fill="FFFFFF"/>
        <w:autoSpaceDE/>
        <w:autoSpaceDN/>
        <w:snapToGrid/>
        <w:spacing w:line="240" w:lineRule="auto"/>
        <w:ind w:firstLine="480" w:firstLineChars="0"/>
        <w:rPr>
          <w:rFonts w:hint="eastAsia" w:ascii="黑体" w:hAnsi="黑体" w:eastAsia="仿宋_GB2312" w:cs="宋体"/>
          <w:b w:val="0"/>
          <w:bCs w:val="0"/>
          <w:snapToGrid/>
          <w:color w:val="333333"/>
          <w:szCs w:val="32"/>
          <w:lang w:eastAsia="zh-CN"/>
        </w:rPr>
      </w:pPr>
      <w:r>
        <w:rPr>
          <w:rFonts w:hint="eastAsia" w:ascii="黑体" w:hAnsi="黑体" w:eastAsia="仿宋_GB2312" w:cs="宋体"/>
          <w:b/>
          <w:bCs/>
          <w:snapToGrid/>
          <w:color w:val="333333"/>
          <w:sz w:val="32"/>
          <w:szCs w:val="32"/>
          <w:lang w:val="en-US" w:eastAsia="zh-CN" w:bidi="ar-SA"/>
        </w:rPr>
        <w:t>（三）</w:t>
      </w:r>
      <w:r>
        <w:rPr>
          <w:rFonts w:hint="eastAsia" w:ascii="黑体" w:hAnsi="黑体" w:eastAsia="仿宋_GB2312" w:cs="宋体"/>
          <w:b/>
          <w:bCs/>
          <w:snapToGrid/>
          <w:color w:val="333333"/>
          <w:szCs w:val="32"/>
          <w:lang w:eastAsia="zh-CN"/>
        </w:rPr>
        <w:t>政府信息管理。</w:t>
      </w:r>
      <w:r>
        <w:rPr>
          <w:rFonts w:hint="eastAsia" w:ascii="黑体" w:hAnsi="黑体" w:eastAsia="仿宋_GB2312" w:cs="宋体"/>
          <w:b w:val="0"/>
          <w:bCs w:val="0"/>
          <w:snapToGrid/>
          <w:color w:val="333333"/>
          <w:szCs w:val="32"/>
          <w:lang w:eastAsia="zh-CN"/>
        </w:rPr>
        <w:t>规范信息审核发布机制，严格信息审核，确保信息内容合法、完整、准确，切实维护网络意识形态安全。</w:t>
      </w:r>
    </w:p>
    <w:p w14:paraId="3EA807AA">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仿宋_GB2312" w:cs="宋体"/>
          <w:b w:val="0"/>
          <w:bCs w:val="0"/>
          <w:snapToGrid/>
          <w:color w:val="333333"/>
          <w:szCs w:val="32"/>
          <w:lang w:eastAsia="zh-CN"/>
        </w:rPr>
      </w:pPr>
      <w:r>
        <w:rPr>
          <w:rFonts w:hint="eastAsia" w:ascii="黑体" w:hAnsi="黑体" w:eastAsia="仿宋_GB2312" w:cs="宋体"/>
          <w:b/>
          <w:bCs/>
          <w:snapToGrid/>
          <w:color w:val="333333"/>
          <w:sz w:val="32"/>
          <w:szCs w:val="32"/>
          <w:lang w:val="en-US" w:eastAsia="zh-CN" w:bidi="ar-SA"/>
        </w:rPr>
        <w:t>（四）</w:t>
      </w:r>
      <w:r>
        <w:rPr>
          <w:rFonts w:hint="eastAsia" w:ascii="仿宋_GB2312" w:hAnsi="宋体" w:eastAsia="仿宋_GB2312" w:cs="宋体"/>
          <w:b/>
          <w:bCs/>
          <w:snapToGrid/>
          <w:color w:val="333333"/>
          <w:szCs w:val="32"/>
        </w:rPr>
        <w:t>政府信息公开平台建设</w:t>
      </w:r>
      <w:r>
        <w:rPr>
          <w:rFonts w:hint="eastAsia" w:ascii="仿宋_GB2312" w:hAnsi="宋体" w:eastAsia="仿宋_GB2312" w:cs="宋体"/>
          <w:b/>
          <w:bCs/>
          <w:snapToGrid/>
          <w:color w:val="333333"/>
          <w:szCs w:val="32"/>
          <w:lang w:eastAsia="zh-CN"/>
        </w:rPr>
        <w:t>。</w:t>
      </w:r>
      <w:r>
        <w:rPr>
          <w:rFonts w:hint="eastAsia" w:ascii="Times New Roman" w:hAnsi="Times New Roman" w:eastAsia="仿宋_GB2312" w:cs="宋体"/>
          <w:color w:val="auto"/>
          <w:sz w:val="32"/>
          <w:szCs w:val="32"/>
          <w:lang w:val="en-US" w:eastAsia="zh-CN"/>
        </w:rPr>
        <w:t>为切实做好政务公开工作，我局着眼于建立政务公开长效机制，强化政务公开自觉意识</w:t>
      </w:r>
      <w:r>
        <w:rPr>
          <w:rFonts w:hint="eastAsia" w:eastAsia="仿宋_GB2312" w:cs="宋体"/>
          <w:color w:val="auto"/>
          <w:sz w:val="32"/>
          <w:szCs w:val="32"/>
          <w:lang w:val="en-US" w:eastAsia="zh-CN"/>
        </w:rPr>
        <w:t>，每星期至少公开2条政务动态，每周至少公开1条招商动态</w:t>
      </w:r>
      <w:r>
        <w:rPr>
          <w:rFonts w:hint="eastAsia" w:ascii="Times New Roman" w:hAnsi="Times New Roman" w:eastAsia="仿宋_GB2312" w:cs="宋体"/>
          <w:color w:val="auto"/>
          <w:sz w:val="32"/>
          <w:szCs w:val="32"/>
          <w:lang w:val="en-US" w:eastAsia="zh-CN"/>
        </w:rPr>
        <w:t>。</w:t>
      </w:r>
    </w:p>
    <w:p w14:paraId="34642B10">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黑体" w:hAnsi="黑体" w:eastAsia="仿宋_GB2312" w:cs="宋体"/>
          <w:b/>
          <w:bCs/>
          <w:snapToGrid/>
          <w:color w:val="333333"/>
          <w:sz w:val="32"/>
          <w:szCs w:val="32"/>
          <w:lang w:val="en-US" w:eastAsia="zh-CN" w:bidi="ar-SA"/>
        </w:rPr>
        <w:t>（五）</w:t>
      </w:r>
      <w:r>
        <w:rPr>
          <w:rFonts w:hint="eastAsia" w:ascii="仿宋_GB2312" w:hAnsi="宋体" w:eastAsia="仿宋_GB2312" w:cs="宋体"/>
          <w:b/>
          <w:bCs/>
          <w:snapToGrid/>
          <w:color w:val="333333"/>
          <w:szCs w:val="32"/>
        </w:rPr>
        <w:t>监督保障</w:t>
      </w:r>
      <w:r>
        <w:rPr>
          <w:rFonts w:hint="eastAsia" w:ascii="仿宋_GB2312" w:hAnsi="宋体" w:eastAsia="仿宋_GB2312" w:cs="宋体"/>
          <w:b/>
          <w:bCs/>
          <w:snapToGrid/>
          <w:color w:val="333333"/>
          <w:szCs w:val="32"/>
          <w:lang w:eastAsia="zh-CN"/>
        </w:rPr>
        <w:t>。</w:t>
      </w:r>
      <w:r>
        <w:rPr>
          <w:rFonts w:hint="eastAsia" w:eastAsia="仿宋_GB2312" w:cs="宋体"/>
          <w:b w:val="0"/>
          <w:bCs w:val="0"/>
          <w:color w:val="auto"/>
          <w:sz w:val="32"/>
          <w:szCs w:val="32"/>
          <w:lang w:val="en-US" w:eastAsia="zh-CN"/>
        </w:rPr>
        <w:t>成立</w:t>
      </w:r>
      <w:r>
        <w:rPr>
          <w:rFonts w:hint="eastAsia" w:ascii="Times New Roman" w:hAnsi="Times New Roman" w:eastAsia="仿宋_GB2312" w:cs="宋体"/>
          <w:color w:val="auto"/>
          <w:sz w:val="32"/>
          <w:szCs w:val="32"/>
          <w:lang w:val="en-US" w:eastAsia="zh-CN"/>
        </w:rPr>
        <w:t>政务公开领导小组，由局长黎俊</w:t>
      </w:r>
      <w:r>
        <w:rPr>
          <w:rFonts w:hint="eastAsia" w:eastAsia="仿宋_GB2312" w:cs="宋体"/>
          <w:color w:val="auto"/>
          <w:sz w:val="32"/>
          <w:szCs w:val="32"/>
          <w:lang w:val="en-US" w:eastAsia="zh-CN"/>
        </w:rPr>
        <w:t>同志</w:t>
      </w:r>
      <w:r>
        <w:rPr>
          <w:rFonts w:hint="eastAsia" w:ascii="Times New Roman" w:hAnsi="Times New Roman" w:eastAsia="仿宋_GB2312" w:cs="宋体"/>
          <w:color w:val="auto"/>
          <w:sz w:val="32"/>
          <w:szCs w:val="32"/>
          <w:lang w:val="en-US" w:eastAsia="zh-CN"/>
        </w:rPr>
        <w:t>任组长</w:t>
      </w:r>
      <w:r>
        <w:rPr>
          <w:rFonts w:hint="eastAsia" w:eastAsia="仿宋_GB2312" w:cs="宋体"/>
          <w:color w:val="auto"/>
          <w:sz w:val="32"/>
          <w:szCs w:val="32"/>
          <w:lang w:val="en-US" w:eastAsia="zh-CN"/>
        </w:rPr>
        <w:t>，</w:t>
      </w:r>
      <w:r>
        <w:rPr>
          <w:rFonts w:hint="eastAsia" w:ascii="Times New Roman" w:hAnsi="Times New Roman" w:eastAsia="仿宋_GB2312" w:cs="宋体"/>
          <w:color w:val="auto"/>
          <w:sz w:val="32"/>
          <w:szCs w:val="32"/>
          <w:lang w:val="en-US" w:eastAsia="zh-CN"/>
        </w:rPr>
        <w:t>黄惠友</w:t>
      </w:r>
      <w:r>
        <w:rPr>
          <w:rFonts w:hint="eastAsia" w:eastAsia="仿宋_GB2312" w:cs="宋体"/>
          <w:color w:val="auto"/>
          <w:sz w:val="32"/>
          <w:szCs w:val="32"/>
          <w:lang w:val="en-US" w:eastAsia="zh-CN"/>
        </w:rPr>
        <w:t>同志</w:t>
      </w:r>
      <w:r>
        <w:rPr>
          <w:rFonts w:hint="eastAsia" w:ascii="Times New Roman" w:hAnsi="Times New Roman" w:eastAsia="仿宋_GB2312" w:cs="宋体"/>
          <w:color w:val="auto"/>
          <w:sz w:val="32"/>
          <w:szCs w:val="32"/>
          <w:lang w:val="en-US" w:eastAsia="zh-CN"/>
        </w:rPr>
        <w:t>任常务副组长</w:t>
      </w:r>
      <w:r>
        <w:rPr>
          <w:rFonts w:hint="eastAsia" w:eastAsia="仿宋_GB2312" w:cs="宋体"/>
          <w:color w:val="auto"/>
          <w:sz w:val="32"/>
          <w:szCs w:val="32"/>
          <w:lang w:val="en-US" w:eastAsia="zh-CN"/>
        </w:rPr>
        <w:t>，张玲香</w:t>
      </w:r>
      <w:r>
        <w:rPr>
          <w:rFonts w:hint="eastAsia" w:ascii="Times New Roman" w:hAnsi="Times New Roman" w:eastAsia="仿宋_GB2312" w:cs="宋体"/>
          <w:color w:val="auto"/>
          <w:sz w:val="32"/>
          <w:szCs w:val="32"/>
          <w:lang w:val="en-US" w:eastAsia="zh-CN"/>
        </w:rPr>
        <w:t>、刘芳、</w:t>
      </w:r>
      <w:r>
        <w:rPr>
          <w:rFonts w:hint="eastAsia" w:eastAsia="仿宋_GB2312" w:cs="宋体"/>
          <w:color w:val="auto"/>
          <w:sz w:val="32"/>
          <w:szCs w:val="32"/>
          <w:lang w:val="en-US" w:eastAsia="zh-CN"/>
        </w:rPr>
        <w:t>敖宇海、王新文、</w:t>
      </w:r>
      <w:r>
        <w:rPr>
          <w:rFonts w:hint="eastAsia" w:ascii="Times New Roman" w:hAnsi="Times New Roman" w:eastAsia="仿宋_GB2312" w:cs="宋体"/>
          <w:color w:val="auto"/>
          <w:sz w:val="32"/>
          <w:szCs w:val="32"/>
          <w:lang w:val="en-US" w:eastAsia="zh-CN"/>
        </w:rPr>
        <w:t>钟舒毅</w:t>
      </w:r>
      <w:r>
        <w:rPr>
          <w:rFonts w:hint="eastAsia" w:eastAsia="仿宋_GB2312" w:cs="宋体"/>
          <w:color w:val="auto"/>
          <w:sz w:val="32"/>
          <w:szCs w:val="32"/>
          <w:lang w:val="en-US" w:eastAsia="zh-CN"/>
        </w:rPr>
        <w:t>、谢嘉灵、胡振东同志</w:t>
      </w:r>
      <w:r>
        <w:rPr>
          <w:rFonts w:hint="eastAsia" w:ascii="Times New Roman" w:hAnsi="Times New Roman" w:eastAsia="仿宋_GB2312" w:cs="宋体"/>
          <w:color w:val="auto"/>
          <w:sz w:val="32"/>
          <w:szCs w:val="32"/>
          <w:lang w:val="en-US" w:eastAsia="zh-CN"/>
        </w:rPr>
        <w:t>任副组长，各</w:t>
      </w:r>
      <w:r>
        <w:rPr>
          <w:rFonts w:hint="eastAsia" w:eastAsia="仿宋_GB2312" w:cs="宋体"/>
          <w:color w:val="auto"/>
          <w:sz w:val="32"/>
          <w:szCs w:val="32"/>
          <w:lang w:val="en-US" w:eastAsia="zh-CN"/>
        </w:rPr>
        <w:t>工作组</w:t>
      </w:r>
      <w:r>
        <w:rPr>
          <w:rFonts w:hint="eastAsia" w:ascii="Times New Roman" w:hAnsi="Times New Roman" w:eastAsia="仿宋_GB2312" w:cs="宋体"/>
          <w:color w:val="auto"/>
          <w:sz w:val="32"/>
          <w:szCs w:val="32"/>
          <w:lang w:val="en-US" w:eastAsia="zh-CN"/>
        </w:rPr>
        <w:t>负责人为成员，领导小组下设办公室，由局</w:t>
      </w:r>
      <w:r>
        <w:rPr>
          <w:rFonts w:hint="eastAsia" w:eastAsia="仿宋_GB2312" w:cs="宋体"/>
          <w:color w:val="auto"/>
          <w:sz w:val="32"/>
          <w:szCs w:val="32"/>
          <w:lang w:val="en-US" w:eastAsia="zh-CN"/>
        </w:rPr>
        <w:t>办公室</w:t>
      </w:r>
      <w:r>
        <w:rPr>
          <w:rFonts w:hint="eastAsia" w:ascii="Times New Roman" w:hAnsi="Times New Roman" w:eastAsia="仿宋_GB2312" w:cs="宋体"/>
          <w:color w:val="auto"/>
          <w:sz w:val="32"/>
          <w:szCs w:val="32"/>
          <w:lang w:val="en-US" w:eastAsia="zh-CN"/>
        </w:rPr>
        <w:t>负责日常工作</w:t>
      </w:r>
      <w:r>
        <w:rPr>
          <w:rFonts w:hint="eastAsia" w:eastAsia="仿宋_GB2312" w:cs="宋体"/>
          <w:color w:val="auto"/>
          <w:sz w:val="32"/>
          <w:szCs w:val="32"/>
          <w:lang w:val="en-US" w:eastAsia="zh-CN"/>
        </w:rPr>
        <w:t>，同时，</w:t>
      </w:r>
      <w:r>
        <w:rPr>
          <w:rFonts w:hint="eastAsia" w:eastAsia="仿宋_GB2312"/>
          <w:sz w:val="32"/>
          <w:lang w:eastAsia="zh-CN"/>
        </w:rPr>
        <w:t>安排了专职人员负责信息收集上报工作。</w:t>
      </w:r>
    </w:p>
    <w:p w14:paraId="3F416733">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二、主动公开政府信息情况</w:t>
      </w:r>
    </w:p>
    <w:p w14:paraId="089AE4FF">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p>
    <w:tbl>
      <w:tblPr>
        <w:tblStyle w:val="8"/>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6F0D96F8">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5A0471E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14:paraId="1F4C0CA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48824AC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15127A09">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15447474">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6656299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14:paraId="5ACF3DE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05E9660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5D617B9">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6F0A36D3">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605CD5FB">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14:paraId="3B1709B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3E29A66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68AC738">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0B9D74D">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145997D3">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3</w:t>
            </w:r>
            <w:bookmarkStart w:id="0" w:name="_GoBack"/>
            <w:bookmarkEnd w:id="0"/>
          </w:p>
        </w:tc>
      </w:tr>
      <w:tr w14:paraId="0A86B643">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111FBBE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14:paraId="6C46680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4260B68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DD49E6A">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14:paraId="6A5C521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128E944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A557DA9">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14:paraId="3C94A721">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CD3CC9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14:paraId="0AB0C0A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EE8B5E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3D84AE6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14:paraId="7A24A09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3C1C537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7FA15D2">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14:paraId="5D90F93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038689B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7B751EC">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14:paraId="70205E00">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4B47F843">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14:paraId="17E0DEE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5D8BCFC9">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0F71326A">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14:paraId="08F0537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95F79E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5517D045">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14:paraId="0D84EAC0">
      <w:pPr>
        <w:widowControl/>
        <w:autoSpaceDE/>
        <w:autoSpaceDN/>
        <w:snapToGrid/>
        <w:spacing w:line="240" w:lineRule="auto"/>
        <w:ind w:firstLine="0"/>
        <w:jc w:val="left"/>
        <w:rPr>
          <w:rFonts w:hint="eastAsia" w:ascii="宋体" w:hAnsi="宋体" w:eastAsia="宋体" w:cs="宋体"/>
          <w:snapToGrid/>
          <w:sz w:val="24"/>
          <w:szCs w:val="24"/>
        </w:rPr>
      </w:pPr>
    </w:p>
    <w:p w14:paraId="2BF75864">
      <w:pPr>
        <w:pStyle w:val="7"/>
        <w:keepNext w:val="0"/>
        <w:keepLines w:val="0"/>
        <w:widowControl/>
        <w:numPr>
          <w:ilvl w:val="0"/>
          <w:numId w:val="0"/>
        </w:numPr>
        <w:suppressLineNumbers w:val="0"/>
        <w:spacing w:before="0" w:beforeAutospacing="0" w:after="0" w:afterAutospacing="0"/>
        <w:ind w:left="0" w:leftChars="0" w:right="0" w:rightChars="0" w:firstLine="0" w:firstLineChars="0"/>
        <w:rPr>
          <w:rFonts w:hint="eastAsia" w:ascii="黑体" w:hAnsi="黑体" w:eastAsia="黑体" w:cs="黑体"/>
          <w:b w:val="0"/>
          <w:bCs w:val="0"/>
          <w:snapToGrid/>
          <w:color w:val="333333"/>
          <w:sz w:val="32"/>
          <w:szCs w:val="32"/>
        </w:rPr>
      </w:pPr>
      <w:r>
        <w:rPr>
          <w:rFonts w:hint="eastAsia" w:ascii="黑体" w:hAnsi="黑体" w:eastAsia="黑体" w:cs="黑体"/>
          <w:b w:val="0"/>
          <w:bCs w:val="0"/>
          <w:snapToGrid/>
          <w:color w:val="333333"/>
          <w:sz w:val="32"/>
          <w:szCs w:val="32"/>
          <w:lang w:val="en-US" w:eastAsia="zh-CN" w:bidi="ar-SA"/>
        </w:rPr>
        <w:t>三、</w:t>
      </w:r>
      <w:r>
        <w:rPr>
          <w:rFonts w:hint="eastAsia" w:ascii="黑体" w:hAnsi="黑体" w:eastAsia="黑体" w:cs="黑体"/>
          <w:b w:val="0"/>
          <w:bCs w:val="0"/>
          <w:snapToGrid/>
          <w:color w:val="333333"/>
          <w:sz w:val="32"/>
          <w:szCs w:val="32"/>
        </w:rPr>
        <w:t>收到和处理政府信息公开申请情况</w:t>
      </w:r>
    </w:p>
    <w:p w14:paraId="2A2ED219">
      <w:pPr>
        <w:pStyle w:val="7"/>
        <w:keepNext w:val="0"/>
        <w:keepLines w:val="0"/>
        <w:widowControl/>
        <w:numPr>
          <w:ilvl w:val="0"/>
          <w:numId w:val="0"/>
        </w:numPr>
        <w:suppressLineNumbers w:val="0"/>
        <w:spacing w:before="0" w:beforeAutospacing="0" w:after="0" w:afterAutospacing="0"/>
        <w:ind w:leftChars="0" w:right="0" w:rightChars="0"/>
        <w:rPr>
          <w:rFonts w:hint="eastAsia" w:ascii="黑体" w:hAnsi="黑体" w:eastAsia="黑体" w:cs="黑体"/>
          <w:b w:val="0"/>
          <w:bCs w:val="0"/>
          <w:snapToGrid/>
          <w:color w:val="333333"/>
          <w:sz w:val="32"/>
          <w:szCs w:val="32"/>
          <w:lang w:eastAsia="zh-CN"/>
        </w:rPr>
      </w:pPr>
    </w:p>
    <w:tbl>
      <w:tblPr>
        <w:tblStyle w:val="8"/>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14:paraId="75757AA9">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1D733E4B">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C6EF3E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14:paraId="03ECE70E">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2F446BCB">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1FDD5A1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E87552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009823E4">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14:paraId="73FDA3CB">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04C57931">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14:paraId="3E6720A6">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2030441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14:paraId="6F300D3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9765954">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14:paraId="3ED0767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67374C1">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039740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59EBCD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14:paraId="29B86AF0">
            <w:pPr>
              <w:widowControl/>
              <w:autoSpaceDE/>
              <w:autoSpaceDN/>
              <w:snapToGrid/>
              <w:spacing w:line="240" w:lineRule="auto"/>
              <w:ind w:firstLine="0"/>
              <w:jc w:val="left"/>
              <w:rPr>
                <w:rFonts w:ascii="宋体" w:hAnsi="宋体" w:eastAsia="宋体" w:cs="宋体"/>
                <w:snapToGrid/>
                <w:sz w:val="24"/>
                <w:szCs w:val="24"/>
              </w:rPr>
            </w:pPr>
          </w:p>
        </w:tc>
      </w:tr>
      <w:tr w14:paraId="60C08F1A">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696AA6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0A97C62B">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E4C93AA">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4C880D6">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CAA6BB2">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432778C">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AA6B8B">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599DB62">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14:paraId="2C8BF3EA">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3F7D03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61BADF84">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4A2A6AE">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5E9C32">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4B89A61">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7565B5">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C6FF10">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A6D0E49">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20C072E6">
        <w:tblPrEx>
          <w:tblCellMar>
            <w:top w:w="0" w:type="dxa"/>
            <w:left w:w="0" w:type="dxa"/>
            <w:bottom w:w="0" w:type="dxa"/>
            <w:right w:w="0" w:type="dxa"/>
          </w:tblCellMar>
        </w:tblPrEx>
        <w:trPr>
          <w:jc w:val="center"/>
        </w:trPr>
        <w:tc>
          <w:tcPr>
            <w:tcW w:w="768" w:type="dxa"/>
            <w:vMerge w:val="restart"/>
            <w:tcBorders>
              <w:top w:val="nil"/>
              <w:left w:val="single" w:color="auto" w:sz="4" w:space="0"/>
              <w:bottom w:val="inset" w:color="auto" w:sz="8" w:space="0"/>
              <w:right w:val="single" w:color="auto" w:sz="8" w:space="0"/>
            </w:tcBorders>
            <w:tcMar>
              <w:top w:w="0" w:type="dxa"/>
              <w:left w:w="57" w:type="dxa"/>
              <w:bottom w:w="0" w:type="dxa"/>
              <w:right w:w="57" w:type="dxa"/>
            </w:tcMar>
            <w:vAlign w:val="center"/>
          </w:tcPr>
          <w:p w14:paraId="01721DE0">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22FA2730">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93E9E9E">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BB86B0E">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7B52B4">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F79E3AE">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045B0D">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C238433">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5C77FE4E">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06E12588">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04EF8D29">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7D1B27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4AD0E30">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095CAE0">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E911A75">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D6873B6">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5312E14">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92C439F">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EC673D1">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12EFE37C">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47A0CB47">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2459762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BFF3AC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8071638">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42DFC63">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9D899FC">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61B2B3">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45C913E">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BC01F3">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14:paraId="480650BC">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62CF8D3B">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011BA9B2">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50B5CB78">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DA0E58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5FD23B8">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5BD6473">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224DD8">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BE9E42">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3AC8DC">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49868FB">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0C0AC9A">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7439FB98">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76F548D4">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45242EDA">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A67046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3B29DC1">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8D301BA">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57757C">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070E49">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94710E">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43DCB4E">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A32F5D9">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4B62583C">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0DE11132">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19A3C8E3">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20C5420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60BE83BE">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22B87E87">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D0C83E7">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28620F">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267F59">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11FBFC">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D1E86DD">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307340CA">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080E273C">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300F3D30">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0BFA108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E7E1C6A">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27B3EB2A">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B55E19">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356509A">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78AF1FE">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314D888">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6854E40">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20A2F172">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3DF4C153">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56AB3CB7">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BD9F3B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F143078">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2148982">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8BFFA61">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3B1D11C">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E0C4DE7">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B057D7">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583ABFF">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7EFC3FE5">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2C5E7737">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049100A2">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3074136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8A10CF7">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2A51C603">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CC9A578">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E70DA8">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6C0477">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E403185">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D0053E0">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2EC8C567">
        <w:tblPrEx>
          <w:tblCellMar>
            <w:top w:w="0" w:type="dxa"/>
            <w:left w:w="0" w:type="dxa"/>
            <w:bottom w:w="0" w:type="dxa"/>
            <w:right w:w="0" w:type="dxa"/>
          </w:tblCellMar>
        </w:tblPrEx>
        <w:trPr>
          <w:jc w:val="center"/>
        </w:trPr>
        <w:tc>
          <w:tcPr>
            <w:tcW w:w="768" w:type="dxa"/>
            <w:vMerge w:val="continue"/>
            <w:tcBorders>
              <w:top w:val="nil"/>
              <w:left w:val="single" w:color="auto" w:sz="4" w:space="0"/>
              <w:bottom w:val="single" w:color="auto" w:sz="4" w:space="0"/>
              <w:right w:val="single" w:color="auto" w:sz="8" w:space="0"/>
            </w:tcBorders>
            <w:vAlign w:val="center"/>
          </w:tcPr>
          <w:p w14:paraId="051DFC3F">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single" w:color="auto" w:sz="4" w:space="0"/>
              <w:right w:val="single" w:color="auto" w:sz="8" w:space="0"/>
            </w:tcBorders>
            <w:vAlign w:val="center"/>
          </w:tcPr>
          <w:p w14:paraId="2B402481">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4" w:space="0"/>
              <w:right w:val="single" w:color="auto" w:sz="8" w:space="0"/>
            </w:tcBorders>
            <w:tcMar>
              <w:top w:w="0" w:type="dxa"/>
              <w:left w:w="57" w:type="dxa"/>
              <w:bottom w:w="0" w:type="dxa"/>
              <w:right w:w="57" w:type="dxa"/>
            </w:tcMar>
          </w:tcPr>
          <w:p w14:paraId="6B1BB47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14:paraId="3D460B19">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355D0FAF">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67ECAFDE">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026BCC17">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75F75794">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4D471075">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top"/>
          </w:tcPr>
          <w:p w14:paraId="1C39A69E">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2B50D710">
        <w:tblPrEx>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inset" w:color="auto" w:sz="8" w:space="0"/>
              <w:right w:val="single" w:color="auto" w:sz="8" w:space="0"/>
            </w:tcBorders>
            <w:vAlign w:val="center"/>
          </w:tcPr>
          <w:p w14:paraId="5A4650A6">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single" w:color="auto" w:sz="4" w:space="0"/>
              <w:left w:val="nil"/>
              <w:bottom w:val="inset" w:color="auto" w:sz="8" w:space="0"/>
              <w:right w:val="single" w:color="auto" w:sz="8" w:space="0"/>
            </w:tcBorders>
            <w:tcMar>
              <w:top w:w="0" w:type="dxa"/>
              <w:left w:w="57" w:type="dxa"/>
              <w:bottom w:w="0" w:type="dxa"/>
              <w:right w:w="57" w:type="dxa"/>
            </w:tcMar>
            <w:vAlign w:val="center"/>
          </w:tcPr>
          <w:p w14:paraId="7CD055E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single" w:color="auto" w:sz="4" w:space="0"/>
              <w:left w:val="nil"/>
              <w:bottom w:val="single" w:color="auto" w:sz="8" w:space="0"/>
              <w:right w:val="single" w:color="auto" w:sz="8" w:space="0"/>
            </w:tcBorders>
            <w:tcMar>
              <w:top w:w="0" w:type="dxa"/>
              <w:left w:w="57" w:type="dxa"/>
              <w:bottom w:w="0" w:type="dxa"/>
              <w:right w:w="57" w:type="dxa"/>
            </w:tcMar>
          </w:tcPr>
          <w:p w14:paraId="0622EAA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2AD832DB">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6B45CA37">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352CB34D">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4A8308F6">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6F9C64B9">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125E4893">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top"/>
          </w:tcPr>
          <w:p w14:paraId="03DBB8B9">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6CD1D86A">
        <w:tblPrEx>
          <w:tblCellMar>
            <w:top w:w="0" w:type="dxa"/>
            <w:left w:w="0" w:type="dxa"/>
            <w:bottom w:w="0" w:type="dxa"/>
            <w:right w:w="0" w:type="dxa"/>
          </w:tblCellMar>
        </w:tblPrEx>
        <w:trPr>
          <w:jc w:val="center"/>
        </w:trPr>
        <w:tc>
          <w:tcPr>
            <w:tcW w:w="768" w:type="dxa"/>
            <w:vMerge w:val="continue"/>
            <w:tcBorders>
              <w:top w:val="nil"/>
              <w:left w:val="single" w:color="auto" w:sz="4" w:space="0"/>
              <w:bottom w:val="single" w:color="auto" w:sz="4" w:space="0"/>
              <w:right w:val="single" w:color="auto" w:sz="8" w:space="0"/>
            </w:tcBorders>
            <w:vAlign w:val="center"/>
          </w:tcPr>
          <w:p w14:paraId="0BD7E7B6">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single" w:color="auto" w:sz="4" w:space="0"/>
              <w:right w:val="single" w:color="auto" w:sz="8" w:space="0"/>
            </w:tcBorders>
            <w:vAlign w:val="center"/>
          </w:tcPr>
          <w:p w14:paraId="51FE324D">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4" w:space="0"/>
              <w:right w:val="single" w:color="auto" w:sz="8" w:space="0"/>
            </w:tcBorders>
            <w:tcMar>
              <w:top w:w="0" w:type="dxa"/>
              <w:left w:w="57" w:type="dxa"/>
              <w:bottom w:w="0" w:type="dxa"/>
              <w:right w:w="57" w:type="dxa"/>
            </w:tcMar>
          </w:tcPr>
          <w:p w14:paraId="7029EBF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14:paraId="35411AB2">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5934C419">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0FCEEDA0">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7BA379E7">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372C10DE">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18AB5612">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top"/>
          </w:tcPr>
          <w:p w14:paraId="1E238BFD">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1CB67D3F">
        <w:tblPrEx>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inset" w:color="auto" w:sz="8" w:space="0"/>
              <w:right w:val="single" w:color="auto" w:sz="8" w:space="0"/>
            </w:tcBorders>
            <w:vAlign w:val="center"/>
          </w:tcPr>
          <w:p w14:paraId="31266B7F">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single" w:color="auto" w:sz="4" w:space="0"/>
              <w:left w:val="nil"/>
              <w:bottom w:val="inset" w:color="auto" w:sz="8" w:space="0"/>
              <w:right w:val="single" w:color="auto" w:sz="4" w:space="0"/>
            </w:tcBorders>
            <w:vAlign w:val="center"/>
          </w:tcPr>
          <w:p w14:paraId="1E721996">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14:paraId="517ADA5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5400C0A">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42D095F">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E89CE53">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EED2F38">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31F439B">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2BE22FC">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14:paraId="53931660">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69E05DA5">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7F60EA0C">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5F5167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single" w:color="auto" w:sz="4" w:space="0"/>
              <w:left w:val="nil"/>
              <w:bottom w:val="single" w:color="auto" w:sz="8" w:space="0"/>
              <w:right w:val="single" w:color="auto" w:sz="8" w:space="0"/>
            </w:tcBorders>
            <w:tcMar>
              <w:top w:w="0" w:type="dxa"/>
              <w:left w:w="57" w:type="dxa"/>
              <w:bottom w:w="0" w:type="dxa"/>
              <w:right w:w="57" w:type="dxa"/>
            </w:tcMar>
          </w:tcPr>
          <w:p w14:paraId="7AFE369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289A74EA">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096426FF">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33D0D07E">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7E4C1DB4">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30D96F64">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19A8CE0C">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top"/>
          </w:tcPr>
          <w:p w14:paraId="7C6BB34B">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71B4BD3B">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621E6730">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7ABC1F42">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381DA7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0D7139B">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B248002">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51EEC95">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038F01A">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9D4C3B">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66581DE">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62A3ADF1">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01ED88E0">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42E259AA">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5896E856">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0E06ECF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DC6C5CC">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D7D9E66">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E43D2F9">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C824D1E">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971EB0B">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2872EC">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57AD442">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5367D157">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5DEA8B85">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3C8EBE41">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E8BDB8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58B72083">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251E0E65">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9038E30">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A460F27">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ED10F4">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54AE56">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713F28C">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14489635">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4" w:space="0"/>
              <w:bottom w:val="inset" w:color="auto" w:sz="8" w:space="0"/>
              <w:right w:val="single" w:color="auto" w:sz="8" w:space="0"/>
            </w:tcBorders>
            <w:vAlign w:val="center"/>
          </w:tcPr>
          <w:p w14:paraId="0C76C0E0">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23DABE54">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14:paraId="25BE1550">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14:paraId="6945E140">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14:paraId="5EB66980">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5D27C8F5">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65A1701E">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037A3354">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32825A7F">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14:paraId="01FB4305">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1847E6C9">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1330370A">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3B599FD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02FF3AAA">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6350F4D6">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4F27295">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D8379AA">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EE2044">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9D2C8C">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6997B7">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754CD3E">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3A098923">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73BE5F44">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14:paraId="429CD7F2">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2B7D5C5E">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8EEAA51">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EEB5E7A">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48C0E7">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C7A5AD8">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96FC413">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C0DF570">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1A2ECA00">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26DEB555">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4F5FDF24">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14:paraId="0B80509E">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712A8A5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7346AC76">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C6B1E09">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C3ED872">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F91306">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B9D0C01">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8DA873">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D4151F5">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2FF5D077">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14:paraId="44ED81B2">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4CA66BF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0AF83C68">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09D9272">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D41FDF9">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CA2407">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09393D">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CC5653B">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7C0E5D1">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14:paraId="67852A95">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2B632B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51A4418E">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9436C5D">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5BC3DC">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822629">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F9B68C0">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FD7F7A0">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52D2ECC">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bl>
    <w:p w14:paraId="22454506">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14:paraId="4B6467C3">
      <w:pPr>
        <w:widowControl/>
        <w:numPr>
          <w:ilvl w:val="0"/>
          <w:numId w:val="0"/>
        </w:numPr>
        <w:shd w:val="clear" w:color="auto" w:fill="FFFFFF"/>
        <w:autoSpaceDE/>
        <w:autoSpaceDN/>
        <w:snapToGrid/>
        <w:spacing w:line="240" w:lineRule="auto"/>
        <w:ind w:firstLine="480" w:firstLineChars="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 w:val="32"/>
          <w:szCs w:val="32"/>
          <w:lang w:val="en-US" w:eastAsia="zh-CN" w:bidi="ar-SA"/>
        </w:rPr>
        <w:t>四、</w:t>
      </w:r>
      <w:r>
        <w:rPr>
          <w:rFonts w:hint="eastAsia" w:ascii="黑体" w:hAnsi="黑体" w:eastAsia="黑体" w:cs="宋体"/>
          <w:b w:val="0"/>
          <w:bCs w:val="0"/>
          <w:snapToGrid/>
          <w:color w:val="333333"/>
          <w:szCs w:val="32"/>
        </w:rPr>
        <w:t>政府信息公开行政复议、行政诉讼情况</w:t>
      </w:r>
    </w:p>
    <w:p w14:paraId="79EAA7DD">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tbl>
      <w:tblPr>
        <w:tblStyle w:val="8"/>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5ED0709">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A2461A">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8CA4D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14:paraId="7F8DF161">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BD36C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AA61A2">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0CB11AB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56C1AB">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14:paraId="303AE8A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B9E900">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14:paraId="0F13624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4B0CA3">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82640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2229F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14:paraId="6EEA1D68">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14:paraId="5ED9D0E0">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14:paraId="67BD6655">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1A27DCD5">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3262881C">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15687007">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6755EF">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3AE7344C">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0976B3">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6222FD9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C109D7">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14:paraId="2212D41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F24F85">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14:paraId="13B0F55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44333D">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E05FFF">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48A4107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98769D">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34812E3A">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1EF685">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14:paraId="6BA4A9E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89E525">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14:paraId="73D587C9">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AB3A4C">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14:paraId="573C2857">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D63D56">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CD5C27">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867EE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558DE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572ADD">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1AAE2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5F201F">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787DC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6EF05B">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9D68B0">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9533DF">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553CF9">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65A10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D07E6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BC8736">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14:paraId="511406B0">
      <w:pPr>
        <w:widowControl/>
        <w:autoSpaceDE/>
        <w:autoSpaceDN/>
        <w:snapToGrid/>
        <w:spacing w:line="240" w:lineRule="auto"/>
        <w:ind w:firstLine="0"/>
        <w:jc w:val="left"/>
        <w:rPr>
          <w:rFonts w:hint="eastAsia" w:ascii="宋体" w:hAnsi="宋体" w:eastAsia="宋体" w:cs="宋体"/>
          <w:snapToGrid/>
          <w:sz w:val="24"/>
          <w:szCs w:val="24"/>
        </w:rPr>
      </w:pPr>
    </w:p>
    <w:p w14:paraId="1A66C037">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14:paraId="11471E0D">
      <w:pPr>
        <w:widowControl/>
        <w:shd w:val="clear" w:color="auto" w:fill="FFFFFF"/>
        <w:autoSpaceDE/>
        <w:autoSpaceDN/>
        <w:snapToGrid/>
        <w:spacing w:line="240" w:lineRule="auto"/>
        <w:ind w:firstLine="480"/>
        <w:rPr>
          <w:rFonts w:hint="eastAsia" w:ascii="仿宋_GB2312" w:hAnsi="宋体" w:eastAsia="仿宋_GB2312" w:cs="宋体"/>
          <w:snapToGrid/>
          <w:color w:val="333333"/>
          <w:szCs w:val="32"/>
          <w:lang w:val="en-US" w:eastAsia="zh-CN"/>
        </w:rPr>
      </w:pPr>
      <w:r>
        <w:rPr>
          <w:rFonts w:hint="eastAsia" w:ascii="仿宋_GB2312" w:hAnsi="宋体" w:eastAsia="仿宋_GB2312" w:cs="宋体"/>
          <w:snapToGrid/>
          <w:color w:val="333333"/>
          <w:szCs w:val="32"/>
          <w:lang w:val="en-US" w:eastAsia="zh-CN"/>
        </w:rPr>
        <w:t>虽然取得了一定成效，但仍然存在一些问题和不足，一是信息公开主动性不强，存在相关栏目更新不及时的情况；二是信息公开不够全面，内容较为单一，有待进一步充实。</w:t>
      </w:r>
    </w:p>
    <w:p w14:paraId="6B4D1955">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14:paraId="5E121384">
      <w:pPr>
        <w:pStyle w:val="20"/>
        <w:ind w:firstLine="632" w:firstLineChars="200"/>
        <w:jc w:val="left"/>
        <w:rPr>
          <w:rFonts w:hint="eastAsia"/>
          <w:sz w:val="32"/>
          <w:szCs w:val="32"/>
        </w:rPr>
      </w:pPr>
      <w:r>
        <w:rPr>
          <w:rFonts w:hint="eastAsia" w:ascii="仿宋_GB2312" w:hAnsi="宋体" w:eastAsia="仿宋_GB2312" w:cs="宋体"/>
          <w:snapToGrid/>
          <w:color w:val="333333"/>
          <w:sz w:val="32"/>
          <w:szCs w:val="32"/>
          <w:lang w:eastAsia="zh-CN"/>
        </w:rPr>
        <w:t>无</w:t>
      </w:r>
    </w:p>
    <w:sectPr>
      <w:headerReference r:id="rId5"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737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WRjMGE4YjFhOWY0NDU0MWNjNWQwNGU0NjgwZDU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17DD69B9"/>
    <w:rsid w:val="1B185ED3"/>
    <w:rsid w:val="2B173807"/>
    <w:rsid w:val="2C087BF6"/>
    <w:rsid w:val="2CFA13CB"/>
    <w:rsid w:val="2E4732D5"/>
    <w:rsid w:val="30C218B7"/>
    <w:rsid w:val="3103228A"/>
    <w:rsid w:val="3147651D"/>
    <w:rsid w:val="4DDA1757"/>
    <w:rsid w:val="562821F7"/>
    <w:rsid w:val="58DE1577"/>
    <w:rsid w:val="5C5A7B56"/>
    <w:rsid w:val="606E3563"/>
    <w:rsid w:val="65693AD9"/>
    <w:rsid w:val="667F5AA4"/>
    <w:rsid w:val="6AA04060"/>
    <w:rsid w:val="6FCB19B0"/>
    <w:rsid w:val="715D7316"/>
    <w:rsid w:val="7B4E6E77"/>
    <w:rsid w:val="7F1F151B"/>
    <w:rsid w:val="7F2454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9">
    <w:name w:val="Default Paragraph Font"/>
    <w:link w:val="10"/>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pacing w:line="400" w:lineRule="atLeast"/>
      <w:ind w:firstLine="0"/>
      <w:jc w:val="center"/>
    </w:pPr>
    <w:rPr>
      <w:sz w:val="28"/>
    </w:rPr>
  </w:style>
  <w:style w:type="paragraph" w:styleId="6">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autoRedefine/>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autoRedefine/>
    <w:qFormat/>
    <w:uiPriority w:val="0"/>
  </w:style>
  <w:style w:type="character" w:styleId="12">
    <w:name w:val="Hyperlink"/>
    <w:basedOn w:val="9"/>
    <w:autoRedefine/>
    <w:semiHidden/>
    <w:unhideWhenUsed/>
    <w:qFormat/>
    <w:uiPriority w:val="99"/>
    <w:rPr>
      <w:color w:val="0000FF"/>
      <w:u w:val="single"/>
    </w:rPr>
  </w:style>
  <w:style w:type="character" w:customStyle="1" w:styleId="13">
    <w:name w:val="articlebody"/>
    <w:basedOn w:val="9"/>
    <w:autoRedefine/>
    <w:qFormat/>
    <w:uiPriority w:val="0"/>
  </w:style>
  <w:style w:type="paragraph" w:customStyle="1" w:styleId="14">
    <w:name w:val="抄送栏"/>
    <w:basedOn w:val="1"/>
    <w:autoRedefine/>
    <w:qFormat/>
    <w:uiPriority w:val="0"/>
    <w:pPr>
      <w:adjustRightInd w:val="0"/>
      <w:snapToGrid/>
      <w:spacing w:line="454" w:lineRule="atLeast"/>
      <w:ind w:left="1310" w:right="357" w:hanging="953"/>
    </w:pPr>
  </w:style>
  <w:style w:type="paragraph" w:customStyle="1" w:styleId="15">
    <w:name w:val="印数"/>
    <w:basedOn w:val="16"/>
    <w:autoRedefine/>
    <w:qFormat/>
    <w:uiPriority w:val="0"/>
    <w:pPr>
      <w:tabs>
        <w:tab w:val="right" w:pos="8465"/>
      </w:tabs>
      <w:spacing w:line="400" w:lineRule="atLeast"/>
      <w:jc w:val="right"/>
    </w:pPr>
  </w:style>
  <w:style w:type="paragraph" w:customStyle="1" w:styleId="16">
    <w:name w:val="印发栏"/>
    <w:basedOn w:val="3"/>
    <w:autoRedefine/>
    <w:qFormat/>
    <w:uiPriority w:val="0"/>
    <w:pPr>
      <w:tabs>
        <w:tab w:val="right" w:pos="8465"/>
      </w:tabs>
      <w:spacing w:line="454" w:lineRule="atLeast"/>
      <w:ind w:left="357" w:right="357"/>
    </w:pPr>
    <w:rPr>
      <w:spacing w:val="0"/>
    </w:rPr>
  </w:style>
  <w:style w:type="paragraph" w:customStyle="1" w:styleId="17">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18">
    <w:name w:val="线型"/>
    <w:basedOn w:val="14"/>
    <w:autoRedefine/>
    <w:qFormat/>
    <w:uiPriority w:val="0"/>
    <w:pPr>
      <w:spacing w:line="240" w:lineRule="auto"/>
      <w:ind w:left="0" w:firstLine="0"/>
      <w:jc w:val="center"/>
    </w:pPr>
    <w:rPr>
      <w:sz w:val="21"/>
    </w:rPr>
  </w:style>
  <w:style w:type="paragraph" w:customStyle="1" w:styleId="19">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20">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1">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2">
    <w:name w:val=" 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3">
    <w:name w:val="紧急程度"/>
    <w:basedOn w:val="24"/>
    <w:autoRedefine/>
    <w:qFormat/>
    <w:uiPriority w:val="0"/>
    <w:pPr>
      <w:overflowPunct w:val="0"/>
    </w:pPr>
    <w:rPr>
      <w:sz w:val="32"/>
    </w:rPr>
  </w:style>
  <w:style w:type="paragraph" w:customStyle="1" w:styleId="24">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5">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6">
    <w:name w:val="样式1"/>
    <w:basedOn w:val="1"/>
    <w:autoRedefine/>
    <w:qFormat/>
    <w:uiPriority w:val="0"/>
  </w:style>
  <w:style w:type="paragraph" w:customStyle="1" w:styleId="27">
    <w:name w:val="标题2"/>
    <w:basedOn w:val="1"/>
    <w:next w:val="1"/>
    <w:autoRedefine/>
    <w:qFormat/>
    <w:uiPriority w:val="0"/>
    <w:pPr>
      <w:ind w:firstLine="0"/>
      <w:jc w:val="center"/>
    </w:pPr>
    <w:rPr>
      <w:rFonts w:eastAsia="方正楷体_GBK"/>
    </w:rPr>
  </w:style>
  <w:style w:type="paragraph" w:customStyle="1" w:styleId="28">
    <w:name w:val="附件栏"/>
    <w:basedOn w:val="1"/>
    <w:autoRedefine/>
    <w:qFormat/>
    <w:uiPriority w:val="0"/>
  </w:style>
  <w:style w:type="paragraph" w:customStyle="1" w:styleId="29">
    <w:name w:val="标题3"/>
    <w:basedOn w:val="1"/>
    <w:next w:val="1"/>
    <w:autoRedefine/>
    <w:qFormat/>
    <w:uiPriority w:val="0"/>
    <w:rPr>
      <w:rFonts w:eastAsia="方正黑体_GBK"/>
    </w:rPr>
  </w:style>
  <w:style w:type="paragraph" w:customStyle="1" w:styleId="30">
    <w:name w:val=" 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UQi.me</Company>
  <Pages>4</Pages>
  <Words>2046</Words>
  <Characters>2135</Characters>
  <Lines>34</Lines>
  <Paragraphs>9</Paragraphs>
  <TotalTime>26</TotalTime>
  <ScaleCrop>false</ScaleCrop>
  <LinksUpToDate>false</LinksUpToDate>
  <CharactersWithSpaces>2324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Echo</cp:lastModifiedBy>
  <cp:lastPrinted>2024-01-29T07:28:00Z</cp:lastPrinted>
  <dcterms:modified xsi:type="dcterms:W3CDTF">2025-02-05T00:25:57Z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1465A0BB29734AC79A85C0C25DFA8EB0_13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eyJoZGlkIjoiNzU0MzM5YTcxMjcyZDNkMjY5MGQzM2I0YzQ1NTAzMTYiLCJ1c2VySWQiOiI0MDg1OTI2ODAifQ==</vt:lpwstr>
  </property>
</Properties>
</file>