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C774A">
      <w:pPr>
        <w:keepNext w:val="0"/>
        <w:keepLines w:val="0"/>
        <w:pageBreakBefore w:val="0"/>
        <w:widowControl/>
        <w:shd w:val="clear" w:color="auto"/>
        <w:kinsoku/>
        <w:wordWrap/>
        <w:overflowPunct/>
        <w:topLinePunct w:val="0"/>
        <w:autoSpaceDE/>
        <w:autoSpaceDN/>
        <w:bidi w:val="0"/>
        <w:adjustRightInd/>
        <w:snapToGrid/>
        <w:spacing w:line="560" w:lineRule="exact"/>
        <w:ind w:firstLine="0"/>
        <w:jc w:val="center"/>
        <w:textAlignment w:val="auto"/>
        <w:rPr>
          <w:rFonts w:hint="eastAsia" w:ascii="方正小标宋简体" w:hAnsi="方正小标宋简体" w:eastAsia="方正小标宋简体" w:cs="方正小标宋简体"/>
          <w:b w:val="0"/>
          <w:bCs w:val="0"/>
          <w:snapToGrid/>
          <w:color w:val="auto"/>
          <w:sz w:val="44"/>
          <w:szCs w:val="44"/>
        </w:rPr>
      </w:pPr>
      <w:r>
        <w:rPr>
          <w:rFonts w:hint="eastAsia" w:ascii="方正小标宋简体" w:hAnsi="方正小标宋简体" w:eastAsia="方正小标宋简体" w:cs="方正小标宋简体"/>
          <w:b w:val="0"/>
          <w:bCs w:val="0"/>
          <w:snapToGrid/>
          <w:color w:val="auto"/>
          <w:sz w:val="44"/>
          <w:szCs w:val="44"/>
          <w:lang w:val="en-US" w:eastAsia="zh-CN"/>
        </w:rPr>
        <w:t>赣州经开区招商局2022年</w:t>
      </w:r>
      <w:r>
        <w:rPr>
          <w:rFonts w:hint="eastAsia" w:ascii="方正小标宋简体" w:hAnsi="方正小标宋简体" w:eastAsia="方正小标宋简体" w:cs="方正小标宋简体"/>
          <w:b w:val="0"/>
          <w:bCs w:val="0"/>
          <w:snapToGrid/>
          <w:color w:val="auto"/>
          <w:sz w:val="44"/>
          <w:szCs w:val="44"/>
        </w:rPr>
        <w:t>政府信息公开工作年度报告</w:t>
      </w:r>
    </w:p>
    <w:p w14:paraId="700425DD">
      <w:pPr>
        <w:keepNext w:val="0"/>
        <w:keepLines w:val="0"/>
        <w:pageBreakBefore w:val="0"/>
        <w:widowControl/>
        <w:shd w:val="clear" w:color="auto"/>
        <w:kinsoku/>
        <w:wordWrap/>
        <w:overflowPunct/>
        <w:topLinePunct w:val="0"/>
        <w:autoSpaceDE/>
        <w:autoSpaceDN/>
        <w:bidi w:val="0"/>
        <w:adjustRightInd/>
        <w:snapToGrid/>
        <w:spacing w:line="560" w:lineRule="exact"/>
        <w:ind w:firstLine="480"/>
        <w:textAlignment w:val="auto"/>
        <w:rPr>
          <w:rFonts w:hint="eastAsia" w:ascii="Times New Roman" w:hAnsi="Times New Roman" w:eastAsia="仿宋_GB2312" w:cs="宋体"/>
          <w:snapToGrid/>
          <w:color w:val="auto"/>
          <w:sz w:val="32"/>
          <w:szCs w:val="32"/>
          <w:lang w:val="en-US" w:eastAsia="zh-CN"/>
        </w:rPr>
      </w:pPr>
    </w:p>
    <w:p w14:paraId="2AD02474">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snapToGrid/>
          <w:color w:val="auto"/>
          <w:sz w:val="32"/>
          <w:szCs w:val="32"/>
          <w:lang w:val="en-US" w:eastAsia="zh-CN"/>
        </w:rPr>
      </w:pPr>
      <w:r>
        <w:rPr>
          <w:rFonts w:hint="eastAsia" w:ascii="Times New Roman" w:hAnsi="Times New Roman" w:eastAsia="仿宋_GB2312" w:cs="宋体"/>
          <w:snapToGrid/>
          <w:color w:val="auto"/>
          <w:sz w:val="32"/>
          <w:szCs w:val="32"/>
          <w:lang w:val="en-US" w:eastAsia="zh-CN"/>
        </w:rPr>
        <w:t>本报告依据《中华人民共和国政府信息公开条例》（国务院令第711号，以下简称新《条例》）和《国务院办公厅政府信息与政务公开办公室关于政府信息公开工作年度报告有关事项的通知》（国办公开办函〔2019〕60号）要求，由赣州经开区招商局结合有关统计数据编制。本年度报告中所列数据的统计期限自20</w:t>
      </w:r>
      <w:r>
        <w:rPr>
          <w:rFonts w:hint="eastAsia" w:eastAsia="仿宋_GB2312" w:cs="宋体"/>
          <w:snapToGrid/>
          <w:color w:val="auto"/>
          <w:sz w:val="32"/>
          <w:szCs w:val="32"/>
          <w:lang w:val="en-US" w:eastAsia="zh-CN"/>
        </w:rPr>
        <w:t>22</w:t>
      </w:r>
      <w:r>
        <w:rPr>
          <w:rFonts w:hint="eastAsia" w:ascii="Times New Roman" w:hAnsi="Times New Roman" w:eastAsia="仿宋_GB2312" w:cs="宋体"/>
          <w:snapToGrid/>
          <w:color w:val="auto"/>
          <w:sz w:val="32"/>
          <w:szCs w:val="32"/>
          <w:lang w:val="en-US" w:eastAsia="zh-CN"/>
        </w:rPr>
        <w:t>年1月1日起至20</w:t>
      </w:r>
      <w:r>
        <w:rPr>
          <w:rFonts w:hint="eastAsia" w:eastAsia="仿宋_GB2312" w:cs="宋体"/>
          <w:snapToGrid/>
          <w:color w:val="auto"/>
          <w:sz w:val="32"/>
          <w:szCs w:val="32"/>
          <w:lang w:val="en-US" w:eastAsia="zh-CN"/>
        </w:rPr>
        <w:t>22</w:t>
      </w:r>
      <w:r>
        <w:rPr>
          <w:rFonts w:hint="eastAsia" w:ascii="Times New Roman" w:hAnsi="Times New Roman" w:eastAsia="仿宋_GB2312" w:cs="宋体"/>
          <w:snapToGrid/>
          <w:color w:val="auto"/>
          <w:sz w:val="32"/>
          <w:szCs w:val="32"/>
          <w:lang w:val="en-US" w:eastAsia="zh-CN"/>
        </w:rPr>
        <w:t>年12月31日止。全文包括总体情况、主动公开政府信息情况、收到和处理政府信息公开申请情况、政府信息公开行政复议行政诉讼情况、存在的主要问题及改进情况、其他需要报告的事项。</w:t>
      </w:r>
    </w:p>
    <w:p w14:paraId="71F3B59D">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黑体" w:hAnsi="黑体" w:eastAsia="黑体" w:cs="黑体"/>
          <w:b w:val="0"/>
          <w:bCs w:val="0"/>
          <w:snapToGrid/>
          <w:color w:val="auto"/>
          <w:sz w:val="32"/>
          <w:szCs w:val="32"/>
        </w:rPr>
      </w:pPr>
      <w:r>
        <w:rPr>
          <w:rFonts w:hint="eastAsia" w:ascii="黑体" w:hAnsi="黑体" w:eastAsia="黑体" w:cs="黑体"/>
          <w:b w:val="0"/>
          <w:bCs w:val="0"/>
          <w:snapToGrid/>
          <w:color w:val="auto"/>
          <w:sz w:val="32"/>
          <w:szCs w:val="32"/>
        </w:rPr>
        <w:t>一、总体情况</w:t>
      </w:r>
    </w:p>
    <w:p w14:paraId="16612AD4">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ascii="Times New Roman" w:hAnsi="Times New Roman" w:eastAsia="仿宋_GB2312" w:cs="宋体"/>
          <w:color w:val="auto"/>
          <w:sz w:val="32"/>
          <w:szCs w:val="32"/>
        </w:rPr>
      </w:pPr>
      <w:r>
        <w:rPr>
          <w:rFonts w:hint="eastAsia" w:eastAsia="仿宋_GB2312" w:cs="宋体"/>
          <w:color w:val="auto"/>
          <w:sz w:val="32"/>
          <w:szCs w:val="32"/>
          <w:lang w:val="en-US" w:eastAsia="zh-CN"/>
        </w:rPr>
        <w:t>2022</w:t>
      </w:r>
      <w:r>
        <w:rPr>
          <w:rFonts w:ascii="Times New Roman" w:hAnsi="Times New Roman" w:eastAsia="仿宋_GB2312" w:cs="宋体"/>
          <w:color w:val="auto"/>
          <w:sz w:val="32"/>
          <w:szCs w:val="32"/>
        </w:rPr>
        <w:t>年赣州经开区招商局坚持以习近平新时代中国特色社会主义思想为指导，深入贯彻党的</w:t>
      </w:r>
      <w:r>
        <w:rPr>
          <w:rFonts w:hint="eastAsia" w:ascii="Times New Roman" w:hAnsi="Times New Roman" w:eastAsia="仿宋_GB2312" w:cs="宋体"/>
          <w:color w:val="auto"/>
          <w:sz w:val="32"/>
          <w:szCs w:val="32"/>
          <w:lang w:val="en-US" w:eastAsia="zh-CN"/>
        </w:rPr>
        <w:t>二十大</w:t>
      </w:r>
      <w:r>
        <w:rPr>
          <w:rFonts w:ascii="Times New Roman" w:hAnsi="Times New Roman" w:eastAsia="仿宋_GB2312" w:cs="宋体"/>
          <w:color w:val="auto"/>
          <w:sz w:val="32"/>
          <w:szCs w:val="32"/>
        </w:rPr>
        <w:t>精神，严格落实《国务院办公厅印发〈关于全面推进政务公开工作的意见〉实施细则的通知》（国办发〔2016〕80号）和有关工作要求。同时积极积极对《关于印发全市政务公开定期通报制度》和《赣州经济技术开发区全面推进基层政务公开标准化规范化实施方案》明确目标任务，紧紧围绕省委、省政府中心工作及社会群众关注关切，着力提升政府信息公开质量，推进拓宽政府信息公开渠道，不断增强政府信息公开实效。</w:t>
      </w:r>
    </w:p>
    <w:p w14:paraId="196D5A97">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（一）主动公开</w:t>
      </w:r>
    </w:p>
    <w:p w14:paraId="4E64544D">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color w:val="auto"/>
          <w:sz w:val="32"/>
          <w:szCs w:val="32"/>
        </w:rPr>
      </w:pPr>
      <w:r>
        <w:rPr>
          <w:rFonts w:hint="eastAsia" w:ascii="Times New Roman" w:hAnsi="Times New Roman" w:eastAsia="仿宋_GB2312" w:cs="宋体"/>
          <w:color w:val="auto"/>
          <w:sz w:val="32"/>
          <w:szCs w:val="32"/>
          <w:lang w:val="en-US" w:eastAsia="zh-CN"/>
        </w:rPr>
        <w:t>本单位主动公开信息，着重聚焦稳外资外贸工作。</w:t>
      </w:r>
    </w:p>
    <w:p w14:paraId="33FE326E">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b/>
          <w:bCs/>
          <w:color w:val="auto"/>
          <w:sz w:val="32"/>
          <w:szCs w:val="32"/>
        </w:rPr>
      </w:pPr>
      <w:r>
        <w:rPr>
          <w:rFonts w:hint="eastAsia" w:ascii="Times New Roman" w:hAnsi="Times New Roman" w:eastAsia="仿宋_GB2312" w:cs="宋体"/>
          <w:b/>
          <w:bCs/>
          <w:color w:val="auto"/>
          <w:sz w:val="32"/>
          <w:szCs w:val="32"/>
          <w:lang w:val="en-US" w:eastAsia="zh-CN"/>
        </w:rPr>
        <w:t>第一，稳外贸。</w:t>
      </w:r>
    </w:p>
    <w:p w14:paraId="4E47E10B">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color w:val="auto"/>
          <w:sz w:val="32"/>
          <w:szCs w:val="32"/>
        </w:rPr>
      </w:pPr>
      <w:r>
        <w:rPr>
          <w:rFonts w:hint="eastAsia" w:ascii="Times New Roman" w:hAnsi="Times New Roman" w:eastAsia="仿宋_GB2312" w:cs="宋体"/>
          <w:color w:val="auto"/>
          <w:sz w:val="32"/>
          <w:szCs w:val="32"/>
          <w:lang w:val="en-US" w:eastAsia="zh-CN"/>
        </w:rPr>
        <w:t>1、</w:t>
      </w:r>
      <w:r>
        <w:rPr>
          <w:rFonts w:hint="eastAsia" w:ascii="仿宋_GB2312" w:hAnsi="仿宋_GB2312" w:eastAsia="仿宋_GB2312" w:cs="仿宋_GB2312"/>
          <w:color w:val="auto"/>
          <w:sz w:val="32"/>
          <w:szCs w:val="32"/>
          <w:highlight w:val="none"/>
          <w:lang w:val="en-US" w:eastAsia="zh-CN"/>
        </w:rPr>
        <w:t>为</w:t>
      </w:r>
      <w:r>
        <w:rPr>
          <w:rFonts w:hint="eastAsia" w:ascii="Times New Roman" w:hAnsi="Times New Roman" w:eastAsia="仿宋_GB2312" w:cs="仿宋_GB2312"/>
          <w:color w:val="auto"/>
          <w:sz w:val="32"/>
          <w:szCs w:val="32"/>
          <w:highlight w:val="none"/>
          <w:lang w:eastAsia="zh-CN"/>
        </w:rPr>
        <w:t>助力</w:t>
      </w:r>
      <w:r>
        <w:rPr>
          <w:rFonts w:hint="eastAsia" w:ascii="Times New Roman" w:hAnsi="Times New Roman" w:eastAsia="仿宋_GB2312" w:cs="仿宋_GB2312"/>
          <w:color w:val="auto"/>
          <w:sz w:val="32"/>
          <w:szCs w:val="32"/>
          <w:highlight w:val="none"/>
        </w:rPr>
        <w:t>区内注册</w:t>
      </w:r>
      <w:r>
        <w:rPr>
          <w:rFonts w:ascii="Times New Roman" w:hAnsi="Times New Roman" w:eastAsia="仿宋_GB2312" w:cs="仿宋_GB2312"/>
          <w:color w:val="auto"/>
          <w:sz w:val="32"/>
          <w:szCs w:val="32"/>
          <w:highlight w:val="none"/>
        </w:rPr>
        <w:t>纳税的外贸</w:t>
      </w:r>
      <w:r>
        <w:rPr>
          <w:rFonts w:hint="eastAsia" w:ascii="Times New Roman" w:hAnsi="Times New Roman" w:eastAsia="仿宋_GB2312" w:cs="仿宋_GB2312"/>
          <w:color w:val="auto"/>
          <w:sz w:val="32"/>
          <w:szCs w:val="32"/>
          <w:highlight w:val="none"/>
        </w:rPr>
        <w:t>企业</w:t>
      </w:r>
      <w:r>
        <w:rPr>
          <w:rFonts w:hint="eastAsia" w:ascii="Times New Roman" w:hAnsi="Times New Roman" w:eastAsia="仿宋_GB2312" w:cs="仿宋_GB2312"/>
          <w:color w:val="auto"/>
          <w:sz w:val="32"/>
          <w:szCs w:val="32"/>
          <w:highlight w:val="none"/>
          <w:lang w:eastAsia="zh-CN"/>
        </w:rPr>
        <w:t>积极应对</w:t>
      </w:r>
      <w:r>
        <w:rPr>
          <w:rFonts w:hint="eastAsia" w:ascii="Times New Roman" w:hAnsi="Times New Roman" w:eastAsia="仿宋_GB2312" w:cs="仿宋_GB2312"/>
          <w:color w:val="auto"/>
          <w:sz w:val="32"/>
          <w:szCs w:val="32"/>
          <w:highlight w:val="none"/>
          <w:lang w:val="en-US" w:eastAsia="zh-CN"/>
        </w:rPr>
        <w:t>新冠</w:t>
      </w:r>
      <w:r>
        <w:rPr>
          <w:rFonts w:hint="eastAsia" w:eastAsia="仿宋_GB2312" w:cs="仿宋_GB2312"/>
          <w:color w:val="auto"/>
          <w:sz w:val="32"/>
          <w:szCs w:val="32"/>
          <w:highlight w:val="none"/>
          <w:lang w:val="en-US" w:eastAsia="zh-CN"/>
        </w:rPr>
        <w:t>感染</w:t>
      </w:r>
      <w:r>
        <w:rPr>
          <w:rFonts w:hint="eastAsia" w:ascii="Times New Roman" w:hAnsi="Times New Roman" w:eastAsia="仿宋_GB2312" w:cs="仿宋_GB2312"/>
          <w:color w:val="auto"/>
          <w:sz w:val="32"/>
          <w:szCs w:val="32"/>
          <w:highlight w:val="none"/>
          <w:lang w:val="en-US" w:eastAsia="zh-CN"/>
        </w:rPr>
        <w:t>疫情反复及严峻国际经济环境影响，实现全区进出口进一步</w:t>
      </w:r>
      <w:r>
        <w:rPr>
          <w:rFonts w:hint="eastAsia" w:ascii="Times New Roman" w:hAnsi="Times New Roman" w:eastAsia="仿宋_GB2312" w:cs="仿宋_GB2312"/>
          <w:color w:val="auto"/>
          <w:sz w:val="32"/>
          <w:szCs w:val="32"/>
          <w:highlight w:val="none"/>
        </w:rPr>
        <w:t>提质</w:t>
      </w:r>
      <w:r>
        <w:rPr>
          <w:rFonts w:ascii="Times New Roman" w:hAnsi="Times New Roman" w:eastAsia="仿宋_GB2312" w:cs="仿宋_GB2312"/>
          <w:color w:val="auto"/>
          <w:sz w:val="32"/>
          <w:szCs w:val="32"/>
          <w:highlight w:val="none"/>
        </w:rPr>
        <w:t>增效</w:t>
      </w:r>
      <w:r>
        <w:rPr>
          <w:rFonts w:hint="eastAsia" w:ascii="仿宋_GB2312" w:hAnsi="仿宋_GB2312" w:eastAsia="仿宋_GB2312" w:cs="仿宋_GB2312"/>
          <w:color w:val="auto"/>
          <w:sz w:val="32"/>
          <w:szCs w:val="32"/>
          <w:highlight w:val="none"/>
          <w:lang w:val="en-US" w:eastAsia="zh-CN"/>
        </w:rPr>
        <w:t>，</w:t>
      </w:r>
      <w:r>
        <w:rPr>
          <w:rFonts w:hint="eastAsia" w:ascii="Times New Roman" w:hAnsi="Times New Roman" w:eastAsia="仿宋_GB2312" w:cs="宋体"/>
          <w:color w:val="auto"/>
          <w:sz w:val="32"/>
          <w:szCs w:val="32"/>
          <w:lang w:val="en-US" w:eastAsia="zh-CN"/>
        </w:rPr>
        <w:t>在省、市政策基础上</w:t>
      </w:r>
      <w:r>
        <w:rPr>
          <w:rFonts w:hint="eastAsia" w:ascii="仿宋_GB2312" w:hAnsi="仿宋_GB2312" w:eastAsia="仿宋_GB2312" w:cs="仿宋_GB2312"/>
          <w:color w:val="auto"/>
          <w:sz w:val="32"/>
          <w:szCs w:val="32"/>
          <w:highlight w:val="none"/>
        </w:rPr>
        <w:t>结合实际</w:t>
      </w:r>
      <w:r>
        <w:rPr>
          <w:rFonts w:hint="eastAsia" w:ascii="Times New Roman" w:hAnsi="Times New Roman" w:eastAsia="仿宋_GB2312" w:cs="宋体"/>
          <w:color w:val="auto"/>
          <w:sz w:val="32"/>
          <w:szCs w:val="32"/>
          <w:lang w:val="en-US" w:eastAsia="zh-CN"/>
        </w:rPr>
        <w:t>出台《赣州经开区进一步支持外贸企业稳定发展的实施意见》(赣经开办字〔2022〕177号)，</w:t>
      </w:r>
      <w:r>
        <w:rPr>
          <w:rFonts w:ascii="仿宋_GB2312" w:hAnsi="仿宋_GB2312" w:eastAsia="仿宋_GB2312" w:cs="仿宋_GB2312"/>
          <w:color w:val="auto"/>
          <w:sz w:val="32"/>
          <w:szCs w:val="32"/>
          <w:highlight w:val="none"/>
        </w:rPr>
        <w:t>从</w:t>
      </w:r>
      <w:r>
        <w:rPr>
          <w:rFonts w:hint="eastAsia" w:ascii="仿宋_GB2312" w:hAnsi="仿宋_GB2312" w:eastAsia="仿宋_GB2312" w:cs="仿宋_GB2312"/>
          <w:color w:val="auto"/>
          <w:sz w:val="32"/>
          <w:szCs w:val="32"/>
          <w:highlight w:val="none"/>
        </w:rPr>
        <w:t>培育外贸新</w:t>
      </w:r>
      <w:r>
        <w:rPr>
          <w:rFonts w:ascii="仿宋_GB2312" w:hAnsi="仿宋_GB2312" w:eastAsia="仿宋_GB2312" w:cs="仿宋_GB2312"/>
          <w:color w:val="auto"/>
          <w:sz w:val="32"/>
          <w:szCs w:val="32"/>
          <w:highlight w:val="none"/>
        </w:rPr>
        <w:t>增长点、</w:t>
      </w:r>
      <w:r>
        <w:rPr>
          <w:rFonts w:hint="eastAsia" w:ascii="仿宋_GB2312" w:hAnsi="仿宋_GB2312" w:eastAsia="仿宋_GB2312" w:cs="仿宋_GB2312"/>
          <w:color w:val="auto"/>
          <w:sz w:val="32"/>
          <w:szCs w:val="32"/>
          <w:highlight w:val="none"/>
        </w:rPr>
        <w:t>开拓</w:t>
      </w:r>
      <w:r>
        <w:rPr>
          <w:rFonts w:ascii="仿宋_GB2312" w:hAnsi="仿宋_GB2312" w:eastAsia="仿宋_GB2312" w:cs="仿宋_GB2312"/>
          <w:color w:val="auto"/>
          <w:sz w:val="32"/>
          <w:szCs w:val="32"/>
          <w:highlight w:val="none"/>
        </w:rPr>
        <w:t>新市场和防范贸易风险</w:t>
      </w:r>
      <w:r>
        <w:rPr>
          <w:rFonts w:hint="eastAsia" w:ascii="仿宋_GB2312" w:hAnsi="仿宋_GB2312" w:eastAsia="仿宋_GB2312" w:cs="仿宋_GB2312"/>
          <w:color w:val="auto"/>
          <w:sz w:val="32"/>
          <w:szCs w:val="32"/>
          <w:highlight w:val="none"/>
        </w:rPr>
        <w:t>三大</w:t>
      </w:r>
      <w:r>
        <w:rPr>
          <w:rFonts w:hint="eastAsia" w:ascii="仿宋_GB2312" w:hAnsi="仿宋_GB2312" w:eastAsia="仿宋_GB2312" w:cs="仿宋_GB2312"/>
          <w:color w:val="auto"/>
          <w:sz w:val="32"/>
          <w:szCs w:val="32"/>
          <w:highlight w:val="none"/>
          <w:lang w:val="en-US" w:eastAsia="zh-CN"/>
        </w:rPr>
        <w:t>方面</w:t>
      </w:r>
      <w:r>
        <w:rPr>
          <w:rFonts w:hint="eastAsia" w:ascii="仿宋_GB2312" w:hAnsi="仿宋_GB2312" w:eastAsia="仿宋_GB2312" w:cs="仿宋_GB2312"/>
          <w:color w:val="auto"/>
          <w:sz w:val="32"/>
          <w:szCs w:val="32"/>
          <w:highlight w:val="none"/>
        </w:rPr>
        <w:t>拟定</w:t>
      </w:r>
      <w:r>
        <w:rPr>
          <w:rFonts w:ascii="仿宋_GB2312" w:hAnsi="仿宋_GB2312" w:eastAsia="仿宋_GB2312" w:cs="仿宋_GB2312"/>
          <w:color w:val="auto"/>
          <w:sz w:val="32"/>
          <w:szCs w:val="32"/>
          <w:highlight w:val="none"/>
        </w:rPr>
        <w:t>了</w:t>
      </w:r>
      <w:r>
        <w:rPr>
          <w:rFonts w:hint="eastAsia" w:ascii="仿宋_GB2312" w:hAnsi="仿宋_GB2312" w:eastAsia="仿宋_GB2312" w:cs="仿宋_GB2312"/>
          <w:color w:val="auto"/>
          <w:sz w:val="32"/>
          <w:szCs w:val="32"/>
          <w:highlight w:val="none"/>
          <w:lang w:val="en-US" w:eastAsia="zh-CN"/>
        </w:rPr>
        <w:t>十三</w:t>
      </w:r>
      <w:r>
        <w:rPr>
          <w:rFonts w:hint="eastAsia" w:ascii="仿宋_GB2312" w:hAnsi="仿宋_GB2312" w:eastAsia="仿宋_GB2312" w:cs="仿宋_GB2312"/>
          <w:color w:val="auto"/>
          <w:sz w:val="32"/>
          <w:szCs w:val="32"/>
          <w:highlight w:val="none"/>
        </w:rPr>
        <w:t>条</w:t>
      </w:r>
      <w:r>
        <w:rPr>
          <w:rFonts w:ascii="仿宋_GB2312" w:hAnsi="仿宋_GB2312" w:eastAsia="仿宋_GB2312" w:cs="仿宋_GB2312"/>
          <w:color w:val="auto"/>
          <w:sz w:val="32"/>
          <w:szCs w:val="32"/>
          <w:highlight w:val="none"/>
        </w:rPr>
        <w:t>支持政策</w:t>
      </w:r>
      <w:r>
        <w:rPr>
          <w:rFonts w:hint="eastAsia" w:ascii="仿宋_GB2312" w:hAnsi="仿宋_GB2312" w:eastAsia="仿宋_GB2312" w:cs="仿宋_GB2312"/>
          <w:color w:val="auto"/>
          <w:sz w:val="32"/>
          <w:szCs w:val="32"/>
          <w:highlight w:val="none"/>
          <w:lang w:eastAsia="zh-CN"/>
        </w:rPr>
        <w:t>，全面坚定区内进出口企业发展信心。</w:t>
      </w:r>
      <w:r>
        <w:rPr>
          <w:rFonts w:hint="eastAsia" w:ascii="Times New Roman" w:hAnsi="Times New Roman" w:eastAsia="仿宋_GB2312" w:cs="宋体"/>
          <w:color w:val="auto"/>
          <w:sz w:val="32"/>
          <w:szCs w:val="32"/>
          <w:lang w:val="en-US" w:eastAsia="zh-CN"/>
        </w:rPr>
        <w:t>2、举办</w:t>
      </w:r>
      <w:r>
        <w:rPr>
          <w:rFonts w:hint="eastAsia" w:eastAsia="仿宋_GB2312" w:cs="宋体"/>
          <w:color w:val="auto"/>
          <w:sz w:val="32"/>
          <w:szCs w:val="32"/>
          <w:lang w:val="en-US" w:eastAsia="zh-CN"/>
        </w:rPr>
        <w:t>3</w:t>
      </w:r>
      <w:r>
        <w:rPr>
          <w:rFonts w:hint="eastAsia" w:ascii="Times New Roman" w:hAnsi="Times New Roman" w:eastAsia="仿宋_GB2312" w:cs="宋体"/>
          <w:color w:val="auto"/>
          <w:sz w:val="32"/>
          <w:szCs w:val="32"/>
          <w:lang w:val="en-US" w:eastAsia="zh-CN"/>
        </w:rPr>
        <w:t>期外贸政策培训会，重点宣讲外贸相关政策，让企业熟知相关扶持政策，同时，为企业提供外经贸法律专业服务，提升企业风险防范能力。3、定期走访重点外贸企业，了解企业生产、</w:t>
      </w:r>
      <w:r>
        <w:rPr>
          <w:rFonts w:hint="eastAsia" w:eastAsia="仿宋_GB2312" w:cs="宋体"/>
          <w:color w:val="auto"/>
          <w:sz w:val="32"/>
          <w:szCs w:val="32"/>
          <w:lang w:val="en-US" w:eastAsia="zh-CN"/>
        </w:rPr>
        <w:t>物流、</w:t>
      </w:r>
      <w:r>
        <w:rPr>
          <w:rFonts w:hint="eastAsia" w:ascii="Times New Roman" w:hAnsi="Times New Roman" w:eastAsia="仿宋_GB2312" w:cs="宋体"/>
          <w:color w:val="auto"/>
          <w:sz w:val="32"/>
          <w:szCs w:val="32"/>
          <w:lang w:val="en-US" w:eastAsia="zh-CN"/>
        </w:rPr>
        <w:t>进出口、招工、融资等问题，沟通对接相关职能部门，及时解决问题，促进企业稳定快速发展。</w:t>
      </w:r>
    </w:p>
    <w:p w14:paraId="76CE08D2">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b/>
          <w:bCs/>
          <w:color w:val="auto"/>
          <w:sz w:val="32"/>
          <w:szCs w:val="32"/>
          <w:lang w:val="en-US" w:eastAsia="zh-CN"/>
        </w:rPr>
      </w:pPr>
      <w:r>
        <w:rPr>
          <w:rFonts w:hint="eastAsia" w:ascii="Times New Roman" w:hAnsi="Times New Roman" w:eastAsia="仿宋_GB2312" w:cs="宋体"/>
          <w:b/>
          <w:bCs/>
          <w:color w:val="auto"/>
          <w:sz w:val="32"/>
          <w:szCs w:val="32"/>
          <w:lang w:val="en-US" w:eastAsia="zh-CN"/>
        </w:rPr>
        <w:t>第二，稳外资。</w:t>
      </w:r>
    </w:p>
    <w:p w14:paraId="11E2D58A">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color w:val="auto"/>
          <w:sz w:val="32"/>
          <w:szCs w:val="32"/>
          <w:lang w:val="en-US" w:eastAsia="zh-CN"/>
        </w:rPr>
      </w:pPr>
      <w:r>
        <w:rPr>
          <w:rFonts w:hint="eastAsia" w:ascii="Times New Roman" w:hAnsi="Times New Roman" w:eastAsia="仿宋_GB2312" w:cs="宋体"/>
          <w:color w:val="auto"/>
          <w:sz w:val="32"/>
          <w:szCs w:val="32"/>
          <w:lang w:val="en-US" w:eastAsia="zh-CN"/>
        </w:rPr>
        <w:t>1、根据《关于落实“六稳”要求促进全市经济平稳健康发展的若干措施的通知》（赣市府办字〔2019〕29号）文件要求，积极组织园区内企业申报相关外资奖补资金。全年实现实际利用外资3.5亿美元，同比增长15%。其中，到位现汇进资18076万美元。全年新设立外资企业11家。2、我区还出台了《赣州经开区稳外资促发展的实施意见》（赣经开办字〔2022〕176号），从鼓励外资企业注册、到稳存量企业增资、支持新增企业进资，再到吸引龙头企业和500强企业，对重大外资项目提供专项支持等方面吸引企业加快进汇，提振企业在地发展信心。3、持续对区内外资企业进行走访调研，了解企业生产经营状况，在企业融资、资金扶持等方面给予精准服务，激励企业鼓足发展动力。积极宣传各类惠企政策，开展业务指导，为企业提供法律、金融等方面的专业服务。</w:t>
      </w:r>
    </w:p>
    <w:p w14:paraId="21AACAB7">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（二）依申请公开</w:t>
      </w:r>
    </w:p>
    <w:p w14:paraId="578D8C35">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color w:val="auto"/>
          <w:sz w:val="32"/>
          <w:szCs w:val="32"/>
        </w:rPr>
      </w:pPr>
      <w:r>
        <w:rPr>
          <w:rFonts w:hint="eastAsia" w:ascii="Times New Roman" w:hAnsi="Times New Roman" w:eastAsia="仿宋_GB2312" w:cs="宋体"/>
          <w:color w:val="auto"/>
          <w:sz w:val="32"/>
          <w:szCs w:val="32"/>
          <w:lang w:val="en-US" w:eastAsia="zh-CN"/>
        </w:rPr>
        <w:t>本年新收政府信息公开申请数量0条，上年结转政府信息公开申请数量0条，需要结转下年度继续办理0条。</w:t>
      </w:r>
    </w:p>
    <w:p w14:paraId="75F11D74">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color w:val="auto"/>
          <w:sz w:val="32"/>
          <w:szCs w:val="32"/>
        </w:rPr>
      </w:pPr>
      <w:r>
        <w:rPr>
          <w:rFonts w:hint="eastAsia" w:ascii="Times New Roman" w:hAnsi="Times New Roman" w:eastAsia="仿宋_GB2312" w:cs="宋体"/>
          <w:color w:val="auto"/>
          <w:sz w:val="32"/>
          <w:szCs w:val="32"/>
          <w:lang w:val="en-US" w:eastAsia="zh-CN"/>
        </w:rPr>
        <w:t>没有出现因政府信息公开工作被申请行政复议、提起行政诉讼情况。</w:t>
      </w:r>
    </w:p>
    <w:p w14:paraId="6999BDD8">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（三）平台建设</w:t>
      </w:r>
    </w:p>
    <w:p w14:paraId="5085A30B">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color w:val="auto"/>
          <w:sz w:val="32"/>
          <w:szCs w:val="32"/>
        </w:rPr>
      </w:pPr>
      <w:r>
        <w:rPr>
          <w:rFonts w:hint="eastAsia" w:ascii="Times New Roman" w:hAnsi="Times New Roman" w:eastAsia="仿宋_GB2312" w:cs="宋体"/>
          <w:color w:val="auto"/>
          <w:sz w:val="32"/>
          <w:szCs w:val="32"/>
          <w:lang w:val="en-US" w:eastAsia="zh-CN"/>
        </w:rPr>
        <w:t>为切实做好政务公开工作，使其不流于形式，我局着眼于建立政务公开长效机制，强化政务公开自觉意识。与此同时，我局还建立了微信公众号，积极更新业务动态。</w:t>
      </w:r>
      <w:r>
        <w:rPr>
          <w:rFonts w:hint="eastAsia" w:ascii="Times New Roman" w:hAnsi="Times New Roman" w:eastAsia="仿宋_GB2312" w:cs="宋体"/>
          <w:b/>
          <w:bCs/>
          <w:color w:val="auto"/>
          <w:sz w:val="32"/>
          <w:szCs w:val="32"/>
          <w:lang w:val="en-US" w:eastAsia="zh-CN"/>
        </w:rPr>
        <w:t>一是</w:t>
      </w:r>
      <w:r>
        <w:rPr>
          <w:rFonts w:hint="eastAsia" w:ascii="Times New Roman" w:hAnsi="Times New Roman" w:eastAsia="仿宋_GB2312" w:cs="宋体"/>
          <w:color w:val="auto"/>
          <w:sz w:val="32"/>
          <w:szCs w:val="32"/>
          <w:lang w:val="en-US" w:eastAsia="zh-CN"/>
        </w:rPr>
        <w:t>加强和完善领导机制。年初我局成立了政务公开领导小组，由局长黎俊任组长、党组成员黄惠友任常务副组长、副</w:t>
      </w:r>
      <w:r>
        <w:rPr>
          <w:rFonts w:hint="eastAsia" w:eastAsia="仿宋_GB2312" w:cs="宋体"/>
          <w:color w:val="auto"/>
          <w:sz w:val="32"/>
          <w:szCs w:val="32"/>
          <w:lang w:val="en-US" w:eastAsia="zh-CN"/>
        </w:rPr>
        <w:t>领导</w:t>
      </w:r>
      <w:r>
        <w:rPr>
          <w:rFonts w:hint="eastAsia" w:ascii="Times New Roman" w:hAnsi="Times New Roman" w:eastAsia="仿宋_GB2312" w:cs="宋体"/>
          <w:color w:val="auto"/>
          <w:sz w:val="32"/>
          <w:szCs w:val="32"/>
          <w:lang w:val="en-US" w:eastAsia="zh-CN"/>
        </w:rPr>
        <w:t>刘慧萍、刘芳、钟舒毅任副组长，各处室负责人为成员，领导小组下设办公室，由局综合科负责日常工作。</w:t>
      </w:r>
      <w:r>
        <w:rPr>
          <w:rFonts w:hint="eastAsia" w:ascii="Times New Roman" w:hAnsi="Times New Roman" w:eastAsia="仿宋_GB2312" w:cs="宋体"/>
          <w:b/>
          <w:bCs/>
          <w:color w:val="auto"/>
          <w:sz w:val="32"/>
          <w:szCs w:val="32"/>
          <w:lang w:val="en-US" w:eastAsia="zh-CN"/>
        </w:rPr>
        <w:t>二是</w:t>
      </w:r>
      <w:r>
        <w:rPr>
          <w:rFonts w:hint="eastAsia" w:ascii="Times New Roman" w:hAnsi="Times New Roman" w:eastAsia="仿宋_GB2312" w:cs="宋体"/>
          <w:color w:val="auto"/>
          <w:sz w:val="32"/>
          <w:szCs w:val="32"/>
          <w:lang w:val="en-US" w:eastAsia="zh-CN"/>
        </w:rPr>
        <w:t>建立健全各项制度。我局通过制定《关于调整政务公开工作领导小组的通知》和各项工作制度，进一步明确了政府信息公开内容、形式、任务和公开要求、责任、审核的把关、保密等制度，确保政务公开工作有计划、有安排。</w:t>
      </w:r>
    </w:p>
    <w:p w14:paraId="2E4EBDA2">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（四）监督保障</w:t>
      </w:r>
    </w:p>
    <w:p w14:paraId="08AC59BA">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color w:val="auto"/>
          <w:sz w:val="32"/>
          <w:szCs w:val="32"/>
        </w:rPr>
      </w:pPr>
      <w:r>
        <w:rPr>
          <w:rFonts w:hint="eastAsia" w:ascii="Times New Roman" w:hAnsi="Times New Roman" w:eastAsia="仿宋_GB2312" w:cs="宋体"/>
          <w:color w:val="auto"/>
          <w:sz w:val="32"/>
          <w:szCs w:val="32"/>
          <w:lang w:val="en-US" w:eastAsia="zh-CN"/>
        </w:rPr>
        <w:t>我局</w:t>
      </w:r>
      <w:r>
        <w:rPr>
          <w:rFonts w:hint="eastAsia" w:eastAsia="仿宋_GB2312" w:cs="宋体"/>
          <w:color w:val="auto"/>
          <w:sz w:val="32"/>
          <w:szCs w:val="32"/>
          <w:lang w:val="en-US" w:eastAsia="zh-CN"/>
        </w:rPr>
        <w:t>高度</w:t>
      </w:r>
      <w:r>
        <w:rPr>
          <w:rFonts w:hint="eastAsia" w:ascii="Times New Roman" w:hAnsi="Times New Roman" w:eastAsia="仿宋_GB2312" w:cs="宋体"/>
          <w:color w:val="auto"/>
          <w:sz w:val="32"/>
          <w:szCs w:val="32"/>
          <w:lang w:val="en-US" w:eastAsia="zh-CN"/>
        </w:rPr>
        <w:t>重视政务公开工作，并多次召开干职工大会，在会议上明确政务公开的有关规定，并且制定了相关政务公开要求，每个科室都承担相应的任务，各项任务都与年终绩效挂钩，更好的提高政务公开信息质量。</w:t>
      </w:r>
    </w:p>
    <w:p w14:paraId="6EA2F3DE">
      <w:pPr>
        <w:widowControl/>
        <w:shd w:val="clear" w:color="auto"/>
        <w:autoSpaceDE/>
        <w:autoSpaceDN/>
        <w:snapToGrid/>
        <w:spacing w:line="240" w:lineRule="auto"/>
        <w:ind w:left="0" w:leftChars="0" w:firstLine="632" w:firstLineChars="200"/>
        <w:rPr>
          <w:rFonts w:hint="eastAsia" w:ascii="宋体" w:hAnsi="宋体" w:eastAsia="宋体" w:cs="宋体"/>
          <w:snapToGrid/>
          <w:color w:val="auto"/>
          <w:sz w:val="24"/>
          <w:szCs w:val="24"/>
        </w:rPr>
      </w:pPr>
      <w:r>
        <w:rPr>
          <w:rFonts w:hint="eastAsia" w:ascii="黑体" w:hAnsi="黑体" w:eastAsia="黑体" w:cs="宋体"/>
          <w:b w:val="0"/>
          <w:bCs w:val="0"/>
          <w:snapToGrid/>
          <w:color w:val="auto"/>
          <w:szCs w:val="32"/>
        </w:rPr>
        <w:t>二、主动公开政府信息情况</w:t>
      </w:r>
    </w:p>
    <w:tbl>
      <w:tblPr>
        <w:tblStyle w:val="8"/>
        <w:tblW w:w="9740" w:type="dxa"/>
        <w:jc w:val="center"/>
        <w:shd w:val="clear" w:color="auto" w:fill="auto"/>
        <w:tblLayout w:type="autofit"/>
        <w:tblCellMar>
          <w:top w:w="0" w:type="dxa"/>
          <w:left w:w="0" w:type="dxa"/>
          <w:bottom w:w="0" w:type="dxa"/>
          <w:right w:w="0" w:type="dxa"/>
        </w:tblCellMar>
      </w:tblPr>
      <w:tblGrid>
        <w:gridCol w:w="2435"/>
        <w:gridCol w:w="2435"/>
        <w:gridCol w:w="2435"/>
        <w:gridCol w:w="2435"/>
      </w:tblGrid>
      <w:tr w14:paraId="666ACA8F">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72FA43D6">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第二十条第（一）项</w:t>
            </w:r>
          </w:p>
        </w:tc>
      </w:tr>
      <w:tr w14:paraId="7AAC5DD9">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66EFD00B">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14:paraId="3F55DA25">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本年</w:t>
            </w:r>
            <w:r>
              <w:rPr>
                <w:rFonts w:ascii="宋体" w:hAnsi="宋体" w:eastAsia="宋体" w:cs="Calibri"/>
                <w:snapToGrid/>
                <w:color w:val="auto"/>
                <w:sz w:val="20"/>
              </w:rPr>
              <w:t>制</w:t>
            </w:r>
            <w:r>
              <w:rPr>
                <w:rFonts w:hint="eastAsia" w:ascii="宋体" w:hAnsi="宋体" w:eastAsia="宋体" w:cs="宋体"/>
                <w:snapToGrid/>
                <w:color w:val="auto"/>
                <w:sz w:val="20"/>
              </w:rPr>
              <w:t>发件</w:t>
            </w:r>
            <w:r>
              <w:rPr>
                <w:rFonts w:ascii="宋体" w:hAnsi="宋体" w:eastAsia="宋体" w:cs="Calibri"/>
                <w:snapToGrid/>
                <w:color w:val="auto"/>
                <w:sz w:val="20"/>
              </w:rPr>
              <w:t>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14:paraId="3165C6A6">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14:paraId="24CA010C">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现行有效件</w:t>
            </w:r>
            <w:r>
              <w:rPr>
                <w:rFonts w:ascii="宋体" w:hAnsi="宋体" w:eastAsia="宋体" w:cs="Calibri"/>
                <w:snapToGrid/>
                <w:color w:val="auto"/>
                <w:sz w:val="20"/>
              </w:rPr>
              <w:t>数</w:t>
            </w:r>
          </w:p>
        </w:tc>
      </w:tr>
      <w:tr w14:paraId="6976E991">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7B02BCA2">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537843A2">
            <w:pPr>
              <w:widowControl/>
              <w:shd w:val="clear"/>
              <w:autoSpaceDE/>
              <w:autoSpaceDN/>
              <w:snapToGrid/>
              <w:spacing w:line="240" w:lineRule="auto"/>
              <w:ind w:firstLine="0"/>
              <w:jc w:val="left"/>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31C616C8">
            <w:pPr>
              <w:widowControl/>
              <w:shd w:val="clear"/>
              <w:autoSpaceDE/>
              <w:autoSpaceDN/>
              <w:snapToGrid/>
              <w:spacing w:line="240" w:lineRule="auto"/>
              <w:ind w:firstLine="0"/>
              <w:jc w:val="left"/>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1EC1A91D">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Calibri" w:hAnsi="Calibri" w:eastAsia="宋体" w:cs="Calibri"/>
                <w:snapToGrid/>
                <w:color w:val="auto"/>
                <w:sz w:val="21"/>
                <w:szCs w:val="21"/>
                <w:lang w:val="en-US" w:eastAsia="zh-CN"/>
              </w:rPr>
              <w:t>0</w:t>
            </w:r>
          </w:p>
        </w:tc>
      </w:tr>
      <w:tr w14:paraId="244F120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18B7D03B">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3D1C6C6C">
            <w:pPr>
              <w:widowControl/>
              <w:shd w:val="clear"/>
              <w:autoSpaceDE/>
              <w:autoSpaceDN/>
              <w:snapToGrid/>
              <w:spacing w:line="240" w:lineRule="auto"/>
              <w:ind w:firstLine="0"/>
              <w:jc w:val="left"/>
              <w:rPr>
                <w:rFonts w:hint="default"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2C8DCD91">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59017A35">
            <w:pPr>
              <w:widowControl/>
              <w:shd w:val="clear"/>
              <w:autoSpaceDE/>
              <w:autoSpaceDN/>
              <w:snapToGrid/>
              <w:spacing w:line="240" w:lineRule="auto"/>
              <w:ind w:firstLine="0"/>
              <w:jc w:val="left"/>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1"/>
                <w:szCs w:val="21"/>
                <w:lang w:val="en-US" w:eastAsia="zh-CN"/>
              </w:rPr>
              <w:t>0</w:t>
            </w:r>
            <w:bookmarkStart w:id="0" w:name="_GoBack"/>
            <w:bookmarkEnd w:id="0"/>
          </w:p>
        </w:tc>
      </w:tr>
      <w:tr w14:paraId="2A9D5602">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6003C322">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第二十条第（五）项</w:t>
            </w:r>
          </w:p>
        </w:tc>
      </w:tr>
      <w:tr w14:paraId="7724AE2C">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03FDA7F9">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59AFB924">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本年处理决定数量</w:t>
            </w:r>
          </w:p>
        </w:tc>
      </w:tr>
      <w:tr w14:paraId="27CF790B">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5D18F0B8">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706A9208">
            <w:pPr>
              <w:widowControl/>
              <w:shd w:val="clear"/>
              <w:autoSpaceDE/>
              <w:autoSpaceDN/>
              <w:snapToGrid/>
              <w:spacing w:line="240" w:lineRule="auto"/>
              <w:ind w:firstLine="0"/>
              <w:jc w:val="left"/>
              <w:rPr>
                <w:rFonts w:hint="eastAsia" w:ascii="宋体" w:hAnsi="宋体" w:eastAsia="宋体" w:cs="宋体"/>
                <w:snapToGrid/>
                <w:color w:val="auto"/>
                <w:sz w:val="24"/>
                <w:szCs w:val="24"/>
                <w:lang w:val="en-US" w:eastAsia="zh-CN"/>
              </w:rPr>
            </w:pPr>
            <w:r>
              <w:rPr>
                <w:rFonts w:ascii="Calibri" w:hAnsi="Calibri" w:eastAsia="宋体" w:cs="Calibri"/>
                <w:snapToGrid/>
                <w:color w:val="auto"/>
                <w:sz w:val="21"/>
                <w:szCs w:val="21"/>
              </w:rPr>
              <w:t> </w:t>
            </w:r>
            <w:r>
              <w:rPr>
                <w:rFonts w:hint="eastAsia" w:ascii="Calibri" w:hAnsi="Calibri" w:eastAsia="宋体" w:cs="Calibri"/>
                <w:snapToGrid/>
                <w:color w:val="auto"/>
                <w:sz w:val="21"/>
                <w:szCs w:val="21"/>
                <w:lang w:val="en-US" w:eastAsia="zh-CN"/>
              </w:rPr>
              <w:t>0</w:t>
            </w:r>
          </w:p>
        </w:tc>
      </w:tr>
      <w:tr w14:paraId="2639DF34">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4" w:space="0"/>
              <w:right w:val="single" w:color="auto" w:sz="8" w:space="0"/>
            </w:tcBorders>
            <w:shd w:val="clear" w:color="auto" w:fill="auto"/>
            <w:tcMar>
              <w:top w:w="0" w:type="dxa"/>
              <w:left w:w="57" w:type="dxa"/>
              <w:bottom w:w="0" w:type="dxa"/>
              <w:right w:w="57" w:type="dxa"/>
            </w:tcMar>
            <w:vAlign w:val="center"/>
          </w:tcPr>
          <w:p w14:paraId="29ADA948">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第二十条第（六）项</w:t>
            </w:r>
          </w:p>
        </w:tc>
      </w:tr>
      <w:tr w14:paraId="080448B3">
        <w:tblPrEx>
          <w:tblCellMar>
            <w:top w:w="0" w:type="dxa"/>
            <w:left w:w="0" w:type="dxa"/>
            <w:bottom w:w="0" w:type="dxa"/>
            <w:right w:w="0" w:type="dxa"/>
          </w:tblCellMar>
        </w:tblPrEx>
        <w:trPr>
          <w:trHeight w:val="340" w:hRule="atLeast"/>
          <w:jc w:val="center"/>
        </w:trPr>
        <w:tc>
          <w:tcPr>
            <w:tcW w:w="2435" w:type="dxa"/>
            <w:tcBorders>
              <w:top w:val="single" w:color="auto" w:sz="4" w:space="0"/>
              <w:left w:val="single" w:color="auto" w:sz="4" w:space="0"/>
              <w:bottom w:val="single" w:color="auto" w:sz="4" w:space="0"/>
              <w:right w:val="single" w:color="auto" w:sz="8" w:space="0"/>
            </w:tcBorders>
            <w:shd w:val="clear" w:color="auto" w:fill="auto"/>
            <w:tcMar>
              <w:top w:w="0" w:type="dxa"/>
              <w:left w:w="57" w:type="dxa"/>
              <w:bottom w:w="0" w:type="dxa"/>
              <w:right w:w="57" w:type="dxa"/>
            </w:tcMar>
            <w:vAlign w:val="center"/>
          </w:tcPr>
          <w:p w14:paraId="2F9844A9">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single" w:color="auto" w:sz="4" w:space="0"/>
              <w:left w:val="nil"/>
              <w:bottom w:val="single" w:color="auto" w:sz="4" w:space="0"/>
              <w:right w:val="single" w:color="auto" w:sz="4" w:space="0"/>
            </w:tcBorders>
            <w:shd w:val="clear" w:color="auto" w:fill="auto"/>
            <w:tcMar>
              <w:top w:w="0" w:type="dxa"/>
              <w:left w:w="57" w:type="dxa"/>
              <w:bottom w:w="0" w:type="dxa"/>
              <w:right w:w="57" w:type="dxa"/>
            </w:tcMar>
            <w:vAlign w:val="center"/>
          </w:tcPr>
          <w:p w14:paraId="732263AA">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本年处理决定数量</w:t>
            </w:r>
          </w:p>
        </w:tc>
      </w:tr>
      <w:tr w14:paraId="5D773270">
        <w:tblPrEx>
          <w:tblCellMar>
            <w:top w:w="0" w:type="dxa"/>
            <w:left w:w="0" w:type="dxa"/>
            <w:bottom w:w="0" w:type="dxa"/>
            <w:right w:w="0" w:type="dxa"/>
          </w:tblCellMar>
        </w:tblPrEx>
        <w:trPr>
          <w:trHeight w:val="340" w:hRule="atLeast"/>
          <w:jc w:val="center"/>
        </w:trPr>
        <w:tc>
          <w:tcPr>
            <w:tcW w:w="2435" w:type="dxa"/>
            <w:tcBorders>
              <w:top w:val="single" w:color="auto" w:sz="4"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189DF954">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行政处罚</w:t>
            </w:r>
          </w:p>
        </w:tc>
        <w:tc>
          <w:tcPr>
            <w:tcW w:w="7305" w:type="dxa"/>
            <w:gridSpan w:val="3"/>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14:paraId="16AD8E80">
            <w:pPr>
              <w:widowControl/>
              <w:shd w:val="clear"/>
              <w:autoSpaceDE/>
              <w:autoSpaceDN/>
              <w:snapToGrid/>
              <w:spacing w:line="240" w:lineRule="auto"/>
              <w:ind w:firstLine="0"/>
              <w:jc w:val="left"/>
              <w:rPr>
                <w:rFonts w:hint="default"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r w14:paraId="366872C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7891710F">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57BAFE24">
            <w:pPr>
              <w:widowControl/>
              <w:shd w:val="clear"/>
              <w:autoSpaceDE/>
              <w:autoSpaceDN/>
              <w:snapToGrid/>
              <w:spacing w:line="240" w:lineRule="auto"/>
              <w:ind w:firstLine="0"/>
              <w:jc w:val="left"/>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r w14:paraId="388A8118">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0C33A72E">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第二十条第（八）项</w:t>
            </w:r>
          </w:p>
        </w:tc>
      </w:tr>
      <w:tr w14:paraId="48C510D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7AAC4DA8">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14:paraId="3E44C3FB">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本年收费金额（单位：万元）</w:t>
            </w:r>
          </w:p>
        </w:tc>
      </w:tr>
      <w:tr w14:paraId="167DACAB">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2B9CC8EC">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14:paraId="5ED9E87D">
            <w:pPr>
              <w:widowControl/>
              <w:shd w:val="clear"/>
              <w:autoSpaceDE/>
              <w:autoSpaceDN/>
              <w:snapToGrid/>
              <w:spacing w:line="240" w:lineRule="auto"/>
              <w:ind w:firstLine="0"/>
              <w:jc w:val="left"/>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bl>
    <w:p w14:paraId="69C4F143">
      <w:pPr>
        <w:widowControl/>
        <w:shd w:val="clear"/>
        <w:autoSpaceDE/>
        <w:autoSpaceDN/>
        <w:snapToGrid/>
        <w:spacing w:line="240" w:lineRule="auto"/>
        <w:ind w:firstLine="0"/>
        <w:jc w:val="left"/>
        <w:rPr>
          <w:rFonts w:hint="eastAsia" w:ascii="宋体" w:hAnsi="宋体" w:eastAsia="宋体" w:cs="宋体"/>
          <w:snapToGrid/>
          <w:color w:val="auto"/>
          <w:sz w:val="24"/>
          <w:szCs w:val="24"/>
        </w:rPr>
      </w:pPr>
    </w:p>
    <w:p w14:paraId="17B61A74">
      <w:pPr>
        <w:widowControl/>
        <w:shd w:val="clear" w:color="auto"/>
        <w:autoSpaceDE/>
        <w:autoSpaceDN/>
        <w:snapToGrid/>
        <w:spacing w:line="240" w:lineRule="auto"/>
        <w:ind w:firstLine="480"/>
        <w:rPr>
          <w:rFonts w:hint="eastAsia" w:ascii="宋体" w:hAnsi="宋体" w:eastAsia="宋体" w:cs="宋体"/>
          <w:snapToGrid/>
          <w:color w:val="auto"/>
          <w:sz w:val="24"/>
          <w:szCs w:val="24"/>
        </w:rPr>
      </w:pPr>
      <w:r>
        <w:rPr>
          <w:rFonts w:hint="eastAsia" w:ascii="黑体" w:hAnsi="黑体" w:eastAsia="黑体" w:cs="宋体"/>
          <w:b w:val="0"/>
          <w:bCs w:val="0"/>
          <w:snapToGrid/>
          <w:color w:val="auto"/>
          <w:szCs w:val="32"/>
        </w:rPr>
        <w:t>三、收到和处理政府信息公开申请情况</w:t>
      </w:r>
    </w:p>
    <w:tbl>
      <w:tblPr>
        <w:tblStyle w:val="8"/>
        <w:tblW w:w="9748" w:type="dxa"/>
        <w:jc w:val="center"/>
        <w:tblLayout w:type="autofit"/>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14:paraId="4FBCB621">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14:paraId="4FBFE60E">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楷体" w:hAnsi="楷体" w:eastAsia="楷体" w:cs="宋体"/>
                <w:snapToGrid/>
                <w:color w:val="auto"/>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4228543E">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申请人情况</w:t>
            </w:r>
          </w:p>
        </w:tc>
      </w:tr>
      <w:tr w14:paraId="77061B73">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7EAEE6AF">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14:paraId="41D21F9C">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0E2B598F">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14:paraId="2158F993">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总计</w:t>
            </w:r>
          </w:p>
        </w:tc>
      </w:tr>
      <w:tr w14:paraId="677DBDAF">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4B12CE2C">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770" w:type="dxa"/>
            <w:vMerge w:val="continue"/>
            <w:tcBorders>
              <w:top w:val="nil"/>
              <w:left w:val="nil"/>
              <w:bottom w:val="single" w:color="auto" w:sz="8" w:space="0"/>
              <w:right w:val="single" w:color="auto" w:sz="8" w:space="0"/>
            </w:tcBorders>
            <w:vAlign w:val="center"/>
          </w:tcPr>
          <w:p w14:paraId="6627A5FD">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6BC28017">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商业</w:t>
            </w:r>
          </w:p>
          <w:p w14:paraId="33C5C869">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6526789">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科研</w:t>
            </w:r>
          </w:p>
          <w:p w14:paraId="251A59BE">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6AFE4068">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1C093B10">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6F227CBE">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其他</w:t>
            </w:r>
          </w:p>
        </w:tc>
        <w:tc>
          <w:tcPr>
            <w:tcW w:w="0" w:type="auto"/>
            <w:vMerge w:val="continue"/>
            <w:tcBorders>
              <w:top w:val="single" w:color="auto" w:sz="8" w:space="0"/>
              <w:left w:val="nil"/>
              <w:bottom w:val="inset" w:color="auto" w:sz="8" w:space="0"/>
              <w:right w:val="single" w:color="auto" w:sz="8" w:space="0"/>
            </w:tcBorders>
            <w:vAlign w:val="center"/>
          </w:tcPr>
          <w:p w14:paraId="229E1DDF">
            <w:pPr>
              <w:widowControl/>
              <w:shd w:val="clear"/>
              <w:autoSpaceDE/>
              <w:autoSpaceDN/>
              <w:snapToGrid/>
              <w:spacing w:line="240" w:lineRule="auto"/>
              <w:ind w:firstLine="0"/>
              <w:jc w:val="left"/>
              <w:rPr>
                <w:rFonts w:ascii="宋体" w:hAnsi="宋体" w:eastAsia="宋体" w:cs="宋体"/>
                <w:snapToGrid/>
                <w:color w:val="auto"/>
                <w:sz w:val="24"/>
                <w:szCs w:val="24"/>
              </w:rPr>
            </w:pPr>
          </w:p>
        </w:tc>
      </w:tr>
      <w:tr w14:paraId="53B635B7">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4" w:space="0"/>
              <w:right w:val="single" w:color="auto" w:sz="8" w:space="0"/>
            </w:tcBorders>
            <w:tcMar>
              <w:top w:w="0" w:type="dxa"/>
              <w:left w:w="57" w:type="dxa"/>
              <w:bottom w:w="0" w:type="dxa"/>
              <w:right w:w="57" w:type="dxa"/>
            </w:tcMar>
            <w:vAlign w:val="center"/>
          </w:tcPr>
          <w:p w14:paraId="63FB92CE">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一、本年新收政府信息公开申请数量</w:t>
            </w:r>
          </w:p>
        </w:tc>
        <w:tc>
          <w:tcPr>
            <w:tcW w:w="770" w:type="dxa"/>
            <w:tcBorders>
              <w:top w:val="nil"/>
              <w:left w:val="nil"/>
              <w:bottom w:val="single" w:color="auto" w:sz="4" w:space="0"/>
              <w:right w:val="single" w:color="auto" w:sz="8" w:space="0"/>
            </w:tcBorders>
            <w:tcMar>
              <w:top w:w="0" w:type="dxa"/>
              <w:left w:w="57" w:type="dxa"/>
              <w:bottom w:w="0" w:type="dxa"/>
              <w:right w:w="57" w:type="dxa"/>
            </w:tcMar>
            <w:vAlign w:val="center"/>
          </w:tcPr>
          <w:p w14:paraId="2EB54A75">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4" w:space="0"/>
              <w:right w:val="single" w:color="auto" w:sz="8" w:space="0"/>
            </w:tcBorders>
            <w:tcMar>
              <w:top w:w="0" w:type="dxa"/>
              <w:left w:w="57" w:type="dxa"/>
              <w:bottom w:w="0" w:type="dxa"/>
              <w:right w:w="57" w:type="dxa"/>
            </w:tcMar>
            <w:vAlign w:val="center"/>
          </w:tcPr>
          <w:p w14:paraId="1BC597EE">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67107B9B">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08219F35">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232A23D9">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6DD6E416">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tcPr>
          <w:p w14:paraId="6121C223">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26854318">
        <w:tblPrEx>
          <w:tblCellMar>
            <w:top w:w="0" w:type="dxa"/>
            <w:left w:w="0" w:type="dxa"/>
            <w:bottom w:w="0" w:type="dxa"/>
            <w:right w:w="0" w:type="dxa"/>
          </w:tblCellMar>
        </w:tblPrEx>
        <w:trPr>
          <w:jc w:val="center"/>
        </w:trPr>
        <w:tc>
          <w:tcPr>
            <w:tcW w:w="4932" w:type="dxa"/>
            <w:gridSpan w:val="3"/>
            <w:tcBorders>
              <w:top w:val="single" w:color="auto" w:sz="4" w:space="0"/>
              <w:left w:val="single" w:color="auto" w:sz="4" w:space="0"/>
              <w:bottom w:val="single" w:color="auto" w:sz="4" w:space="0"/>
              <w:right w:val="single" w:color="auto" w:sz="8" w:space="0"/>
            </w:tcBorders>
            <w:tcMar>
              <w:top w:w="0" w:type="dxa"/>
              <w:left w:w="57" w:type="dxa"/>
              <w:bottom w:w="0" w:type="dxa"/>
              <w:right w:w="57" w:type="dxa"/>
            </w:tcMar>
            <w:vAlign w:val="center"/>
          </w:tcPr>
          <w:p w14:paraId="21E685E8">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二、上年结转政府信息公开申请数量</w:t>
            </w:r>
          </w:p>
        </w:tc>
        <w:tc>
          <w:tcPr>
            <w:tcW w:w="770"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14:paraId="77075744">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14:paraId="14CFAAA0">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14:paraId="18A4DB34">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14:paraId="0A6CBBBD">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14:paraId="1984A1F2">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14:paraId="3EEC315B">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4" w:space="0"/>
            </w:tcBorders>
            <w:tcMar>
              <w:top w:w="0" w:type="dxa"/>
              <w:left w:w="57" w:type="dxa"/>
              <w:bottom w:w="0" w:type="dxa"/>
              <w:right w:w="57" w:type="dxa"/>
            </w:tcMar>
            <w:vAlign w:val="top"/>
          </w:tcPr>
          <w:p w14:paraId="53031DEC">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5258AA7C">
        <w:tblPrEx>
          <w:tblCellMar>
            <w:top w:w="0" w:type="dxa"/>
            <w:left w:w="0" w:type="dxa"/>
            <w:bottom w:w="0" w:type="dxa"/>
            <w:right w:w="0" w:type="dxa"/>
          </w:tblCellMar>
        </w:tblPrEx>
        <w:trPr>
          <w:jc w:val="center"/>
        </w:trPr>
        <w:tc>
          <w:tcPr>
            <w:tcW w:w="768" w:type="dxa"/>
            <w:vMerge w:val="restart"/>
            <w:tcBorders>
              <w:top w:val="single" w:color="auto" w:sz="4" w:space="0"/>
              <w:left w:val="single" w:color="auto" w:sz="4" w:space="0"/>
              <w:bottom w:val="inset" w:color="auto" w:sz="8" w:space="0"/>
              <w:right w:val="single" w:color="auto" w:sz="8" w:space="0"/>
            </w:tcBorders>
            <w:tcMar>
              <w:top w:w="0" w:type="dxa"/>
              <w:left w:w="57" w:type="dxa"/>
              <w:bottom w:w="0" w:type="dxa"/>
              <w:right w:w="57" w:type="dxa"/>
            </w:tcMar>
            <w:vAlign w:val="center"/>
          </w:tcPr>
          <w:p w14:paraId="5EC3D8E7">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三、本年度办理结果</w:t>
            </w:r>
          </w:p>
        </w:tc>
        <w:tc>
          <w:tcPr>
            <w:tcW w:w="4164" w:type="dxa"/>
            <w:gridSpan w:val="2"/>
            <w:tcBorders>
              <w:top w:val="single" w:color="auto" w:sz="4" w:space="0"/>
              <w:left w:val="nil"/>
              <w:bottom w:val="single" w:color="auto" w:sz="8" w:space="0"/>
              <w:right w:val="single" w:color="auto" w:sz="4" w:space="0"/>
            </w:tcBorders>
            <w:tcMar>
              <w:top w:w="0" w:type="dxa"/>
              <w:left w:w="57" w:type="dxa"/>
              <w:bottom w:w="0" w:type="dxa"/>
              <w:right w:w="57" w:type="dxa"/>
            </w:tcMar>
            <w:vAlign w:val="center"/>
          </w:tcPr>
          <w:p w14:paraId="3133C64E">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（一）予以公开</w:t>
            </w:r>
          </w:p>
        </w:tc>
        <w:tc>
          <w:tcPr>
            <w:tcW w:w="770" w:type="dxa"/>
            <w:tcBorders>
              <w:top w:val="single" w:color="auto" w:sz="4" w:space="0"/>
              <w:left w:val="single" w:color="auto" w:sz="4" w:space="0"/>
              <w:bottom w:val="single" w:color="auto" w:sz="8" w:space="0"/>
              <w:right w:val="single" w:color="auto" w:sz="8" w:space="0"/>
            </w:tcBorders>
            <w:tcMar>
              <w:top w:w="0" w:type="dxa"/>
              <w:left w:w="57" w:type="dxa"/>
              <w:bottom w:w="0" w:type="dxa"/>
              <w:right w:w="57" w:type="dxa"/>
            </w:tcMar>
            <w:vAlign w:val="center"/>
          </w:tcPr>
          <w:p w14:paraId="473F6650">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7E7ACA35">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5D80E569">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78568AB5">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25635523">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6A2DE1A8">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top"/>
          </w:tcPr>
          <w:p w14:paraId="59D30E97">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4C062791">
        <w:tblPrEx>
          <w:tblCellMar>
            <w:top w:w="0" w:type="dxa"/>
            <w:left w:w="0" w:type="dxa"/>
            <w:bottom w:w="0" w:type="dxa"/>
            <w:right w:w="0" w:type="dxa"/>
          </w:tblCellMar>
        </w:tblPrEx>
        <w:trPr>
          <w:jc w:val="center"/>
        </w:trPr>
        <w:tc>
          <w:tcPr>
            <w:tcW w:w="0" w:type="auto"/>
            <w:vMerge w:val="continue"/>
            <w:tcBorders>
              <w:top w:val="nil"/>
              <w:left w:val="single" w:color="auto" w:sz="4" w:space="0"/>
              <w:bottom w:val="inset" w:color="auto" w:sz="8" w:space="0"/>
              <w:right w:val="single" w:color="auto" w:sz="8" w:space="0"/>
            </w:tcBorders>
            <w:vAlign w:val="center"/>
          </w:tcPr>
          <w:p w14:paraId="2E3DF2A5">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4164" w:type="dxa"/>
            <w:gridSpan w:val="2"/>
            <w:tcBorders>
              <w:top w:val="nil"/>
              <w:left w:val="nil"/>
              <w:bottom w:val="single" w:color="auto" w:sz="4" w:space="0"/>
              <w:right w:val="single" w:color="auto" w:sz="4" w:space="0"/>
            </w:tcBorders>
            <w:tcMar>
              <w:top w:w="0" w:type="dxa"/>
              <w:left w:w="57" w:type="dxa"/>
              <w:bottom w:w="0" w:type="dxa"/>
              <w:right w:w="57" w:type="dxa"/>
            </w:tcMar>
            <w:vAlign w:val="center"/>
          </w:tcPr>
          <w:p w14:paraId="0CBCE143">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（二）部分公开</w:t>
            </w:r>
            <w:r>
              <w:rPr>
                <w:rFonts w:hint="eastAsia" w:ascii="楷体" w:hAnsi="楷体" w:eastAsia="楷体" w:cs="宋体"/>
                <w:snapToGrid/>
                <w:color w:val="auto"/>
                <w:sz w:val="20"/>
              </w:rPr>
              <w:t>（区分处理的，只计这一情形，不计其他情形）</w:t>
            </w:r>
          </w:p>
        </w:tc>
        <w:tc>
          <w:tcPr>
            <w:tcW w:w="770" w:type="dxa"/>
            <w:tcBorders>
              <w:top w:val="nil"/>
              <w:left w:val="single" w:color="auto" w:sz="4" w:space="0"/>
              <w:bottom w:val="single" w:color="auto" w:sz="4" w:space="0"/>
              <w:right w:val="single" w:color="auto" w:sz="8" w:space="0"/>
            </w:tcBorders>
            <w:tcMar>
              <w:top w:w="0" w:type="dxa"/>
              <w:left w:w="57" w:type="dxa"/>
              <w:bottom w:w="0" w:type="dxa"/>
              <w:right w:w="57" w:type="dxa"/>
            </w:tcMar>
            <w:vAlign w:val="center"/>
          </w:tcPr>
          <w:p w14:paraId="2BFDFBD4">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4" w:space="0"/>
              <w:right w:val="single" w:color="auto" w:sz="8" w:space="0"/>
            </w:tcBorders>
            <w:tcMar>
              <w:top w:w="0" w:type="dxa"/>
              <w:left w:w="57" w:type="dxa"/>
              <w:bottom w:w="0" w:type="dxa"/>
              <w:right w:w="57" w:type="dxa"/>
            </w:tcMar>
            <w:vAlign w:val="center"/>
          </w:tcPr>
          <w:p w14:paraId="16972301">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130DC4F7">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1121FCC4">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73775521">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7952B7AB">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27717B08">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75F903C2">
        <w:tblPrEx>
          <w:tblCellMar>
            <w:top w:w="0" w:type="dxa"/>
            <w:left w:w="0" w:type="dxa"/>
            <w:bottom w:w="0" w:type="dxa"/>
            <w:right w:w="0"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14:paraId="58BACF80">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943"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4318E7A">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（三）不予公开</w:t>
            </w:r>
          </w:p>
        </w:tc>
        <w:tc>
          <w:tcPr>
            <w:tcW w:w="3221" w:type="dxa"/>
            <w:tcBorders>
              <w:top w:val="single" w:color="auto" w:sz="4" w:space="0"/>
              <w:left w:val="single" w:color="auto" w:sz="4" w:space="0"/>
              <w:bottom w:val="single" w:color="auto" w:sz="8" w:space="0"/>
              <w:right w:val="single" w:color="auto" w:sz="4" w:space="0"/>
            </w:tcBorders>
            <w:tcMar>
              <w:top w:w="0" w:type="dxa"/>
              <w:left w:w="57" w:type="dxa"/>
              <w:bottom w:w="0" w:type="dxa"/>
              <w:right w:w="57" w:type="dxa"/>
            </w:tcMar>
          </w:tcPr>
          <w:p w14:paraId="6D753EC1">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1.属于国家秘密</w:t>
            </w:r>
          </w:p>
        </w:tc>
        <w:tc>
          <w:tcPr>
            <w:tcW w:w="770" w:type="dxa"/>
            <w:tcBorders>
              <w:top w:val="single" w:color="auto" w:sz="4" w:space="0"/>
              <w:left w:val="single" w:color="auto" w:sz="4" w:space="0"/>
              <w:bottom w:val="single" w:color="auto" w:sz="8" w:space="0"/>
              <w:right w:val="single" w:color="auto" w:sz="8" w:space="0"/>
            </w:tcBorders>
            <w:tcMar>
              <w:top w:w="0" w:type="dxa"/>
              <w:left w:w="57" w:type="dxa"/>
              <w:bottom w:w="0" w:type="dxa"/>
              <w:right w:w="57" w:type="dxa"/>
            </w:tcMar>
            <w:vAlign w:val="center"/>
          </w:tcPr>
          <w:p w14:paraId="1677BFE7">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3E2BC7D4">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26B01DC5">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01E9BEBD">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1B9DC7DE">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4" w:space="0"/>
            </w:tcBorders>
            <w:tcMar>
              <w:top w:w="0" w:type="dxa"/>
              <w:left w:w="57" w:type="dxa"/>
              <w:bottom w:w="0" w:type="dxa"/>
              <w:right w:w="57" w:type="dxa"/>
            </w:tcMar>
            <w:vAlign w:val="center"/>
          </w:tcPr>
          <w:p w14:paraId="50DA8B74">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8" w:space="0"/>
              <w:left w:val="single" w:color="auto" w:sz="4" w:space="0"/>
              <w:bottom w:val="single" w:color="auto" w:sz="8" w:space="0"/>
              <w:right w:val="single" w:color="auto" w:sz="8" w:space="0"/>
            </w:tcBorders>
            <w:tcMar>
              <w:top w:w="0" w:type="dxa"/>
              <w:left w:w="57" w:type="dxa"/>
              <w:bottom w:w="0" w:type="dxa"/>
              <w:right w:w="57" w:type="dxa"/>
            </w:tcMar>
            <w:vAlign w:val="top"/>
          </w:tcPr>
          <w:p w14:paraId="6161F1A9">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09201529">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A35781C">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7636EB4">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single" w:color="auto" w:sz="4" w:space="0"/>
              <w:bottom w:val="nil"/>
              <w:right w:val="single" w:color="auto" w:sz="4" w:space="0"/>
            </w:tcBorders>
            <w:tcMar>
              <w:top w:w="0" w:type="dxa"/>
              <w:left w:w="57" w:type="dxa"/>
              <w:bottom w:w="0" w:type="dxa"/>
              <w:right w:w="57" w:type="dxa"/>
            </w:tcMar>
          </w:tcPr>
          <w:p w14:paraId="658996A5">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2.其他法律行政法规禁止公开</w:t>
            </w:r>
          </w:p>
        </w:tc>
        <w:tc>
          <w:tcPr>
            <w:tcW w:w="770" w:type="dxa"/>
            <w:tcBorders>
              <w:top w:val="nil"/>
              <w:left w:val="single" w:color="auto" w:sz="4" w:space="0"/>
              <w:bottom w:val="single" w:color="auto" w:sz="4" w:space="0"/>
              <w:right w:val="single" w:color="auto" w:sz="8" w:space="0"/>
            </w:tcBorders>
            <w:tcMar>
              <w:top w:w="0" w:type="dxa"/>
              <w:left w:w="57" w:type="dxa"/>
              <w:bottom w:w="0" w:type="dxa"/>
              <w:right w:w="57" w:type="dxa"/>
            </w:tcMar>
            <w:vAlign w:val="center"/>
          </w:tcPr>
          <w:p w14:paraId="032340E1">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4" w:space="0"/>
              <w:right w:val="single" w:color="auto" w:sz="8" w:space="0"/>
            </w:tcBorders>
            <w:tcMar>
              <w:top w:w="0" w:type="dxa"/>
              <w:left w:w="57" w:type="dxa"/>
              <w:bottom w:w="0" w:type="dxa"/>
              <w:right w:w="57" w:type="dxa"/>
            </w:tcMar>
            <w:vAlign w:val="center"/>
          </w:tcPr>
          <w:p w14:paraId="00731D15">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71D74B8C">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2957EAF6">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5F754511">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14:paraId="7F36450C">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single" w:color="auto" w:sz="4" w:space="0"/>
              <w:bottom w:val="single" w:color="auto" w:sz="4" w:space="0"/>
              <w:right w:val="single" w:color="auto" w:sz="8" w:space="0"/>
            </w:tcBorders>
            <w:tcMar>
              <w:top w:w="0" w:type="dxa"/>
              <w:left w:w="57" w:type="dxa"/>
              <w:bottom w:w="0" w:type="dxa"/>
              <w:right w:w="57" w:type="dxa"/>
            </w:tcMar>
            <w:vAlign w:val="top"/>
          </w:tcPr>
          <w:p w14:paraId="15A8FA83">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6BA70148">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F292E01">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single" w:color="auto" w:sz="4" w:space="0"/>
              <w:bottom w:val="single" w:color="auto" w:sz="4" w:space="0"/>
              <w:right w:val="nil"/>
            </w:tcBorders>
            <w:vAlign w:val="center"/>
          </w:tcPr>
          <w:p w14:paraId="760A6CD6">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4" w:space="0"/>
              <w:right w:val="single" w:color="auto" w:sz="4" w:space="0"/>
            </w:tcBorders>
            <w:tcMar>
              <w:top w:w="0" w:type="dxa"/>
              <w:left w:w="57" w:type="dxa"/>
              <w:bottom w:w="0" w:type="dxa"/>
              <w:right w:w="57" w:type="dxa"/>
            </w:tcMar>
          </w:tcPr>
          <w:p w14:paraId="5B3140E9">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3.危及“三安全一稳定”</w:t>
            </w:r>
          </w:p>
        </w:tc>
        <w:tc>
          <w:tcPr>
            <w:tcW w:w="770" w:type="dxa"/>
            <w:tcBorders>
              <w:top w:val="single" w:color="auto" w:sz="4" w:space="0"/>
              <w:left w:val="single" w:color="auto" w:sz="4" w:space="0"/>
              <w:bottom w:val="single" w:color="auto" w:sz="4" w:space="0"/>
              <w:right w:val="single" w:color="auto" w:sz="8" w:space="0"/>
            </w:tcBorders>
            <w:tcMar>
              <w:top w:w="0" w:type="dxa"/>
              <w:left w:w="57" w:type="dxa"/>
              <w:bottom w:w="0" w:type="dxa"/>
              <w:right w:w="57" w:type="dxa"/>
            </w:tcMar>
            <w:vAlign w:val="center"/>
          </w:tcPr>
          <w:p w14:paraId="1633B3CE">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14:paraId="6D594740">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14:paraId="1DBC465F">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14:paraId="6DE58E63">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14:paraId="644F9146">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7C6C2798">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top"/>
          </w:tcPr>
          <w:p w14:paraId="1341285E">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4655D104">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1109347">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908C7C5">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14:paraId="5E557549">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4.保护第三方合法权益</w:t>
            </w:r>
          </w:p>
        </w:tc>
        <w:tc>
          <w:tcPr>
            <w:tcW w:w="770" w:type="dxa"/>
            <w:tcBorders>
              <w:top w:val="single" w:color="auto" w:sz="4" w:space="0"/>
              <w:left w:val="single" w:color="auto" w:sz="4" w:space="0"/>
              <w:bottom w:val="single" w:color="auto" w:sz="4" w:space="0"/>
              <w:right w:val="single" w:color="auto" w:sz="8" w:space="0"/>
            </w:tcBorders>
            <w:tcMar>
              <w:top w:w="0" w:type="dxa"/>
              <w:left w:w="57" w:type="dxa"/>
              <w:bottom w:w="0" w:type="dxa"/>
              <w:right w:w="57" w:type="dxa"/>
            </w:tcMar>
            <w:vAlign w:val="center"/>
          </w:tcPr>
          <w:p w14:paraId="6DE1D149">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14:paraId="41B22176">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14:paraId="48F19CAF">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14:paraId="5829C961">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14:paraId="2340F16F">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2973005F">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top"/>
          </w:tcPr>
          <w:p w14:paraId="0FB95C27">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58784CE0">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3FB7D79">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578E63D">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single" w:color="auto" w:sz="4" w:space="0"/>
              <w:left w:val="single" w:color="auto" w:sz="4" w:space="0"/>
              <w:bottom w:val="single" w:color="auto" w:sz="8" w:space="0"/>
              <w:right w:val="single" w:color="auto" w:sz="4" w:space="0"/>
            </w:tcBorders>
            <w:tcMar>
              <w:top w:w="0" w:type="dxa"/>
              <w:left w:w="57" w:type="dxa"/>
              <w:bottom w:w="0" w:type="dxa"/>
              <w:right w:w="57" w:type="dxa"/>
            </w:tcMar>
          </w:tcPr>
          <w:p w14:paraId="6C7FC7FE">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5.属于三类内部事务信息</w:t>
            </w:r>
          </w:p>
        </w:tc>
        <w:tc>
          <w:tcPr>
            <w:tcW w:w="770" w:type="dxa"/>
            <w:tcBorders>
              <w:top w:val="single" w:color="auto" w:sz="4" w:space="0"/>
              <w:left w:val="single" w:color="auto" w:sz="4" w:space="0"/>
              <w:bottom w:val="single" w:color="auto" w:sz="8" w:space="0"/>
              <w:right w:val="single" w:color="auto" w:sz="8" w:space="0"/>
            </w:tcBorders>
            <w:tcMar>
              <w:top w:w="0" w:type="dxa"/>
              <w:left w:w="57" w:type="dxa"/>
              <w:bottom w:w="0" w:type="dxa"/>
              <w:right w:w="57" w:type="dxa"/>
            </w:tcMar>
            <w:vAlign w:val="center"/>
          </w:tcPr>
          <w:p w14:paraId="3B21BD3F">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3DFDCD63">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1A6EFCB0">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7732A961">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0B86B3CA">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4" w:space="0"/>
            </w:tcBorders>
            <w:tcMar>
              <w:top w:w="0" w:type="dxa"/>
              <w:left w:w="57" w:type="dxa"/>
              <w:bottom w:w="0" w:type="dxa"/>
              <w:right w:w="57" w:type="dxa"/>
            </w:tcMar>
            <w:vAlign w:val="center"/>
          </w:tcPr>
          <w:p w14:paraId="60B47260">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single" w:color="auto" w:sz="4" w:space="0"/>
              <w:bottom w:val="single" w:color="auto" w:sz="8" w:space="0"/>
              <w:right w:val="single" w:color="auto" w:sz="8" w:space="0"/>
            </w:tcBorders>
            <w:tcMar>
              <w:top w:w="0" w:type="dxa"/>
              <w:left w:w="57" w:type="dxa"/>
              <w:bottom w:w="0" w:type="dxa"/>
              <w:right w:w="57" w:type="dxa"/>
            </w:tcMar>
            <w:vAlign w:val="top"/>
          </w:tcPr>
          <w:p w14:paraId="435A1137">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0034DBA0">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3E2F69E">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D8C89BF">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single" w:color="auto" w:sz="4" w:space="0"/>
              <w:bottom w:val="single" w:color="auto" w:sz="4" w:space="0"/>
              <w:right w:val="single" w:color="auto" w:sz="4" w:space="0"/>
            </w:tcBorders>
            <w:tcMar>
              <w:top w:w="0" w:type="dxa"/>
              <w:left w:w="57" w:type="dxa"/>
              <w:bottom w:w="0" w:type="dxa"/>
              <w:right w:w="57" w:type="dxa"/>
            </w:tcMar>
          </w:tcPr>
          <w:p w14:paraId="01A50223">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6.属于四类过程性信息</w:t>
            </w:r>
          </w:p>
        </w:tc>
        <w:tc>
          <w:tcPr>
            <w:tcW w:w="770" w:type="dxa"/>
            <w:tcBorders>
              <w:top w:val="nil"/>
              <w:left w:val="single" w:color="auto" w:sz="4" w:space="0"/>
              <w:bottom w:val="single" w:color="auto" w:sz="4" w:space="0"/>
              <w:right w:val="single" w:color="auto" w:sz="8" w:space="0"/>
            </w:tcBorders>
            <w:tcMar>
              <w:top w:w="0" w:type="dxa"/>
              <w:left w:w="57" w:type="dxa"/>
              <w:bottom w:w="0" w:type="dxa"/>
              <w:right w:w="57" w:type="dxa"/>
            </w:tcMar>
            <w:vAlign w:val="center"/>
          </w:tcPr>
          <w:p w14:paraId="5DF91EC5">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4" w:space="0"/>
              <w:right w:val="single" w:color="auto" w:sz="8" w:space="0"/>
            </w:tcBorders>
            <w:tcMar>
              <w:top w:w="0" w:type="dxa"/>
              <w:left w:w="57" w:type="dxa"/>
              <w:bottom w:w="0" w:type="dxa"/>
              <w:right w:w="57" w:type="dxa"/>
            </w:tcMar>
            <w:vAlign w:val="center"/>
          </w:tcPr>
          <w:p w14:paraId="6FCD924C">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3681C6E2">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504B42C7">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6DB415DD">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14:paraId="58A80CE0">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single" w:color="auto" w:sz="4" w:space="0"/>
              <w:bottom w:val="single" w:color="auto" w:sz="8" w:space="0"/>
              <w:right w:val="single" w:color="auto" w:sz="8" w:space="0"/>
            </w:tcBorders>
            <w:tcMar>
              <w:top w:w="0" w:type="dxa"/>
              <w:left w:w="57" w:type="dxa"/>
              <w:bottom w:w="0" w:type="dxa"/>
              <w:right w:w="57" w:type="dxa"/>
            </w:tcMar>
            <w:vAlign w:val="top"/>
          </w:tcPr>
          <w:p w14:paraId="71C15FF5">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432B872E">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6BC3BC5">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9B32CA6">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single" w:color="auto" w:sz="4" w:space="0"/>
              <w:left w:val="single" w:color="auto" w:sz="4" w:space="0"/>
              <w:bottom w:val="single" w:color="auto" w:sz="8" w:space="0"/>
              <w:right w:val="single" w:color="auto" w:sz="4" w:space="0"/>
            </w:tcBorders>
            <w:tcMar>
              <w:top w:w="0" w:type="dxa"/>
              <w:left w:w="57" w:type="dxa"/>
              <w:bottom w:w="0" w:type="dxa"/>
              <w:right w:w="57" w:type="dxa"/>
            </w:tcMar>
          </w:tcPr>
          <w:p w14:paraId="1B19F87D">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7.属于行政执法案卷</w:t>
            </w:r>
          </w:p>
        </w:tc>
        <w:tc>
          <w:tcPr>
            <w:tcW w:w="770" w:type="dxa"/>
            <w:tcBorders>
              <w:top w:val="single" w:color="auto" w:sz="4" w:space="0"/>
              <w:left w:val="single" w:color="auto" w:sz="4" w:space="0"/>
              <w:bottom w:val="single" w:color="auto" w:sz="8" w:space="0"/>
              <w:right w:val="single" w:color="auto" w:sz="8" w:space="0"/>
            </w:tcBorders>
            <w:tcMar>
              <w:top w:w="0" w:type="dxa"/>
              <w:left w:w="57" w:type="dxa"/>
              <w:bottom w:w="0" w:type="dxa"/>
              <w:right w:w="57" w:type="dxa"/>
            </w:tcMar>
            <w:vAlign w:val="center"/>
          </w:tcPr>
          <w:p w14:paraId="1D0E9A59">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7396B8CD">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7191FF1F">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4B209204">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30C80D27">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55027BF4">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7FB24A45">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1830A14C">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026583E">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00A1343">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single" w:color="auto" w:sz="4" w:space="0"/>
              <w:bottom w:val="single" w:color="auto" w:sz="8" w:space="0"/>
              <w:right w:val="single" w:color="auto" w:sz="4" w:space="0"/>
            </w:tcBorders>
            <w:tcMar>
              <w:top w:w="0" w:type="dxa"/>
              <w:left w:w="57" w:type="dxa"/>
              <w:bottom w:w="0" w:type="dxa"/>
              <w:right w:w="57" w:type="dxa"/>
            </w:tcMar>
          </w:tcPr>
          <w:p w14:paraId="1694080A">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8.属于行政查询事项</w:t>
            </w:r>
          </w:p>
        </w:tc>
        <w:tc>
          <w:tcPr>
            <w:tcW w:w="770"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14:paraId="2F66ABBB">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47E7A64D">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1E6A721">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2FDC4DE">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5120FB1">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56D93EE">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7FA01A31">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053E11E6">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14:paraId="029694C0">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943" w:type="dxa"/>
            <w:vMerge w:val="restart"/>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14:paraId="621D621F">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（四）无法提供</w:t>
            </w:r>
          </w:p>
        </w:tc>
        <w:tc>
          <w:tcPr>
            <w:tcW w:w="3221" w:type="dxa"/>
            <w:tcBorders>
              <w:top w:val="nil"/>
              <w:left w:val="nil"/>
              <w:bottom w:val="single" w:color="auto" w:sz="8" w:space="0"/>
              <w:right w:val="single" w:color="auto" w:sz="4" w:space="0"/>
            </w:tcBorders>
            <w:tcMar>
              <w:top w:w="0" w:type="dxa"/>
              <w:left w:w="57" w:type="dxa"/>
              <w:bottom w:w="0" w:type="dxa"/>
              <w:right w:w="57" w:type="dxa"/>
            </w:tcMar>
          </w:tcPr>
          <w:p w14:paraId="2CC6E476">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1.本机关不掌握相关政府信息</w:t>
            </w:r>
          </w:p>
        </w:tc>
        <w:tc>
          <w:tcPr>
            <w:tcW w:w="770"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14:paraId="454A707A">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067B6B54">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73D9653">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9525A35">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5BA429A">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E795780">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6595CD90">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2991E57E">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14:paraId="1A96B9F8">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nil"/>
              <w:bottom w:val="single" w:color="auto" w:sz="4" w:space="0"/>
              <w:right w:val="single" w:color="auto" w:sz="8" w:space="0"/>
            </w:tcBorders>
            <w:vAlign w:val="center"/>
          </w:tcPr>
          <w:p w14:paraId="2CBBF59A">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4" w:space="0"/>
            </w:tcBorders>
            <w:tcMar>
              <w:top w:w="0" w:type="dxa"/>
              <w:left w:w="57" w:type="dxa"/>
              <w:bottom w:w="0" w:type="dxa"/>
              <w:right w:w="57" w:type="dxa"/>
            </w:tcMar>
          </w:tcPr>
          <w:p w14:paraId="65CD5ADC">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2.没有现成信息需要另行制作</w:t>
            </w:r>
          </w:p>
        </w:tc>
        <w:tc>
          <w:tcPr>
            <w:tcW w:w="770"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14:paraId="46C89142">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68E779DE">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6929B2E">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E1C01E9">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19F0C61">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8F72932">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54D6021C">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40349669">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14:paraId="187F17F9">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nil"/>
              <w:bottom w:val="single" w:color="auto" w:sz="4" w:space="0"/>
              <w:right w:val="single" w:color="auto" w:sz="8" w:space="0"/>
            </w:tcBorders>
            <w:vAlign w:val="center"/>
          </w:tcPr>
          <w:p w14:paraId="717B8CD0">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4" w:space="0"/>
            </w:tcBorders>
            <w:tcMar>
              <w:top w:w="0" w:type="dxa"/>
              <w:left w:w="57" w:type="dxa"/>
              <w:bottom w:w="0" w:type="dxa"/>
              <w:right w:w="57" w:type="dxa"/>
            </w:tcMar>
          </w:tcPr>
          <w:p w14:paraId="1886CE82">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3.补正后申请内容仍不明确</w:t>
            </w:r>
          </w:p>
        </w:tc>
        <w:tc>
          <w:tcPr>
            <w:tcW w:w="770"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14:paraId="5D493AF4">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17A9DC53">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D18B159">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ED89B1C">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6B1FDDC">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B40ECA1">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5DE822C2">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0D306EFD">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14:paraId="2376F1E7">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943" w:type="dxa"/>
            <w:vMerge w:val="restart"/>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14:paraId="24628DC0">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（五）不予处理</w:t>
            </w:r>
          </w:p>
        </w:tc>
        <w:tc>
          <w:tcPr>
            <w:tcW w:w="3221" w:type="dxa"/>
            <w:tcBorders>
              <w:top w:val="nil"/>
              <w:left w:val="nil"/>
              <w:bottom w:val="single" w:color="auto" w:sz="8" w:space="0"/>
              <w:right w:val="single" w:color="auto" w:sz="4" w:space="0"/>
            </w:tcBorders>
            <w:tcMar>
              <w:top w:w="0" w:type="dxa"/>
              <w:left w:w="57" w:type="dxa"/>
              <w:bottom w:w="0" w:type="dxa"/>
              <w:right w:w="57" w:type="dxa"/>
            </w:tcMar>
          </w:tcPr>
          <w:p w14:paraId="05364043">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1.信访举报投诉类申请</w:t>
            </w:r>
          </w:p>
        </w:tc>
        <w:tc>
          <w:tcPr>
            <w:tcW w:w="770"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14:paraId="2027A308">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3B018020">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E4DB873">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2811815">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8115DCF">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CFDD721">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3E8B477D">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12525A98">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14:paraId="356DD1D2">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nil"/>
              <w:bottom w:val="single" w:color="auto" w:sz="4" w:space="0"/>
              <w:right w:val="single" w:color="auto" w:sz="8" w:space="0"/>
            </w:tcBorders>
            <w:vAlign w:val="center"/>
          </w:tcPr>
          <w:p w14:paraId="23E6AE2F">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4" w:space="0"/>
            </w:tcBorders>
            <w:tcMar>
              <w:top w:w="0" w:type="dxa"/>
              <w:left w:w="57" w:type="dxa"/>
              <w:bottom w:w="0" w:type="dxa"/>
              <w:right w:w="57" w:type="dxa"/>
            </w:tcMar>
          </w:tcPr>
          <w:p w14:paraId="00EAABA0">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2.重复申请</w:t>
            </w:r>
          </w:p>
        </w:tc>
        <w:tc>
          <w:tcPr>
            <w:tcW w:w="770"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14:paraId="26A0845D">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06DBCC51">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D0C6038">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0D7C08E">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6008C4D">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6AF4060">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5C64E37D">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62B36257">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14:paraId="6F189E2C">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nil"/>
              <w:bottom w:val="single" w:color="auto" w:sz="4" w:space="0"/>
              <w:right w:val="single" w:color="auto" w:sz="8" w:space="0"/>
            </w:tcBorders>
            <w:vAlign w:val="center"/>
          </w:tcPr>
          <w:p w14:paraId="571CEEAD">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4" w:space="0"/>
            </w:tcBorders>
            <w:tcMar>
              <w:top w:w="0" w:type="dxa"/>
              <w:left w:w="57" w:type="dxa"/>
              <w:bottom w:w="0" w:type="dxa"/>
              <w:right w:w="57" w:type="dxa"/>
            </w:tcMar>
          </w:tcPr>
          <w:p w14:paraId="775F4612">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3.要求提供公开出版物</w:t>
            </w:r>
          </w:p>
        </w:tc>
        <w:tc>
          <w:tcPr>
            <w:tcW w:w="770"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14:paraId="33A68B44">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3EF87ADA">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5982A13">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B1727ED">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0375B7B">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65628B4">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0C74C6A4">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6441501A">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14:paraId="05F44CC9">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nil"/>
              <w:bottom w:val="single" w:color="auto" w:sz="4" w:space="0"/>
              <w:right w:val="single" w:color="auto" w:sz="8" w:space="0"/>
            </w:tcBorders>
            <w:vAlign w:val="center"/>
          </w:tcPr>
          <w:p w14:paraId="41EC7BCC">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4" w:space="0"/>
            </w:tcBorders>
            <w:tcMar>
              <w:top w:w="0" w:type="dxa"/>
              <w:left w:w="57" w:type="dxa"/>
              <w:bottom w:w="0" w:type="dxa"/>
              <w:right w:w="57" w:type="dxa"/>
            </w:tcMar>
          </w:tcPr>
          <w:p w14:paraId="21504738">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4.无正当理由大量反复申请</w:t>
            </w:r>
          </w:p>
        </w:tc>
        <w:tc>
          <w:tcPr>
            <w:tcW w:w="770"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14:paraId="2D4F158F">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305C171E">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905B08E">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19CB06B">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2710A32">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278A723">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4AFE05F6">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27084206">
        <w:tblPrEx>
          <w:tblCellMar>
            <w:top w:w="0" w:type="dxa"/>
            <w:left w:w="0" w:type="dxa"/>
            <w:bottom w:w="0" w:type="dxa"/>
            <w:right w:w="0" w:type="dxa"/>
          </w:tblCellMar>
        </w:tblPrEx>
        <w:trPr>
          <w:trHeight w:val="779" w:hRule="atLeast"/>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14:paraId="6F6F7ECF">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nil"/>
              <w:bottom w:val="single" w:color="auto" w:sz="4" w:space="0"/>
              <w:right w:val="single" w:color="auto" w:sz="8" w:space="0"/>
            </w:tcBorders>
            <w:vAlign w:val="center"/>
          </w:tcPr>
          <w:p w14:paraId="150D20C5">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inset" w:color="auto" w:sz="8" w:space="0"/>
              <w:right w:val="single" w:color="auto" w:sz="4" w:space="0"/>
            </w:tcBorders>
            <w:tcMar>
              <w:top w:w="0" w:type="dxa"/>
              <w:left w:w="57" w:type="dxa"/>
              <w:bottom w:w="0" w:type="dxa"/>
              <w:right w:w="57" w:type="dxa"/>
            </w:tcMar>
            <w:vAlign w:val="center"/>
          </w:tcPr>
          <w:p w14:paraId="51ECE453">
            <w:pPr>
              <w:widowControl/>
              <w:shd w:val="clear"/>
              <w:autoSpaceDE/>
              <w:autoSpaceDN/>
              <w:snapToGrid/>
              <w:spacing w:line="240" w:lineRule="auto"/>
              <w:ind w:firstLine="0"/>
              <w:rPr>
                <w:rFonts w:ascii="宋体" w:hAnsi="宋体" w:eastAsia="宋体" w:cs="宋体"/>
                <w:snapToGrid/>
                <w:color w:val="auto"/>
                <w:sz w:val="24"/>
                <w:szCs w:val="24"/>
              </w:rPr>
            </w:pPr>
            <w:r>
              <w:rPr>
                <w:rFonts w:hint="eastAsia" w:ascii="宋体" w:hAnsi="宋体" w:eastAsia="宋体" w:cs="宋体"/>
                <w:snapToGrid/>
                <w:color w:val="auto"/>
                <w:sz w:val="20"/>
              </w:rPr>
              <w:t>5.要求行政机关确认或重新出具已获取信息</w:t>
            </w:r>
          </w:p>
        </w:tc>
        <w:tc>
          <w:tcPr>
            <w:tcW w:w="770" w:type="dxa"/>
            <w:tcBorders>
              <w:top w:val="nil"/>
              <w:left w:val="single" w:color="auto" w:sz="4" w:space="0"/>
              <w:bottom w:val="inset" w:color="auto" w:sz="8" w:space="0"/>
              <w:right w:val="single" w:color="auto" w:sz="8" w:space="0"/>
            </w:tcBorders>
            <w:tcMar>
              <w:top w:w="0" w:type="dxa"/>
              <w:left w:w="57" w:type="dxa"/>
              <w:bottom w:w="0" w:type="dxa"/>
              <w:right w:w="57" w:type="dxa"/>
            </w:tcMar>
            <w:vAlign w:val="center"/>
          </w:tcPr>
          <w:p w14:paraId="19F1B75F">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inset" w:color="auto" w:sz="8" w:space="0"/>
              <w:right w:val="single" w:color="auto" w:sz="8" w:space="0"/>
            </w:tcBorders>
            <w:tcMar>
              <w:top w:w="0" w:type="dxa"/>
              <w:left w:w="57" w:type="dxa"/>
              <w:bottom w:w="0" w:type="dxa"/>
              <w:right w:w="57" w:type="dxa"/>
            </w:tcMar>
            <w:vAlign w:val="center"/>
          </w:tcPr>
          <w:p w14:paraId="04ED1B28">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7A76AC5B">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3B25660C">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04C8DDC1">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17CC6977">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top"/>
          </w:tcPr>
          <w:p w14:paraId="4916C05D">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7FE3E102">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14:paraId="463F9DA1">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943" w:type="dxa"/>
            <w:vMerge w:val="restart"/>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14:paraId="19A224E2">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（六）其他处理</w:t>
            </w:r>
          </w:p>
        </w:tc>
        <w:tc>
          <w:tcPr>
            <w:tcW w:w="3221" w:type="dxa"/>
            <w:tcBorders>
              <w:top w:val="nil"/>
              <w:left w:val="nil"/>
              <w:bottom w:val="single" w:color="auto" w:sz="4" w:space="0"/>
              <w:right w:val="single" w:color="auto" w:sz="4" w:space="0"/>
            </w:tcBorders>
            <w:tcMar>
              <w:top w:w="0" w:type="dxa"/>
              <w:left w:w="57" w:type="dxa"/>
              <w:bottom w:w="0" w:type="dxa"/>
              <w:right w:w="57" w:type="dxa"/>
            </w:tcMar>
            <w:vAlign w:val="center"/>
          </w:tcPr>
          <w:p w14:paraId="6E84326E">
            <w:pPr>
              <w:widowControl/>
              <w:shd w:val="clear"/>
              <w:autoSpaceDE/>
              <w:autoSpaceDN/>
              <w:snapToGrid/>
              <w:spacing w:line="240" w:lineRule="auto"/>
              <w:ind w:firstLine="0"/>
              <w:rPr>
                <w:rFonts w:ascii="宋体" w:hAnsi="宋体" w:eastAsia="宋体" w:cs="宋体"/>
                <w:snapToGrid/>
                <w:color w:val="auto"/>
                <w:sz w:val="24"/>
                <w:szCs w:val="24"/>
              </w:rPr>
            </w:pPr>
            <w:r>
              <w:rPr>
                <w:rFonts w:hint="eastAsia" w:ascii="宋体" w:hAnsi="宋体" w:eastAsia="宋体" w:cs="宋体"/>
                <w:snapToGrid/>
                <w:color w:val="auto"/>
                <w:sz w:val="20"/>
              </w:rPr>
              <w:t>1.申请人无正当理由逾期不补正、行政机关不再处理其政府信息公开申请</w:t>
            </w:r>
          </w:p>
        </w:tc>
        <w:tc>
          <w:tcPr>
            <w:tcW w:w="770" w:type="dxa"/>
            <w:tcBorders>
              <w:top w:val="nil"/>
              <w:left w:val="single" w:color="auto" w:sz="4" w:space="0"/>
              <w:bottom w:val="single" w:color="auto" w:sz="4" w:space="0"/>
              <w:right w:val="single" w:color="auto" w:sz="8" w:space="0"/>
            </w:tcBorders>
            <w:tcMar>
              <w:top w:w="0" w:type="dxa"/>
              <w:left w:w="57" w:type="dxa"/>
              <w:bottom w:w="0" w:type="dxa"/>
              <w:right w:w="57" w:type="dxa"/>
            </w:tcMar>
            <w:vAlign w:val="center"/>
          </w:tcPr>
          <w:p w14:paraId="69F4D6D3">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4" w:space="0"/>
              <w:right w:val="single" w:color="auto" w:sz="8" w:space="0"/>
            </w:tcBorders>
            <w:tcMar>
              <w:top w:w="0" w:type="dxa"/>
              <w:left w:w="57" w:type="dxa"/>
              <w:bottom w:w="0" w:type="dxa"/>
              <w:right w:w="57" w:type="dxa"/>
            </w:tcMar>
            <w:vAlign w:val="center"/>
          </w:tcPr>
          <w:p w14:paraId="1EA11E1C">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32456444">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4308710F">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719B2D36">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5A341D61">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top"/>
          </w:tcPr>
          <w:p w14:paraId="22259B38">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61BC6E84">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14:paraId="142F0F22">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14:paraId="32A25BAF">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single" w:color="auto" w:sz="4" w:space="0"/>
              <w:left w:val="single" w:color="auto" w:sz="4" w:space="0"/>
              <w:bottom w:val="single" w:color="auto" w:sz="8" w:space="0"/>
              <w:right w:val="single" w:color="auto" w:sz="4" w:space="0"/>
            </w:tcBorders>
            <w:tcMar>
              <w:top w:w="0" w:type="dxa"/>
              <w:left w:w="57" w:type="dxa"/>
              <w:bottom w:w="0" w:type="dxa"/>
              <w:right w:w="57" w:type="dxa"/>
            </w:tcMar>
            <w:vAlign w:val="center"/>
          </w:tcPr>
          <w:p w14:paraId="7D37D4CB">
            <w:pPr>
              <w:widowControl/>
              <w:shd w:val="clear"/>
              <w:autoSpaceDE/>
              <w:autoSpaceDN/>
              <w:snapToGrid/>
              <w:spacing w:line="240" w:lineRule="auto"/>
              <w:ind w:firstLine="0"/>
              <w:rPr>
                <w:rFonts w:ascii="宋体" w:hAnsi="宋体" w:eastAsia="宋体" w:cs="宋体"/>
                <w:snapToGrid/>
                <w:color w:val="auto"/>
                <w:sz w:val="24"/>
                <w:szCs w:val="24"/>
              </w:rPr>
            </w:pPr>
            <w:r>
              <w:rPr>
                <w:rFonts w:hint="eastAsia" w:ascii="宋体" w:hAnsi="宋体" w:eastAsia="宋体" w:cs="宋体"/>
                <w:snapToGrid/>
                <w:color w:val="auto"/>
                <w:sz w:val="20"/>
              </w:rPr>
              <w:t>2.申请人逾期未按收费通知要求缴纳费用、行政机关不再处理其政府信息公开申请</w:t>
            </w:r>
          </w:p>
        </w:tc>
        <w:tc>
          <w:tcPr>
            <w:tcW w:w="770" w:type="dxa"/>
            <w:tcBorders>
              <w:top w:val="single" w:color="auto" w:sz="4" w:space="0"/>
              <w:left w:val="single" w:color="auto" w:sz="4" w:space="0"/>
              <w:bottom w:val="single" w:color="auto" w:sz="8" w:space="0"/>
              <w:right w:val="single" w:color="auto" w:sz="8" w:space="0"/>
            </w:tcBorders>
            <w:tcMar>
              <w:top w:w="0" w:type="dxa"/>
              <w:left w:w="57" w:type="dxa"/>
              <w:bottom w:w="0" w:type="dxa"/>
              <w:right w:w="57" w:type="dxa"/>
            </w:tcMar>
            <w:vAlign w:val="center"/>
          </w:tcPr>
          <w:p w14:paraId="315FCFC5">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42DA578C">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4AA5BB84">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0BC7E1B2">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77141E2C">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22DE30CD">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4" w:space="0"/>
            </w:tcBorders>
            <w:tcMar>
              <w:top w:w="0" w:type="dxa"/>
              <w:left w:w="57" w:type="dxa"/>
              <w:bottom w:w="0" w:type="dxa"/>
              <w:right w:w="57" w:type="dxa"/>
            </w:tcMar>
            <w:vAlign w:val="top"/>
          </w:tcPr>
          <w:p w14:paraId="0691B44C">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7AD5F93F">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14:paraId="3916DE31">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14:paraId="298FFE14">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single" w:color="auto" w:sz="4" w:space="0"/>
              <w:bottom w:val="single" w:color="auto" w:sz="4" w:space="0"/>
              <w:right w:val="single" w:color="auto" w:sz="4" w:space="0"/>
            </w:tcBorders>
            <w:tcMar>
              <w:top w:w="0" w:type="dxa"/>
              <w:left w:w="57" w:type="dxa"/>
              <w:bottom w:w="0" w:type="dxa"/>
              <w:right w:w="57" w:type="dxa"/>
            </w:tcMar>
            <w:vAlign w:val="center"/>
          </w:tcPr>
          <w:p w14:paraId="1CAB1CF5">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3.其他</w:t>
            </w:r>
          </w:p>
        </w:tc>
        <w:tc>
          <w:tcPr>
            <w:tcW w:w="770" w:type="dxa"/>
            <w:tcBorders>
              <w:top w:val="nil"/>
              <w:left w:val="single" w:color="auto" w:sz="4" w:space="0"/>
              <w:bottom w:val="single" w:color="auto" w:sz="4" w:space="0"/>
              <w:right w:val="single" w:color="auto" w:sz="8" w:space="0"/>
            </w:tcBorders>
            <w:tcMar>
              <w:top w:w="0" w:type="dxa"/>
              <w:left w:w="57" w:type="dxa"/>
              <w:bottom w:w="0" w:type="dxa"/>
              <w:right w:w="57" w:type="dxa"/>
            </w:tcMar>
            <w:vAlign w:val="center"/>
          </w:tcPr>
          <w:p w14:paraId="20E3A2C6">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4" w:space="0"/>
              <w:right w:val="single" w:color="auto" w:sz="8" w:space="0"/>
            </w:tcBorders>
            <w:tcMar>
              <w:top w:w="0" w:type="dxa"/>
              <w:left w:w="57" w:type="dxa"/>
              <w:bottom w:w="0" w:type="dxa"/>
              <w:right w:w="57" w:type="dxa"/>
            </w:tcMar>
            <w:vAlign w:val="center"/>
          </w:tcPr>
          <w:p w14:paraId="5A485C6C">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6DD93059">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05DDBED9">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6936CD2B">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5D560250">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top"/>
          </w:tcPr>
          <w:p w14:paraId="0E2B0877">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6BC02954">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inset" w:color="auto" w:sz="8" w:space="0"/>
              <w:right w:val="single" w:color="auto" w:sz="8" w:space="0"/>
            </w:tcBorders>
            <w:vAlign w:val="center"/>
          </w:tcPr>
          <w:p w14:paraId="318F2191">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4164" w:type="dxa"/>
            <w:gridSpan w:val="2"/>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1F7D864B">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34B81AC0">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133CC5AC">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233A483">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DF11427">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820E14D">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3F7D223">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1E04FFF6">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16AA4FB8">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6723EB8B">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27B6893B">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765545F3">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2FBE611">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E3D1CF9">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99F16B9">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FA84A9E">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052BE26E">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bl>
    <w:p w14:paraId="4BAAF60B">
      <w:pPr>
        <w:keepNext w:val="0"/>
        <w:keepLines w:val="0"/>
        <w:pageBreakBefore w:val="0"/>
        <w:widowControl/>
        <w:shd w:val="clear" w:color="auto"/>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auto"/>
          <w:sz w:val="24"/>
          <w:szCs w:val="24"/>
        </w:rPr>
      </w:pPr>
    </w:p>
    <w:p w14:paraId="066E8757">
      <w:pPr>
        <w:keepNext w:val="0"/>
        <w:keepLines w:val="0"/>
        <w:pageBreakBefore w:val="0"/>
        <w:widowControl/>
        <w:shd w:val="clear" w:color="auto"/>
        <w:kinsoku/>
        <w:wordWrap/>
        <w:overflowPunct/>
        <w:topLinePunct w:val="0"/>
        <w:autoSpaceDE/>
        <w:autoSpaceDN/>
        <w:bidi w:val="0"/>
        <w:adjustRightInd/>
        <w:snapToGrid/>
        <w:spacing w:line="560" w:lineRule="exact"/>
        <w:ind w:firstLine="480"/>
        <w:textAlignment w:val="auto"/>
        <w:rPr>
          <w:rFonts w:hint="eastAsia" w:ascii="宋体" w:hAnsi="宋体" w:eastAsia="宋体" w:cs="宋体"/>
          <w:snapToGrid/>
          <w:color w:val="auto"/>
          <w:sz w:val="24"/>
          <w:szCs w:val="24"/>
        </w:rPr>
      </w:pPr>
      <w:r>
        <w:rPr>
          <w:rFonts w:hint="eastAsia" w:ascii="黑体" w:hAnsi="黑体" w:eastAsia="黑体" w:cs="宋体"/>
          <w:b w:val="0"/>
          <w:bCs w:val="0"/>
          <w:snapToGrid/>
          <w:color w:val="auto"/>
          <w:szCs w:val="32"/>
        </w:rPr>
        <w:t>四、政府信息公开行政复议、行政诉讼情况</w:t>
      </w:r>
    </w:p>
    <w:tbl>
      <w:tblPr>
        <w:tblStyle w:val="8"/>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51FF777C">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723F4AD">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97025B2">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行政诉讼</w:t>
            </w:r>
          </w:p>
        </w:tc>
      </w:tr>
      <w:tr w14:paraId="3EA6C7C8">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5CCF89">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28826A9">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E8CF635">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其他</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539F83A">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尚未</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DB950F5">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E071F9B">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B24BB7D">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复议后起诉</w:t>
            </w:r>
          </w:p>
        </w:tc>
      </w:tr>
      <w:tr w14:paraId="752D18AA">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2C8C95E2">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14:paraId="5CB7F828">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5545C62A">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50DC3E7F">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015E488D">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E21C9CF">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BD3B242">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3FFD150">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其他</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3205164">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尚未</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A923C45">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992D929">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DDF54CB">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861815B">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其他</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9587D32">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尚未</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67625EC">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总计</w:t>
            </w:r>
          </w:p>
        </w:tc>
      </w:tr>
      <w:tr w14:paraId="1D7E248F">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0E3C7D7">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3E08A99">
            <w:pPr>
              <w:widowControl/>
              <w:shd w:val="clear"/>
              <w:autoSpaceDE/>
              <w:autoSpaceDN/>
              <w:snapToGrid/>
              <w:spacing w:line="240" w:lineRule="auto"/>
              <w:ind w:firstLine="0"/>
              <w:jc w:val="center"/>
              <w:rPr>
                <w:rFonts w:hint="default"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95B924E">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 xml:space="preserve"> 0</w:t>
            </w:r>
            <w:r>
              <w:rPr>
                <w:rFonts w:hint="eastAsia" w:ascii="宋体" w:hAnsi="宋体" w:eastAsia="宋体" w:cs="宋体"/>
                <w:snapToGrid/>
                <w:color w:val="auto"/>
                <w:sz w:val="20"/>
              </w:rPr>
              <w:t> </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4A0F74A">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9C6C0D6">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8AD4BBE">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B3BB09F">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 xml:space="preserve"> 0</w:t>
            </w:r>
            <w:r>
              <w:rPr>
                <w:rFonts w:hint="eastAsia" w:ascii="宋体" w:hAnsi="宋体" w:eastAsia="宋体" w:cs="宋体"/>
                <w:snapToGrid/>
                <w:color w:val="auto"/>
                <w:sz w:val="20"/>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2526ECD">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 xml:space="preserve"> 0</w:t>
            </w:r>
            <w:r>
              <w:rPr>
                <w:rFonts w:hint="eastAsia" w:ascii="宋体" w:hAnsi="宋体" w:eastAsia="宋体" w:cs="宋体"/>
                <w:snapToGrid/>
                <w:color w:val="auto"/>
                <w:sz w:val="20"/>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D226D2C">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 xml:space="preserve"> 0</w:t>
            </w:r>
            <w:r>
              <w:rPr>
                <w:rFonts w:hint="eastAsia" w:ascii="宋体" w:hAnsi="宋体" w:eastAsia="宋体" w:cs="宋体"/>
                <w:snapToGrid/>
                <w:color w:val="auto"/>
                <w:sz w:val="20"/>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F6F0BB1">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 xml:space="preserve"> 0</w:t>
            </w:r>
            <w:r>
              <w:rPr>
                <w:rFonts w:hint="eastAsia" w:ascii="宋体" w:hAnsi="宋体" w:eastAsia="宋体" w:cs="宋体"/>
                <w:snapToGrid/>
                <w:color w:val="auto"/>
                <w:sz w:val="20"/>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1CE826D">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 xml:space="preserve"> 0</w:t>
            </w:r>
            <w:r>
              <w:rPr>
                <w:rFonts w:hint="eastAsia" w:ascii="宋体" w:hAnsi="宋体" w:eastAsia="宋体" w:cs="宋体"/>
                <w:snapToGrid/>
                <w:color w:val="auto"/>
                <w:sz w:val="20"/>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2568D29">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 xml:space="preserve"> 0</w:t>
            </w:r>
            <w:r>
              <w:rPr>
                <w:rFonts w:hint="eastAsia" w:ascii="宋体" w:hAnsi="宋体" w:eastAsia="宋体" w:cs="宋体"/>
                <w:snapToGrid/>
                <w:color w:val="auto"/>
                <w:sz w:val="20"/>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E42E838">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EEB95AD">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 xml:space="preserve"> 0</w:t>
            </w:r>
            <w:r>
              <w:rPr>
                <w:rFonts w:hint="eastAsia" w:ascii="宋体" w:hAnsi="宋体" w:eastAsia="宋体" w:cs="宋体"/>
                <w:snapToGrid/>
                <w:color w:val="auto"/>
                <w:sz w:val="20"/>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81B0C25">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bl>
    <w:p w14:paraId="67A9F8FE">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宋体"/>
          <w:b w:val="0"/>
          <w:bCs w:val="0"/>
          <w:snapToGrid/>
          <w:color w:val="auto"/>
          <w:szCs w:val="32"/>
        </w:rPr>
      </w:pPr>
    </w:p>
    <w:p w14:paraId="088DC2C1">
      <w:pPr>
        <w:keepNext w:val="0"/>
        <w:keepLines w:val="0"/>
        <w:pageBreakBefore w:val="0"/>
        <w:widowControl/>
        <w:shd w:val="clear" w:color="auto"/>
        <w:kinsoku/>
        <w:wordWrap/>
        <w:overflowPunct/>
        <w:topLinePunct w:val="0"/>
        <w:autoSpaceDE/>
        <w:autoSpaceDN/>
        <w:bidi w:val="0"/>
        <w:adjustRightInd/>
        <w:snapToGrid/>
        <w:spacing w:line="560" w:lineRule="exact"/>
        <w:ind w:firstLine="480"/>
        <w:textAlignment w:val="auto"/>
        <w:rPr>
          <w:rFonts w:ascii="黑体" w:hAnsi="黑体" w:eastAsia="黑体" w:cs="宋体"/>
          <w:b w:val="0"/>
          <w:bCs w:val="0"/>
          <w:snapToGrid/>
          <w:color w:val="auto"/>
          <w:szCs w:val="32"/>
        </w:rPr>
      </w:pPr>
      <w:r>
        <w:rPr>
          <w:rFonts w:hint="eastAsia" w:ascii="黑体" w:hAnsi="黑体" w:eastAsia="黑体" w:cs="宋体"/>
          <w:b w:val="0"/>
          <w:bCs w:val="0"/>
          <w:snapToGrid/>
          <w:color w:val="auto"/>
          <w:szCs w:val="32"/>
        </w:rPr>
        <w:t>五、存在的主要问题及改进情况</w:t>
      </w:r>
    </w:p>
    <w:p w14:paraId="68DFF49F">
      <w:pPr>
        <w:keepNext w:val="0"/>
        <w:keepLines w:val="0"/>
        <w:pageBreakBefore w:val="0"/>
        <w:widowControl/>
        <w:shd w:val="clear" w:color="auto"/>
        <w:kinsoku/>
        <w:wordWrap/>
        <w:overflowPunct/>
        <w:topLinePunct w:val="0"/>
        <w:autoSpaceDE/>
        <w:autoSpaceDN/>
        <w:bidi w:val="0"/>
        <w:adjustRightInd/>
        <w:snapToGrid/>
        <w:spacing w:line="560" w:lineRule="exact"/>
        <w:ind w:firstLine="480"/>
        <w:textAlignment w:val="auto"/>
        <w:rPr>
          <w:rFonts w:hint="eastAsia" w:ascii="Times New Roman" w:hAnsi="Times New Roman" w:eastAsia="仿宋_GB2312" w:cs="宋体"/>
          <w:b w:val="0"/>
          <w:bCs w:val="0"/>
          <w:snapToGrid/>
          <w:color w:val="auto"/>
          <w:sz w:val="32"/>
          <w:szCs w:val="32"/>
        </w:rPr>
      </w:pPr>
      <w:r>
        <w:rPr>
          <w:rFonts w:hint="eastAsia" w:ascii="Times New Roman" w:hAnsi="Times New Roman" w:eastAsia="仿宋_GB2312" w:cs="宋体"/>
          <w:b w:val="0"/>
          <w:bCs w:val="0"/>
          <w:snapToGrid/>
          <w:color w:val="auto"/>
          <w:sz w:val="32"/>
          <w:szCs w:val="32"/>
          <w:lang w:val="en-US" w:eastAsia="zh-CN"/>
        </w:rPr>
        <w:t>信息公开工作进一步提高了我局干部全心全意为人民服务意识,同时，增强了机关依法行政的透明度，让更多群众了解我们，我们可以更好的服务群众，帮助群众解决问题。但我们认为仍然存在许多不足之处，主要表现在：</w:t>
      </w:r>
    </w:p>
    <w:p w14:paraId="5324D940">
      <w:pPr>
        <w:keepNext w:val="0"/>
        <w:keepLines w:val="0"/>
        <w:pageBreakBefore w:val="0"/>
        <w:widowControl/>
        <w:shd w:val="clear" w:color="auto"/>
        <w:kinsoku/>
        <w:wordWrap/>
        <w:overflowPunct/>
        <w:topLinePunct w:val="0"/>
        <w:autoSpaceDE/>
        <w:autoSpaceDN/>
        <w:bidi w:val="0"/>
        <w:adjustRightInd/>
        <w:snapToGrid/>
        <w:spacing w:line="560" w:lineRule="exact"/>
        <w:ind w:firstLine="480"/>
        <w:textAlignment w:val="auto"/>
        <w:rPr>
          <w:rFonts w:hint="eastAsia" w:ascii="Times New Roman" w:hAnsi="Times New Roman" w:eastAsia="仿宋_GB2312" w:cs="宋体"/>
          <w:b w:val="0"/>
          <w:bCs w:val="0"/>
          <w:snapToGrid/>
          <w:color w:val="auto"/>
          <w:sz w:val="32"/>
          <w:szCs w:val="32"/>
        </w:rPr>
      </w:pPr>
      <w:r>
        <w:rPr>
          <w:rFonts w:hint="eastAsia" w:ascii="Times New Roman" w:hAnsi="Times New Roman" w:eastAsia="仿宋_GB2312" w:cs="宋体"/>
          <w:b w:val="0"/>
          <w:bCs w:val="0"/>
          <w:snapToGrid/>
          <w:color w:val="auto"/>
          <w:sz w:val="32"/>
          <w:szCs w:val="32"/>
          <w:lang w:val="en-US" w:eastAsia="zh-CN"/>
        </w:rPr>
        <w:t>（一）主要困难和问题。政务公开的内容不够丰富，比较单一，有待拓宽政务公开信息内容的深度与广度。</w:t>
      </w:r>
    </w:p>
    <w:p w14:paraId="2A3497D0">
      <w:pPr>
        <w:keepNext w:val="0"/>
        <w:keepLines w:val="0"/>
        <w:pageBreakBefore w:val="0"/>
        <w:widowControl/>
        <w:shd w:val="clear" w:color="auto"/>
        <w:kinsoku/>
        <w:wordWrap/>
        <w:overflowPunct/>
        <w:topLinePunct w:val="0"/>
        <w:autoSpaceDE/>
        <w:autoSpaceDN/>
        <w:bidi w:val="0"/>
        <w:adjustRightInd/>
        <w:snapToGrid/>
        <w:spacing w:line="560" w:lineRule="exact"/>
        <w:ind w:firstLine="480"/>
        <w:textAlignment w:val="auto"/>
        <w:rPr>
          <w:rFonts w:hint="eastAsia" w:ascii="Times New Roman" w:hAnsi="Times New Roman" w:eastAsia="仿宋_GB2312" w:cs="宋体"/>
          <w:b w:val="0"/>
          <w:bCs w:val="0"/>
          <w:snapToGrid/>
          <w:color w:val="auto"/>
          <w:sz w:val="32"/>
          <w:szCs w:val="32"/>
        </w:rPr>
      </w:pPr>
      <w:r>
        <w:rPr>
          <w:rFonts w:hint="eastAsia" w:ascii="Times New Roman" w:hAnsi="Times New Roman" w:eastAsia="仿宋_GB2312" w:cs="宋体"/>
          <w:b w:val="0"/>
          <w:bCs w:val="0"/>
          <w:snapToGrid/>
          <w:color w:val="auto"/>
          <w:sz w:val="32"/>
          <w:szCs w:val="32"/>
          <w:lang w:val="en-US" w:eastAsia="zh-CN"/>
        </w:rPr>
        <w:t>（二）改进措施。今后我局将提高学习力度，积极学习别的优秀单位政务公开信息内容。同时，提高自身的业务水平，丰富信息内容。</w:t>
      </w:r>
    </w:p>
    <w:p w14:paraId="5898CFEE">
      <w:pPr>
        <w:keepNext w:val="0"/>
        <w:keepLines w:val="0"/>
        <w:pageBreakBefore w:val="0"/>
        <w:widowControl/>
        <w:shd w:val="clear" w:color="auto"/>
        <w:kinsoku/>
        <w:wordWrap/>
        <w:overflowPunct/>
        <w:topLinePunct w:val="0"/>
        <w:autoSpaceDE/>
        <w:autoSpaceDN/>
        <w:bidi w:val="0"/>
        <w:adjustRightInd/>
        <w:snapToGrid/>
        <w:spacing w:line="560" w:lineRule="exact"/>
        <w:ind w:firstLine="480"/>
        <w:textAlignment w:val="auto"/>
        <w:rPr>
          <w:rFonts w:hint="eastAsia" w:ascii="黑体" w:hAnsi="黑体" w:eastAsia="黑体" w:cs="宋体"/>
          <w:b w:val="0"/>
          <w:bCs w:val="0"/>
          <w:snapToGrid/>
          <w:color w:val="auto"/>
          <w:szCs w:val="32"/>
        </w:rPr>
      </w:pPr>
      <w:r>
        <w:rPr>
          <w:rFonts w:hint="eastAsia" w:ascii="黑体" w:hAnsi="黑体" w:eastAsia="黑体" w:cs="宋体"/>
          <w:b w:val="0"/>
          <w:bCs w:val="0"/>
          <w:snapToGrid/>
          <w:color w:val="auto"/>
          <w:szCs w:val="32"/>
        </w:rPr>
        <w:t>六、其他需要报告的事项</w:t>
      </w:r>
    </w:p>
    <w:p w14:paraId="7F1C9251">
      <w:pPr>
        <w:keepNext w:val="0"/>
        <w:keepLines w:val="0"/>
        <w:pageBreakBefore w:val="0"/>
        <w:widowControl/>
        <w:shd w:val="clear" w:color="auto"/>
        <w:kinsoku/>
        <w:wordWrap/>
        <w:overflowPunct/>
        <w:topLinePunct w:val="0"/>
        <w:autoSpaceDE/>
        <w:autoSpaceDN/>
        <w:bidi w:val="0"/>
        <w:adjustRightInd/>
        <w:snapToGrid/>
        <w:spacing w:line="560" w:lineRule="exact"/>
        <w:ind w:firstLine="480"/>
        <w:textAlignment w:val="auto"/>
        <w:rPr>
          <w:rFonts w:hint="eastAsia" w:ascii="宋体" w:hAnsi="宋体" w:eastAsia="仿宋_GB2312" w:cs="宋体"/>
          <w:snapToGrid/>
          <w:color w:val="auto"/>
          <w:sz w:val="32"/>
          <w:szCs w:val="32"/>
          <w:lang w:val="en-US" w:eastAsia="zh-CN"/>
        </w:rPr>
      </w:pPr>
      <w:r>
        <w:rPr>
          <w:rFonts w:hint="eastAsia" w:ascii="宋体" w:hAnsi="宋体" w:eastAsia="仿宋_GB2312" w:cs="宋体"/>
          <w:snapToGrid/>
          <w:color w:val="auto"/>
          <w:sz w:val="32"/>
          <w:szCs w:val="32"/>
          <w:lang w:val="en-US" w:eastAsia="zh-CN"/>
        </w:rPr>
        <w:t>无</w:t>
      </w:r>
    </w:p>
    <w:p w14:paraId="29E36408">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仿宋_GB2312" w:cs="宋体"/>
          <w:snapToGrid/>
          <w:color w:val="auto"/>
          <w:sz w:val="32"/>
          <w:szCs w:val="32"/>
          <w:lang w:val="en-US" w:eastAsia="zh-CN"/>
        </w:rPr>
      </w:pPr>
    </w:p>
    <w:p w14:paraId="4B27096D">
      <w:pPr>
        <w:keepNext w:val="0"/>
        <w:keepLines w:val="0"/>
        <w:pageBreakBefore w:val="0"/>
        <w:widowControl/>
        <w:shd w:val="clear" w:color="auto"/>
        <w:kinsoku/>
        <w:wordWrap/>
        <w:overflowPunct/>
        <w:topLinePunct w:val="0"/>
        <w:autoSpaceDE/>
        <w:autoSpaceDN/>
        <w:bidi w:val="0"/>
        <w:adjustRightInd/>
        <w:snapToGrid/>
        <w:spacing w:line="560" w:lineRule="exact"/>
        <w:ind w:firstLine="480"/>
        <w:textAlignment w:val="auto"/>
        <w:rPr>
          <w:rFonts w:hint="eastAsia" w:ascii="宋体" w:hAnsi="宋体" w:eastAsia="仿宋_GB2312" w:cs="宋体"/>
          <w:snapToGrid/>
          <w:color w:val="auto"/>
          <w:sz w:val="32"/>
          <w:szCs w:val="32"/>
          <w:lang w:val="en-US" w:eastAsia="zh-CN"/>
        </w:rPr>
      </w:pPr>
    </w:p>
    <w:p w14:paraId="6D480B42">
      <w:pPr>
        <w:keepNext w:val="0"/>
        <w:keepLines w:val="0"/>
        <w:pageBreakBefore w:val="0"/>
        <w:widowControl/>
        <w:shd w:val="clear" w:color="auto"/>
        <w:kinsoku/>
        <w:wordWrap w:val="0"/>
        <w:overflowPunct/>
        <w:topLinePunct w:val="0"/>
        <w:autoSpaceDE/>
        <w:autoSpaceDN/>
        <w:bidi w:val="0"/>
        <w:adjustRightInd/>
        <w:snapToGrid/>
        <w:spacing w:line="560" w:lineRule="exact"/>
        <w:ind w:firstLine="480"/>
        <w:jc w:val="right"/>
        <w:textAlignment w:val="auto"/>
        <w:rPr>
          <w:rFonts w:hint="default" w:ascii="宋体" w:hAnsi="宋体" w:eastAsia="仿宋_GB2312" w:cs="宋体"/>
          <w:snapToGrid/>
          <w:color w:val="auto"/>
          <w:sz w:val="32"/>
          <w:szCs w:val="32"/>
          <w:lang w:val="en-US" w:eastAsia="zh-CN"/>
        </w:rPr>
      </w:pPr>
    </w:p>
    <w:sectPr>
      <w:headerReference r:id="rId5" w:type="default"/>
      <w:footerReference r:id="rId6" w:type="default"/>
      <w:pgSz w:w="11906" w:h="16838"/>
      <w:pgMar w:top="2098" w:right="1587" w:bottom="2098" w:left="1587" w:header="850" w:footer="1701" w:gutter="0"/>
      <w:paperSrc w:first="2" w:other="2"/>
      <w:pgNumType w:fmt="decimal"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script"/>
    <w:pitch w:val="default"/>
    <w:sig w:usb0="00000000" w:usb1="00000000" w:usb2="00000000" w:usb3="00000000" w:csb0="00040000" w:csb1="00000000"/>
  </w:font>
  <w:font w:name="汉鼎简大宋">
    <w:altName w:val="微软雅黑"/>
    <w:panose1 w:val="00000000000000000000"/>
    <w:charset w:val="86"/>
    <w:family w:val="modern"/>
    <w:pitch w:val="default"/>
    <w:sig w:usb0="00000000" w:usb1="00000000" w:usb2="0000001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E57A6">
    <w:pPr>
      <w:pStyle w:val="5"/>
      <w:rPr>
        <w:rFonts w:hint="eastAsia"/>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0A7859">
                          <w:pPr>
                            <w:pStyle w:val="5"/>
                          </w:pPr>
                          <w:r>
                            <w:rPr>
                              <w:rFonts w:hint="eastAsia" w:ascii="宋体" w:hAnsi="宋体" w:eastAsia="宋体" w:cs="宋体"/>
                            </w:rPr>
                            <w:t>－</w:t>
                          </w:r>
                          <w:r>
                            <w:rPr>
                              <w:rFonts w:hint="eastAsia" w:eastAsia="宋体"/>
                              <w:lang w:val="en-US" w:eastAsia="zh-CN"/>
                            </w:rPr>
                            <w:t xml:space="preserve"> </w:t>
                          </w:r>
                          <w:r>
                            <w:fldChar w:fldCharType="begin"/>
                          </w:r>
                          <w:r>
                            <w:rPr>
                              <w:rStyle w:val="11"/>
                            </w:rPr>
                            <w:instrText xml:space="preserve"> PAGE </w:instrText>
                          </w:r>
                          <w:r>
                            <w:fldChar w:fldCharType="separate"/>
                          </w:r>
                          <w:r>
                            <w:rPr>
                              <w:rStyle w:val="11"/>
                            </w:rPr>
                            <w:t>1</w:t>
                          </w:r>
                          <w:r>
                            <w:fldChar w:fldCharType="end"/>
                          </w:r>
                          <w:r>
                            <w:rPr>
                              <w:rFonts w:hint="eastAsia"/>
                              <w:lang w:val="en-US" w:eastAsia="zh-CN"/>
                            </w:rPr>
                            <w:t xml:space="preserve"> </w:t>
                          </w:r>
                          <w:r>
                            <w:rPr>
                              <w:rFonts w:hint="eastAsia" w:ascii="宋体" w:hAnsi="宋体" w:eastAsia="宋体" w:cs="宋体"/>
                              <w:lang w:val="en-US" w:eastAsia="zh-CN"/>
                            </w:rPr>
                            <w:t>－</w:t>
                          </w:r>
                          <w:r>
                            <w:rPr>
                              <w:rStyle w:val="11"/>
                              <w:rFonts w:hint="eastAsi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0A7859">
                    <w:pPr>
                      <w:pStyle w:val="5"/>
                    </w:pPr>
                    <w:r>
                      <w:rPr>
                        <w:rFonts w:hint="eastAsia" w:ascii="宋体" w:hAnsi="宋体" w:eastAsia="宋体" w:cs="宋体"/>
                      </w:rPr>
                      <w:t>－</w:t>
                    </w:r>
                    <w:r>
                      <w:rPr>
                        <w:rFonts w:hint="eastAsia" w:eastAsia="宋体"/>
                        <w:lang w:val="en-US" w:eastAsia="zh-CN"/>
                      </w:rPr>
                      <w:t xml:space="preserve"> </w:t>
                    </w:r>
                    <w:r>
                      <w:fldChar w:fldCharType="begin"/>
                    </w:r>
                    <w:r>
                      <w:rPr>
                        <w:rStyle w:val="11"/>
                      </w:rPr>
                      <w:instrText xml:space="preserve"> PAGE </w:instrText>
                    </w:r>
                    <w:r>
                      <w:fldChar w:fldCharType="separate"/>
                    </w:r>
                    <w:r>
                      <w:rPr>
                        <w:rStyle w:val="11"/>
                      </w:rPr>
                      <w:t>1</w:t>
                    </w:r>
                    <w:r>
                      <w:fldChar w:fldCharType="end"/>
                    </w:r>
                    <w:r>
                      <w:rPr>
                        <w:rFonts w:hint="eastAsia"/>
                        <w:lang w:val="en-US" w:eastAsia="zh-CN"/>
                      </w:rPr>
                      <w:t xml:space="preserve"> </w:t>
                    </w:r>
                    <w:r>
                      <w:rPr>
                        <w:rFonts w:hint="eastAsia" w:ascii="宋体" w:hAnsi="宋体" w:eastAsia="宋体" w:cs="宋体"/>
                        <w:lang w:val="en-US" w:eastAsia="zh-CN"/>
                      </w:rPr>
                      <w:t>－</w:t>
                    </w:r>
                    <w:r>
                      <w:rPr>
                        <w:rStyle w:val="11"/>
                        <w:rFonts w:hint="eastAsia"/>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11930">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drawingGridHorizontalSpacing w:val="315"/>
  <w:drawingGridVerticalSpacing w:val="29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yNWE1Y2M5MjI3MGNjMTg5OTQxNWU3Zjc4YWE0MzAifQ=="/>
  </w:docVars>
  <w:rsids>
    <w:rsidRoot w:val="00F67443"/>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5CE4EAA"/>
    <w:rsid w:val="0DC34D4B"/>
    <w:rsid w:val="108D6B56"/>
    <w:rsid w:val="11150CB2"/>
    <w:rsid w:val="11740211"/>
    <w:rsid w:val="2C087BF6"/>
    <w:rsid w:val="2E4732D5"/>
    <w:rsid w:val="30C218B7"/>
    <w:rsid w:val="3147651D"/>
    <w:rsid w:val="3BA713D3"/>
    <w:rsid w:val="47E367B3"/>
    <w:rsid w:val="4B396F4C"/>
    <w:rsid w:val="4DDA1757"/>
    <w:rsid w:val="4ECC18DC"/>
    <w:rsid w:val="517745F9"/>
    <w:rsid w:val="562821F7"/>
    <w:rsid w:val="5FD7D325"/>
    <w:rsid w:val="65693AD9"/>
    <w:rsid w:val="667F5AA4"/>
    <w:rsid w:val="6AA04060"/>
    <w:rsid w:val="6FCB19B0"/>
    <w:rsid w:val="79982AFB"/>
    <w:rsid w:val="7F1F151B"/>
    <w:rsid w:val="7FEE5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9">
    <w:name w:val="Default Paragraph Font"/>
    <w:link w:val="10"/>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snapToGrid/>
      <w:ind w:firstLine="0"/>
      <w:jc w:val="left"/>
    </w:pPr>
    <w:rPr>
      <w:spacing w:val="-25"/>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pacing w:line="400" w:lineRule="atLeast"/>
      <w:ind w:firstLine="0"/>
      <w:jc w:val="center"/>
    </w:pPr>
    <w:rPr>
      <w:sz w:val="28"/>
    </w:rPr>
  </w:style>
  <w:style w:type="paragraph" w:styleId="6">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7">
    <w:name w:val="Normal (Web)"/>
    <w:basedOn w:val="1"/>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customStyle="1" w:styleId="10">
    <w:name w:val="_Style 24"/>
    <w:basedOn w:val="1"/>
    <w:link w:val="9"/>
    <w:qFormat/>
    <w:uiPriority w:val="0"/>
    <w:pPr>
      <w:autoSpaceDE/>
      <w:autoSpaceDN/>
      <w:snapToGrid/>
      <w:spacing w:line="240" w:lineRule="auto"/>
      <w:ind w:firstLine="0"/>
    </w:pPr>
    <w:rPr>
      <w:rFonts w:eastAsia="宋体"/>
      <w:snapToGrid/>
      <w:kern w:val="2"/>
      <w:sz w:val="21"/>
      <w:szCs w:val="32"/>
    </w:rPr>
  </w:style>
  <w:style w:type="character" w:styleId="11">
    <w:name w:val="page number"/>
    <w:basedOn w:val="9"/>
    <w:qFormat/>
    <w:uiPriority w:val="0"/>
  </w:style>
  <w:style w:type="character" w:customStyle="1" w:styleId="12">
    <w:name w:val="articlebody"/>
    <w:basedOn w:val="9"/>
    <w:qFormat/>
    <w:uiPriority w:val="0"/>
  </w:style>
  <w:style w:type="paragraph" w:customStyle="1" w:styleId="13">
    <w:name w:val="抄送栏"/>
    <w:basedOn w:val="1"/>
    <w:qFormat/>
    <w:uiPriority w:val="0"/>
    <w:pPr>
      <w:adjustRightInd w:val="0"/>
      <w:snapToGrid/>
      <w:spacing w:line="454" w:lineRule="atLeast"/>
      <w:ind w:left="1310" w:right="357" w:hanging="953"/>
    </w:pPr>
  </w:style>
  <w:style w:type="paragraph" w:customStyle="1" w:styleId="14">
    <w:name w:val="印数"/>
    <w:basedOn w:val="15"/>
    <w:qFormat/>
    <w:uiPriority w:val="0"/>
    <w:pPr>
      <w:tabs>
        <w:tab w:val="right" w:pos="8465"/>
      </w:tabs>
      <w:spacing w:line="400" w:lineRule="atLeast"/>
      <w:jc w:val="right"/>
    </w:pPr>
  </w:style>
  <w:style w:type="paragraph" w:customStyle="1" w:styleId="15">
    <w:name w:val="印发栏"/>
    <w:basedOn w:val="3"/>
    <w:qFormat/>
    <w:uiPriority w:val="0"/>
    <w:pPr>
      <w:tabs>
        <w:tab w:val="right" w:pos="8465"/>
      </w:tabs>
      <w:spacing w:line="454" w:lineRule="atLeast"/>
      <w:ind w:left="357" w:right="357"/>
    </w:pPr>
    <w:rPr>
      <w:spacing w:val="0"/>
    </w:rPr>
  </w:style>
  <w:style w:type="paragraph" w:customStyle="1" w:styleId="16">
    <w:name w:val="主题词"/>
    <w:basedOn w:val="1"/>
    <w:qFormat/>
    <w:uiPriority w:val="0"/>
    <w:pPr>
      <w:adjustRightInd w:val="0"/>
      <w:snapToGrid/>
      <w:spacing w:line="240" w:lineRule="atLeast"/>
      <w:ind w:firstLine="0"/>
      <w:jc w:val="left"/>
    </w:pPr>
    <w:rPr>
      <w:rFonts w:ascii="宋体" w:eastAsia="宋体"/>
      <w:b/>
    </w:rPr>
  </w:style>
  <w:style w:type="paragraph" w:customStyle="1" w:styleId="17">
    <w:name w:val="线型"/>
    <w:basedOn w:val="13"/>
    <w:qFormat/>
    <w:uiPriority w:val="0"/>
    <w:pPr>
      <w:spacing w:line="240" w:lineRule="auto"/>
      <w:ind w:left="0" w:firstLine="0"/>
      <w:jc w:val="center"/>
    </w:pPr>
    <w:rPr>
      <w:sz w:val="21"/>
    </w:rPr>
  </w:style>
  <w:style w:type="paragraph" w:customStyle="1" w:styleId="18">
    <w:name w:val="默认段落字体 Para Char Char Char Char"/>
    <w:basedOn w:val="1"/>
    <w:qFormat/>
    <w:uiPriority w:val="0"/>
    <w:pPr>
      <w:autoSpaceDE/>
      <w:autoSpaceDN/>
      <w:snapToGrid/>
      <w:spacing w:line="240" w:lineRule="auto"/>
      <w:ind w:firstLine="0"/>
    </w:pPr>
    <w:rPr>
      <w:rFonts w:eastAsia="宋体"/>
      <w:snapToGrid/>
      <w:kern w:val="2"/>
      <w:sz w:val="24"/>
      <w:szCs w:val="24"/>
    </w:rPr>
  </w:style>
  <w:style w:type="paragraph" w:customStyle="1" w:styleId="19">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20">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1">
    <w:name w:val=" Char"/>
    <w:basedOn w:val="1"/>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2">
    <w:name w:val="紧急程度"/>
    <w:basedOn w:val="23"/>
    <w:qFormat/>
    <w:uiPriority w:val="0"/>
    <w:pPr>
      <w:overflowPunct w:val="0"/>
    </w:pPr>
    <w:rPr>
      <w:sz w:val="32"/>
    </w:rPr>
  </w:style>
  <w:style w:type="paragraph" w:customStyle="1" w:styleId="23">
    <w:name w:val="密级"/>
    <w:basedOn w:val="1"/>
    <w:qFormat/>
    <w:uiPriority w:val="0"/>
    <w:pPr>
      <w:adjustRightInd w:val="0"/>
      <w:spacing w:line="440" w:lineRule="atLeast"/>
      <w:ind w:firstLine="0"/>
      <w:jc w:val="right"/>
    </w:pPr>
    <w:rPr>
      <w:rFonts w:ascii="黑体" w:eastAsia="黑体"/>
      <w:sz w:val="30"/>
    </w:rPr>
  </w:style>
  <w:style w:type="paragraph" w:customStyle="1" w:styleId="24">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5">
    <w:name w:val="样式1"/>
    <w:basedOn w:val="1"/>
    <w:qFormat/>
    <w:uiPriority w:val="0"/>
  </w:style>
  <w:style w:type="paragraph" w:customStyle="1" w:styleId="26">
    <w:name w:val="标题2"/>
    <w:basedOn w:val="1"/>
    <w:next w:val="1"/>
    <w:qFormat/>
    <w:uiPriority w:val="0"/>
    <w:pPr>
      <w:ind w:firstLine="0"/>
      <w:jc w:val="center"/>
    </w:pPr>
    <w:rPr>
      <w:rFonts w:eastAsia="方正楷体_GBK"/>
    </w:rPr>
  </w:style>
  <w:style w:type="paragraph" w:customStyle="1" w:styleId="27">
    <w:name w:val="附件栏"/>
    <w:basedOn w:val="1"/>
    <w:qFormat/>
    <w:uiPriority w:val="0"/>
  </w:style>
  <w:style w:type="paragraph" w:customStyle="1" w:styleId="28">
    <w:name w:val="标题3"/>
    <w:basedOn w:val="1"/>
    <w:next w:val="1"/>
    <w:qFormat/>
    <w:uiPriority w:val="0"/>
    <w:rPr>
      <w:rFonts w:eastAsia="方正黑体_GBK"/>
    </w:rPr>
  </w:style>
  <w:style w:type="paragraph" w:customStyle="1" w:styleId="29">
    <w:name w:val=" Char Char Char Char Char Char Char Char Char Char Char Char Char"/>
    <w:basedOn w:val="1"/>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1\C:\Users\use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公文模板.dot</Template>
  <Company>UQi.me</Company>
  <Pages>6</Pages>
  <Words>2739</Words>
  <Characters>2807</Characters>
  <Lines>34</Lines>
  <Paragraphs>9</Paragraphs>
  <TotalTime>18</TotalTime>
  <ScaleCrop>false</ScaleCrop>
  <LinksUpToDate>false</LinksUpToDate>
  <CharactersWithSpaces>2999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2021-09-29T14:22:00Z</dcterms:created>
  <dc:creator>user</dc:creator>
  <cp:lastModifiedBy>Echo</cp:lastModifiedBy>
  <cp:lastPrinted>2023-01-19T14:39:00Z</cp:lastPrinted>
  <dcterms:modified xsi:type="dcterms:W3CDTF">2025-02-05T02:08:49Z</dcterms:modified>
  <dc:title>苏政办发模板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DE93E9343EAEDBD42C8E3F64A92472D1</vt:lpwstr>
  </property>
  <property fmtid="{D5CDD505-2E9C-101B-9397-08002B2CF9AE}" pid="4" name="KSOTemplateDocerSaveRecord">
    <vt:lpwstr>eyJoZGlkIjoiNzU0MzM5YTcxMjcyZDNkMjY5MGQzM2I0YzQ1NTAzMTYiLCJ1c2VySWQiOiI0MDg1OTI2ODAifQ==</vt:lpwstr>
  </property>
</Properties>
</file>