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赣州经开区机关事务管理中心2023年</w:t>
      </w:r>
      <w:r>
        <w:rPr>
          <w:rFonts w:hint="eastAsia" w:ascii="方正小标宋简体" w:hAnsi="方正小标宋简体" w:eastAsia="方正小标宋简体" w:cs="方正小标宋简体"/>
          <w:b w:val="0"/>
          <w:bCs w:val="0"/>
          <w:snapToGrid/>
          <w:color w:val="auto"/>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宋体"/>
          <w:b w:val="0"/>
          <w:bCs w:val="0"/>
          <w:snapToGrid/>
          <w:color w:val="auto"/>
          <w:szCs w:val="32"/>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仿宋" w:hAnsi="仿宋" w:eastAsia="仿宋" w:cs="仿宋"/>
          <w:color w:val="auto"/>
          <w:sz w:val="32"/>
          <w:szCs w:val="20"/>
        </w:rPr>
      </w:pPr>
      <w:r>
        <w:rPr>
          <w:rFonts w:hint="eastAsia" w:ascii="仿宋" w:hAnsi="仿宋" w:eastAsia="仿宋" w:cs="仿宋"/>
          <w:color w:val="auto"/>
          <w:sz w:val="32"/>
          <w:szCs w:val="20"/>
          <w:lang w:val="en-US" w:eastAsia="zh-CN"/>
        </w:rPr>
        <w:t>本报告依据《中华人民共和国政府信息公开条例》（国务院令第711号，以下简称新《条例》）和</w:t>
      </w:r>
      <w:r>
        <w:rPr>
          <w:rFonts w:hint="eastAsia" w:ascii="仿宋" w:hAnsi="仿宋" w:eastAsia="仿宋" w:cs="仿宋"/>
          <w:color w:val="auto"/>
          <w:sz w:val="32"/>
          <w:szCs w:val="20"/>
        </w:rPr>
        <w:t>《国务院办公厅政府信息与政务公开办公室关于印发&lt;中华人民共和国政府信息公开工作年度报告格式&gt;的通知》（国办公开办函〔2021〕30号）</w:t>
      </w:r>
      <w:r>
        <w:rPr>
          <w:rFonts w:hint="eastAsia" w:ascii="仿宋" w:hAnsi="仿宋" w:eastAsia="仿宋" w:cs="仿宋"/>
          <w:color w:val="auto"/>
          <w:sz w:val="32"/>
          <w:szCs w:val="20"/>
          <w:lang w:val="en-US" w:eastAsia="zh-CN"/>
        </w:rPr>
        <w:t>要求，由赣州经开区机关事务管理中心结合有关统计数据编制。本年度报告中所列数据的统计期限自2023年1月1日起至2023年12月31日止。</w:t>
      </w:r>
      <w:r>
        <w:rPr>
          <w:rFonts w:hint="eastAsia" w:ascii="仿宋" w:hAnsi="仿宋" w:eastAsia="仿宋" w:cs="仿宋"/>
          <w:color w:val="auto"/>
          <w:sz w:val="32"/>
          <w:szCs w:val="20"/>
        </w:rPr>
        <w:t>全文包括总体情况、主动公开政府信息情况、收到和处理政府信息公开申请情况、政府信息公开行政复议行政诉讼情况、存在问题及改进情况、其他需要报告事项</w:t>
      </w:r>
      <w:r>
        <w:rPr>
          <w:rFonts w:hint="eastAsia" w:ascii="仿宋" w:hAnsi="仿宋" w:eastAsia="仿宋" w:cs="仿宋"/>
          <w:color w:val="auto"/>
          <w:sz w:val="32"/>
          <w:szCs w:val="20"/>
          <w:lang w:val="en-US" w:eastAsia="zh-CN"/>
        </w:rPr>
        <w:t>等六个部分</w:t>
      </w:r>
      <w:r>
        <w:rPr>
          <w:rFonts w:hint="eastAsia" w:ascii="仿宋" w:hAnsi="仿宋" w:eastAsia="仿宋" w:cs="仿宋"/>
          <w:color w:val="auto"/>
          <w:sz w:val="32"/>
          <w:szCs w:val="20"/>
        </w:rPr>
        <w:t>。本年度报告的电子版可以从赣州经</w:t>
      </w:r>
      <w:r>
        <w:rPr>
          <w:rFonts w:hint="eastAsia" w:ascii="仿宋" w:hAnsi="仿宋" w:eastAsia="仿宋" w:cs="仿宋"/>
          <w:color w:val="auto"/>
          <w:sz w:val="32"/>
          <w:szCs w:val="20"/>
          <w:lang w:val="en-US" w:eastAsia="zh-CN"/>
        </w:rPr>
        <w:t>开</w:t>
      </w:r>
      <w:r>
        <w:rPr>
          <w:rFonts w:hint="eastAsia" w:ascii="仿宋" w:hAnsi="仿宋" w:eastAsia="仿宋" w:cs="仿宋"/>
          <w:color w:val="auto"/>
          <w:sz w:val="32"/>
          <w:szCs w:val="20"/>
        </w:rPr>
        <w:t>区政府网站（http://gzjkq.ganzhou.gov.cn）下载。</w:t>
      </w:r>
      <w:r>
        <w:rPr>
          <w:rFonts w:hint="eastAsia" w:ascii="仿宋" w:hAnsi="仿宋" w:eastAsia="仿宋" w:cs="仿宋"/>
          <w:color w:val="auto"/>
          <w:sz w:val="32"/>
          <w:szCs w:val="20"/>
          <w:lang w:val="en-US" w:eastAsia="zh-CN"/>
        </w:rPr>
        <w:t>如对本报告有任何疑问，请与赣州经开区机关事务管理中心联系（地址：赣州经开区华坚南路69号行政中心6216室，电话：0797-8197569，邮编：341000）。</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黑体" w:hAnsi="黑体" w:eastAsia="黑体" w:cs="黑体"/>
          <w:color w:val="auto"/>
          <w:sz w:val="32"/>
          <w:szCs w:val="20"/>
          <w:lang w:val="en-US" w:eastAsia="zh-CN"/>
        </w:rPr>
      </w:pPr>
      <w:r>
        <w:rPr>
          <w:rFonts w:hint="eastAsia" w:ascii="黑体" w:hAnsi="黑体" w:eastAsia="黑体" w:cs="黑体"/>
          <w:color w:val="auto"/>
          <w:sz w:val="32"/>
          <w:szCs w:val="20"/>
          <w:lang w:val="en-US" w:eastAsia="zh-CN"/>
        </w:rPr>
        <w:t>一、总体情况</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仿宋" w:hAnsi="仿宋" w:eastAsia="仿宋" w:cs="仿宋"/>
          <w:color w:val="auto"/>
          <w:sz w:val="32"/>
          <w:szCs w:val="20"/>
          <w:lang w:val="en-US" w:eastAsia="zh-CN"/>
        </w:rPr>
      </w:pPr>
      <w:r>
        <w:rPr>
          <w:rFonts w:hint="eastAsia" w:ascii="仿宋" w:hAnsi="仿宋" w:eastAsia="仿宋" w:cs="仿宋"/>
          <w:color w:val="auto"/>
          <w:sz w:val="32"/>
          <w:szCs w:val="20"/>
        </w:rPr>
        <w:t>2023年，</w:t>
      </w:r>
      <w:r>
        <w:rPr>
          <w:rFonts w:hint="eastAsia" w:ascii="仿宋" w:hAnsi="仿宋" w:eastAsia="仿宋" w:cs="仿宋"/>
          <w:color w:val="auto"/>
          <w:sz w:val="32"/>
          <w:szCs w:val="20"/>
          <w:lang w:val="en-US" w:eastAsia="zh-CN"/>
        </w:rPr>
        <w:t>赣州经开区机关事务管理中心始终</w:t>
      </w:r>
      <w:r>
        <w:rPr>
          <w:rFonts w:hint="eastAsia" w:ascii="仿宋" w:hAnsi="仿宋" w:eastAsia="仿宋" w:cs="仿宋"/>
          <w:color w:val="auto"/>
          <w:sz w:val="32"/>
          <w:szCs w:val="20"/>
        </w:rPr>
        <w:t>以习近平新时代中国特色社会主义思想为指导，</w:t>
      </w:r>
      <w:r>
        <w:rPr>
          <w:rFonts w:hint="eastAsia" w:ascii="仿宋" w:hAnsi="仿宋" w:eastAsia="仿宋" w:cs="仿宋"/>
          <w:color w:val="auto"/>
          <w:sz w:val="32"/>
          <w:szCs w:val="20"/>
          <w:lang w:val="en-US" w:eastAsia="zh-CN"/>
        </w:rPr>
        <w:t>深入学习贯彻党的二十大精神和习近平总书记考察江西时的重要讲话精神，</w:t>
      </w:r>
      <w:r>
        <w:rPr>
          <w:rFonts w:hint="eastAsia" w:ascii="仿宋" w:hAnsi="仿宋" w:eastAsia="仿宋" w:cs="仿宋"/>
          <w:color w:val="auto"/>
          <w:sz w:val="32"/>
          <w:szCs w:val="20"/>
        </w:rPr>
        <w:t>践行以人民为中心的发展思想，坚持“公开为常态，不公开为例外”基本原则，紧扣机关事务工作特点，加大信息公开力度，规范信息公开内容，及时回应公众关切，着力提升信息公开质量和实效，切实保障人民群众的知情权、参与权、表达权、监督权。</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楷体" w:hAnsi="楷体" w:eastAsia="楷体" w:cs="楷体"/>
          <w:b/>
          <w:bCs/>
          <w:color w:val="auto"/>
          <w:sz w:val="32"/>
          <w:szCs w:val="20"/>
        </w:rPr>
      </w:pPr>
      <w:r>
        <w:rPr>
          <w:rFonts w:hint="eastAsia" w:ascii="楷体" w:hAnsi="楷体" w:eastAsia="楷体" w:cs="楷体"/>
          <w:b/>
          <w:bCs/>
          <w:color w:val="auto"/>
          <w:sz w:val="32"/>
          <w:szCs w:val="20"/>
          <w:lang w:val="en-US" w:eastAsia="zh-CN"/>
        </w:rPr>
        <w:t>（一）主动公开情况</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仿宋" w:hAnsi="仿宋" w:eastAsia="仿宋" w:cs="仿宋"/>
          <w:color w:val="auto"/>
          <w:sz w:val="32"/>
          <w:szCs w:val="20"/>
          <w:lang w:val="en-US" w:eastAsia="zh-CN"/>
        </w:rPr>
      </w:pPr>
      <w:r>
        <w:rPr>
          <w:rFonts w:hint="eastAsia" w:ascii="仿宋" w:hAnsi="仿宋" w:eastAsia="仿宋" w:cs="仿宋"/>
          <w:color w:val="auto"/>
          <w:sz w:val="32"/>
          <w:szCs w:val="20"/>
          <w:lang w:val="en-US" w:eastAsia="zh-CN"/>
        </w:rPr>
        <w:t>2023年，区机关事务管理中心主动公开政务信息69篇，其中，财政预决算2篇；政务动态62篇；部门文件5篇。</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楷体" w:hAnsi="楷体" w:eastAsia="楷体" w:cs="楷体"/>
          <w:b/>
          <w:bCs/>
          <w:color w:val="auto"/>
          <w:sz w:val="32"/>
          <w:szCs w:val="20"/>
          <w:lang w:val="en-US" w:eastAsia="zh-CN"/>
        </w:rPr>
      </w:pPr>
      <w:r>
        <w:rPr>
          <w:rFonts w:hint="eastAsia" w:ascii="楷体" w:hAnsi="楷体" w:eastAsia="楷体" w:cs="楷体"/>
          <w:b/>
          <w:bCs/>
          <w:color w:val="auto"/>
          <w:sz w:val="32"/>
          <w:szCs w:val="20"/>
          <w:lang w:val="en-US" w:eastAsia="zh-CN"/>
        </w:rPr>
        <w:t>（二）依申请公开情况</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仿宋" w:hAnsi="仿宋" w:eastAsia="仿宋" w:cs="仿宋"/>
          <w:color w:val="auto"/>
          <w:sz w:val="32"/>
          <w:szCs w:val="20"/>
          <w:lang w:val="en-US" w:eastAsia="zh-CN"/>
        </w:rPr>
      </w:pPr>
      <w:r>
        <w:rPr>
          <w:rFonts w:hint="eastAsia" w:ascii="仿宋" w:hAnsi="仿宋" w:eastAsia="仿宋" w:cs="仿宋"/>
          <w:color w:val="auto"/>
          <w:sz w:val="32"/>
          <w:szCs w:val="20"/>
        </w:rPr>
        <w:t>2023年度，</w:t>
      </w:r>
      <w:r>
        <w:rPr>
          <w:rFonts w:hint="eastAsia" w:ascii="仿宋" w:hAnsi="仿宋" w:eastAsia="仿宋" w:cs="仿宋"/>
          <w:color w:val="auto"/>
          <w:sz w:val="32"/>
          <w:szCs w:val="20"/>
          <w:lang w:val="en-US" w:eastAsia="zh-CN"/>
        </w:rPr>
        <w:t>区机关事务管理中心</w:t>
      </w:r>
      <w:r>
        <w:rPr>
          <w:rFonts w:hint="eastAsia" w:ascii="仿宋" w:hAnsi="仿宋" w:eastAsia="仿宋" w:cs="仿宋"/>
          <w:color w:val="auto"/>
          <w:sz w:val="32"/>
          <w:szCs w:val="20"/>
        </w:rPr>
        <w:t>未接到依申请公开办件，未因涉信息公开行政复议、行政诉讼被纠错。</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楷体" w:hAnsi="楷体" w:eastAsia="楷体" w:cs="楷体"/>
          <w:b/>
          <w:bCs/>
          <w:color w:val="auto"/>
          <w:sz w:val="32"/>
          <w:szCs w:val="20"/>
          <w:lang w:val="en-US" w:eastAsia="zh-CN"/>
        </w:rPr>
      </w:pPr>
      <w:r>
        <w:rPr>
          <w:rFonts w:hint="eastAsia" w:ascii="楷体" w:hAnsi="楷体" w:eastAsia="楷体" w:cs="楷体"/>
          <w:b/>
          <w:bCs/>
          <w:color w:val="auto"/>
          <w:sz w:val="32"/>
          <w:szCs w:val="20"/>
          <w:lang w:val="en-US" w:eastAsia="zh-CN"/>
        </w:rPr>
        <w:t>（三）政府信息管理情况</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仿宋" w:hAnsi="仿宋" w:eastAsia="仿宋" w:cs="仿宋"/>
          <w:color w:val="auto"/>
          <w:sz w:val="32"/>
          <w:szCs w:val="20"/>
          <w:lang w:val="en-US" w:eastAsia="zh-CN"/>
        </w:rPr>
      </w:pPr>
      <w:r>
        <w:rPr>
          <w:rFonts w:hint="eastAsia" w:ascii="仿宋" w:hAnsi="仿宋" w:eastAsia="仿宋" w:cs="仿宋"/>
          <w:color w:val="auto"/>
          <w:sz w:val="32"/>
          <w:szCs w:val="20"/>
          <w:lang w:val="en-US" w:eastAsia="zh-CN"/>
        </w:rPr>
        <w:t>区机关事务管理中心</w:t>
      </w:r>
      <w:r>
        <w:rPr>
          <w:rFonts w:hint="eastAsia" w:ascii="仿宋" w:hAnsi="仿宋" w:eastAsia="仿宋" w:cs="仿宋"/>
          <w:color w:val="auto"/>
          <w:sz w:val="32"/>
          <w:szCs w:val="20"/>
        </w:rPr>
        <w:t>按照上级部门有关政府信息公开的文件精神</w:t>
      </w:r>
      <w:r>
        <w:rPr>
          <w:rFonts w:hint="eastAsia" w:ascii="仿宋" w:hAnsi="仿宋" w:eastAsia="仿宋" w:cs="仿宋"/>
          <w:color w:val="auto"/>
          <w:sz w:val="32"/>
          <w:szCs w:val="20"/>
          <w:lang w:val="en-US" w:eastAsia="zh-CN"/>
        </w:rPr>
        <w:t>及</w:t>
      </w:r>
      <w:r>
        <w:rPr>
          <w:rFonts w:hint="eastAsia" w:ascii="仿宋" w:hAnsi="仿宋" w:eastAsia="仿宋" w:cs="仿宋"/>
          <w:color w:val="auto"/>
          <w:sz w:val="32"/>
          <w:szCs w:val="20"/>
        </w:rPr>
        <w:t>有关要求，严格执行信息发布“三审三校”制度，做好信息公开保密审查发布工作，保障信息公开工作依法、及时、准确、有序地开展。</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楷体" w:hAnsi="楷体" w:eastAsia="楷体" w:cs="楷体"/>
          <w:b/>
          <w:bCs/>
          <w:color w:val="auto"/>
          <w:sz w:val="32"/>
          <w:szCs w:val="20"/>
          <w:lang w:val="en-US" w:eastAsia="zh-CN"/>
        </w:rPr>
      </w:pPr>
      <w:r>
        <w:rPr>
          <w:rFonts w:hint="eastAsia" w:ascii="楷体" w:hAnsi="楷体" w:eastAsia="楷体" w:cs="楷体"/>
          <w:b/>
          <w:bCs/>
          <w:color w:val="auto"/>
          <w:sz w:val="32"/>
          <w:szCs w:val="20"/>
          <w:lang w:val="en-US" w:eastAsia="zh-CN"/>
        </w:rPr>
        <w:t>（四）政府信息公开平台建设情况</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仿宋" w:hAnsi="仿宋" w:eastAsia="仿宋" w:cs="仿宋"/>
          <w:color w:val="auto"/>
          <w:sz w:val="32"/>
          <w:szCs w:val="20"/>
          <w:lang w:val="en-US" w:eastAsia="zh-CN"/>
        </w:rPr>
      </w:pPr>
      <w:r>
        <w:rPr>
          <w:rFonts w:hint="eastAsia" w:ascii="仿宋" w:hAnsi="仿宋" w:eastAsia="仿宋" w:cs="仿宋"/>
          <w:color w:val="auto"/>
          <w:sz w:val="32"/>
          <w:szCs w:val="20"/>
          <w:lang w:val="en-US" w:eastAsia="zh-CN"/>
        </w:rPr>
        <w:t>进一步完善政府信息公开工作机制。在实际工作中，不断强化“主要领导亲自抓、分管领导具体抓”的工作机制，将责任明确到人。持续突出工作重点。在政府信息公开推进过程中务求实效，紧紧围绕中心工作，突出重点、创新形式，及时准确发布工作信息，不断提高政府信息公开工作水平。</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24"/>
        <w:textAlignment w:val="auto"/>
        <w:rPr>
          <w:rFonts w:hint="eastAsia" w:ascii="楷体" w:hAnsi="楷体" w:eastAsia="楷体" w:cs="楷体"/>
          <w:b/>
          <w:bCs/>
          <w:color w:val="auto"/>
          <w:sz w:val="32"/>
          <w:szCs w:val="20"/>
          <w:lang w:val="en-US" w:eastAsia="zh-CN"/>
        </w:rPr>
      </w:pPr>
      <w:r>
        <w:rPr>
          <w:rFonts w:hint="eastAsia" w:ascii="楷体" w:hAnsi="楷体" w:eastAsia="楷体" w:cs="楷体"/>
          <w:b/>
          <w:bCs/>
          <w:color w:val="auto"/>
          <w:sz w:val="32"/>
          <w:szCs w:val="20"/>
          <w:lang w:val="en-US" w:eastAsia="zh-CN"/>
        </w:rPr>
        <w:t>（五）监督保障情况</w:t>
      </w:r>
    </w:p>
    <w:p>
      <w:pPr>
        <w:keepNext w:val="0"/>
        <w:keepLines w:val="0"/>
        <w:pageBreakBefore w:val="0"/>
        <w:kinsoku/>
        <w:wordWrap/>
        <w:overflowPunct/>
        <w:topLinePunct w:val="0"/>
        <w:bidi w:val="0"/>
        <w:adjustRightInd/>
        <w:spacing w:line="560" w:lineRule="exact"/>
        <w:textAlignment w:val="auto"/>
        <w:rPr>
          <w:rFonts w:hint="eastAsia" w:ascii="仿宋" w:hAnsi="仿宋" w:eastAsia="仿宋" w:cs="仿宋"/>
          <w:i w:val="0"/>
          <w:iCs w:val="0"/>
          <w:caps w:val="0"/>
          <w:color w:val="auto"/>
          <w:spacing w:val="0"/>
          <w:sz w:val="32"/>
          <w:szCs w:val="32"/>
          <w:shd w:val="clear" w:fill="FFFFFF"/>
        </w:rPr>
      </w:pPr>
      <w:r>
        <w:rPr>
          <w:rFonts w:ascii="仿宋" w:hAnsi="仿宋" w:eastAsia="仿宋" w:cs="仿宋"/>
          <w:i w:val="0"/>
          <w:iCs w:val="0"/>
          <w:caps w:val="0"/>
          <w:color w:val="auto"/>
          <w:spacing w:val="0"/>
          <w:sz w:val="32"/>
          <w:szCs w:val="32"/>
          <w:shd w:val="clear" w:fill="FFFFFF"/>
        </w:rPr>
        <w:t>区机关事务管理中心</w:t>
      </w:r>
      <w:r>
        <w:rPr>
          <w:rFonts w:hint="eastAsia" w:ascii="仿宋" w:hAnsi="仿宋" w:eastAsia="仿宋" w:cs="仿宋"/>
          <w:i w:val="0"/>
          <w:iCs w:val="0"/>
          <w:caps w:val="0"/>
          <w:color w:val="auto"/>
          <w:spacing w:val="0"/>
          <w:sz w:val="32"/>
          <w:szCs w:val="32"/>
          <w:shd w:val="clear" w:fill="FFFFFF"/>
        </w:rPr>
        <w:t>成立了以主要领导为组长，分管领导为副组长，中心相关人员为成员的“政府信息公开与信息化报送工作领导小组”。领导小组下设办公室，分管领导小组办公室主任，具体负责政务公开与信息报送等工作。切实做到领导、机构、人员“三到位”，为政府信息公开工作长期有效的开展提供了有力的组织保障。</w:t>
      </w:r>
    </w:p>
    <w:p>
      <w:pPr>
        <w:keepNext w:val="0"/>
        <w:keepLines w:val="0"/>
        <w:pageBreakBefore w:val="0"/>
        <w:kinsoku/>
        <w:wordWrap/>
        <w:overflowPunct/>
        <w:topLinePunct w:val="0"/>
        <w:bidi w:val="0"/>
        <w:adjustRightInd/>
        <w:spacing w:line="560" w:lineRule="exact"/>
        <w:textAlignment w:val="auto"/>
        <w:rPr>
          <w:rFonts w:hint="eastAsia" w:ascii="仿宋" w:hAnsi="仿宋" w:eastAsia="仿宋" w:cs="仿宋"/>
          <w:i w:val="0"/>
          <w:iCs w:val="0"/>
          <w:caps w:val="0"/>
          <w:color w:val="auto"/>
          <w:spacing w:val="0"/>
          <w:sz w:val="32"/>
          <w:szCs w:val="32"/>
          <w:shd w:val="clear" w:fill="FFFFFF"/>
          <w:lang w:val="en-US" w:eastAsia="zh-CN"/>
        </w:rPr>
      </w:pPr>
      <w:bookmarkStart w:id="0" w:name="_GoBack"/>
      <w:bookmarkEnd w:id="0"/>
    </w:p>
    <w:p>
      <w:pPr>
        <w:keepNext w:val="0"/>
        <w:keepLines w:val="0"/>
        <w:pageBreakBefore w:val="0"/>
        <w:kinsoku/>
        <w:wordWrap/>
        <w:overflowPunct/>
        <w:topLinePunct w:val="0"/>
        <w:bidi w:val="0"/>
        <w:adjustRightInd/>
        <w:spacing w:line="560" w:lineRule="exact"/>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lang w:val="en-US" w:eastAsia="zh-CN"/>
        </w:rPr>
        <w:t>二、</w:t>
      </w:r>
      <w:r>
        <w:rPr>
          <w:rFonts w:hint="eastAsia" w:ascii="黑体" w:hAnsi="黑体" w:eastAsia="黑体" w:cs="宋体"/>
          <w:b w:val="0"/>
          <w:bCs w:val="0"/>
          <w:snapToGrid/>
          <w:color w:val="auto"/>
          <w:szCs w:val="32"/>
        </w:rPr>
        <w:t>主动公开政府信息情况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textAlignment w:val="auto"/>
        <w:rPr>
          <w:rFonts w:hint="eastAsia" w:ascii="黑体" w:hAnsi="黑体" w:eastAsia="黑体" w:cs="宋体"/>
          <w:b w:val="0"/>
          <w:bCs w:val="0"/>
          <w:snapToGrid/>
          <w:color w:val="auto"/>
          <w:szCs w:val="32"/>
        </w:rPr>
      </w:pP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auto"/>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color w:val="auto"/>
                <w:sz w:val="24"/>
                <w:szCs w:val="24"/>
                <w:lang w:val="en-US" w:eastAsia="zh-CN" w:bidi="ar-SA"/>
              </w:rPr>
            </w:pPr>
            <w:r>
              <w:rPr>
                <w:rFonts w:hint="eastAsia" w:ascii="Calibri" w:hAnsi="Calibri" w:eastAsia="宋体" w:cs="Calibri"/>
                <w:snapToGrid/>
                <w:color w:val="auto"/>
                <w:sz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rFonts w:ascii="宋体" w:hAnsi="宋体" w:eastAsia="宋体" w:cs="宋体"/>
                <w:snapToGrid/>
                <w:color w:val="auto"/>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auto"/>
              <w:rPr>
                <w:rFonts w:ascii="宋体" w:hAnsi="宋体" w:eastAsia="宋体" w:cs="宋体"/>
                <w:snapToGrid/>
                <w:color w:val="auto"/>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32" w:firstLineChars="20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pPr>
        <w:keepNext w:val="0"/>
        <w:keepLines w:val="0"/>
        <w:pageBreakBefore w:val="0"/>
        <w:kinsoku/>
        <w:wordWrap/>
        <w:overflowPunct/>
        <w:topLinePunct w:val="0"/>
        <w:bidi w:val="0"/>
        <w:adjustRightInd/>
        <w:spacing w:line="600" w:lineRule="exact"/>
        <w:textAlignment w:val="auto"/>
        <w:rPr>
          <w:rFonts w:hint="eastAsia" w:ascii="仿宋" w:hAnsi="仿宋" w:eastAsia="仿宋" w:cs="仿宋"/>
          <w:sz w:val="32"/>
          <w:szCs w:val="20"/>
          <w:lang w:val="en-US" w:eastAsia="zh-CN"/>
        </w:rPr>
      </w:pPr>
      <w:r>
        <w:rPr>
          <w:rFonts w:hint="eastAsia" w:ascii="仿宋" w:hAnsi="仿宋" w:eastAsia="仿宋" w:cs="仿宋"/>
          <w:sz w:val="32"/>
          <w:szCs w:val="20"/>
          <w:lang w:val="en-US" w:eastAsia="zh-CN"/>
        </w:rPr>
        <w:t>2023年，区机关事务管理中心政务信息公开工作虽取得一定成效，但仍有不足。主要体现在政务信息公开的数量、质量和时效性还有待提高，在相关</w:t>
      </w:r>
      <w:r>
        <w:rPr>
          <w:rFonts w:hint="eastAsia" w:ascii="仿宋" w:hAnsi="仿宋" w:eastAsia="仿宋" w:cs="仿宋"/>
          <w:sz w:val="32"/>
          <w:szCs w:val="20"/>
        </w:rPr>
        <w:t>政策文件解读形式和解读质量需改进</w:t>
      </w:r>
      <w:r>
        <w:rPr>
          <w:rFonts w:hint="eastAsia" w:ascii="仿宋" w:hAnsi="仿宋" w:eastAsia="仿宋" w:cs="仿宋"/>
          <w:sz w:val="32"/>
          <w:szCs w:val="20"/>
          <w:lang w:eastAsia="zh-CN"/>
        </w:rPr>
        <w:t>。</w:t>
      </w:r>
    </w:p>
    <w:p>
      <w:pPr>
        <w:keepNext w:val="0"/>
        <w:keepLines w:val="0"/>
        <w:pageBreakBefore w:val="0"/>
        <w:kinsoku/>
        <w:wordWrap/>
        <w:overflowPunct/>
        <w:topLinePunct w:val="0"/>
        <w:bidi w:val="0"/>
        <w:adjustRightInd/>
        <w:spacing w:line="600" w:lineRule="exact"/>
        <w:textAlignment w:val="auto"/>
        <w:rPr>
          <w:rFonts w:hint="eastAsia" w:ascii="仿宋" w:hAnsi="仿宋" w:eastAsia="仿宋" w:cs="仿宋"/>
          <w:sz w:val="32"/>
          <w:szCs w:val="20"/>
        </w:rPr>
      </w:pPr>
      <w:r>
        <w:rPr>
          <w:rFonts w:hint="eastAsia" w:ascii="仿宋" w:hAnsi="仿宋" w:eastAsia="仿宋" w:cs="仿宋"/>
          <w:sz w:val="32"/>
          <w:szCs w:val="20"/>
        </w:rPr>
        <w:t>202</w:t>
      </w:r>
      <w:r>
        <w:rPr>
          <w:rFonts w:hint="eastAsia" w:ascii="仿宋" w:hAnsi="仿宋" w:eastAsia="仿宋" w:cs="仿宋"/>
          <w:sz w:val="32"/>
          <w:szCs w:val="20"/>
          <w:lang w:val="en-US" w:eastAsia="zh-CN"/>
        </w:rPr>
        <w:t>4</w:t>
      </w:r>
      <w:r>
        <w:rPr>
          <w:rFonts w:hint="eastAsia" w:ascii="仿宋" w:hAnsi="仿宋" w:eastAsia="仿宋" w:cs="仿宋"/>
          <w:sz w:val="32"/>
          <w:szCs w:val="20"/>
        </w:rPr>
        <w:t>年，</w:t>
      </w:r>
      <w:r>
        <w:rPr>
          <w:rFonts w:hint="eastAsia" w:ascii="仿宋" w:hAnsi="仿宋" w:eastAsia="仿宋" w:cs="仿宋"/>
          <w:sz w:val="32"/>
          <w:szCs w:val="20"/>
          <w:lang w:val="en-US" w:eastAsia="zh-CN"/>
        </w:rPr>
        <w:t>区机关事务管理中心</w:t>
      </w:r>
      <w:r>
        <w:rPr>
          <w:rFonts w:hint="eastAsia" w:ascii="仿宋" w:hAnsi="仿宋" w:eastAsia="仿宋" w:cs="仿宋"/>
          <w:sz w:val="32"/>
          <w:szCs w:val="20"/>
        </w:rPr>
        <w:t>将采取有力措施，进一步</w:t>
      </w:r>
      <w:r>
        <w:rPr>
          <w:rFonts w:hint="eastAsia" w:ascii="仿宋" w:hAnsi="仿宋" w:eastAsia="仿宋" w:cs="仿宋"/>
          <w:sz w:val="32"/>
          <w:szCs w:val="20"/>
          <w:lang w:val="en-US" w:eastAsia="zh-CN"/>
        </w:rPr>
        <w:t>强化</w:t>
      </w:r>
      <w:r>
        <w:rPr>
          <w:rFonts w:hint="eastAsia" w:ascii="仿宋" w:hAnsi="仿宋" w:eastAsia="仿宋" w:cs="仿宋"/>
          <w:sz w:val="32"/>
          <w:szCs w:val="20"/>
        </w:rPr>
        <w:t>政务公开工作</w:t>
      </w:r>
      <w:r>
        <w:rPr>
          <w:rFonts w:hint="eastAsia" w:ascii="仿宋" w:hAnsi="仿宋" w:eastAsia="仿宋" w:cs="仿宋"/>
          <w:sz w:val="32"/>
          <w:szCs w:val="20"/>
          <w:lang w:eastAsia="zh-CN"/>
        </w:rPr>
        <w:t>，</w:t>
      </w:r>
      <w:r>
        <w:rPr>
          <w:rFonts w:hint="eastAsia" w:ascii="仿宋" w:hAnsi="仿宋" w:eastAsia="仿宋" w:cs="仿宋"/>
          <w:sz w:val="32"/>
          <w:szCs w:val="20"/>
          <w:lang w:val="en-US" w:eastAsia="zh-CN"/>
        </w:rPr>
        <w:t>持续加强学习、结合中心实际工作，不断发掘新闻素材，丰富信息公开内容。</w:t>
      </w:r>
      <w:r>
        <w:rPr>
          <w:rFonts w:hint="eastAsia" w:ascii="仿宋" w:hAnsi="仿宋" w:eastAsia="仿宋" w:cs="仿宋"/>
          <w:sz w:val="32"/>
          <w:szCs w:val="20"/>
        </w:rPr>
        <w:t>积极做好12345便民热线有关工作。积极组织干部</w:t>
      </w:r>
      <w:r>
        <w:rPr>
          <w:rFonts w:hint="eastAsia" w:ascii="仿宋" w:hAnsi="仿宋" w:eastAsia="仿宋" w:cs="仿宋"/>
          <w:sz w:val="32"/>
          <w:szCs w:val="20"/>
          <w:lang w:val="en-US" w:eastAsia="zh-CN"/>
        </w:rPr>
        <w:t>职工</w:t>
      </w:r>
      <w:r>
        <w:rPr>
          <w:rFonts w:hint="eastAsia" w:ascii="仿宋" w:hAnsi="仿宋" w:eastAsia="仿宋" w:cs="仿宋"/>
          <w:sz w:val="32"/>
          <w:szCs w:val="20"/>
        </w:rPr>
        <w:t>参与12345“接热线、办实事”活动，及时妥善办理热线交办工单，主动对接来电人，做好沟通处置等后续工作。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32" w:firstLineChars="20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pPr>
        <w:pStyle w:val="19"/>
        <w:keepNext w:val="0"/>
        <w:keepLines w:val="0"/>
        <w:pageBreakBefore w:val="0"/>
        <w:kinsoku/>
        <w:wordWrap/>
        <w:overflowPunct/>
        <w:topLinePunct w:val="0"/>
        <w:bidi w:val="0"/>
        <w:adjustRightInd/>
        <w:spacing w:line="600" w:lineRule="exact"/>
        <w:ind w:firstLine="632" w:firstLineChars="200"/>
        <w:jc w:val="both"/>
        <w:textAlignment w:val="auto"/>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sz w:val="32"/>
          <w:szCs w:val="32"/>
          <w:shd w:val="clear" w:fill="FFFFFF"/>
        </w:rPr>
        <w:t>按照《国务院办公厅关于印发〈政府信息公开信息处理费管理办法〉的通知》（国办函〔2020〕109 号）规定的按件、按量收费标准，本年度没有产生信息公开处理费。</w:t>
      </w:r>
    </w:p>
    <w:p>
      <w:pPr>
        <w:keepNext w:val="0"/>
        <w:keepLines w:val="0"/>
        <w:pageBreakBefore w:val="0"/>
        <w:kinsoku/>
        <w:wordWrap/>
        <w:overflowPunct/>
        <w:topLinePunct w:val="0"/>
        <w:bidi w:val="0"/>
        <w:adjustRightInd/>
        <w:spacing w:line="600" w:lineRule="exact"/>
        <w:textAlignment w:val="auto"/>
        <w:rPr>
          <w:rFonts w:hint="eastAsia"/>
          <w:color w:val="auto"/>
        </w:rPr>
      </w:pPr>
    </w:p>
    <w:p>
      <w:pPr>
        <w:keepNext w:val="0"/>
        <w:keepLines w:val="0"/>
        <w:pageBreakBefore w:val="0"/>
        <w:kinsoku/>
        <w:wordWrap/>
        <w:overflowPunct/>
        <w:topLinePunct w:val="0"/>
        <w:bidi w:val="0"/>
        <w:adjustRightInd/>
        <w:spacing w:line="600" w:lineRule="exact"/>
        <w:textAlignment w:val="auto"/>
        <w:rPr>
          <w:rFonts w:hint="eastAsia"/>
          <w:color w:val="auto"/>
        </w:rPr>
      </w:pPr>
    </w:p>
    <w:p>
      <w:pPr>
        <w:keepNext w:val="0"/>
        <w:keepLines w:val="0"/>
        <w:pageBreakBefore w:val="0"/>
        <w:kinsoku/>
        <w:wordWrap/>
        <w:overflowPunct/>
        <w:topLinePunct w:val="0"/>
        <w:bidi w:val="0"/>
        <w:adjustRightInd/>
        <w:spacing w:line="600" w:lineRule="exact"/>
        <w:ind w:firstLine="4086" w:firstLineChars="1293"/>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赣州经开区机关事务管理中心</w:t>
      </w:r>
    </w:p>
    <w:p>
      <w:pPr>
        <w:keepNext w:val="0"/>
        <w:keepLines w:val="0"/>
        <w:pageBreakBefore w:val="0"/>
        <w:kinsoku/>
        <w:wordWrap/>
        <w:overflowPunct/>
        <w:topLinePunct w:val="0"/>
        <w:bidi w:val="0"/>
        <w:adjustRightInd/>
        <w:spacing w:line="600" w:lineRule="exact"/>
        <w:ind w:firstLine="5034" w:firstLineChars="1593"/>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2023年1月29日</w:t>
      </w:r>
    </w:p>
    <w:sectPr>
      <w:headerReference r:id="rId5" w:type="default"/>
      <w:footerReference r:id="rId6" w:type="default"/>
      <w:pgSz w:w="11906" w:h="16838"/>
      <w:pgMar w:top="1814" w:right="1531" w:bottom="1985" w:left="1531" w:header="850" w:footer="1701"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panose1 w:val="02000000000000000000"/>
    <w:charset w:val="86"/>
    <w:family w:val="script"/>
    <w:pitch w:val="default"/>
    <w:sig w:usb0="A00002BF" w:usb1="38CF7CFA" w:usb2="00082016" w:usb3="00000000" w:csb0="00040001"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jhkZDdjZmVmM2UxMWNjMGJhZWU3NjZmZTFlYWY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6592078"/>
    <w:rsid w:val="0DC34D4B"/>
    <w:rsid w:val="11150CB2"/>
    <w:rsid w:val="114950D9"/>
    <w:rsid w:val="11740211"/>
    <w:rsid w:val="1A11410E"/>
    <w:rsid w:val="1AD87BC7"/>
    <w:rsid w:val="2C087BF6"/>
    <w:rsid w:val="2E4732D5"/>
    <w:rsid w:val="30C218B7"/>
    <w:rsid w:val="3147651D"/>
    <w:rsid w:val="3B0B259A"/>
    <w:rsid w:val="3BE51ED5"/>
    <w:rsid w:val="4609183D"/>
    <w:rsid w:val="4DDA1757"/>
    <w:rsid w:val="4EA54A7F"/>
    <w:rsid w:val="521F31BE"/>
    <w:rsid w:val="562821F7"/>
    <w:rsid w:val="5811202E"/>
    <w:rsid w:val="594A3669"/>
    <w:rsid w:val="59DF31C6"/>
    <w:rsid w:val="606F087F"/>
    <w:rsid w:val="65693AD9"/>
    <w:rsid w:val="667F5AA4"/>
    <w:rsid w:val="6AA04060"/>
    <w:rsid w:val="6ABC703D"/>
    <w:rsid w:val="6FCB19B0"/>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9">
    <w:name w:val="Default Paragraph Font"/>
    <w:link w:val="10"/>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pacing w:line="400" w:lineRule="atLeast"/>
      <w:ind w:firstLine="0"/>
      <w:jc w:val="center"/>
    </w:pPr>
    <w:rPr>
      <w:sz w:val="28"/>
    </w:r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autoRedefine/>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autoRedefine/>
    <w:qFormat/>
    <w:uiPriority w:val="0"/>
  </w:style>
  <w:style w:type="character" w:customStyle="1" w:styleId="12">
    <w:name w:val="articlebody"/>
    <w:basedOn w:val="9"/>
    <w:autoRedefine/>
    <w:qFormat/>
    <w:uiPriority w:val="0"/>
  </w:style>
  <w:style w:type="paragraph" w:customStyle="1" w:styleId="13">
    <w:name w:val="抄送栏"/>
    <w:basedOn w:val="1"/>
    <w:autoRedefine/>
    <w:qFormat/>
    <w:uiPriority w:val="0"/>
    <w:pPr>
      <w:adjustRightInd w:val="0"/>
      <w:snapToGrid/>
      <w:spacing w:line="454" w:lineRule="atLeast"/>
      <w:ind w:left="1310" w:right="357" w:hanging="953"/>
    </w:pPr>
  </w:style>
  <w:style w:type="paragraph" w:customStyle="1" w:styleId="14">
    <w:name w:val="印数"/>
    <w:basedOn w:val="15"/>
    <w:autoRedefine/>
    <w:qFormat/>
    <w:uiPriority w:val="0"/>
    <w:pPr>
      <w:tabs>
        <w:tab w:val="right" w:pos="8465"/>
      </w:tabs>
      <w:spacing w:line="400" w:lineRule="atLeast"/>
      <w:jc w:val="right"/>
    </w:pPr>
  </w:style>
  <w:style w:type="paragraph" w:customStyle="1" w:styleId="15">
    <w:name w:val="印发栏"/>
    <w:basedOn w:val="3"/>
    <w:autoRedefine/>
    <w:qFormat/>
    <w:uiPriority w:val="0"/>
    <w:pPr>
      <w:tabs>
        <w:tab w:val="right" w:pos="8465"/>
      </w:tabs>
      <w:spacing w:line="454" w:lineRule="atLeast"/>
      <w:ind w:left="357" w:right="357"/>
    </w:pPr>
    <w:rPr>
      <w:spacing w:val="0"/>
    </w:rPr>
  </w:style>
  <w:style w:type="paragraph" w:customStyle="1" w:styleId="16">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7">
    <w:name w:val="线型"/>
    <w:basedOn w:val="13"/>
    <w:autoRedefine/>
    <w:qFormat/>
    <w:uiPriority w:val="0"/>
    <w:pPr>
      <w:spacing w:line="240" w:lineRule="auto"/>
      <w:ind w:left="0" w:firstLine="0"/>
      <w:jc w:val="center"/>
    </w:pPr>
    <w:rPr>
      <w:sz w:val="21"/>
    </w:rPr>
  </w:style>
  <w:style w:type="paragraph" w:customStyle="1" w:styleId="18">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autoRedefine/>
    <w:qFormat/>
    <w:uiPriority w:val="0"/>
    <w:pPr>
      <w:overflowPunct w:val="0"/>
    </w:pPr>
    <w:rPr>
      <w:sz w:val="32"/>
    </w:rPr>
  </w:style>
  <w:style w:type="paragraph" w:customStyle="1" w:styleId="23">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4">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autoRedefine/>
    <w:qFormat/>
    <w:uiPriority w:val="0"/>
  </w:style>
  <w:style w:type="paragraph" w:customStyle="1" w:styleId="26">
    <w:name w:val="标题2"/>
    <w:basedOn w:val="1"/>
    <w:next w:val="1"/>
    <w:autoRedefine/>
    <w:qFormat/>
    <w:uiPriority w:val="0"/>
    <w:pPr>
      <w:ind w:firstLine="0"/>
      <w:jc w:val="center"/>
    </w:pPr>
    <w:rPr>
      <w:rFonts w:eastAsia="方正楷体_GBK"/>
    </w:rPr>
  </w:style>
  <w:style w:type="paragraph" w:customStyle="1" w:styleId="27">
    <w:name w:val="附件栏"/>
    <w:basedOn w:val="1"/>
    <w:autoRedefine/>
    <w:qFormat/>
    <w:uiPriority w:val="0"/>
  </w:style>
  <w:style w:type="paragraph" w:customStyle="1" w:styleId="28">
    <w:name w:val="标题3"/>
    <w:basedOn w:val="1"/>
    <w:next w:val="1"/>
    <w:autoRedefine/>
    <w:qFormat/>
    <w:uiPriority w:val="0"/>
    <w:rPr>
      <w:rFonts w:eastAsia="方正黑体_GBK"/>
    </w:rPr>
  </w:style>
  <w:style w:type="paragraph" w:customStyle="1" w:styleId="29">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6</Pages>
  <Words>2284</Words>
  <Characters>2423</Characters>
  <Lines>34</Lines>
  <Paragraphs>9</Paragraphs>
  <TotalTime>0</TotalTime>
  <ScaleCrop>false</ScaleCrop>
  <LinksUpToDate>false</LinksUpToDate>
  <CharactersWithSpaces>2424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翔子</cp:lastModifiedBy>
  <cp:lastPrinted>2024-01-30T11:35:56Z</cp:lastPrinted>
  <dcterms:modified xsi:type="dcterms:W3CDTF">2024-01-30T11:35:59Z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FE2734FB6212492B875F2470E9092371_13</vt:lpwstr>
  </property>
</Properties>
</file>