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赣州经开区机关事务管理中心2020年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政府信息公开工作年度报告</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rPr>
          <w:rFonts w:hint="eastAsia"/>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default" w:ascii="Times New Roman" w:hAnsi="Times New Roman" w:eastAsia="仿宋_GB2312" w:cs="Times New Roman"/>
          <w:sz w:val="32"/>
          <w:szCs w:val="32"/>
          <w:lang w:val="en-US" w:eastAsia="zh-CN"/>
        </w:rPr>
        <w:t>赣州经开区机关事务管理中心</w:t>
      </w:r>
      <w:r>
        <w:rPr>
          <w:rFonts w:hint="default" w:ascii="Times New Roman" w:hAnsi="Times New Roman" w:eastAsia="仿宋_GB2312" w:cs="Times New Roman"/>
          <w:sz w:val="32"/>
          <w:szCs w:val="32"/>
        </w:rPr>
        <w:t>结合有关统计数据编制。本年度报告中所列数据的统计期限自</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年1月1日起至</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default" w:ascii="Times New Roman" w:hAnsi="Times New Roman" w:eastAsia="仿宋_GB2312" w:cs="Times New Roman"/>
          <w:sz w:val="32"/>
          <w:szCs w:val="32"/>
          <w:lang w:eastAsia="zh-CN"/>
        </w:rPr>
        <w:t>赣州经济技术</w:t>
      </w:r>
      <w:r>
        <w:rPr>
          <w:rFonts w:hint="default" w:ascii="Times New Roman" w:hAnsi="Times New Roman" w:eastAsia="仿宋_GB2312" w:cs="Times New Roman"/>
          <w:sz w:val="32"/>
          <w:szCs w:val="32"/>
          <w:lang w:val="en-US" w:eastAsia="zh-CN"/>
        </w:rPr>
        <w:t>开发区</w:t>
      </w:r>
      <w:r>
        <w:rPr>
          <w:rFonts w:hint="default" w:ascii="Times New Roman" w:hAnsi="Times New Roman" w:eastAsia="仿宋_GB2312" w:cs="Times New Roman"/>
          <w:sz w:val="32"/>
          <w:szCs w:val="32"/>
        </w:rPr>
        <w:t>政府网站http://gzjkq.ganzhou.gov.cn/jkqxxgk/c110042/list.shtml）下载。如对本报告有任何疑问，请与</w:t>
      </w:r>
      <w:r>
        <w:rPr>
          <w:rFonts w:hint="default" w:ascii="Times New Roman" w:hAnsi="Times New Roman" w:eastAsia="仿宋_GB2312" w:cs="Times New Roman"/>
          <w:sz w:val="32"/>
          <w:szCs w:val="32"/>
          <w:lang w:eastAsia="zh-CN"/>
        </w:rPr>
        <w:t>赣州经开区机关事务管理中心</w:t>
      </w: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sz w:val="32"/>
          <w:szCs w:val="32"/>
          <w:lang w:val="en-US" w:eastAsia="zh-CN"/>
        </w:rPr>
        <w:t>赣州经开区华坚南路69号</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US" w:eastAsia="zh-CN"/>
        </w:rPr>
        <w:t>8197569</w:t>
      </w:r>
      <w:r>
        <w:rPr>
          <w:rFonts w:hint="default" w:ascii="Times New Roman" w:hAnsi="Times New Roman" w:eastAsia="仿宋_GB2312" w:cs="Times New Roman"/>
          <w:sz w:val="32"/>
          <w:szCs w:val="32"/>
        </w:rPr>
        <w:t>，邮编：</w:t>
      </w:r>
      <w:r>
        <w:rPr>
          <w:rFonts w:hint="default" w:ascii="Times New Roman" w:hAnsi="Times New Roman" w:eastAsia="仿宋_GB2312" w:cs="Times New Roman"/>
          <w:sz w:val="32"/>
          <w:szCs w:val="32"/>
          <w:lang w:val="en-US" w:eastAsia="zh-CN"/>
        </w:rPr>
        <w:t>341000</w:t>
      </w:r>
      <w:r>
        <w:rPr>
          <w:rFonts w:hint="default" w:ascii="Times New Roman" w:hAnsi="Times New Roman" w:eastAsia="仿宋_GB2312" w:cs="Times New Roman"/>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年我中心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紧紧围绕上级中心工作及社会群众关注关切，着力提升政府信息公开质量，推进拓宽政府信息公开渠道，不断增强政府信息公开实效。</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（一）组织领导情况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了以主要领导为组长，分管领导为副组长，中心相关人员为成员的“政府信息公开与信息化报送工作领导小组”。领导小组下设办公室，分管领导兼任办公室主任，具体负责政务公开与信息报送等工作。切实做到领导、机构、人员“三到位”，为政府信息公开工作长期有效的开展提供了有力的组织保障。</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（二）建立健全工作制度情况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制定了2020年度工作要点，进一步明确了政府信息公开目标、要求、责任、审核把关、保密等制度，认真贯彻执行《赣州经济技术开发区门户网站信息发布管理办法》（赣经开办字[2015]168号）。</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（三）制定和落实相关配套措施情况</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进一步完善政府信息公开工作机制。在实际工作中，进一步强化“主要领导亲自抓、分管领导具体抓”的工作机制，将责任明确到人，二是突出工作重点。在政府信息公开推进过程中务求实效，紧紧围绕中心工作，突出重点、创新形式，及时准确发布工作信息，不断提高政府信息公开工作水平。</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（四）政府网站主动公开政府信息情况</w:t>
      </w:r>
    </w:p>
    <w:p>
      <w:pPr>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2020年，我中心主动公开政务信息60篇。</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（五）主动公开政府信息的主要类别</w:t>
      </w:r>
    </w:p>
    <w:p>
      <w:pPr>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我中心在主动公开的政府信息中以信息发布为主。</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（六）信息公开形式</w:t>
      </w:r>
    </w:p>
    <w:p>
      <w:pPr>
        <w:ind w:firstLine="640" w:firstLineChars="200"/>
        <w:rPr>
          <w:rFonts w:hint="eastAsia"/>
          <w:lang w:eastAsia="zh-CN"/>
        </w:rPr>
      </w:pPr>
      <w:r>
        <w:rPr>
          <w:rFonts w:hint="eastAsia" w:ascii="Times New Roman" w:hAnsi="Times New Roman" w:eastAsia="仿宋_GB2312" w:cs="Times New Roman"/>
          <w:sz w:val="32"/>
          <w:szCs w:val="32"/>
          <w:lang w:val="en-US" w:eastAsia="zh-CN"/>
        </w:rPr>
        <w:t>截至目前，我中心主要通过在赣州经济技术开发区政府门户网站上开设政府信息公开专栏予以公开。</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主动公开政府信息情况</w:t>
      </w: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本年新制作数量</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本年新公开数量</w:t>
            </w: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规    章</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2</w:t>
            </w: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规范性文件</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行政许可</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FF0000"/>
                <w:szCs w:val="21"/>
                <w:lang w:eastAsia="zh-CN"/>
              </w:rPr>
            </w:pPr>
            <w:r>
              <w:rPr>
                <w:rFonts w:hint="eastAsia" w:ascii="仿宋" w:hAnsi="仿宋" w:eastAsia="仿宋" w:cs="仿宋"/>
                <w:color w:val="auto"/>
                <w:szCs w:val="21"/>
                <w:lang w:eastAsia="zh-CN"/>
              </w:rPr>
              <w:t>无</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FF0000"/>
                <w:szCs w:val="21"/>
                <w:lang w:val="en-US" w:eastAsia="zh-CN"/>
              </w:rPr>
            </w:pP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FF0000"/>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其他对外管理服务事项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FF0000"/>
                <w:szCs w:val="21"/>
                <w:lang w:eastAsia="zh-CN"/>
              </w:rPr>
            </w:pPr>
            <w:r>
              <w:rPr>
                <w:rFonts w:hint="eastAsia" w:ascii="仿宋" w:hAnsi="仿宋" w:eastAsia="仿宋" w:cs="仿宋"/>
                <w:color w:val="auto"/>
                <w:szCs w:val="21"/>
                <w:lang w:val="en-US" w:eastAsia="zh-CN"/>
              </w:rPr>
              <w:t>2</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无</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color w:val="auto"/>
                <w:szCs w:val="21"/>
              </w:rPr>
            </w:pP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无</w:t>
            </w:r>
          </w:p>
        </w:tc>
        <w:tc>
          <w:tcPr>
            <w:tcW w:w="2025"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color w:val="auto"/>
                <w:szCs w:val="21"/>
              </w:rPr>
            </w:pPr>
          </w:p>
        </w:tc>
        <w:tc>
          <w:tcPr>
            <w:tcW w:w="2295" w:type="dxa"/>
            <w:shd w:val="clear" w:color="auto" w:fill="auto"/>
          </w:tcPr>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上一年项目数量</w:t>
            </w:r>
          </w:p>
        </w:tc>
        <w:tc>
          <w:tcPr>
            <w:tcW w:w="4320" w:type="dxa"/>
            <w:gridSpan w:val="2"/>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行政事业性收费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FF0000"/>
                <w:szCs w:val="21"/>
                <w:lang w:eastAsia="zh-CN"/>
              </w:rPr>
            </w:pPr>
            <w:r>
              <w:rPr>
                <w:rFonts w:hint="eastAsia" w:ascii="仿宋" w:hAnsi="仿宋" w:eastAsia="仿宋" w:cs="仿宋"/>
                <w:color w:val="auto"/>
                <w:szCs w:val="21"/>
                <w:lang w:eastAsia="zh-CN"/>
              </w:rPr>
              <w:t>无</w:t>
            </w:r>
          </w:p>
        </w:tc>
        <w:tc>
          <w:tcPr>
            <w:tcW w:w="4320" w:type="dxa"/>
            <w:gridSpan w:val="2"/>
            <w:shd w:val="clear" w:color="auto" w:fill="auto"/>
          </w:tcPr>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采购项目数量</w:t>
            </w:r>
          </w:p>
        </w:tc>
        <w:tc>
          <w:tcPr>
            <w:tcW w:w="4320" w:type="dxa"/>
            <w:gridSpan w:val="2"/>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政府集中采购</w:t>
            </w:r>
          </w:p>
        </w:tc>
        <w:tc>
          <w:tcPr>
            <w:tcW w:w="2460"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FF0000"/>
                <w:szCs w:val="21"/>
                <w:lang w:eastAsia="zh-CN"/>
              </w:rPr>
            </w:pPr>
            <w:r>
              <w:rPr>
                <w:rFonts w:hint="eastAsia" w:ascii="仿宋" w:hAnsi="仿宋" w:eastAsia="仿宋" w:cs="仿宋"/>
                <w:color w:val="auto"/>
                <w:szCs w:val="21"/>
                <w:lang w:eastAsia="zh-CN"/>
              </w:rPr>
              <w:t>无</w:t>
            </w:r>
          </w:p>
        </w:tc>
        <w:tc>
          <w:tcPr>
            <w:tcW w:w="4320" w:type="dxa"/>
            <w:gridSpan w:val="2"/>
            <w:shd w:val="clear" w:color="auto" w:fill="auto"/>
          </w:tcPr>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color w:val="FF0000"/>
                <w:szCs w:val="21"/>
              </w:rPr>
            </w:pPr>
          </w:p>
        </w:tc>
      </w:tr>
    </w:tbl>
    <w:p>
      <w:pPr>
        <w:keepNext w:val="0"/>
        <w:keepLines w:val="0"/>
        <w:pageBreakBefore w:val="0"/>
        <w:kinsoku/>
        <w:overflowPunct/>
        <w:topLinePunct w:val="0"/>
        <w:autoSpaceDE/>
        <w:autoSpaceDN/>
        <w:bidi w:val="0"/>
        <w:adjustRightInd/>
        <w:snapToGrid/>
        <w:spacing w:line="560" w:lineRule="exact"/>
        <w:textAlignment w:val="auto"/>
        <w:rPr>
          <w:rFonts w:ascii="仿宋_GB2312" w:hAnsi="仿宋" w:eastAsia="仿宋_GB2312" w:cs="仿宋"/>
          <w:b/>
          <w:sz w:val="32"/>
          <w:szCs w:val="32"/>
        </w:rPr>
      </w:pPr>
    </w:p>
    <w:p>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（本列数据</w:t>
            </w:r>
            <w:r>
              <w:rPr>
                <w:rFonts w:hint="eastAsia" w:ascii="宋体" w:hAnsi="宋体" w:cs="宋体"/>
                <w:color w:val="auto"/>
                <w:kern w:val="0"/>
                <w:sz w:val="20"/>
                <w:szCs w:val="20"/>
              </w:rPr>
              <w:t>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ascii="宋体" w:hAnsi="宋体" w:cs="宋体"/>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rFonts w:hint="eastAsia"/>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cs="Times New Roman"/>
                <w:color w:val="auto"/>
              </w:rPr>
            </w:pPr>
            <w:r>
              <w:rPr>
                <w:rFonts w:hint="eastAsia" w:ascii="楷体" w:hAnsi="楷体" w:eastAsia="楷体" w:cs="楷体"/>
                <w:color w:val="auto"/>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cs="Times New Roman"/>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val="en-US" w:eastAsia="zh-CN"/>
              </w:rPr>
            </w:pPr>
            <w:r>
              <w:rPr>
                <w:rFonts w:hint="eastAsia" w:cs="Times New Roman"/>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cs="Times New Roman"/>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val="en-US" w:eastAsia="zh-CN"/>
              </w:rPr>
            </w:pPr>
            <w:r>
              <w:rPr>
                <w:rFonts w:hint="eastAsia"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6.</w:t>
            </w:r>
            <w:r>
              <w:rPr>
                <w:rFonts w:hint="eastAsia" w:ascii="楷体" w:hAnsi="楷体" w:eastAsia="楷体" w:cs="楷体"/>
                <w:color w:val="auto"/>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7.</w:t>
            </w:r>
            <w:r>
              <w:rPr>
                <w:rFonts w:hint="eastAsia" w:ascii="楷体" w:hAnsi="楷体" w:eastAsia="楷体" w:cs="楷体"/>
                <w:color w:val="auto"/>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8.</w:t>
            </w:r>
            <w:r>
              <w:rPr>
                <w:rFonts w:hint="eastAsia" w:ascii="楷体" w:hAnsi="楷体" w:eastAsia="楷体" w:cs="楷体"/>
                <w:color w:val="auto"/>
                <w:kern w:val="0"/>
                <w:sz w:val="20"/>
                <w:szCs w:val="20"/>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cs="Times New Roman" w:eastAsiaTheme="minorEastAsia"/>
                <w:lang w:eastAsia="zh-CN"/>
              </w:rPr>
            </w:pPr>
            <w:r>
              <w:rPr>
                <w:rFonts w:hint="eastAsia"/>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cs="Times New Roman" w:eastAsiaTheme="minorEastAsia"/>
                <w:lang w:val="en-US" w:eastAsia="zh-CN"/>
              </w:rPr>
            </w:pPr>
            <w:r>
              <w:rPr>
                <w:rFonts w:hint="eastAsia"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cs="Times New Roman"/>
              </w:rPr>
            </w:pPr>
            <w:r>
              <w:rPr>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cs="宋体"/>
                <w:sz w:val="24"/>
                <w:szCs w:val="24"/>
              </w:rPr>
            </w:pPr>
            <w:r>
              <w:rPr>
                <w:rFonts w:ascii="宋体" w:cs="宋体"/>
                <w:sz w:val="24"/>
                <w:szCs w:val="24"/>
              </w:rPr>
              <w:t>0</w:t>
            </w:r>
          </w:p>
        </w:tc>
      </w:tr>
    </w:tbl>
    <w:p>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政府信息公开行政复议、行政诉讼情况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行政复议</w:t>
            </w:r>
            <w:r>
              <w:rPr>
                <w:rFonts w:ascii="仿宋" w:hAnsi="仿宋" w:eastAsia="仿宋" w:cs="仿宋"/>
                <w:color w:val="auto"/>
                <w:sz w:val="24"/>
              </w:rPr>
              <w:br w:type="textWrapping"/>
            </w:r>
            <w:r>
              <w:rPr>
                <w:rFonts w:hint="eastAsia" w:ascii="仿宋" w:hAnsi="仿宋" w:eastAsia="仿宋" w:cs="仿宋"/>
                <w:b/>
                <w:color w:val="auto"/>
                <w:sz w:val="24"/>
              </w:rPr>
              <w:t>（因政府信息公开被行政复议）</w:t>
            </w:r>
          </w:p>
        </w:tc>
        <w:tc>
          <w:tcPr>
            <w:tcW w:w="5680" w:type="dxa"/>
            <w:gridSpan w:val="10"/>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行政诉讼</w:t>
            </w:r>
            <w:r>
              <w:rPr>
                <w:rFonts w:ascii="仿宋" w:hAnsi="仿宋" w:eastAsia="仿宋" w:cs="仿宋"/>
                <w:color w:val="auto"/>
                <w:sz w:val="24"/>
              </w:rPr>
              <w:br w:type="textWrapping"/>
            </w:r>
            <w:r>
              <w:rPr>
                <w:rFonts w:hint="eastAsia" w:ascii="仿宋" w:hAnsi="仿宋" w:eastAsia="仿宋" w:cs="仿宋"/>
                <w:b/>
                <w:color w:val="auto"/>
                <w:sz w:val="24"/>
              </w:rPr>
              <w:t>（因政府信息公开被行政诉讼）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r>
    </w:tbl>
    <w:p>
      <w:pPr>
        <w:rPr>
          <w:rFonts w:hint="eastAsia"/>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（一）主要问题</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1、政府信息公开工作</w:t>
      </w:r>
      <w:r>
        <w:rPr>
          <w:rFonts w:hint="eastAsia" w:ascii="Times New Roman" w:hAnsi="Times New Roman" w:eastAsia="仿宋_GB2312" w:cs="Times New Roman"/>
          <w:sz w:val="32"/>
          <w:szCs w:val="32"/>
          <w:lang w:val="en-US" w:eastAsia="zh-CN"/>
        </w:rPr>
        <w:t>方式方法较为单一</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2、政府信息公开的数量、质量和时效性还有待提高；</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公开信息的时效性有待提高</w:t>
      </w:r>
      <w:r>
        <w:rPr>
          <w:rFonts w:hint="default" w:ascii="Times New Roman" w:hAnsi="Times New Roman" w:eastAsia="仿宋_GB2312" w:cs="Times New Roman"/>
          <w:sz w:val="32"/>
          <w:szCs w:val="32"/>
          <w:lang w:val="en-US" w:eastAsia="zh-CN"/>
        </w:rPr>
        <w:t>。</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（二）改进情况</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1、加强学习、结合中心实际工作，不断发掘新闻素材，丰富信息公开内容。</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依法推动政府信息公开工作，认真贯彻执行《中华人民共和国政府信息公开条例》、《赣州市政府信息公开规定》和《赣州经济技术开发区门户网站信息发布管理办法》，继续加大政府信息公开工作力度。紧紧围绕群众关心和关注的热点问题，进行采编、报道，不断拓展和深化信息公开的内容和范围。</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ind w:firstLine="640" w:firstLineChars="200"/>
        <w:rPr>
          <w:rFonts w:hint="eastAsia" w:ascii="Times New Roman" w:hAnsi="Times New Roman" w:eastAsia="仿宋_GB2312" w:cs="Times New Roman"/>
          <w:sz w:val="32"/>
          <w:szCs w:val="32"/>
          <w:lang w:val="en-US" w:eastAsia="zh-CN"/>
        </w:rPr>
      </w:pPr>
    </w:p>
    <w:p>
      <w:pPr>
        <w:ind w:firstLine="4160" w:firstLineChars="1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赣州经开区机关事务管理中心</w:t>
      </w:r>
    </w:p>
    <w:p>
      <w:pPr>
        <w:ind w:firstLine="5440" w:firstLineChars="17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2021年2月1日</w:t>
      </w:r>
    </w:p>
    <w:p>
      <w:pPr>
        <w:rPr>
          <w:rFonts w:hint="eastAsia"/>
          <w:sz w:val="32"/>
          <w:szCs w:val="32"/>
          <w:lang w:eastAsia="zh-C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D0F3DDB"/>
    <w:rsid w:val="0F42566A"/>
    <w:rsid w:val="0FE32618"/>
    <w:rsid w:val="17534F7D"/>
    <w:rsid w:val="1B931963"/>
    <w:rsid w:val="23B06487"/>
    <w:rsid w:val="2480713E"/>
    <w:rsid w:val="33F56A2B"/>
    <w:rsid w:val="37A7629B"/>
    <w:rsid w:val="37F43834"/>
    <w:rsid w:val="519D4381"/>
    <w:rsid w:val="566E50F8"/>
    <w:rsid w:val="56857A37"/>
    <w:rsid w:val="5FCE6A83"/>
    <w:rsid w:val="6EB526D3"/>
    <w:rsid w:val="6EC41F3F"/>
    <w:rsid w:val="714853A0"/>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随枫</cp:lastModifiedBy>
  <dcterms:modified xsi:type="dcterms:W3CDTF">2021-03-01T07:57:30Z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1055785763_btnclosed</vt:lpwstr>
  </property>
</Properties>
</file>