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赣州经开区保税管理局2024年</w:t>
      </w:r>
      <w:r>
        <w:rPr>
          <w:rFonts w:hint="eastAsia" w:ascii="方正小标宋简体" w:hAnsi="方正小标宋简体" w:eastAsia="方正小标宋简体" w:cs="方正小标宋简体"/>
          <w:sz w:val="44"/>
          <w:szCs w:val="44"/>
        </w:rPr>
        <w:t>政府信息公开</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rPr>
          <w:rFonts w:hint="eastAsia"/>
        </w:rPr>
      </w:pP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lang w:val="en-US" w:eastAsia="zh-CN"/>
        </w:rPr>
      </w:pPr>
      <w:r>
        <w:rPr>
          <w:rFonts w:hint="eastAsia" w:ascii="仿宋_GB2312" w:hAnsi="仿宋_GB2312" w:eastAsia="仿宋_GB2312" w:cs="仿宋_GB2312"/>
          <w:lang w:val="en-US" w:eastAsia="zh-CN"/>
        </w:rPr>
        <w:t>依据《中华人民共和国政府信息公开条例》(以下简称《政府信息公开条例》)和《关于印发中华人民共和国政府信息公开工作年度报告格式的通知》(国办公开办函〔</w:t>
      </w:r>
      <w:r>
        <w:rPr>
          <w:rFonts w:hint="eastAsia"/>
          <w:lang w:val="en-US" w:eastAsia="zh-CN"/>
        </w:rPr>
        <w:t>2021</w:t>
      </w:r>
      <w:r>
        <w:rPr>
          <w:rFonts w:hint="eastAsia" w:ascii="仿宋_GB2312" w:hAnsi="仿宋_GB2312" w:eastAsia="仿宋_GB2312" w:cs="仿宋_GB2312"/>
          <w:lang w:val="en-US" w:eastAsia="zh-CN"/>
        </w:rPr>
        <w:t>〕</w:t>
      </w:r>
      <w:r>
        <w:rPr>
          <w:rFonts w:hint="eastAsia"/>
          <w:lang w:val="en-US" w:eastAsia="zh-CN"/>
        </w:rPr>
        <w:t>30</w:t>
      </w:r>
      <w:r>
        <w:rPr>
          <w:rFonts w:hint="eastAsia" w:ascii="仿宋_GB2312" w:hAnsi="仿宋_GB2312" w:eastAsia="仿宋_GB2312" w:cs="仿宋_GB2312"/>
          <w:lang w:val="en-US" w:eastAsia="zh-CN"/>
        </w:rPr>
        <w:t>号)要求</w:t>
      </w:r>
      <w:r>
        <w:rPr>
          <w:rFonts w:hint="eastAsia"/>
          <w:lang w:val="en-US" w:eastAsia="zh-CN"/>
        </w:rPr>
        <w:t>，</w:t>
      </w:r>
      <w:r>
        <w:rPr>
          <w:rFonts w:hint="eastAsia" w:ascii="仿宋_GB2312" w:hAnsi="仿宋_GB2312" w:eastAsia="仿宋_GB2312" w:cs="仿宋_GB2312"/>
          <w:lang w:val="en-US" w:eastAsia="zh-CN"/>
        </w:rPr>
        <w:t>编制本报告。</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黑体" w:hAnsi="黑体" w:eastAsia="黑体" w:cs="黑体"/>
        </w:rPr>
      </w:pPr>
      <w:r>
        <w:rPr>
          <w:rFonts w:hint="eastAsia" w:ascii="黑体" w:hAnsi="黑体" w:eastAsia="黑体" w:cs="黑体"/>
        </w:rPr>
        <w:t>一、总体情况</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仿宋_GB2312" w:hAnsi="仿宋_GB2312" w:eastAsia="仿宋_GB2312" w:cs="仿宋_GB2312"/>
          <w:lang w:val="en-US" w:eastAsia="zh-CN"/>
        </w:rPr>
      </w:pPr>
      <w:r>
        <w:rPr>
          <w:rFonts w:hint="eastAsia"/>
        </w:rPr>
        <w:t>20</w:t>
      </w:r>
      <w:r>
        <w:rPr>
          <w:rFonts w:hint="eastAsia"/>
          <w:lang w:val="en-US" w:eastAsia="zh-CN"/>
        </w:rPr>
        <w:t>24</w:t>
      </w:r>
      <w:r>
        <w:rPr>
          <w:rFonts w:hint="eastAsia" w:ascii="仿宋_GB2312" w:hAnsi="仿宋_GB2312" w:eastAsia="仿宋_GB2312" w:cs="仿宋_GB2312"/>
          <w:lang w:val="en-US" w:eastAsia="zh-CN"/>
        </w:rPr>
        <w:t>年，区保税管理局坚持以习近平新时代中国特色社会主义思想为指导，深入贯彻落实《中华人民共和国政府信息公开条例》和《赣州市政府信息公开规定》，按照赣州经济技术开发区党政办公室政务公开工作通知要求,紧紧围绕中心工作和公众期盼，坚持以公开为常态、不公开为例外的原则，不断规范政府信息公开内容，提高政府信息公开水平。</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（一）主动公开情况</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仿宋_GB2312" w:hAnsi="仿宋_GB2312" w:eastAsia="仿宋_GB2312" w:cs="仿宋_GB2312"/>
          <w:lang w:val="en-US" w:eastAsia="zh-CN"/>
        </w:rPr>
      </w:pPr>
      <w:r>
        <w:rPr>
          <w:rFonts w:hint="eastAsia"/>
          <w:lang w:val="en-US" w:eastAsia="zh-CN"/>
        </w:rPr>
        <w:t>2024年</w:t>
      </w:r>
      <w:r>
        <w:rPr>
          <w:rFonts w:hint="eastAsia" w:ascii="仿宋_GB2312" w:hAnsi="仿宋_GB2312" w:eastAsia="仿宋_GB2312" w:cs="仿宋_GB2312"/>
          <w:lang w:val="en-US" w:eastAsia="zh-CN"/>
        </w:rPr>
        <w:t>度，区保税管理局在赣州经济技术开发区政务信息公开网主动公开政府信息</w:t>
      </w:r>
      <w:r>
        <w:rPr>
          <w:rFonts w:hint="eastAsia"/>
          <w:lang w:val="en-US" w:eastAsia="zh-CN"/>
        </w:rPr>
        <w:t>49</w:t>
      </w:r>
      <w:r>
        <w:rPr>
          <w:rFonts w:hint="eastAsia"/>
        </w:rPr>
        <w:t>条</w:t>
      </w:r>
      <w:r>
        <w:rPr>
          <w:rFonts w:hint="eastAsia" w:ascii="仿宋_GB2312" w:hAnsi="仿宋_GB2312" w:eastAsia="仿宋_GB2312" w:cs="仿宋_GB2312"/>
          <w:lang w:val="en-US" w:eastAsia="zh-CN"/>
        </w:rPr>
        <w:t>（含信息公开指南</w:t>
      </w:r>
      <w:r>
        <w:rPr>
          <w:rFonts w:hint="eastAsia"/>
          <w:lang w:val="en-US" w:eastAsia="zh-CN"/>
        </w:rPr>
        <w:t>1</w:t>
      </w:r>
      <w:r>
        <w:rPr>
          <w:rFonts w:hint="eastAsia" w:ascii="仿宋_GB2312" w:hAnsi="仿宋_GB2312" w:eastAsia="仿宋_GB2312" w:cs="仿宋_GB2312"/>
          <w:lang w:val="en-US" w:eastAsia="zh-CN"/>
        </w:rPr>
        <w:t>条、年度报告</w:t>
      </w:r>
      <w:r>
        <w:rPr>
          <w:rFonts w:hint="eastAsia"/>
        </w:rPr>
        <w:t>1</w:t>
      </w:r>
      <w:r>
        <w:rPr>
          <w:rFonts w:hint="eastAsia" w:ascii="仿宋_GB2312" w:hAnsi="仿宋_GB2312" w:eastAsia="仿宋_GB2312" w:cs="仿宋_GB2312"/>
          <w:lang w:val="en-US" w:eastAsia="zh-CN"/>
        </w:rPr>
        <w:t>条、机构职能</w:t>
      </w:r>
      <w:r>
        <w:rPr>
          <w:rFonts w:hint="eastAsia"/>
          <w:lang w:val="en-US" w:eastAsia="zh-CN"/>
        </w:rPr>
        <w:t>1条</w:t>
      </w:r>
      <w:r>
        <w:rPr>
          <w:rFonts w:hint="eastAsia" w:ascii="仿宋_GB2312" w:hAnsi="仿宋_GB2312" w:eastAsia="仿宋_GB2312" w:cs="仿宋_GB2312"/>
          <w:lang w:val="en-US" w:eastAsia="zh-CN"/>
        </w:rPr>
        <w:t>、工作动态</w:t>
      </w:r>
      <w:r>
        <w:rPr>
          <w:rFonts w:hint="eastAsia"/>
          <w:lang w:val="en-US" w:eastAsia="zh-CN"/>
        </w:rPr>
        <w:t>40</w:t>
      </w:r>
      <w:r>
        <w:rPr>
          <w:rFonts w:hint="eastAsia" w:ascii="仿宋_GB2312" w:hAnsi="仿宋_GB2312" w:eastAsia="仿宋_GB2312" w:cs="仿宋_GB2312"/>
          <w:lang w:val="en-US" w:eastAsia="zh-CN"/>
        </w:rPr>
        <w:t>条、部门文件</w:t>
      </w:r>
      <w:r>
        <w:rPr>
          <w:rFonts w:hint="eastAsia"/>
          <w:lang w:val="en-US" w:eastAsia="zh-CN"/>
        </w:rPr>
        <w:t>3</w:t>
      </w:r>
      <w:r>
        <w:rPr>
          <w:rFonts w:hint="eastAsia" w:ascii="仿宋_GB2312" w:hAnsi="仿宋_GB2312" w:eastAsia="仿宋_GB2312" w:cs="仿宋_GB2312"/>
          <w:lang w:val="en-US" w:eastAsia="zh-CN"/>
        </w:rPr>
        <w:t>条、财经信息</w:t>
      </w:r>
      <w:r>
        <w:rPr>
          <w:rFonts w:hint="eastAsia"/>
          <w:lang w:val="en-US" w:eastAsia="zh-CN"/>
        </w:rPr>
        <w:t>2</w:t>
      </w:r>
      <w:r>
        <w:rPr>
          <w:rFonts w:hint="eastAsia"/>
        </w:rPr>
        <w:t>条</w:t>
      </w:r>
      <w:r>
        <w:rPr>
          <w:rFonts w:hint="eastAsia" w:ascii="仿宋_GB2312" w:hAnsi="仿宋_GB2312" w:eastAsia="仿宋_GB2312" w:cs="仿宋_GB2312"/>
          <w:lang w:val="en-US" w:eastAsia="zh-CN"/>
        </w:rPr>
        <w:t>、法治政府年报</w:t>
      </w:r>
      <w:r>
        <w:rPr>
          <w:rFonts w:hint="eastAsia"/>
          <w:lang w:val="en-US" w:eastAsia="zh-CN"/>
        </w:rPr>
        <w:t>1</w:t>
      </w:r>
      <w:r>
        <w:rPr>
          <w:rFonts w:hint="eastAsia" w:ascii="仿宋_GB2312" w:hAnsi="仿宋_GB2312" w:eastAsia="仿宋_GB2312" w:cs="仿宋_GB2312"/>
          <w:lang w:val="en-US" w:eastAsia="zh-CN"/>
        </w:rPr>
        <w:t>条）。</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（二）依申请公开情况</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持续强化服务理念，聚焦群众需求，最大限度保障公民、法人和其他组织依法、便捷获取政府信息，更好满足申请人对政府信息的个性化合理需求。</w:t>
      </w:r>
      <w:r>
        <w:rPr>
          <w:rFonts w:hint="eastAsia"/>
          <w:lang w:val="en-US" w:eastAsia="zh-CN"/>
        </w:rPr>
        <w:t>2024</w:t>
      </w:r>
      <w:r>
        <w:rPr>
          <w:rFonts w:hint="eastAsia" w:ascii="仿宋_GB2312" w:hAnsi="仿宋_GB2312" w:eastAsia="仿宋_GB2312" w:cs="仿宋_GB2312"/>
          <w:lang w:val="en-US" w:eastAsia="zh-CN"/>
        </w:rPr>
        <w:t>年，无个人申请政府信息公开情况。</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（三）政府信息管理情况。</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严格执行信息公开保密审查制度，对拟公开的政府信息，依法依规做好保密审查；涉及其他行政机关的，及时与有关行政机关沟通确认，确保了公开的政府信息准确一致。严格执行主动公开制度、依申请公开制度等相关制度。区保税管理局的政府信息公开工作运行正常。</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（四）政府信息公开平台建设情况</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扎实落实网络意识形态工作责任制，不断加强网站内容建设,加强信息发布审核，提升信息发布效率。公众获取政府公开信息更高效、更便捷。完善政府网站安全保障机制，规范版面编排、公开时效，努力提高政务信息公开质量，维护政府网站的信息权威性和严肃性。</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（五）监督保障情况</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lang w:eastAsia="zh-CN"/>
        </w:rPr>
      </w:pPr>
      <w:r>
        <w:rPr>
          <w:rFonts w:hint="eastAsia" w:ascii="仿宋_GB2312" w:hAnsi="仿宋_GB2312" w:eastAsia="仿宋_GB2312" w:cs="仿宋_GB2312"/>
          <w:lang w:val="en-US" w:eastAsia="zh-CN"/>
        </w:rPr>
        <w:t>工作紧密结合，同步研究、同步部署、同步推进。定期开展工作专项检查，通报各项任务落实情况和发现问题，把检查结果纳入工作考核内容，并要求按时整改到位，持续做好政府信息公开各项工作。</w:t>
      </w:r>
    </w:p>
    <w:p>
      <w:pPr>
        <w:rPr>
          <w:rFonts w:hint="eastAsia" w:ascii="黑体" w:hAnsi="黑体" w:eastAsia="黑体" w:cs="黑体"/>
        </w:rPr>
      </w:pPr>
      <w:r>
        <w:rPr>
          <w:rFonts w:hint="eastAsia" w:ascii="黑体" w:hAnsi="黑体" w:eastAsia="黑体" w:cs="黑体"/>
        </w:rPr>
        <w:t>二、主动公开政府信息情况</w:t>
      </w:r>
    </w:p>
    <w:tbl>
      <w:tblPr>
        <w:tblStyle w:val="9"/>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2</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r>
    </w:tbl>
    <w:p>
      <w:pPr>
        <w:rPr>
          <w:rFonts w:hint="eastAsia" w:ascii="黑体" w:hAnsi="黑体" w:eastAsia="黑体" w:cs="黑体"/>
        </w:rPr>
      </w:pPr>
    </w:p>
    <w:p>
      <w:pPr>
        <w:rPr>
          <w:rFonts w:hint="eastAsia" w:ascii="黑体" w:hAnsi="黑体" w:eastAsia="黑体" w:cs="黑体"/>
        </w:rPr>
      </w:pPr>
      <w:r>
        <w:rPr>
          <w:rFonts w:hint="eastAsia" w:ascii="黑体" w:hAnsi="黑体" w:eastAsia="黑体" w:cs="黑体"/>
        </w:rPr>
        <w:t>三、收到和处理政府信息公开申请情况</w:t>
      </w:r>
    </w:p>
    <w:tbl>
      <w:tblPr>
        <w:tblStyle w:val="9"/>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商业</w:t>
            </w:r>
          </w:p>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科研</w:t>
            </w:r>
          </w:p>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trHeight w:val="443"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trHeight w:val="631" w:hRule="atLeast"/>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0"/>
                <w:lang w:val="en-US" w:eastAsia="zh-CN"/>
              </w:rPr>
            </w:pPr>
            <w:r>
              <w:rPr>
                <w:rFonts w:hint="eastAsia" w:ascii="宋体" w:hAnsi="宋体" w:eastAsia="宋体" w:cs="宋体"/>
                <w:snapToGrid/>
                <w:color w:val="auto"/>
                <w:sz w:val="20"/>
                <w:lang w:val="en-US" w:eastAsia="zh-CN"/>
              </w:rPr>
              <w:t>0</w:t>
            </w:r>
          </w:p>
        </w:tc>
      </w:tr>
    </w:tbl>
    <w:p>
      <w:pPr>
        <w:rPr>
          <w:rFonts w:hint="eastAsia" w:ascii="黑体" w:hAnsi="黑体" w:eastAsia="黑体" w:cs="黑体"/>
        </w:rPr>
      </w:pPr>
    </w:p>
    <w:p>
      <w:pPr>
        <w:rPr>
          <w:rFonts w:hint="eastAsia" w:ascii="黑体" w:hAnsi="黑体" w:eastAsia="黑体" w:cs="黑体"/>
        </w:rPr>
      </w:pPr>
      <w:r>
        <w:rPr>
          <w:rFonts w:hint="eastAsia" w:ascii="黑体" w:hAnsi="黑体" w:eastAsia="黑体" w:cs="黑体"/>
        </w:rPr>
        <w:t>四、政府信息公开行政复议、行政诉讼情况</w:t>
      </w:r>
    </w:p>
    <w:tbl>
      <w:tblPr>
        <w:tblStyle w:val="9"/>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r>
              <w:rPr>
                <w:rFonts w:hint="eastAsia" w:ascii="宋体" w:hAnsi="宋体" w:eastAsia="宋体" w:cs="宋体"/>
                <w:snapToGrid/>
                <w:color w:val="auto"/>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r>
              <w:rPr>
                <w:rFonts w:hint="eastAsia" w:ascii="宋体" w:hAnsi="宋体" w:eastAsia="宋体" w:cs="宋体"/>
                <w:snapToGrid/>
                <w:color w:val="auto"/>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r>
    </w:tbl>
    <w:p>
      <w:pPr>
        <w:widowControl/>
        <w:autoSpaceDE/>
        <w:autoSpaceDN/>
        <w:snapToGrid/>
        <w:spacing w:line="240" w:lineRule="auto"/>
        <w:ind w:firstLine="0"/>
        <w:jc w:val="left"/>
        <w:rPr>
          <w:rFonts w:hint="eastAsia" w:ascii="宋体" w:hAnsi="宋体" w:eastAsia="宋体" w:cs="宋体"/>
          <w:snapToGrid/>
          <w:color w:val="auto"/>
          <w:sz w:val="24"/>
          <w:szCs w:val="24"/>
        </w:rPr>
      </w:pPr>
    </w:p>
    <w:p>
      <w:pPr>
        <w:rPr>
          <w:rFonts w:hint="eastAsia" w:ascii="黑体" w:hAnsi="黑体" w:eastAsia="黑体" w:cs="黑体"/>
        </w:rPr>
      </w:pPr>
      <w:r>
        <w:rPr>
          <w:rFonts w:hint="eastAsia" w:ascii="黑体" w:hAnsi="黑体" w:eastAsia="黑体" w:cs="黑体"/>
        </w:rPr>
        <w:t>五、存在的主要问题及改进情况</w:t>
      </w:r>
    </w:p>
    <w:p>
      <w:pPr>
        <w:rPr>
          <w:rFonts w:hint="eastAsia" w:ascii="仿宋_GB2312" w:hAnsi="仿宋_GB2312" w:eastAsia="仿宋_GB2312" w:cs="仿宋_GB2312"/>
          <w:lang w:val="en-US" w:eastAsia="zh-CN"/>
        </w:rPr>
      </w:pPr>
      <w:r>
        <w:rPr>
          <w:rFonts w:hint="eastAsia"/>
        </w:rPr>
        <w:t>20</w:t>
      </w:r>
      <w:r>
        <w:rPr>
          <w:rFonts w:hint="eastAsia"/>
          <w:lang w:val="en-US" w:eastAsia="zh-CN"/>
        </w:rPr>
        <w:t>24</w:t>
      </w:r>
      <w:r>
        <w:rPr>
          <w:rFonts w:hint="eastAsia" w:ascii="仿宋_GB2312" w:hAnsi="仿宋_GB2312" w:eastAsia="仿宋_GB2312" w:cs="仿宋_GB2312"/>
          <w:lang w:val="en-US" w:eastAsia="zh-CN"/>
        </w:rPr>
        <w:t>年，我局认真贯彻落实《中华人民共和国政府信息公开条例》，全面完成了</w:t>
      </w:r>
      <w:r>
        <w:rPr>
          <w:rFonts w:hint="eastAsia"/>
        </w:rPr>
        <w:t>20</w:t>
      </w:r>
      <w:r>
        <w:rPr>
          <w:rFonts w:hint="eastAsia"/>
          <w:lang w:val="en-US" w:eastAsia="zh-CN"/>
        </w:rPr>
        <w:t>24</w:t>
      </w:r>
      <w:r>
        <w:rPr>
          <w:rFonts w:hint="eastAsia" w:ascii="仿宋_GB2312" w:hAnsi="仿宋_GB2312" w:eastAsia="仿宋_GB2312" w:cs="仿宋_GB2312"/>
          <w:lang w:val="en-US" w:eastAsia="zh-CN"/>
        </w:rPr>
        <w:t>年度政务公开工作任务，但仍存在一些问题和不足，如政务公开信息内容偏向工作动态类信息。</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下一步，区保税管理局将深入贯彻落实《中华人民共和国政府信息公开条例》等文件精神，严格对照政府信息公开工作要求，认真梳理信息公开事项，加强政务公开工作。一是加强组织领导。坚持把政务公开工作作为经常性工作列入重要议事日程，从转变政府职能、执政为民、加强党的执政能力建设、优化营商环境的高度认识并积极推进政务信息公开。二是充分用好宣传平台。充分运用赣州经济技术开发区网站等平台发布信息，运用新闻发布会等多种形式加大政务公开的宣传力度，更好的服务于群众的政务公开需求，确保政府信息公开规范化、制度化，深入高效地开展政府信息公开工作。三是健全政务公开制度。完善信息发布、政策解读、舆情回应、重大决策预公开、政府信息管理、依申请公开等制度规范。</w:t>
      </w:r>
    </w:p>
    <w:p>
      <w:pPr>
        <w:rPr>
          <w:rFonts w:hint="eastAsia" w:ascii="黑体" w:hAnsi="黑体" w:eastAsia="黑体" w:cs="黑体"/>
        </w:rPr>
      </w:pPr>
      <w:r>
        <w:rPr>
          <w:rFonts w:hint="eastAsia" w:ascii="黑体" w:hAnsi="黑体" w:eastAsia="黑体" w:cs="黑体"/>
        </w:rPr>
        <w:t>六、其他需要报告的事</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（一）政府信息公开信息处理费收取情况</w:t>
      </w:r>
    </w:p>
    <w:p>
      <w:pPr>
        <w:pStyle w:val="3"/>
        <w:pageBreakBefore w:val="0"/>
        <w:kinsoku/>
        <w:wordWrap/>
        <w:overflowPunct/>
        <w:topLinePunct w:val="0"/>
        <w:bidi w:val="0"/>
        <w:adjustRightInd/>
        <w:spacing w:line="600" w:lineRule="exac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方正仿宋_GBK" w:cs="Times New Roman"/>
          <w:b w:val="0"/>
          <w:bCs w:val="0"/>
          <w:snapToGrid w:val="0"/>
          <w:kern w:val="0"/>
          <w:sz w:val="32"/>
          <w:szCs w:val="20"/>
          <w:lang w:val="en-US" w:eastAsia="zh-CN" w:bidi="ar-SA"/>
        </w:rPr>
        <w:t>2024</w:t>
      </w:r>
      <w:r>
        <w:rPr>
          <w:rFonts w:hint="eastAsia" w:ascii="仿宋_GB2312" w:hAnsi="仿宋_GB2312" w:eastAsia="仿宋_GB2312" w:cs="仿宋_GB2312"/>
          <w:b w:val="0"/>
          <w:bCs w:val="0"/>
          <w:sz w:val="32"/>
          <w:szCs w:val="32"/>
          <w:lang w:val="en-US" w:eastAsia="zh-CN"/>
        </w:rPr>
        <w:t>年度本机关未收取信息处理费，发出收费通知的件数和总金额，以及实际收取的总金额均为</w:t>
      </w:r>
      <w:r>
        <w:rPr>
          <w:rFonts w:hint="eastAsia" w:ascii="Times New Roman" w:hAnsi="Times New Roman" w:eastAsia="方正仿宋_GBK" w:cs="Times New Roman"/>
          <w:b w:val="0"/>
          <w:bCs w:val="0"/>
          <w:snapToGrid w:val="0"/>
          <w:kern w:val="0"/>
          <w:sz w:val="32"/>
          <w:szCs w:val="20"/>
          <w:lang w:val="en-US" w:eastAsia="zh-CN" w:bidi="ar-SA"/>
        </w:rPr>
        <w:t>0</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（二）政务公开工作要点完成情况</w:t>
      </w:r>
    </w:p>
    <w:p>
      <w:pPr>
        <w:pStyle w:val="3"/>
        <w:pageBreakBefore w:val="0"/>
        <w:kinsoku/>
        <w:wordWrap/>
        <w:overflowPunct/>
        <w:topLinePunct w:val="0"/>
        <w:bidi w:val="0"/>
        <w:adjustRightInd/>
        <w:spacing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已根据相关工作要求全面完成和落实。</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（三）重点领域信息公开情况</w:t>
      </w:r>
      <w:bookmarkStart w:id="0" w:name="_GoBack"/>
      <w:bookmarkEnd w:id="0"/>
    </w:p>
    <w:p>
      <w:pPr>
        <w:pStyle w:val="3"/>
        <w:pageBreakBefore w:val="0"/>
        <w:kinsoku/>
        <w:wordWrap/>
        <w:overflowPunct/>
        <w:topLinePunct w:val="0"/>
        <w:bidi w:val="0"/>
        <w:adjustRightInd/>
        <w:spacing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及时发布了涉及我局招商引资项目签约、建设等情况，及辖区内安全生产工作相关进展、取得的成效等。</w:t>
      </w:r>
    </w:p>
    <w:p>
      <w:pPr>
        <w:pStyle w:val="3"/>
        <w:pageBreakBefore w:val="0"/>
        <w:kinsoku/>
        <w:wordWrap/>
        <w:overflowPunct/>
        <w:topLinePunct w:val="0"/>
        <w:bidi w:val="0"/>
        <w:adjustRightInd/>
        <w:spacing w:line="600" w:lineRule="exact"/>
        <w:textAlignment w:val="auto"/>
        <w:rPr>
          <w:rFonts w:hint="eastAsia" w:ascii="仿宋_GB2312" w:hAnsi="仿宋_GB2312" w:eastAsia="仿宋_GB2312" w:cs="仿宋_GB2312"/>
          <w:snapToGrid/>
          <w:color w:val="auto"/>
          <w:sz w:val="32"/>
          <w:szCs w:val="32"/>
          <w:shd w:val="clear" w:color="auto" w:fill="FFFFFF"/>
          <w:lang w:val="en-US" w:eastAsia="zh-CN" w:bidi="ar-SA"/>
        </w:rPr>
      </w:pPr>
    </w:p>
    <w:p>
      <w:pPr>
        <w:pageBreakBefore w:val="0"/>
        <w:kinsoku/>
        <w:wordWrap/>
        <w:overflowPunct/>
        <w:topLinePunct w:val="0"/>
        <w:bidi w:val="0"/>
        <w:adjustRightInd/>
        <w:spacing w:line="600" w:lineRule="exact"/>
        <w:textAlignment w:val="auto"/>
        <w:rPr>
          <w:rFonts w:hint="eastAsia"/>
          <w:color w:val="auto"/>
          <w:lang w:val="en-US" w:eastAsia="zh-CN"/>
        </w:rPr>
      </w:pPr>
    </w:p>
    <w:p>
      <w:pPr>
        <w:pageBreakBefore w:val="0"/>
        <w:kinsoku/>
        <w:wordWrap/>
        <w:overflowPunct/>
        <w:topLinePunct w:val="0"/>
        <w:bidi w:val="0"/>
        <w:adjustRightInd/>
        <w:spacing w:line="600" w:lineRule="exact"/>
        <w:jc w:val="right"/>
        <w:textAlignment w:val="auto"/>
        <w:rPr>
          <w:rFonts w:hint="eastAsia" w:ascii="仿宋_GB2312" w:hAnsi="仿宋_GB2312" w:eastAsia="仿宋_GB2312" w:cs="仿宋_GB2312"/>
          <w:snapToGrid/>
          <w:color w:val="auto"/>
          <w:sz w:val="32"/>
          <w:szCs w:val="32"/>
          <w:shd w:val="clear" w:color="auto" w:fill="FFFFFF"/>
          <w:lang w:val="en-US" w:eastAsia="zh-CN" w:bidi="ar-SA"/>
        </w:rPr>
      </w:pPr>
      <w:r>
        <w:rPr>
          <w:rFonts w:hint="eastAsia" w:ascii="仿宋_GB2312" w:hAnsi="仿宋_GB2312" w:eastAsia="仿宋_GB2312" w:cs="仿宋_GB2312"/>
          <w:snapToGrid/>
          <w:color w:val="auto"/>
          <w:sz w:val="32"/>
          <w:szCs w:val="32"/>
          <w:shd w:val="clear" w:color="auto" w:fill="FFFFFF"/>
          <w:lang w:val="en-US" w:eastAsia="zh-CN" w:bidi="ar-SA"/>
        </w:rPr>
        <w:t xml:space="preserve">                   </w:t>
      </w:r>
      <w:r>
        <w:rPr>
          <w:rFonts w:hint="eastAsia" w:ascii="仿宋_GB2312" w:hAnsi="仿宋_GB2312" w:eastAsia="仿宋_GB2312" w:cs="仿宋_GB2312"/>
          <w:lang w:val="en-US" w:eastAsia="zh-CN"/>
        </w:rPr>
        <w:t xml:space="preserve">  赣州经济技术开发区保税管理局</w:t>
      </w:r>
    </w:p>
    <w:p>
      <w:pPr>
        <w:pStyle w:val="3"/>
        <w:pageBreakBefore w:val="0"/>
        <w:kinsoku/>
        <w:wordWrap/>
        <w:overflowPunct/>
        <w:topLinePunct w:val="0"/>
        <w:bidi w:val="0"/>
        <w:adjustRightInd/>
        <w:spacing w:line="600" w:lineRule="exact"/>
        <w:textAlignment w:val="auto"/>
        <w:rPr>
          <w:rFonts w:hint="default" w:ascii="Times New Roman" w:hAnsi="Times New Roman" w:eastAsia="方正仿宋_GBK" w:cs="Times New Roman"/>
          <w:b w:val="0"/>
          <w:bCs w:val="0"/>
          <w:snapToGrid w:val="0"/>
          <w:kern w:val="0"/>
          <w:sz w:val="32"/>
          <w:szCs w:val="20"/>
          <w:lang w:val="en-US" w:eastAsia="zh-CN" w:bidi="ar-SA"/>
        </w:rPr>
      </w:pPr>
      <w:r>
        <w:rPr>
          <w:rFonts w:hint="eastAsia" w:ascii="仿宋_GB2312" w:hAnsi="仿宋_GB2312" w:eastAsia="仿宋_GB2312" w:cs="仿宋_GB2312"/>
          <w:b w:val="0"/>
          <w:bCs w:val="0"/>
          <w:snapToGrid/>
          <w:color w:val="auto"/>
          <w:sz w:val="32"/>
          <w:szCs w:val="32"/>
          <w:shd w:val="clear" w:color="auto" w:fill="FFFFFF"/>
          <w:lang w:val="en-US" w:eastAsia="zh-CN" w:bidi="ar-SA"/>
        </w:rPr>
        <w:t xml:space="preserve">                            </w:t>
      </w:r>
      <w:r>
        <w:rPr>
          <w:rFonts w:hint="eastAsia" w:ascii="Times New Roman" w:hAnsi="Times New Roman" w:eastAsia="方正仿宋_GBK" w:cs="Times New Roman"/>
          <w:b w:val="0"/>
          <w:bCs w:val="0"/>
          <w:snapToGrid w:val="0"/>
          <w:kern w:val="0"/>
          <w:sz w:val="32"/>
          <w:szCs w:val="20"/>
          <w:lang w:val="en-US" w:eastAsia="zh-CN" w:bidi="ar-SA"/>
        </w:rPr>
        <w:t xml:space="preserve"> 2025</w:t>
      </w:r>
      <w:r>
        <w:rPr>
          <w:rFonts w:hint="eastAsia" w:ascii="仿宋_GB2312" w:hAnsi="仿宋_GB2312" w:eastAsia="仿宋_GB2312" w:cs="仿宋_GB2312"/>
          <w:b w:val="0"/>
          <w:bCs w:val="0"/>
          <w:snapToGrid w:val="0"/>
          <w:kern w:val="0"/>
          <w:sz w:val="32"/>
          <w:szCs w:val="20"/>
          <w:lang w:val="en-US" w:eastAsia="zh-CN" w:bidi="ar-SA"/>
        </w:rPr>
        <w:t>年</w:t>
      </w:r>
      <w:r>
        <w:rPr>
          <w:rFonts w:hint="eastAsia" w:ascii="Times New Roman" w:hAnsi="Times New Roman" w:eastAsia="方正仿宋_GBK" w:cs="Times New Roman"/>
          <w:b w:val="0"/>
          <w:bCs w:val="0"/>
          <w:snapToGrid w:val="0"/>
          <w:kern w:val="0"/>
          <w:sz w:val="32"/>
          <w:szCs w:val="20"/>
          <w:lang w:val="en-US" w:eastAsia="zh-CN" w:bidi="ar-SA"/>
        </w:rPr>
        <w:t>1</w:t>
      </w:r>
      <w:r>
        <w:rPr>
          <w:rFonts w:hint="eastAsia" w:ascii="仿宋_GB2312" w:hAnsi="仿宋_GB2312" w:eastAsia="仿宋_GB2312" w:cs="仿宋_GB2312"/>
          <w:b w:val="0"/>
          <w:bCs w:val="0"/>
          <w:snapToGrid w:val="0"/>
          <w:kern w:val="0"/>
          <w:sz w:val="32"/>
          <w:szCs w:val="20"/>
          <w:lang w:val="en-US" w:eastAsia="zh-CN" w:bidi="ar-SA"/>
        </w:rPr>
        <w:t>月</w:t>
      </w:r>
      <w:r>
        <w:rPr>
          <w:rFonts w:hint="eastAsia" w:ascii="Times New Roman" w:hAnsi="Times New Roman" w:eastAsia="方正仿宋_GBK" w:cs="Times New Roman"/>
          <w:b w:val="0"/>
          <w:bCs w:val="0"/>
          <w:snapToGrid w:val="0"/>
          <w:kern w:val="0"/>
          <w:sz w:val="32"/>
          <w:szCs w:val="20"/>
          <w:lang w:val="en-US" w:eastAsia="zh-CN" w:bidi="ar-SA"/>
        </w:rPr>
        <w:t>20</w:t>
      </w:r>
      <w:r>
        <w:rPr>
          <w:rFonts w:hint="eastAsia" w:ascii="仿宋_GB2312" w:hAnsi="仿宋_GB2312" w:eastAsia="仿宋_GB2312" w:cs="仿宋_GB2312"/>
          <w:b w:val="0"/>
          <w:bCs w:val="0"/>
          <w:snapToGrid w:val="0"/>
          <w:kern w:val="0"/>
          <w:sz w:val="32"/>
          <w:szCs w:val="20"/>
          <w:lang w:val="en-US" w:eastAsia="zh-CN" w:bidi="ar-SA"/>
        </w:rPr>
        <w:t xml:space="preserve">日  </w:t>
      </w:r>
      <w:r>
        <w:rPr>
          <w:rFonts w:hint="eastAsia" w:ascii="Times New Roman" w:hAnsi="Times New Roman" w:eastAsia="方正仿宋_GBK" w:cs="Times New Roman"/>
          <w:b w:val="0"/>
          <w:bCs w:val="0"/>
          <w:snapToGrid w:val="0"/>
          <w:kern w:val="0"/>
          <w:sz w:val="32"/>
          <w:szCs w:val="20"/>
          <w:lang w:val="en-US" w:eastAsia="zh-CN" w:bidi="ar-SA"/>
        </w:rPr>
        <w:t xml:space="preserve"> </w:t>
      </w:r>
    </w:p>
    <w:sectPr>
      <w:headerReference r:id="rId5" w:type="default"/>
      <w:footerReference r:id="rId6" w:type="default"/>
      <w:pgSz w:w="11906" w:h="16838"/>
      <w:pgMar w:top="2098" w:right="1587" w:bottom="2098" w:left="1587"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script"/>
    <w:pitch w:val="default"/>
    <w:sig w:usb0="00000001" w:usb1="08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 xml:space="preserve">— </w:t>
    </w:r>
    <w:r>
      <w:fldChar w:fldCharType="begin"/>
    </w:r>
    <w:r>
      <w:rPr>
        <w:rStyle w:val="12"/>
      </w:rPr>
      <w:instrText xml:space="preserve"> PAGE </w:instrText>
    </w:r>
    <w:r>
      <w:fldChar w:fldCharType="separate"/>
    </w:r>
    <w:r>
      <w:rPr>
        <w:rStyle w:val="12"/>
      </w:rPr>
      <w:t>1</w:t>
    </w:r>
    <w:r>
      <w:fldChar w:fldCharType="end"/>
    </w:r>
    <w:r>
      <w:rPr>
        <w:rStyle w:val="12"/>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0E35AB4D"/>
    <w:rsid w:val="11150CB2"/>
    <w:rsid w:val="11740211"/>
    <w:rsid w:val="2C087BF6"/>
    <w:rsid w:val="2E4732D5"/>
    <w:rsid w:val="30C218B7"/>
    <w:rsid w:val="3147651D"/>
    <w:rsid w:val="3EFFED92"/>
    <w:rsid w:val="423F37FC"/>
    <w:rsid w:val="4DDA1757"/>
    <w:rsid w:val="53DFB9CE"/>
    <w:rsid w:val="562821F7"/>
    <w:rsid w:val="57C9A0AE"/>
    <w:rsid w:val="58D89F9D"/>
    <w:rsid w:val="5EFE7199"/>
    <w:rsid w:val="65693AD9"/>
    <w:rsid w:val="667F5AA4"/>
    <w:rsid w:val="6AA04060"/>
    <w:rsid w:val="6FCB19B0"/>
    <w:rsid w:val="6FE7FDFE"/>
    <w:rsid w:val="7AFF2757"/>
    <w:rsid w:val="7C4F864A"/>
    <w:rsid w:val="7DFEA59D"/>
    <w:rsid w:val="7E6363F0"/>
    <w:rsid w:val="7F1F151B"/>
    <w:rsid w:val="7F764707"/>
    <w:rsid w:val="7FFFB170"/>
    <w:rsid w:val="8B67BE9A"/>
    <w:rsid w:val="A5FDBB7B"/>
    <w:rsid w:val="AFE281E8"/>
    <w:rsid w:val="CFA76547"/>
    <w:rsid w:val="D177B267"/>
    <w:rsid w:val="D337389D"/>
    <w:rsid w:val="D57DB9A4"/>
    <w:rsid w:val="D6DBCC34"/>
    <w:rsid w:val="DDDF8334"/>
    <w:rsid w:val="EB9868D8"/>
    <w:rsid w:val="EF5B0D57"/>
    <w:rsid w:val="F6DF1E80"/>
    <w:rsid w:val="F7E76D91"/>
    <w:rsid w:val="FBF75789"/>
    <w:rsid w:val="FDFF9DE3"/>
    <w:rsid w:val="FEF7C648"/>
    <w:rsid w:val="FF3DADCD"/>
    <w:rsid w:val="FF7D0976"/>
    <w:rsid w:val="FFBEC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4"/>
    <w:next w:val="1"/>
    <w:qFormat/>
    <w:uiPriority w:val="0"/>
    <w:pPr>
      <w:keepNext/>
      <w:keepLines/>
      <w:widowControl w:val="0"/>
      <w:spacing w:before="60" w:beforeLines="0" w:after="60" w:afterLines="0" w:line="312" w:lineRule="auto"/>
      <w:ind w:left="0" w:leftChars="0" w:firstLine="880" w:firstLineChars="200"/>
      <w:jc w:val="both"/>
      <w:outlineLvl w:val="3"/>
    </w:pPr>
    <w:rPr>
      <w:rFonts w:ascii="Cambria" w:hAnsi="Cambria" w:eastAsia="宋体" w:cs="Times New Roman"/>
      <w:b/>
      <w:bCs/>
      <w:kern w:val="2"/>
      <w:sz w:val="24"/>
      <w:szCs w:val="28"/>
      <w:lang w:val="en-US" w:eastAsia="zh-CN" w:bidi="ar-SA"/>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ind w:firstLine="0"/>
      <w:jc w:val="left"/>
    </w:pPr>
    <w:rPr>
      <w:spacing w:val="-25"/>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400" w:lineRule="atLeast"/>
      <w:ind w:firstLine="0"/>
      <w:jc w:val="center"/>
    </w:pPr>
    <w:rPr>
      <w:sz w:val="28"/>
    </w:rPr>
  </w:style>
  <w:style w:type="paragraph" w:styleId="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8">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1">
    <w:name w:val="_Style 24"/>
    <w:basedOn w:val="1"/>
    <w:link w:val="10"/>
    <w:qFormat/>
    <w:uiPriority w:val="0"/>
    <w:pPr>
      <w:autoSpaceDE/>
      <w:autoSpaceDN/>
      <w:snapToGrid/>
      <w:spacing w:line="240" w:lineRule="auto"/>
      <w:ind w:firstLine="0"/>
    </w:pPr>
    <w:rPr>
      <w:rFonts w:eastAsia="宋体"/>
      <w:snapToGrid/>
      <w:kern w:val="2"/>
      <w:sz w:val="21"/>
      <w:szCs w:val="32"/>
    </w:rPr>
  </w:style>
  <w:style w:type="character" w:styleId="12">
    <w:name w:val="page number"/>
    <w:basedOn w:val="10"/>
    <w:qFormat/>
    <w:uiPriority w:val="0"/>
  </w:style>
  <w:style w:type="character" w:customStyle="1" w:styleId="13">
    <w:name w:val="articlebody"/>
    <w:basedOn w:val="10"/>
    <w:qFormat/>
    <w:uiPriority w:val="0"/>
  </w:style>
  <w:style w:type="paragraph" w:customStyle="1" w:styleId="14">
    <w:name w:val="抄送栏"/>
    <w:basedOn w:val="1"/>
    <w:qFormat/>
    <w:uiPriority w:val="0"/>
    <w:pPr>
      <w:adjustRightInd w:val="0"/>
      <w:snapToGrid/>
      <w:spacing w:line="454" w:lineRule="atLeast"/>
      <w:ind w:left="1310" w:right="357" w:hanging="953"/>
    </w:pPr>
  </w:style>
  <w:style w:type="paragraph" w:customStyle="1" w:styleId="15">
    <w:name w:val="印数"/>
    <w:basedOn w:val="16"/>
    <w:qFormat/>
    <w:uiPriority w:val="0"/>
    <w:pPr>
      <w:tabs>
        <w:tab w:val="right" w:pos="8465"/>
      </w:tabs>
      <w:spacing w:line="400" w:lineRule="atLeast"/>
      <w:jc w:val="right"/>
    </w:pPr>
  </w:style>
  <w:style w:type="paragraph" w:customStyle="1" w:styleId="16">
    <w:name w:val="印发栏"/>
    <w:basedOn w:val="4"/>
    <w:qFormat/>
    <w:uiPriority w:val="0"/>
    <w:pPr>
      <w:tabs>
        <w:tab w:val="right" w:pos="8465"/>
      </w:tabs>
      <w:spacing w:line="454" w:lineRule="atLeast"/>
      <w:ind w:left="357" w:right="357"/>
    </w:pPr>
    <w:rPr>
      <w:spacing w:val="0"/>
    </w:rPr>
  </w:style>
  <w:style w:type="paragraph" w:customStyle="1" w:styleId="17">
    <w:name w:val="主题词"/>
    <w:basedOn w:val="1"/>
    <w:qFormat/>
    <w:uiPriority w:val="0"/>
    <w:pPr>
      <w:adjustRightInd w:val="0"/>
      <w:snapToGrid/>
      <w:spacing w:line="240" w:lineRule="atLeast"/>
      <w:ind w:firstLine="0"/>
      <w:jc w:val="left"/>
    </w:pPr>
    <w:rPr>
      <w:rFonts w:ascii="宋体" w:eastAsia="宋体"/>
      <w:b/>
    </w:rPr>
  </w:style>
  <w:style w:type="paragraph" w:customStyle="1" w:styleId="18">
    <w:name w:val="线型"/>
    <w:basedOn w:val="14"/>
    <w:qFormat/>
    <w:uiPriority w:val="0"/>
    <w:pPr>
      <w:spacing w:line="240" w:lineRule="auto"/>
      <w:ind w:left="0" w:firstLine="0"/>
      <w:jc w:val="center"/>
    </w:pPr>
    <w:rPr>
      <w:sz w:val="21"/>
    </w:rPr>
  </w:style>
  <w:style w:type="paragraph" w:customStyle="1" w:styleId="19">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0">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1">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2">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3">
    <w:name w:val="紧急程度"/>
    <w:basedOn w:val="24"/>
    <w:qFormat/>
    <w:uiPriority w:val="0"/>
    <w:pPr>
      <w:overflowPunct w:val="0"/>
    </w:pPr>
    <w:rPr>
      <w:sz w:val="32"/>
    </w:rPr>
  </w:style>
  <w:style w:type="paragraph" w:customStyle="1" w:styleId="24">
    <w:name w:val="密级"/>
    <w:basedOn w:val="1"/>
    <w:qFormat/>
    <w:uiPriority w:val="0"/>
    <w:pPr>
      <w:adjustRightInd w:val="0"/>
      <w:spacing w:line="440" w:lineRule="atLeast"/>
      <w:ind w:firstLine="0"/>
      <w:jc w:val="right"/>
    </w:pPr>
    <w:rPr>
      <w:rFonts w:ascii="黑体" w:eastAsia="黑体"/>
      <w:sz w:val="30"/>
    </w:rPr>
  </w:style>
  <w:style w:type="paragraph" w:customStyle="1" w:styleId="25">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6">
    <w:name w:val="样式1"/>
    <w:basedOn w:val="1"/>
    <w:qFormat/>
    <w:uiPriority w:val="0"/>
  </w:style>
  <w:style w:type="paragraph" w:customStyle="1" w:styleId="27">
    <w:name w:val="标题2"/>
    <w:basedOn w:val="1"/>
    <w:next w:val="1"/>
    <w:qFormat/>
    <w:uiPriority w:val="0"/>
    <w:pPr>
      <w:ind w:firstLine="0"/>
      <w:jc w:val="center"/>
    </w:pPr>
    <w:rPr>
      <w:rFonts w:eastAsia="方正楷体_GBK"/>
    </w:rPr>
  </w:style>
  <w:style w:type="paragraph" w:customStyle="1" w:styleId="28">
    <w:name w:val="附件栏"/>
    <w:basedOn w:val="1"/>
    <w:qFormat/>
    <w:uiPriority w:val="0"/>
  </w:style>
  <w:style w:type="paragraph" w:customStyle="1" w:styleId="29">
    <w:name w:val="标题3"/>
    <w:basedOn w:val="1"/>
    <w:next w:val="1"/>
    <w:qFormat/>
    <w:uiPriority w:val="0"/>
    <w:rPr>
      <w:rFonts w:eastAsia="方正黑体_GBK"/>
    </w:rPr>
  </w:style>
  <w:style w:type="paragraph" w:customStyle="1" w:styleId="30">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Template>
  <Company>UQi.me</Company>
  <Pages>11</Pages>
  <Words>722</Words>
  <Characters>4117</Characters>
  <Lines>34</Lines>
  <Paragraphs>9</Paragraphs>
  <TotalTime>56</TotalTime>
  <ScaleCrop>false</ScaleCrop>
  <LinksUpToDate>false</LinksUpToDate>
  <CharactersWithSpaces>4830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2021-10-02T22:22:00Z</dcterms:created>
  <dc:creator>user</dc:creator>
  <cp:lastModifiedBy>user</cp:lastModifiedBy>
  <cp:lastPrinted>2025-01-27T09:50:46Z</cp:lastPrinted>
  <dcterms:modified xsi:type="dcterms:W3CDTF">2025-01-27T09:51:55Z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8011090B0456239AC6AC8867C87E90B8</vt:lpwstr>
  </property>
</Properties>
</file>