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106</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关于印发</w:t>
      </w:r>
      <w:r>
        <w:rPr>
          <w:rFonts w:hint="eastAsia" w:ascii="宋体" w:hAnsi="宋体" w:eastAsia="方正小标宋简体" w:cs="方正小标宋简体"/>
          <w:sz w:val="44"/>
          <w:szCs w:val="44"/>
          <w:highlight w:val="none"/>
        </w:rPr>
        <w:t>《赣州经开区“双GP”专项基金管理办法（试行）》</w:t>
      </w:r>
      <w:r>
        <w:rPr>
          <w:rFonts w:hint="eastAsia" w:ascii="宋体" w:hAnsi="宋体" w:eastAsia="方正小标宋简体" w:cs="方正小标宋简体"/>
          <w:sz w:val="44"/>
          <w:szCs w:val="44"/>
          <w:highlight w:val="none"/>
          <w:lang w:eastAsia="zh-CN"/>
        </w:rPr>
        <w:t>的通知</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宋体" w:hAnsi="宋体"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各镇(街道)，区直、驻区各部门(单位)，区属各国有企业: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sz w:val="32"/>
          <w:szCs w:val="32"/>
          <w:highlight w:val="none"/>
        </w:rPr>
      </w:pPr>
      <w:bookmarkStart w:id="1" w:name="_GoBack"/>
      <w:bookmarkEnd w:id="1"/>
      <w:r>
        <w:rPr>
          <w:rFonts w:hint="eastAsia" w:ascii="宋体" w:hAnsi="宋体" w:eastAsia="仿宋_GB2312" w:cs="仿宋_GB2312"/>
          <w:sz w:val="32"/>
          <w:szCs w:val="32"/>
          <w:highlight w:val="none"/>
        </w:rPr>
        <w:t>经2024年</w:t>
      </w:r>
      <w:r>
        <w:rPr>
          <w:rFonts w:hint="eastAsia" w:ascii="宋体" w:hAnsi="宋体" w:eastAsia="仿宋_GB2312" w:cs="仿宋_GB2312"/>
          <w:sz w:val="32"/>
          <w:szCs w:val="32"/>
          <w:highlight w:val="none"/>
          <w:lang w:val="en-US" w:eastAsia="zh-CN"/>
        </w:rPr>
        <w:t>9</w:t>
      </w:r>
      <w:r>
        <w:rPr>
          <w:rFonts w:hint="eastAsia" w:ascii="宋体" w:hAnsi="宋体" w:eastAsia="仿宋_GB2312" w:cs="仿宋_GB2312"/>
          <w:sz w:val="32"/>
          <w:szCs w:val="32"/>
          <w:highlight w:val="none"/>
        </w:rPr>
        <w:t>月26日区管委会第1</w:t>
      </w:r>
      <w:r>
        <w:rPr>
          <w:rFonts w:hint="eastAsia" w:ascii="宋体" w:hAnsi="宋体" w:eastAsia="仿宋_GB2312" w:cs="仿宋_GB2312"/>
          <w:sz w:val="32"/>
          <w:szCs w:val="32"/>
          <w:highlight w:val="none"/>
          <w:lang w:val="en-US" w:eastAsia="zh-CN"/>
        </w:rPr>
        <w:t>70</w:t>
      </w:r>
      <w:r>
        <w:rPr>
          <w:rFonts w:hint="eastAsia" w:ascii="宋体" w:hAnsi="宋体" w:eastAsia="仿宋_GB2312" w:cs="仿宋_GB2312"/>
          <w:sz w:val="32"/>
          <w:szCs w:val="32"/>
          <w:highlight w:val="none"/>
        </w:rPr>
        <w:t>次主任办公会议研究同意，现将《赣州经开区“双GP”专项基金管理办法（试行）》印发给你们，请认真贯彻执行。</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宋体" w:hAnsi="宋体" w:eastAsia="方正小标宋简体" w:cs="方正小标宋简体"/>
          <w:sz w:val="44"/>
          <w:szCs w:val="44"/>
          <w:highlight w:val="none"/>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宋体" w:hAnsi="宋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840" w:firstLineChars="1200"/>
        <w:jc w:val="left"/>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赣州经济技术开发区党政办公室</w:t>
      </w:r>
    </w:p>
    <w:p>
      <w:pPr>
        <w:keepNext w:val="0"/>
        <w:keepLines w:val="0"/>
        <w:pageBreakBefore w:val="0"/>
        <w:kinsoku/>
        <w:wordWrap/>
        <w:overflowPunct/>
        <w:topLinePunct w:val="0"/>
        <w:autoSpaceDE/>
        <w:autoSpaceDN/>
        <w:bidi w:val="0"/>
        <w:adjustRightInd w:val="0"/>
        <w:snapToGrid w:val="0"/>
        <w:spacing w:line="560" w:lineRule="exact"/>
        <w:ind w:firstLine="4800" w:firstLineChars="1500"/>
        <w:jc w:val="left"/>
        <w:textAlignment w:val="auto"/>
        <w:outlineLvl w:val="0"/>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2024年10月8日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赣州经开区“双GP”专项基金</w:t>
      </w:r>
    </w:p>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管理办法（试行）</w:t>
      </w:r>
    </w:p>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ascii="宋体" w:hAnsi="宋体" w:eastAsia="黑体" w:cs="黑体"/>
          <w:color w:val="000000" w:themeColor="text1"/>
          <w:sz w:val="32"/>
          <w:szCs w:val="32"/>
          <w:highlight w:val="none"/>
          <w14:textFill>
            <w14:solidFill>
              <w14:schemeClr w14:val="tx1"/>
            </w14:solidFill>
          </w14:textFill>
        </w:rPr>
      </w:pPr>
      <w:r>
        <w:rPr>
          <w:rFonts w:hint="eastAsia" w:ascii="宋体" w:hAnsi="宋体" w:eastAsia="黑体" w:cs="黑体"/>
          <w:color w:val="000000" w:themeColor="text1"/>
          <w:sz w:val="32"/>
          <w:szCs w:val="32"/>
          <w:highlight w:val="none"/>
          <w14:textFill>
            <w14:solidFill>
              <w14:schemeClr w14:val="tx1"/>
            </w14:solidFill>
          </w14:textFill>
        </w:rPr>
        <w:t>第一章 总  则</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 xml:space="preserve">第一条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为贯彻落实省地方金融监管局、</w:t>
      </w:r>
      <w:r>
        <w:rPr>
          <w:rFonts w:ascii="宋体" w:hAnsi="宋体" w:eastAsia="仿宋_GB2312" w:cs="仿宋_GB2312"/>
          <w:color w:val="000000" w:themeColor="text1"/>
          <w:sz w:val="32"/>
          <w:szCs w:val="32"/>
          <w:highlight w:val="none"/>
          <w14:textFill>
            <w14:solidFill>
              <w14:schemeClr w14:val="tx1"/>
            </w14:solidFill>
          </w14:textFill>
        </w:rPr>
        <w:t>省证监局</w:t>
      </w:r>
      <w:r>
        <w:rPr>
          <w:rFonts w:hint="eastAsia" w:ascii="宋体" w:hAnsi="宋体" w:eastAsia="仿宋_GB2312" w:cs="仿宋_GB2312"/>
          <w:color w:val="000000" w:themeColor="text1"/>
          <w:sz w:val="32"/>
          <w:szCs w:val="32"/>
          <w:highlight w:val="none"/>
          <w14:textFill>
            <w14:solidFill>
              <w14:schemeClr w14:val="tx1"/>
            </w14:solidFill>
          </w14:textFill>
        </w:rPr>
        <w:t>《关于促进我省私募股权投资高质量发展的实施意见》（赣金字〔2022〕133号）、市政府《关于进一步推动上市公司高质量发展的若干措施》（赣市府办字〔2023〕4号）、《赣州经济技术开发区推进重大项目产业基金升级工程方案》（赣经开办字〔2022〕203号）</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赣州经开区产业引导基金管理办法</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等精神</w:t>
      </w:r>
      <w:r>
        <w:rPr>
          <w:rFonts w:ascii="宋体" w:hAnsi="宋体" w:eastAsia="仿宋_GB2312" w:cs="仿宋_GB2312"/>
          <w:color w:val="000000" w:themeColor="text1"/>
          <w:sz w:val="32"/>
          <w:szCs w:val="32"/>
          <w:highlight w:val="none"/>
          <w14:textFill>
            <w14:solidFill>
              <w14:schemeClr w14:val="tx1"/>
            </w14:solidFill>
          </w14:textFill>
        </w:rPr>
        <w:t>，促进我区私募股权投资高质量发展，结合我区实际，构建“双GP”专项基金合作模式，</w:t>
      </w:r>
      <w:r>
        <w:rPr>
          <w:rFonts w:hint="eastAsia" w:ascii="宋体" w:hAnsi="宋体" w:eastAsia="仿宋_GB2312" w:cs="仿宋_GB2312"/>
          <w:color w:val="000000" w:themeColor="text1"/>
          <w:sz w:val="32"/>
          <w:szCs w:val="32"/>
          <w:highlight w:val="none"/>
          <w14:textFill>
            <w14:solidFill>
              <w14:schemeClr w14:val="tx1"/>
            </w14:solidFill>
          </w14:textFill>
        </w:rPr>
        <w:t>特制订本办法。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 xml:space="preserve">第二条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ascii="宋体" w:hAnsi="宋体" w:eastAsia="仿宋_GB2312" w:cs="仿宋_GB2312"/>
          <w:color w:val="000000" w:themeColor="text1"/>
          <w:sz w:val="32"/>
          <w:szCs w:val="32"/>
          <w:highlight w:val="none"/>
          <w14:textFill>
            <w14:solidFill>
              <w14:schemeClr w14:val="tx1"/>
            </w14:solidFill>
          </w14:textFill>
        </w:rPr>
        <w:t>本办法所称“双GP”专项基金</w:t>
      </w:r>
      <w:r>
        <w:rPr>
          <w:rFonts w:hint="eastAsia" w:ascii="宋体" w:hAnsi="宋体" w:eastAsia="仿宋_GB2312" w:cs="仿宋_GB2312"/>
          <w:color w:val="000000" w:themeColor="text1"/>
          <w:sz w:val="32"/>
          <w:szCs w:val="32"/>
          <w:highlight w:val="none"/>
          <w14:textFill>
            <w14:solidFill>
              <w14:schemeClr w14:val="tx1"/>
            </w14:solidFill>
          </w14:textFill>
        </w:rPr>
        <w:t>（以下简称“专项基金”）</w:t>
      </w:r>
      <w:r>
        <w:rPr>
          <w:rFonts w:ascii="宋体" w:hAnsi="宋体" w:eastAsia="仿宋_GB2312" w:cs="仿宋_GB2312"/>
          <w:color w:val="000000" w:themeColor="text1"/>
          <w:sz w:val="32"/>
          <w:szCs w:val="32"/>
          <w:highlight w:val="none"/>
          <w14:textFill>
            <w14:solidFill>
              <w14:schemeClr w14:val="tx1"/>
            </w14:solidFill>
          </w14:textFill>
        </w:rPr>
        <w:t>合作模式，系</w:t>
      </w:r>
      <w:r>
        <w:rPr>
          <w:rFonts w:hint="eastAsia" w:ascii="宋体" w:hAnsi="宋体" w:eastAsia="仿宋_GB2312" w:cs="仿宋_GB2312"/>
          <w:color w:val="000000" w:themeColor="text1"/>
          <w:sz w:val="32"/>
          <w:szCs w:val="32"/>
          <w:highlight w:val="none"/>
          <w14:textFill>
            <w14:solidFill>
              <w14:schemeClr w14:val="tx1"/>
            </w14:solidFill>
          </w14:textFill>
        </w:rPr>
        <w:t>通过“双GP+多</w:t>
      </w:r>
      <w:r>
        <w:rPr>
          <w:rFonts w:ascii="宋体" w:hAnsi="宋体" w:eastAsia="仿宋_GB2312" w:cs="仿宋_GB2312"/>
          <w:color w:val="000000" w:themeColor="text1"/>
          <w:sz w:val="32"/>
          <w:szCs w:val="32"/>
          <w:highlight w:val="none"/>
          <w14:textFill>
            <w14:solidFill>
              <w14:schemeClr w14:val="tx1"/>
            </w14:solidFill>
          </w14:textFill>
        </w:rPr>
        <w:t>有限合伙人（以下简称‘</w:t>
      </w:r>
      <w:r>
        <w:rPr>
          <w:rFonts w:hint="eastAsia" w:ascii="宋体" w:hAnsi="宋体" w:eastAsia="仿宋_GB2312" w:cs="仿宋_GB2312"/>
          <w:color w:val="000000" w:themeColor="text1"/>
          <w:sz w:val="32"/>
          <w:szCs w:val="32"/>
          <w:highlight w:val="none"/>
          <w14:textFill>
            <w14:solidFill>
              <w14:schemeClr w14:val="tx1"/>
            </w14:solidFill>
          </w14:textFill>
        </w:rPr>
        <w:t>LP</w:t>
      </w:r>
      <w:r>
        <w:rPr>
          <w:rFonts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+项目定投”</w:t>
      </w:r>
      <w:r>
        <w:rPr>
          <w:rFonts w:ascii="宋体" w:hAnsi="宋体" w:eastAsia="仿宋_GB2312" w:cs="仿宋_GB2312"/>
          <w:color w:val="000000" w:themeColor="text1"/>
          <w:sz w:val="32"/>
          <w:szCs w:val="32"/>
          <w:highlight w:val="none"/>
          <w14:textFill>
            <w14:solidFill>
              <w14:schemeClr w14:val="tx1"/>
            </w14:solidFill>
          </w14:textFill>
        </w:rPr>
        <w:t>模式</w:t>
      </w:r>
      <w:r>
        <w:rPr>
          <w:rFonts w:hint="eastAsia" w:ascii="宋体" w:hAnsi="宋体" w:eastAsia="仿宋_GB2312" w:cs="仿宋_GB2312"/>
          <w:color w:val="000000" w:themeColor="text1"/>
          <w:sz w:val="32"/>
          <w:szCs w:val="32"/>
          <w:highlight w:val="none"/>
          <w14:textFill>
            <w14:solidFill>
              <w14:schemeClr w14:val="tx1"/>
            </w14:solidFill>
          </w14:textFill>
        </w:rPr>
        <w:t>，按照“围绕头部机构找GP、围绕GP找项目、围绕项目找要素、围绕要素找赋能”路径，依托市场化基金管理人专业优势和</w:t>
      </w:r>
      <w:r>
        <w:rPr>
          <w:rFonts w:ascii="宋体" w:hAnsi="宋体" w:eastAsia="仿宋_GB2312" w:cs="仿宋_GB2312"/>
          <w:color w:val="000000" w:themeColor="text1"/>
          <w:sz w:val="32"/>
          <w:szCs w:val="32"/>
          <w:highlight w:val="none"/>
          <w14:textFill>
            <w14:solidFill>
              <w14:schemeClr w14:val="tx1"/>
            </w14:solidFill>
          </w14:textFill>
        </w:rPr>
        <w:t>招商功能</w:t>
      </w:r>
      <w:r>
        <w:rPr>
          <w:rFonts w:hint="eastAsia" w:ascii="宋体" w:hAnsi="宋体" w:eastAsia="仿宋_GB2312" w:cs="仿宋_GB2312"/>
          <w:color w:val="000000" w:themeColor="text1"/>
          <w:sz w:val="32"/>
          <w:szCs w:val="32"/>
          <w:highlight w:val="none"/>
          <w14:textFill>
            <w14:solidFill>
              <w14:schemeClr w14:val="tx1"/>
            </w14:solidFill>
          </w14:textFill>
        </w:rPr>
        <w:t>，对落地赣州经开区项目进行专项投资，</w:t>
      </w:r>
      <w:r>
        <w:rPr>
          <w:rFonts w:ascii="宋体" w:hAnsi="宋体" w:eastAsia="仿宋_GB2312" w:cs="仿宋_GB2312"/>
          <w:color w:val="000000" w:themeColor="text1"/>
          <w:sz w:val="32"/>
          <w:szCs w:val="32"/>
          <w:highlight w:val="none"/>
          <w14:textFill>
            <w14:solidFill>
              <w14:schemeClr w14:val="tx1"/>
            </w14:solidFill>
          </w14:textFill>
        </w:rPr>
        <w:t>并结合</w:t>
      </w:r>
      <w:r>
        <w:rPr>
          <w:rFonts w:hint="eastAsia" w:ascii="宋体" w:hAnsi="宋体" w:eastAsia="仿宋_GB2312" w:cs="仿宋_GB2312"/>
          <w:color w:val="000000" w:themeColor="text1"/>
          <w:sz w:val="32"/>
          <w:szCs w:val="32"/>
          <w:highlight w:val="none"/>
          <w14:textFill>
            <w14:solidFill>
              <w14:schemeClr w14:val="tx1"/>
            </w14:solidFill>
          </w14:textFill>
        </w:rPr>
        <w:t>“三办一园”金融服务体系，助力赣州经开区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重点</w:t>
      </w:r>
      <w:r>
        <w:rPr>
          <w:rFonts w:hint="eastAsia" w:ascii="宋体" w:hAnsi="宋体" w:eastAsia="仿宋_GB2312" w:cs="仿宋_GB2312"/>
          <w:color w:val="000000" w:themeColor="text1"/>
          <w:sz w:val="32"/>
          <w:szCs w:val="32"/>
          <w:highlight w:val="none"/>
          <w14:textFill>
            <w14:solidFill>
              <w14:schemeClr w14:val="tx1"/>
            </w14:solidFill>
          </w14:textFill>
        </w:rPr>
        <w:t>产业高质量跨越式发展，将赣州经开区打造成全市企业上市培育高地</w:t>
      </w:r>
      <w:r>
        <w:rPr>
          <w:rFonts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ascii="宋体" w:hAnsi="宋体" w:eastAsia="仿宋_GB2312" w:cs="仿宋_GB2312"/>
          <w:color w:val="000000" w:themeColor="text1"/>
          <w:sz w:val="32"/>
          <w:szCs w:val="32"/>
          <w:highlight w:val="none"/>
          <w14:textFill>
            <w14:solidFill>
              <w14:schemeClr w14:val="tx1"/>
            </w14:solidFill>
          </w14:textFill>
        </w:rPr>
        <w:t>三</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本办法所称“双GP”系赣州经开区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（以下简称“</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”）管理人赣州赣晟投资管理有限公司（以下简称“赣晟</w:t>
      </w:r>
      <w:r>
        <w:rPr>
          <w:rFonts w:ascii="宋体" w:hAnsi="宋体" w:eastAsia="仿宋_GB2312" w:cs="仿宋_GB2312"/>
          <w:color w:val="000000" w:themeColor="text1"/>
          <w:sz w:val="32"/>
          <w:szCs w:val="32"/>
          <w:highlight w:val="none"/>
          <w14:textFill>
            <w14:solidFill>
              <w14:schemeClr w14:val="tx1"/>
            </w14:solidFill>
          </w14:textFill>
        </w:rPr>
        <w:t>投资</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ascii="宋体" w:hAnsi="宋体" w:eastAsia="仿宋_GB2312" w:cs="仿宋_GB2312"/>
          <w:color w:val="000000" w:themeColor="text1"/>
          <w:sz w:val="32"/>
          <w:szCs w:val="32"/>
          <w:highlight w:val="none"/>
          <w14:textFill>
            <w14:solidFill>
              <w14:schemeClr w14:val="tx1"/>
            </w14:solidFill>
          </w14:textFill>
        </w:rPr>
        <w:t>和</w:t>
      </w:r>
      <w:r>
        <w:rPr>
          <w:rFonts w:hint="eastAsia" w:ascii="宋体" w:hAnsi="宋体" w:eastAsia="仿宋_GB2312" w:cs="仿宋_GB2312"/>
          <w:color w:val="000000" w:themeColor="text1"/>
          <w:sz w:val="32"/>
          <w:szCs w:val="32"/>
          <w:highlight w:val="none"/>
          <w14:textFill>
            <w14:solidFill>
              <w14:schemeClr w14:val="tx1"/>
            </w14:solidFill>
          </w14:textFill>
        </w:rPr>
        <w:t>市场化管理机构</w:t>
      </w:r>
      <w:r>
        <w:rPr>
          <w:rFonts w:ascii="宋体" w:hAnsi="宋体" w:eastAsia="仿宋_GB2312" w:cs="仿宋_GB2312"/>
          <w:color w:val="000000" w:themeColor="text1"/>
          <w:sz w:val="32"/>
          <w:szCs w:val="32"/>
          <w:highlight w:val="none"/>
          <w:lang w:bidi="ar"/>
          <w14:textFill>
            <w14:solidFill>
              <w14:schemeClr w14:val="tx1"/>
            </w14:solidFill>
          </w14:textFill>
        </w:rPr>
        <w:t>，其中市场化管理机构作为专项基金管理人。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黑体" w:cs="黑体"/>
          <w:color w:val="000000" w:themeColor="text1"/>
          <w:sz w:val="32"/>
          <w:szCs w:val="32"/>
          <w:highlight w:val="none"/>
          <w14:textFill>
            <w14:solidFill>
              <w14:schemeClr w14:val="tx1"/>
            </w14:solidFill>
          </w14:textFill>
        </w:rPr>
        <w:t xml:space="preserve">第二章 </w:t>
      </w:r>
      <w:r>
        <w:rPr>
          <w:rFonts w:hint="eastAsia" w:ascii="宋体" w:hAnsi="宋体" w:eastAsia="黑体" w:cs="黑体"/>
          <w:color w:val="000000" w:themeColor="text1"/>
          <w:sz w:val="32"/>
          <w:szCs w:val="32"/>
          <w:highlight w:val="none"/>
          <w:lang w:val="en-US" w:eastAsia="zh-CN"/>
          <w14:textFill>
            <w14:solidFill>
              <w14:schemeClr w14:val="tx1"/>
            </w14:solidFill>
          </w14:textFill>
        </w:rPr>
        <w:t>设立</w:t>
      </w:r>
      <w:r>
        <w:rPr>
          <w:rFonts w:hint="eastAsia" w:ascii="宋体" w:hAnsi="宋体" w:eastAsia="黑体" w:cs="黑体"/>
          <w:color w:val="000000" w:themeColor="text1"/>
          <w:sz w:val="32"/>
          <w:szCs w:val="32"/>
          <w:highlight w:val="none"/>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四</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ascii="宋体" w:hAnsi="宋体" w:eastAsia="仿宋_GB2312" w:cs="仿宋_GB2312"/>
          <w:color w:val="000000" w:themeColor="text1"/>
          <w:sz w:val="32"/>
          <w:szCs w:val="32"/>
          <w:highlight w:val="none"/>
          <w14:textFill>
            <w14:solidFill>
              <w14:schemeClr w14:val="tx1"/>
            </w14:solidFill>
          </w14:textFill>
        </w:rPr>
        <w:t>市场化管理机构</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与</w:t>
      </w:r>
      <w:r>
        <w:rPr>
          <w:rFonts w:hint="eastAsia" w:ascii="宋体" w:hAnsi="宋体" w:eastAsia="仿宋_GB2312" w:cs="仿宋_GB2312"/>
          <w:color w:val="000000" w:themeColor="text1"/>
          <w:sz w:val="32"/>
          <w:szCs w:val="32"/>
          <w:highlight w:val="none"/>
          <w14:textFill>
            <w14:solidFill>
              <w14:schemeClr w14:val="tx1"/>
            </w14:solidFill>
          </w14:textFill>
        </w:rPr>
        <w:t>赣晟</w:t>
      </w:r>
      <w:r>
        <w:rPr>
          <w:rFonts w:ascii="宋体" w:hAnsi="宋体" w:eastAsia="仿宋_GB2312" w:cs="仿宋_GB2312"/>
          <w:color w:val="000000" w:themeColor="text1"/>
          <w:sz w:val="32"/>
          <w:szCs w:val="32"/>
          <w:highlight w:val="none"/>
          <w14:textFill>
            <w14:solidFill>
              <w14:schemeClr w14:val="tx1"/>
            </w14:solidFill>
          </w14:textFill>
        </w:rPr>
        <w:t>投资</w:t>
      </w:r>
      <w:r>
        <w:rPr>
          <w:rFonts w:hint="eastAsia" w:ascii="宋体" w:hAnsi="宋体" w:eastAsia="仿宋_GB2312" w:cs="仿宋_GB2312"/>
          <w:color w:val="000000" w:themeColor="text1"/>
          <w:sz w:val="32"/>
          <w:szCs w:val="32"/>
          <w:highlight w:val="none"/>
          <w14:textFill>
            <w14:solidFill>
              <w14:schemeClr w14:val="tx1"/>
            </w14:solidFill>
          </w14:textFill>
        </w:rPr>
        <w:t>作为</w:t>
      </w:r>
      <w:r>
        <w:rPr>
          <w:rFonts w:ascii="宋体" w:hAnsi="宋体" w:eastAsia="仿宋_GB2312" w:cs="仿宋_GB2312"/>
          <w:color w:val="000000" w:themeColor="text1"/>
          <w:sz w:val="32"/>
          <w:szCs w:val="32"/>
          <w:highlight w:val="none"/>
          <w14:textFill>
            <w14:solidFill>
              <w14:schemeClr w14:val="tx1"/>
            </w14:solidFill>
          </w14:textFill>
        </w:rPr>
        <w:t>专项</w:t>
      </w:r>
      <w:r>
        <w:rPr>
          <w:rFonts w:hint="eastAsia" w:ascii="宋体" w:hAnsi="宋体" w:eastAsia="仿宋_GB2312" w:cs="仿宋_GB2312"/>
          <w:color w:val="000000" w:themeColor="text1"/>
          <w:sz w:val="32"/>
          <w:szCs w:val="32"/>
          <w:highlight w:val="none"/>
          <w14:textFill>
            <w14:solidFill>
              <w14:schemeClr w14:val="tx1"/>
            </w14:solidFill>
          </w14:textFill>
        </w:rPr>
        <w:t>基金的</w:t>
      </w:r>
      <w:r>
        <w:rPr>
          <w:rFonts w:ascii="宋体" w:hAnsi="宋体" w:eastAsia="仿宋_GB2312" w:cs="仿宋_GB2312"/>
          <w:color w:val="000000" w:themeColor="text1"/>
          <w:sz w:val="32"/>
          <w:szCs w:val="32"/>
          <w:highlight w:val="none"/>
          <w14:textFill>
            <w14:solidFill>
              <w14:schemeClr w14:val="tx1"/>
            </w14:solidFill>
          </w14:textFill>
        </w:rPr>
        <w:t>普通合伙人（GP）</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ascii="宋体" w:hAnsi="宋体" w:eastAsia="仿宋_GB2312" w:cs="仿宋_GB2312"/>
          <w:color w:val="000000" w:themeColor="text1"/>
          <w:sz w:val="32"/>
          <w:szCs w:val="32"/>
          <w:highlight w:val="none"/>
          <w14:textFill>
            <w14:solidFill>
              <w14:schemeClr w14:val="tx1"/>
            </w14:solidFill>
          </w14:textFill>
        </w:rPr>
        <w:t>共同</w:t>
      </w:r>
      <w:r>
        <w:rPr>
          <w:rFonts w:ascii="宋体" w:hAnsi="宋体" w:eastAsia="仿宋_GB2312" w:cs="仿宋_GB2312"/>
          <w:color w:val="000000" w:themeColor="text1"/>
          <w:sz w:val="32"/>
          <w:szCs w:val="32"/>
          <w:highlight w:val="none"/>
          <w:lang w:bidi="ar"/>
          <w14:textFill>
            <w14:solidFill>
              <w14:schemeClr w14:val="tx1"/>
            </w14:solidFill>
          </w14:textFill>
        </w:rPr>
        <w:t>参与</w:t>
      </w:r>
      <w:r>
        <w:rPr>
          <w:rFonts w:hint="eastAsia" w:ascii="宋体" w:hAnsi="宋体" w:eastAsia="仿宋_GB2312" w:cs="仿宋_GB2312"/>
          <w:color w:val="000000" w:themeColor="text1"/>
          <w:sz w:val="32"/>
          <w:szCs w:val="32"/>
          <w:highlight w:val="none"/>
          <w14:textFill>
            <w14:solidFill>
              <w14:schemeClr w14:val="tx1"/>
            </w14:solidFill>
          </w14:textFill>
        </w:rPr>
        <w:t>专项基金“募投管退”</w:t>
      </w:r>
      <w:r>
        <w:rPr>
          <w:rFonts w:ascii="宋体" w:hAnsi="宋体" w:eastAsia="仿宋_GB2312" w:cs="仿宋_GB2312"/>
          <w:color w:val="000000" w:themeColor="text1"/>
          <w:sz w:val="32"/>
          <w:szCs w:val="32"/>
          <w:highlight w:val="none"/>
          <w14:textFill>
            <w14:solidFill>
              <w14:schemeClr w14:val="tx1"/>
            </w14:solidFill>
          </w14:textFill>
        </w:rPr>
        <w:t>环节</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包括</w:t>
      </w:r>
      <w:r>
        <w:rPr>
          <w:rFonts w:hint="eastAsia" w:ascii="宋体" w:hAnsi="宋体" w:eastAsia="仿宋_GB2312" w:cs="仿宋_GB2312"/>
          <w:color w:val="000000" w:themeColor="text1"/>
          <w:sz w:val="32"/>
          <w:szCs w:val="32"/>
          <w:highlight w:val="none"/>
          <w14:textFill>
            <w14:solidFill>
              <w14:schemeClr w14:val="tx1"/>
            </w14:solidFill>
          </w14:textFill>
        </w:rPr>
        <w:t>项目</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开发</w:t>
      </w:r>
      <w:r>
        <w:rPr>
          <w:rFonts w:hint="eastAsia" w:ascii="宋体" w:hAnsi="宋体" w:eastAsia="仿宋_GB2312" w:cs="仿宋_GB2312"/>
          <w:color w:val="000000" w:themeColor="text1"/>
          <w:sz w:val="32"/>
          <w:szCs w:val="32"/>
          <w:highlight w:val="none"/>
          <w14:textFill>
            <w14:solidFill>
              <w14:schemeClr w14:val="tx1"/>
            </w14:solidFill>
          </w14:textFill>
        </w:rPr>
        <w:t>、投研判断</w:t>
      </w:r>
      <w:r>
        <w:rPr>
          <w:rFonts w:ascii="宋体" w:hAnsi="宋体" w:eastAsia="仿宋_GB2312" w:cs="仿宋_GB2312"/>
          <w:color w:val="000000" w:themeColor="text1"/>
          <w:sz w:val="32"/>
          <w:szCs w:val="32"/>
          <w:highlight w:val="none"/>
          <w14:textFill>
            <w14:solidFill>
              <w14:schemeClr w14:val="tx1"/>
            </w14:solidFill>
          </w14:textFill>
        </w:rPr>
        <w:t>、投后管理、企业赋能等工作</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五</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专项基金管理人或其管理团队应符合《</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私募投资基金监督管理条例</w:t>
      </w:r>
      <w:r>
        <w:rPr>
          <w:rFonts w:hint="eastAsia" w:ascii="宋体" w:hAnsi="宋体" w:eastAsia="仿宋_GB2312" w:cs="仿宋_GB2312"/>
          <w:color w:val="000000" w:themeColor="text1"/>
          <w:sz w:val="32"/>
          <w:szCs w:val="32"/>
          <w:highlight w:val="none"/>
          <w14:textFill>
            <w14:solidFill>
              <w14:schemeClr w14:val="tx1"/>
            </w14:solidFill>
          </w14:textFill>
        </w:rPr>
        <w:t>》《私募投资基金监督管理暂行办法》等法律法规、自律规则要求，符合</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关于子基金管理人申报的相关条件，且具备以下能力，</w:t>
      </w:r>
      <w:r>
        <w:rPr>
          <w:rFonts w:ascii="宋体" w:hAnsi="宋体" w:eastAsia="仿宋_GB2312" w:cs="仿宋_GB2312"/>
          <w:color w:val="000000" w:themeColor="text1"/>
          <w:sz w:val="32"/>
          <w:szCs w:val="32"/>
          <w:highlight w:val="none"/>
          <w14:textFill>
            <w14:solidFill>
              <w14:schemeClr w14:val="tx1"/>
            </w14:solidFill>
          </w14:textFill>
        </w:rPr>
        <w:t>符合赣州经开区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重点</w:t>
      </w:r>
      <w:r>
        <w:rPr>
          <w:rFonts w:ascii="宋体" w:hAnsi="宋体" w:eastAsia="仿宋_GB2312" w:cs="仿宋_GB2312"/>
          <w:color w:val="000000" w:themeColor="text1"/>
          <w:sz w:val="32"/>
          <w:szCs w:val="32"/>
          <w:highlight w:val="none"/>
          <w14:textFill>
            <w14:solidFill>
              <w14:schemeClr w14:val="tx1"/>
            </w14:solidFill>
          </w14:textFill>
        </w:rPr>
        <w:t>产业的龙头上市企业、</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央企下属或关联基金管理机构、</w:t>
      </w:r>
      <w:r>
        <w:rPr>
          <w:rFonts w:ascii="宋体" w:hAnsi="宋体" w:eastAsia="仿宋_GB2312" w:cs="仿宋_GB2312"/>
          <w:color w:val="000000" w:themeColor="text1"/>
          <w:sz w:val="32"/>
          <w:szCs w:val="32"/>
          <w:highlight w:val="none"/>
          <w14:textFill>
            <w14:solidFill>
              <w14:schemeClr w14:val="tx1"/>
            </w14:solidFill>
          </w14:textFill>
        </w:rPr>
        <w:t>世界500强企业</w:t>
      </w:r>
      <w:r>
        <w:rPr>
          <w:rFonts w:hint="eastAsia" w:ascii="宋体" w:hAnsi="宋体" w:eastAsia="仿宋_GB2312" w:cs="仿宋_GB2312"/>
          <w:color w:val="000000" w:themeColor="text1"/>
          <w:sz w:val="32"/>
          <w:szCs w:val="32"/>
          <w:highlight w:val="none"/>
          <w14:textFill>
            <w14:solidFill>
              <w14:schemeClr w14:val="tx1"/>
            </w14:solidFill>
          </w14:textFill>
        </w:rPr>
        <w:t>、</w:t>
      </w:r>
      <w:bookmarkStart w:id="0" w:name="_Hlk127893500"/>
      <w:r>
        <w:rPr>
          <w:rFonts w:hint="eastAsia" w:ascii="宋体" w:hAnsi="宋体" w:eastAsia="仿宋_GB2312" w:cs="仿宋_GB2312"/>
          <w:color w:val="000000" w:themeColor="text1"/>
          <w:sz w:val="32"/>
          <w:szCs w:val="32"/>
          <w:highlight w:val="none"/>
          <w14:textFill>
            <w14:solidFill>
              <w14:schemeClr w14:val="tx1"/>
            </w14:solidFill>
          </w14:textFill>
        </w:rPr>
        <w:t>迁址至赣州经开区的上市主体</w:t>
      </w:r>
      <w:bookmarkEnd w:id="0"/>
      <w:r>
        <w:rPr>
          <w:rFonts w:ascii="宋体" w:hAnsi="宋体" w:eastAsia="仿宋_GB2312" w:cs="仿宋_GB2312"/>
          <w:color w:val="000000" w:themeColor="text1"/>
          <w:sz w:val="32"/>
          <w:szCs w:val="32"/>
          <w:highlight w:val="none"/>
          <w14:textFill>
            <w14:solidFill>
              <w14:schemeClr w14:val="tx1"/>
            </w14:solidFill>
          </w14:textFill>
        </w:rPr>
        <w:t>的关联管理机构</w:t>
      </w:r>
      <w:r>
        <w:rPr>
          <w:rFonts w:hint="eastAsia" w:ascii="宋体" w:hAnsi="宋体" w:eastAsia="仿宋_GB2312" w:cs="仿宋_GB2312"/>
          <w:color w:val="000000" w:themeColor="text1"/>
          <w:sz w:val="32"/>
          <w:szCs w:val="32"/>
          <w:highlight w:val="none"/>
          <w14:textFill>
            <w14:solidFill>
              <w14:schemeClr w14:val="tx1"/>
            </w14:solidFill>
          </w14:textFill>
        </w:rPr>
        <w:t>可适当降低要求：</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楷体_GB2312" w:cs="楷体_GB2312"/>
          <w:color w:val="000000" w:themeColor="text1"/>
          <w:sz w:val="32"/>
          <w:szCs w:val="32"/>
          <w:highlight w:val="none"/>
          <w14:textFill>
            <w14:solidFill>
              <w14:schemeClr w14:val="tx1"/>
            </w14:solidFill>
          </w14:textFill>
        </w:rPr>
      </w:pPr>
      <w:r>
        <w:rPr>
          <w:rFonts w:hint="eastAsia" w:ascii="宋体" w:hAnsi="宋体" w:eastAsia="楷体_GB2312" w:cs="楷体_GB2312"/>
          <w:color w:val="000000" w:themeColor="text1"/>
          <w:sz w:val="32"/>
          <w:szCs w:val="32"/>
          <w:highlight w:val="none"/>
          <w14:textFill>
            <w14:solidFill>
              <w14:schemeClr w14:val="tx1"/>
            </w14:solidFill>
          </w14:textFill>
        </w:rPr>
        <w:t>（一）募资及出资能力</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专项基金管理人或管理团队应具备对应的社会化募资能力和出资能力</w:t>
      </w:r>
      <w:r>
        <w:rPr>
          <w:rFonts w:ascii="宋体" w:hAnsi="宋体" w:eastAsia="仿宋_GB2312" w:cs="仿宋_GB2312"/>
          <w:color w:val="000000" w:themeColor="text1"/>
          <w:sz w:val="32"/>
          <w:szCs w:val="32"/>
          <w:highlight w:val="none"/>
          <w14:textFill>
            <w14:solidFill>
              <w14:schemeClr w14:val="tx1"/>
            </w14:solidFill>
          </w14:textFill>
        </w:rPr>
        <w:t>，并落实除</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ascii="宋体" w:hAnsi="宋体" w:eastAsia="仿宋_GB2312" w:cs="仿宋_GB2312"/>
          <w:color w:val="000000" w:themeColor="text1"/>
          <w:sz w:val="32"/>
          <w:szCs w:val="32"/>
          <w:highlight w:val="none"/>
          <w14:textFill>
            <w14:solidFill>
              <w14:schemeClr w14:val="tx1"/>
            </w14:solidFill>
          </w14:textFill>
        </w:rPr>
        <w:t>之外的其他出资</w:t>
      </w:r>
      <w:r>
        <w:rPr>
          <w:rFonts w:hint="eastAsia" w:ascii="宋体" w:hAnsi="宋体" w:eastAsia="仿宋_GB2312" w:cs="仿宋_GB2312"/>
          <w:color w:val="000000" w:themeColor="text1"/>
          <w:sz w:val="32"/>
          <w:szCs w:val="32"/>
          <w:highlight w:val="none"/>
          <w14:textFill>
            <w14:solidFill>
              <w14:schemeClr w14:val="tx1"/>
            </w14:solidFill>
          </w14:textFill>
        </w:rPr>
        <w:t>；基金出资结构及社会出资承诺（意向）应当已明确；专项基金管理人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及其关联普通合伙人认缴</w:t>
      </w:r>
      <w:r>
        <w:rPr>
          <w:rFonts w:hint="eastAsia" w:ascii="宋体" w:hAnsi="宋体" w:eastAsia="仿宋_GB2312" w:cs="仿宋_GB2312"/>
          <w:color w:val="000000" w:themeColor="text1"/>
          <w:sz w:val="32"/>
          <w:szCs w:val="32"/>
          <w:highlight w:val="none"/>
          <w14:textFill>
            <w14:solidFill>
              <w14:schemeClr w14:val="tx1"/>
            </w14:solidFill>
          </w14:textFill>
        </w:rPr>
        <w:t>出资</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合计</w:t>
      </w:r>
      <w:r>
        <w:rPr>
          <w:rFonts w:hint="eastAsia" w:ascii="宋体" w:hAnsi="宋体" w:eastAsia="仿宋_GB2312" w:cs="仿宋_GB2312"/>
          <w:color w:val="000000" w:themeColor="text1"/>
          <w:sz w:val="32"/>
          <w:szCs w:val="32"/>
          <w:highlight w:val="none"/>
          <w14:textFill>
            <w14:solidFill>
              <w14:schemeClr w14:val="tx1"/>
            </w14:solidFill>
          </w14:textFill>
        </w:rPr>
        <w:t>不低于专项基金规模的</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1</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楷体_GB2312" w:cs="楷体_GB2312"/>
          <w:color w:val="000000" w:themeColor="text1"/>
          <w:sz w:val="32"/>
          <w:szCs w:val="32"/>
          <w:highlight w:val="none"/>
          <w14:textFill>
            <w14:solidFill>
              <w14:schemeClr w14:val="tx1"/>
            </w14:solidFill>
          </w14:textFill>
        </w:rPr>
      </w:pPr>
      <w:r>
        <w:rPr>
          <w:rFonts w:hint="eastAsia" w:ascii="宋体" w:hAnsi="宋体" w:eastAsia="楷体_GB2312" w:cs="楷体_GB2312"/>
          <w:color w:val="000000" w:themeColor="text1"/>
          <w:sz w:val="32"/>
          <w:szCs w:val="32"/>
          <w:highlight w:val="none"/>
          <w14:textFill>
            <w14:solidFill>
              <w14:schemeClr w14:val="tx1"/>
            </w14:solidFill>
          </w14:textFill>
        </w:rPr>
        <w:t>（二）投资管理能力</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1.</w:t>
      </w:r>
      <w:r>
        <w:rPr>
          <w:rFonts w:ascii="宋体" w:hAnsi="宋体" w:eastAsia="仿宋_GB2312" w:cs="仿宋_GB2312"/>
          <w:color w:val="000000" w:themeColor="text1"/>
          <w:sz w:val="32"/>
          <w:szCs w:val="32"/>
          <w:highlight w:val="none"/>
          <w14:textFill>
            <w14:solidFill>
              <w14:schemeClr w14:val="tx1"/>
            </w14:solidFill>
          </w14:textFill>
        </w:rPr>
        <w:t>专项基金管理人</w:t>
      </w:r>
      <w:r>
        <w:rPr>
          <w:rFonts w:hint="eastAsia" w:ascii="宋体" w:hAnsi="宋体" w:eastAsia="仿宋_GB2312" w:cs="仿宋_GB2312"/>
          <w:color w:val="000000" w:themeColor="text1"/>
          <w:sz w:val="32"/>
          <w:szCs w:val="32"/>
          <w:highlight w:val="none"/>
          <w14:textFill>
            <w14:solidFill>
              <w14:schemeClr w14:val="tx1"/>
            </w14:solidFill>
          </w14:textFill>
        </w:rPr>
        <w:t>/管理团队</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中</w:t>
      </w:r>
      <w:r>
        <w:rPr>
          <w:rFonts w:hint="eastAsia" w:ascii="宋体" w:hAnsi="宋体" w:eastAsia="仿宋_GB2312" w:cs="仿宋_GB2312"/>
          <w:color w:val="000000" w:themeColor="text1"/>
          <w:sz w:val="32"/>
          <w:szCs w:val="32"/>
          <w:highlight w:val="none"/>
          <w14:textFill>
            <w14:solidFill>
              <w14:schemeClr w14:val="tx1"/>
            </w14:solidFill>
          </w14:textFill>
        </w:rPr>
        <w:t>至少有</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3</w:t>
      </w:r>
      <w:r>
        <w:rPr>
          <w:rFonts w:hint="eastAsia" w:ascii="宋体" w:hAnsi="宋体" w:eastAsia="仿宋_GB2312" w:cs="仿宋_GB2312"/>
          <w:color w:val="000000" w:themeColor="text1"/>
          <w:sz w:val="32"/>
          <w:szCs w:val="32"/>
          <w:highlight w:val="none"/>
          <w14:textFill>
            <w14:solidFill>
              <w14:schemeClr w14:val="tx1"/>
            </w14:solidFill>
          </w14:textFill>
        </w:rPr>
        <w:t>名</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含</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以上</w:t>
      </w:r>
      <w:r>
        <w:rPr>
          <w:rFonts w:hint="eastAsia" w:ascii="宋体" w:hAnsi="宋体" w:eastAsia="仿宋_GB2312" w:cs="仿宋_GB2312"/>
          <w:color w:val="000000" w:themeColor="text1"/>
          <w:sz w:val="32"/>
          <w:szCs w:val="32"/>
          <w:highlight w:val="none"/>
          <w14:textFill>
            <w14:solidFill>
              <w14:schemeClr w14:val="tx1"/>
            </w14:solidFill>
          </w14:textFill>
        </w:rPr>
        <w:t>高级管理人员具备5年</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含</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以上股权投资</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管理</w:t>
      </w:r>
      <w:r>
        <w:rPr>
          <w:rFonts w:hint="eastAsia" w:ascii="宋体" w:hAnsi="宋体" w:eastAsia="仿宋_GB2312" w:cs="仿宋_GB2312"/>
          <w:color w:val="000000" w:themeColor="text1"/>
          <w:sz w:val="32"/>
          <w:szCs w:val="32"/>
          <w:highlight w:val="none"/>
          <w14:textFill>
            <w14:solidFill>
              <w14:schemeClr w14:val="tx1"/>
            </w14:solidFill>
          </w14:textFill>
        </w:rPr>
        <w:t>经验</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且有3个（含）以上股权投资的成功案例</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宋体" w:hAnsi="宋体" w:eastAsia="仿宋_GB2312" w:cs="仿宋_GB2312"/>
          <w:color w:val="000000" w:themeColor="text1"/>
          <w:sz w:val="32"/>
          <w:szCs w:val="32"/>
          <w:highlight w:val="none"/>
          <w:lang w:val="en-US" w:eastAsia="zh-CN"/>
          <w14:textFill>
            <w14:solidFill>
              <w14:schemeClr w14:val="tx1"/>
            </w14:solidFill>
          </w14:textFill>
        </w:rPr>
      </w:pP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2.派驻专项基金的专职管理团队中至少有1名专职管理人员具备3年以上私募基金管理经验；在专项基金主要投资领域，至少有1名专职管理人员具备基金募资、投资和管理经验；</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3</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ascii="宋体" w:hAnsi="宋体" w:eastAsia="仿宋_GB2312" w:cs="仿宋_GB2312"/>
          <w:color w:val="000000" w:themeColor="text1"/>
          <w:sz w:val="32"/>
          <w:szCs w:val="32"/>
          <w:highlight w:val="none"/>
          <w14:textFill>
            <w14:solidFill>
              <w14:schemeClr w14:val="tx1"/>
            </w14:solidFill>
          </w14:textFill>
        </w:rPr>
        <w:t>专项基金管理人</w:t>
      </w:r>
      <w:r>
        <w:rPr>
          <w:rFonts w:hint="eastAsia" w:ascii="宋体" w:hAnsi="宋体" w:eastAsia="仿宋_GB2312" w:cs="仿宋_GB2312"/>
          <w:color w:val="000000" w:themeColor="text1"/>
          <w:sz w:val="32"/>
          <w:szCs w:val="32"/>
          <w:highlight w:val="none"/>
          <w14:textFill>
            <w14:solidFill>
              <w14:schemeClr w14:val="tx1"/>
            </w14:solidFill>
          </w14:textFill>
        </w:rPr>
        <w:t>/管理团队有较强的</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基金管理</w:t>
      </w:r>
      <w:r>
        <w:rPr>
          <w:rFonts w:hint="eastAsia" w:ascii="宋体" w:hAnsi="宋体" w:eastAsia="仿宋_GB2312" w:cs="仿宋_GB2312"/>
          <w:color w:val="000000" w:themeColor="text1"/>
          <w:sz w:val="32"/>
          <w:szCs w:val="32"/>
          <w:highlight w:val="none"/>
          <w14:textFill>
            <w14:solidFill>
              <w14:schemeClr w14:val="tx1"/>
            </w14:solidFill>
          </w14:textFill>
        </w:rPr>
        <w:t>能力，累计基金管理规模不低</w:t>
      </w:r>
      <w:r>
        <w:rPr>
          <w:rFonts w:hint="eastAsia" w:ascii="宋体" w:hAnsi="宋体" w:eastAsia="仿宋_GB2312" w:cs="仿宋_GB2312"/>
          <w:sz w:val="32"/>
          <w:szCs w:val="32"/>
          <w:highlight w:val="none"/>
        </w:rPr>
        <w:t>于</w:t>
      </w:r>
      <w:r>
        <w:rPr>
          <w:rFonts w:hint="eastAsia" w:ascii="宋体" w:hAnsi="宋体" w:eastAsia="仿宋_GB2312" w:cs="仿宋_GB2312"/>
          <w:sz w:val="32"/>
          <w:szCs w:val="32"/>
          <w:highlight w:val="none"/>
          <w:lang w:val="en-US" w:eastAsia="zh-CN"/>
        </w:rPr>
        <w:t>10</w:t>
      </w:r>
      <w:r>
        <w:rPr>
          <w:rFonts w:hint="eastAsia" w:ascii="宋体" w:hAnsi="宋体" w:eastAsia="仿宋_GB2312" w:cs="仿宋_GB2312"/>
          <w:sz w:val="32"/>
          <w:szCs w:val="32"/>
          <w:highlight w:val="none"/>
        </w:rPr>
        <w:t>亿元人民币</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4</w:t>
      </w:r>
      <w:r>
        <w:rPr>
          <w:rFonts w:hint="eastAsia" w:ascii="宋体" w:hAnsi="宋体" w:eastAsia="仿宋_GB2312" w:cs="仿宋_GB2312"/>
          <w:color w:val="000000" w:themeColor="text1"/>
          <w:sz w:val="32"/>
          <w:szCs w:val="32"/>
          <w:highlight w:val="none"/>
          <w14:textFill>
            <w14:solidFill>
              <w14:schemeClr w14:val="tx1"/>
            </w14:solidFill>
          </w14:textFill>
        </w:rPr>
        <w:t>.与政府/国企合作的基金管理规模不低于拟设专项基金规模。</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楷体_GB2312" w:cs="楷体_GB2312"/>
          <w:color w:val="000000" w:themeColor="text1"/>
          <w:sz w:val="32"/>
          <w:szCs w:val="32"/>
          <w:highlight w:val="none"/>
          <w14:textFill>
            <w14:solidFill>
              <w14:schemeClr w14:val="tx1"/>
            </w14:solidFill>
          </w14:textFill>
        </w:rPr>
      </w:pPr>
      <w:r>
        <w:rPr>
          <w:rFonts w:hint="eastAsia" w:ascii="宋体" w:hAnsi="宋体" w:eastAsia="楷体_GB2312" w:cs="楷体_GB2312"/>
          <w:color w:val="000000" w:themeColor="text1"/>
          <w:sz w:val="32"/>
          <w:szCs w:val="32"/>
          <w:highlight w:val="none"/>
          <w14:textFill>
            <w14:solidFill>
              <w14:schemeClr w14:val="tx1"/>
            </w14:solidFill>
          </w14:textFill>
        </w:rPr>
        <w:t>（三）项目落地要求</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专项基金拟投项目须</w:t>
      </w:r>
      <w:r>
        <w:rPr>
          <w:rFonts w:ascii="宋体" w:hAnsi="宋体" w:eastAsia="仿宋_GB2312" w:cs="仿宋_GB2312"/>
          <w:color w:val="000000" w:themeColor="text1"/>
          <w:sz w:val="32"/>
          <w:szCs w:val="32"/>
          <w:highlight w:val="none"/>
          <w14:textFill>
            <w14:solidFill>
              <w14:schemeClr w14:val="tx1"/>
            </w14:solidFill>
          </w14:textFill>
        </w:rPr>
        <w:t>全部</w:t>
      </w:r>
      <w:r>
        <w:rPr>
          <w:rFonts w:hint="eastAsia" w:ascii="宋体" w:hAnsi="宋体" w:eastAsia="仿宋_GB2312" w:cs="仿宋_GB2312"/>
          <w:color w:val="000000" w:themeColor="text1"/>
          <w:sz w:val="32"/>
          <w:szCs w:val="32"/>
          <w:highlight w:val="none"/>
          <w14:textFill>
            <w14:solidFill>
              <w14:schemeClr w14:val="tx1"/>
            </w14:solidFill>
          </w14:textFill>
        </w:rPr>
        <w:t>落地</w:t>
      </w:r>
      <w:r>
        <w:rPr>
          <w:rFonts w:ascii="宋体" w:hAnsi="宋体" w:eastAsia="仿宋_GB2312" w:cs="仿宋_GB2312"/>
          <w:color w:val="000000" w:themeColor="text1"/>
          <w:sz w:val="32"/>
          <w:szCs w:val="32"/>
          <w:highlight w:val="none"/>
          <w14:textFill>
            <w14:solidFill>
              <w14:schemeClr w14:val="tx1"/>
            </w14:solidFill>
          </w14:textFill>
        </w:rPr>
        <w:t>赣州经开区</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六</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专项基金应当投向赣州经开区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重点产业</w:t>
      </w:r>
      <w:r>
        <w:rPr>
          <w:rFonts w:hint="eastAsia" w:ascii="宋体" w:hAnsi="宋体" w:eastAsia="仿宋_GB2312" w:cs="仿宋_GB2312"/>
          <w:color w:val="000000" w:themeColor="text1"/>
          <w:sz w:val="32"/>
          <w:szCs w:val="32"/>
          <w:highlight w:val="none"/>
          <w14:textFill>
            <w14:solidFill>
              <w14:schemeClr w14:val="tx1"/>
            </w14:solidFill>
          </w14:textFill>
        </w:rPr>
        <w:t>，主要包括新能源及新能源汽车、电子信息</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稀土钨锂高端应用、新材料、高端装备和</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食品精深加工、节能环保</w:t>
      </w:r>
      <w:r>
        <w:rPr>
          <w:rFonts w:hint="eastAsia" w:ascii="宋体" w:hAnsi="宋体" w:eastAsia="仿宋_GB2312" w:cs="仿宋_GB2312"/>
          <w:color w:val="000000" w:themeColor="text1"/>
          <w:sz w:val="32"/>
          <w:szCs w:val="32"/>
          <w:highlight w:val="none"/>
          <w14:textFill>
            <w14:solidFill>
              <w14:schemeClr w14:val="tx1"/>
            </w14:solidFill>
          </w14:textFill>
        </w:rPr>
        <w:t>等，同时支持利用财政资金形成的科技成果转化</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项目</w:t>
      </w:r>
      <w:r>
        <w:rPr>
          <w:rFonts w:hint="eastAsia" w:ascii="宋体" w:hAnsi="宋体" w:eastAsia="仿宋_GB2312" w:cs="仿宋_GB2312"/>
          <w:color w:val="000000" w:themeColor="text1"/>
          <w:sz w:val="32"/>
          <w:szCs w:val="32"/>
          <w:highlight w:val="none"/>
          <w14:textFill>
            <w14:solidFill>
              <w14:schemeClr w14:val="tx1"/>
            </w14:solidFill>
          </w14:textFill>
        </w:rPr>
        <w:t>，包括国家（行业、部门）、省级科技计划（专项、项目）及其它由事业单位产生的新技术、新产品、新工艺、新材料、新装置及其系统等成果的产业化和工程化</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项目</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七</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ascii="宋体" w:hAnsi="宋体" w:eastAsia="仿宋_GB2312" w:cs="仿宋_GB2312"/>
          <w:color w:val="000000" w:themeColor="text1"/>
          <w:sz w:val="32"/>
          <w:szCs w:val="32"/>
          <w:highlight w:val="none"/>
          <w14:textFill>
            <w14:solidFill>
              <w14:schemeClr w14:val="tx1"/>
            </w14:solidFill>
          </w14:textFill>
        </w:rPr>
        <w:t>专项基金管理人</w:t>
      </w:r>
      <w:r>
        <w:rPr>
          <w:rFonts w:hint="eastAsia" w:ascii="宋体" w:hAnsi="宋体" w:eastAsia="仿宋_GB2312" w:cs="仿宋_GB2312"/>
          <w:color w:val="000000" w:themeColor="text1"/>
          <w:sz w:val="32"/>
          <w:szCs w:val="32"/>
          <w:highlight w:val="none"/>
          <w14:textFill>
            <w14:solidFill>
              <w14:schemeClr w14:val="tx1"/>
            </w14:solidFill>
          </w14:textFill>
        </w:rPr>
        <w:t>向区基金办提交</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专项基金设立</w:t>
      </w:r>
      <w:r>
        <w:rPr>
          <w:rFonts w:hint="eastAsia" w:ascii="宋体" w:hAnsi="宋体" w:eastAsia="仿宋_GB2312" w:cs="仿宋_GB2312"/>
          <w:color w:val="000000" w:themeColor="text1"/>
          <w:sz w:val="32"/>
          <w:szCs w:val="32"/>
          <w:highlight w:val="none"/>
          <w14:textFill>
            <w14:solidFill>
              <w14:schemeClr w14:val="tx1"/>
            </w14:solidFill>
          </w14:textFill>
        </w:rPr>
        <w:t>申请，经</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区基金办</w:t>
      </w:r>
      <w:r>
        <w:rPr>
          <w:rFonts w:hint="eastAsia" w:ascii="宋体" w:hAnsi="宋体" w:eastAsia="仿宋_GB2312" w:cs="仿宋_GB2312"/>
          <w:color w:val="000000" w:themeColor="text1"/>
          <w:sz w:val="32"/>
          <w:szCs w:val="32"/>
          <w:highlight w:val="none"/>
          <w14:textFill>
            <w14:solidFill>
              <w14:schemeClr w14:val="tx1"/>
            </w14:solidFill>
          </w14:textFill>
        </w:rPr>
        <w:t>审定符合要求的，按照《赣州经开区产业引导基金管理办法》相关程序设立。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r>
        <w:rPr>
          <w:rFonts w:hint="eastAsia" w:ascii="宋体" w:hAnsi="宋体" w:eastAsia="黑体" w:cs="黑体"/>
          <w:color w:val="000000" w:themeColor="text1"/>
          <w:sz w:val="32"/>
          <w:szCs w:val="32"/>
          <w:highlight w:val="none"/>
          <w14:textFill>
            <w14:solidFill>
              <w14:schemeClr w14:val="tx1"/>
            </w14:solidFill>
          </w14:textFill>
        </w:rPr>
        <w:t xml:space="preserve">第三章 </w:t>
      </w:r>
      <w:r>
        <w:rPr>
          <w:rFonts w:hint="eastAsia" w:ascii="宋体" w:hAnsi="宋体" w:eastAsia="黑体" w:cs="黑体"/>
          <w:color w:val="000000" w:themeColor="text1"/>
          <w:sz w:val="32"/>
          <w:szCs w:val="32"/>
          <w:highlight w:val="none"/>
          <w:lang w:val="en-US" w:eastAsia="zh-CN"/>
          <w14:textFill>
            <w14:solidFill>
              <w14:schemeClr w14:val="tx1"/>
            </w14:solidFill>
          </w14:textFill>
        </w:rPr>
        <w:t>投资</w:t>
      </w:r>
      <w:r>
        <w:rPr>
          <w:rFonts w:hint="eastAsia" w:ascii="宋体" w:hAnsi="宋体" w:eastAsia="黑体" w:cs="黑体"/>
          <w:color w:val="000000" w:themeColor="text1"/>
          <w:sz w:val="32"/>
          <w:szCs w:val="32"/>
          <w:highlight w:val="none"/>
          <w14:textFill>
            <w14:solidFill>
              <w14:schemeClr w14:val="tx1"/>
            </w14:solidFill>
          </w14:textFill>
        </w:rPr>
        <w:t>运作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八</w:t>
      </w:r>
      <w:r>
        <w:rPr>
          <w:rFonts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专项基金应当注册在赣州经开区</w:t>
      </w:r>
      <w:r>
        <w:rPr>
          <w:rFonts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采取有限合伙企业</w:t>
      </w:r>
      <w:r>
        <w:rPr>
          <w:rFonts w:ascii="宋体" w:hAnsi="宋体" w:eastAsia="仿宋_GB2312" w:cs="仿宋_GB2312"/>
          <w:color w:val="000000" w:themeColor="text1"/>
          <w:sz w:val="32"/>
          <w:szCs w:val="32"/>
          <w:highlight w:val="none"/>
          <w14:textFill>
            <w14:solidFill>
              <w14:schemeClr w14:val="tx1"/>
            </w14:solidFill>
          </w14:textFill>
        </w:rPr>
        <w:t>形式，</w:t>
      </w:r>
      <w:r>
        <w:rPr>
          <w:rFonts w:hint="eastAsia" w:ascii="宋体" w:hAnsi="宋体" w:eastAsia="仿宋_GB2312" w:cs="仿宋_GB2312"/>
          <w:color w:val="000000" w:themeColor="text1"/>
          <w:sz w:val="32"/>
          <w:szCs w:val="32"/>
          <w:highlight w:val="none"/>
          <w14:textFill>
            <w14:solidFill>
              <w14:schemeClr w14:val="tx1"/>
            </w14:solidFill>
          </w14:textFill>
        </w:rPr>
        <w:t>期限原则上应符合</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的期限要求</w:t>
      </w:r>
      <w:r>
        <w:rPr>
          <w:rFonts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出资</w:t>
      </w:r>
      <w:r>
        <w:rPr>
          <w:rFonts w:ascii="宋体" w:hAnsi="宋体" w:eastAsia="仿宋_GB2312" w:cs="仿宋_GB2312"/>
          <w:color w:val="000000" w:themeColor="text1"/>
          <w:sz w:val="32"/>
          <w:szCs w:val="32"/>
          <w:highlight w:val="none"/>
          <w14:textFill>
            <w14:solidFill>
              <w14:schemeClr w14:val="tx1"/>
            </w14:solidFill>
          </w14:textFill>
        </w:rPr>
        <w:t>不超过专项基金总规模的</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8</w:t>
      </w:r>
      <w:r>
        <w:rPr>
          <w:rFonts w:ascii="宋体" w:hAnsi="宋体" w:eastAsia="仿宋_GB2312" w:cs="仿宋_GB2312"/>
          <w:color w:val="000000" w:themeColor="text1"/>
          <w:sz w:val="32"/>
          <w:szCs w:val="32"/>
          <w:highlight w:val="none"/>
          <w14:textFill>
            <w14:solidFill>
              <w14:schemeClr w14:val="tx1"/>
            </w14:solidFill>
          </w14:textFill>
        </w:rPr>
        <w:t>0%；专项基金</w:t>
      </w:r>
      <w:r>
        <w:rPr>
          <w:rFonts w:hint="eastAsia" w:ascii="宋体" w:hAnsi="宋体" w:eastAsia="仿宋_GB2312" w:cs="仿宋_GB2312"/>
          <w:color w:val="000000" w:themeColor="text1"/>
          <w:sz w:val="32"/>
          <w:szCs w:val="32"/>
          <w:highlight w:val="none"/>
          <w14:textFill>
            <w14:solidFill>
              <w14:schemeClr w14:val="tx1"/>
            </w14:solidFill>
          </w14:textFill>
        </w:rPr>
        <w:t>管理费原则上不高于实缴金额的</w:t>
      </w:r>
      <w:r>
        <w:rPr>
          <w:rFonts w:ascii="宋体" w:hAnsi="宋体" w:eastAsia="仿宋_GB2312" w:cs="仿宋_GB2312"/>
          <w:color w:val="000000" w:themeColor="text1"/>
          <w:sz w:val="32"/>
          <w:szCs w:val="32"/>
          <w:highlight w:val="none"/>
          <w14:textFill>
            <w14:solidFill>
              <w14:schemeClr w14:val="tx1"/>
            </w14:solidFill>
          </w14:textFill>
        </w:rPr>
        <w:t>2%/年</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九</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社会资本应</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不晚</w:t>
      </w:r>
      <w:r>
        <w:rPr>
          <w:rFonts w:hint="eastAsia" w:ascii="宋体" w:hAnsi="宋体" w:eastAsia="仿宋_GB2312" w:cs="仿宋_GB2312"/>
          <w:sz w:val="32"/>
          <w:szCs w:val="32"/>
          <w:highlight w:val="none"/>
        </w:rPr>
        <w:t>于</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hint="eastAsia" w:ascii="宋体" w:hAnsi="宋体" w:eastAsia="仿宋_GB2312" w:cs="仿宋_GB2312"/>
          <w:color w:val="000000" w:themeColor="text1"/>
          <w:sz w:val="32"/>
          <w:szCs w:val="32"/>
          <w:highlight w:val="none"/>
          <w14:textFill>
            <w14:solidFill>
              <w14:schemeClr w14:val="tx1"/>
            </w14:solidFill>
          </w14:textFill>
        </w:rPr>
        <w:t>出资到位；基金基本账户、募集账户和托管账户在</w:t>
      </w:r>
      <w:r>
        <w:rPr>
          <w:rFonts w:ascii="宋体" w:hAnsi="宋体" w:eastAsia="仿宋_GB2312" w:cs="仿宋_GB2312"/>
          <w:color w:val="000000" w:themeColor="text1"/>
          <w:sz w:val="32"/>
          <w:szCs w:val="32"/>
          <w:highlight w:val="none"/>
          <w14:textFill>
            <w14:solidFill>
              <w14:schemeClr w14:val="tx1"/>
            </w14:solidFill>
          </w14:textFill>
        </w:rPr>
        <w:t>赣州经开</w:t>
      </w:r>
      <w:r>
        <w:rPr>
          <w:rFonts w:hint="eastAsia" w:ascii="宋体" w:hAnsi="宋体" w:eastAsia="仿宋_GB2312" w:cs="仿宋_GB2312"/>
          <w:color w:val="000000" w:themeColor="text1"/>
          <w:sz w:val="32"/>
          <w:szCs w:val="32"/>
          <w:highlight w:val="none"/>
          <w14:textFill>
            <w14:solidFill>
              <w14:schemeClr w14:val="tx1"/>
            </w14:solidFill>
          </w14:textFill>
        </w:rPr>
        <w:t>区辖区内银行开立，并由赣晟投资和专项基金管理人共管，增加赣晟投资预留印鉴。</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第十条</w:t>
      </w:r>
      <w:r>
        <w:rPr>
          <w:rFonts w:hint="eastAsia" w:ascii="宋体" w:hAnsi="宋体" w:eastAsia="楷体_GB2312" w:cs="楷体_GB2312"/>
          <w:color w:val="000000" w:themeColor="text1"/>
          <w:sz w:val="32"/>
          <w:szCs w:val="32"/>
          <w:highlight w:val="none"/>
          <w14:textFill>
            <w14:solidFill>
              <w14:schemeClr w14:val="tx1"/>
            </w14:solidFill>
          </w14:textFill>
        </w:rPr>
        <w:t xml:space="preserve"> </w:t>
      </w:r>
      <w:r>
        <w:rPr>
          <w:rFonts w:hint="eastAsia" w:ascii="宋体" w:hAnsi="宋体"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w:t>
      </w:r>
      <w:r>
        <w:rPr>
          <w:rFonts w:ascii="宋体" w:hAnsi="宋体" w:eastAsia="仿宋_GB2312" w:cs="仿宋_GB2312"/>
          <w:color w:val="000000" w:themeColor="text1"/>
          <w:sz w:val="32"/>
          <w:szCs w:val="32"/>
          <w:highlight w:val="none"/>
          <w14:textFill>
            <w14:solidFill>
              <w14:schemeClr w14:val="tx1"/>
            </w14:solidFill>
          </w14:textFill>
        </w:rPr>
        <w:t>资金对单个项目的投资金额不超过基金总规模的50%</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sz w:val="32"/>
          <w:szCs w:val="32"/>
          <w:highlight w:val="none"/>
        </w:rPr>
        <w:t>坚持不落地不投资原则</w:t>
      </w:r>
      <w:r>
        <w:rPr>
          <w:rFonts w:ascii="宋体" w:hAnsi="宋体" w:eastAsia="仿宋_GB2312" w:cs="仿宋_GB2312"/>
          <w:color w:val="000000" w:themeColor="text1"/>
          <w:sz w:val="32"/>
          <w:szCs w:val="32"/>
          <w:highlight w:val="none"/>
          <w14:textFill>
            <w14:solidFill>
              <w14:schemeClr w14:val="tx1"/>
            </w14:solidFill>
          </w14:textFill>
        </w:rPr>
        <w:t>（落地是指被投企业与区管委会签署项目投资合同）</w:t>
      </w:r>
      <w:r>
        <w:rPr>
          <w:rFonts w:hint="eastAsia" w:ascii="宋体" w:hAnsi="宋体" w:eastAsia="仿宋_GB2312" w:cs="仿宋_GB2312"/>
          <w:color w:val="000000" w:themeColor="text1"/>
          <w:sz w:val="32"/>
          <w:szCs w:val="32"/>
          <w:highlight w:val="none"/>
          <w14:textFill>
            <w14:solidFill>
              <w14:schemeClr w14:val="tx1"/>
            </w14:solidFill>
          </w14:textFill>
        </w:rPr>
        <w:t>；不得进行循环投资。</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一</w:t>
      </w:r>
      <w:r>
        <w:rPr>
          <w:rFonts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赣晟投资</w:t>
      </w:r>
      <w:r>
        <w:rPr>
          <w:rFonts w:ascii="宋体" w:hAnsi="宋体" w:eastAsia="仿宋_GB2312" w:cs="仿宋_GB2312"/>
          <w:color w:val="000000" w:themeColor="text1"/>
          <w:sz w:val="32"/>
          <w:szCs w:val="32"/>
          <w:highlight w:val="none"/>
          <w14:textFill>
            <w14:solidFill>
              <w14:schemeClr w14:val="tx1"/>
            </w14:solidFill>
          </w14:textFill>
        </w:rPr>
        <w:t>有权</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参与项目</w:t>
      </w:r>
      <w:r>
        <w:rPr>
          <w:rFonts w:hint="eastAsia" w:ascii="宋体" w:hAnsi="宋体" w:eastAsia="仿宋_GB2312" w:cs="仿宋_GB2312"/>
          <w:color w:val="000000" w:themeColor="text1"/>
          <w:sz w:val="32"/>
          <w:szCs w:val="32"/>
          <w:highlight w:val="none"/>
          <w14:textFill>
            <w14:solidFill>
              <w14:schemeClr w14:val="tx1"/>
            </w14:solidFill>
          </w14:textFill>
        </w:rPr>
        <w:t>尽调</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投资谈判、投资决策等环节。</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宋体" w:hAnsi="宋体" w:eastAsia="仿宋_GB2312" w:cs="仿宋_GB2312"/>
          <w:color w:val="000000" w:themeColor="text1"/>
          <w:sz w:val="32"/>
          <w:szCs w:val="32"/>
          <w:highlight w:val="none"/>
          <w:lang w:val="en-US" w:eastAsia="zh-CN"/>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二</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专项基金应在符合相关法律、制度规定的前提下按照市场化方式退出，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包括</w:t>
      </w:r>
      <w:r>
        <w:rPr>
          <w:rFonts w:hint="eastAsia" w:ascii="宋体" w:hAnsi="宋体" w:eastAsia="仿宋_GB2312" w:cs="仿宋_GB2312"/>
          <w:color w:val="000000" w:themeColor="text1"/>
          <w:sz w:val="32"/>
          <w:szCs w:val="32"/>
          <w:highlight w:val="none"/>
          <w14:textFill>
            <w14:solidFill>
              <w14:schemeClr w14:val="tx1"/>
            </w14:solidFill>
          </w14:textFill>
        </w:rPr>
        <w:t>被投企业上市后在二级市场减持、持有被投企业股权转让以及被投企业</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实际控制</w:t>
      </w:r>
      <w:r>
        <w:rPr>
          <w:rFonts w:hint="eastAsia" w:ascii="宋体" w:hAnsi="宋体" w:eastAsia="仿宋_GB2312" w:cs="仿宋_GB2312"/>
          <w:color w:val="000000" w:themeColor="text1"/>
          <w:sz w:val="32"/>
          <w:szCs w:val="32"/>
          <w:highlight w:val="none"/>
          <w14:textFill>
            <w14:solidFill>
              <w14:schemeClr w14:val="tx1"/>
            </w14:solidFill>
          </w14:textFill>
        </w:rPr>
        <w:t>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股东</w:t>
      </w:r>
      <w:r>
        <w:rPr>
          <w:rFonts w:hint="eastAsia" w:ascii="宋体" w:hAnsi="宋体" w:eastAsia="仿宋_GB2312" w:cs="仿宋_GB2312"/>
          <w:color w:val="000000" w:themeColor="text1"/>
          <w:sz w:val="32"/>
          <w:szCs w:val="32"/>
          <w:highlight w:val="none"/>
          <w14:textFill>
            <w14:solidFill>
              <w14:schemeClr w14:val="tx1"/>
            </w14:solidFill>
          </w14:textFill>
        </w:rPr>
        <w:t>回购退出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等方式</w:t>
      </w:r>
      <w:r>
        <w:rPr>
          <w:rFonts w:hint="eastAsia" w:ascii="宋体" w:hAnsi="宋体" w:eastAsia="仿宋_GB2312" w:cs="仿宋_GB2312"/>
          <w:color w:val="000000" w:themeColor="text1"/>
          <w:sz w:val="32"/>
          <w:szCs w:val="32"/>
          <w:highlight w:val="none"/>
          <w14:textFill>
            <w14:solidFill>
              <w14:schemeClr w14:val="tx1"/>
            </w14:solidFill>
          </w14:textFill>
        </w:rPr>
        <w:t>。区产业引导母基金出资部分可通过向其他国有资本及社会资本转让基金份额等方式灵活退出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并有权根据《赣州经开区产业引导基金管理办法》相关规定提前退出。</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三</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为激发专项基金管理人的积极性，赣晟投资从专项基金中所获得的收益可</w:t>
      </w:r>
      <w:r>
        <w:rPr>
          <w:rFonts w:ascii="宋体" w:hAnsi="宋体" w:eastAsia="仿宋_GB2312" w:cs="仿宋_GB2312"/>
          <w:color w:val="000000" w:themeColor="text1"/>
          <w:sz w:val="32"/>
          <w:szCs w:val="32"/>
          <w:highlight w:val="none"/>
          <w14:textFill>
            <w14:solidFill>
              <w14:schemeClr w14:val="tx1"/>
            </w14:solidFill>
          </w14:textFill>
        </w:rPr>
        <w:t>向专项基金管理人</w:t>
      </w:r>
      <w:r>
        <w:rPr>
          <w:rFonts w:hint="eastAsia" w:ascii="宋体" w:hAnsi="宋体" w:eastAsia="仿宋_GB2312" w:cs="仿宋_GB2312"/>
          <w:color w:val="000000" w:themeColor="text1"/>
          <w:sz w:val="32"/>
          <w:szCs w:val="32"/>
          <w:highlight w:val="none"/>
          <w14:textFill>
            <w14:solidFill>
              <w14:schemeClr w14:val="tx1"/>
            </w14:solidFill>
          </w14:textFill>
        </w:rPr>
        <w:t>适当让渡；</w:t>
      </w:r>
      <w:r>
        <w:rPr>
          <w:rFonts w:ascii="宋体" w:hAnsi="宋体" w:eastAsia="仿宋_GB2312" w:cs="仿宋_GB2312"/>
          <w:color w:val="000000" w:themeColor="text1"/>
          <w:sz w:val="32"/>
          <w:szCs w:val="32"/>
          <w:highlight w:val="none"/>
          <w14:textFill>
            <w14:solidFill>
              <w14:schemeClr w14:val="tx1"/>
            </w14:solidFill>
          </w14:textFill>
        </w:rPr>
        <w:t>根据专项基金运作成效和对赣州经开区的经济贡献度，</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ascii="宋体" w:hAnsi="宋体" w:eastAsia="仿宋_GB2312" w:cs="仿宋_GB2312"/>
          <w:color w:val="000000" w:themeColor="text1"/>
          <w:sz w:val="32"/>
          <w:szCs w:val="32"/>
          <w:highlight w:val="none"/>
          <w14:textFill>
            <w14:solidFill>
              <w14:schemeClr w14:val="tx1"/>
            </w14:solidFill>
          </w14:textFill>
        </w:rPr>
        <w:t>就扣除其门槛收益后的超额收益</w:t>
      </w:r>
      <w:r>
        <w:rPr>
          <w:rFonts w:hint="eastAsia" w:ascii="宋体" w:hAnsi="宋体" w:eastAsia="仿宋_GB2312" w:cs="仿宋_GB2312"/>
          <w:color w:val="000000" w:themeColor="text1"/>
          <w:sz w:val="32"/>
          <w:szCs w:val="32"/>
          <w:highlight w:val="none"/>
          <w14:textFill>
            <w14:solidFill>
              <w14:schemeClr w14:val="tx1"/>
            </w14:solidFill>
          </w14:textFill>
        </w:rPr>
        <w:t>可</w:t>
      </w:r>
      <w:r>
        <w:rPr>
          <w:rFonts w:ascii="宋体" w:hAnsi="宋体" w:eastAsia="仿宋_GB2312" w:cs="仿宋_GB2312"/>
          <w:color w:val="000000" w:themeColor="text1"/>
          <w:sz w:val="32"/>
          <w:szCs w:val="32"/>
          <w:highlight w:val="none"/>
          <w14:textFill>
            <w14:solidFill>
              <w14:schemeClr w14:val="tx1"/>
            </w14:solidFill>
          </w14:textFill>
        </w:rPr>
        <w:t>向专项基金管理人进行阶梯式让利</w:t>
      </w:r>
      <w:r>
        <w:rPr>
          <w:rFonts w:hint="eastAsia"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宋体" w:hAnsi="宋体" w:eastAsia="黑体" w:cs="黑体"/>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四</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专项基金享受赣州经开区相关的金融</w:t>
      </w:r>
      <w:r>
        <w:rPr>
          <w:rFonts w:ascii="宋体" w:hAnsi="宋体" w:eastAsia="仿宋_GB2312" w:cs="仿宋_GB2312"/>
          <w:color w:val="000000" w:themeColor="text1"/>
          <w:sz w:val="32"/>
          <w:szCs w:val="32"/>
          <w:highlight w:val="none"/>
          <w14:textFill>
            <w14:solidFill>
              <w14:schemeClr w14:val="tx1"/>
            </w14:solidFill>
          </w14:textFill>
        </w:rPr>
        <w:t>服务业</w:t>
      </w:r>
      <w:r>
        <w:rPr>
          <w:rFonts w:hint="eastAsia" w:ascii="宋体" w:hAnsi="宋体" w:eastAsia="仿宋_GB2312" w:cs="仿宋_GB2312"/>
          <w:color w:val="000000" w:themeColor="text1"/>
          <w:sz w:val="32"/>
          <w:szCs w:val="32"/>
          <w:highlight w:val="none"/>
          <w14:textFill>
            <w14:solidFill>
              <w14:schemeClr w14:val="tx1"/>
            </w14:solidFill>
          </w14:textFill>
        </w:rPr>
        <w:t>扶持政策。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r>
        <w:rPr>
          <w:rFonts w:hint="eastAsia" w:ascii="宋体" w:hAnsi="宋体" w:eastAsia="黑体" w:cs="黑体"/>
          <w:color w:val="000000" w:themeColor="text1"/>
          <w:sz w:val="32"/>
          <w:szCs w:val="32"/>
          <w:highlight w:val="none"/>
          <w14:textFill>
            <w14:solidFill>
              <w14:schemeClr w14:val="tx1"/>
            </w14:solidFill>
          </w14:textFill>
        </w:rPr>
        <w:t xml:space="preserve">第四章 </w:t>
      </w:r>
      <w:r>
        <w:rPr>
          <w:rFonts w:hint="eastAsia" w:ascii="宋体" w:hAnsi="宋体" w:eastAsia="黑体" w:cs="黑体"/>
          <w:color w:val="000000" w:themeColor="text1"/>
          <w:sz w:val="32"/>
          <w:szCs w:val="32"/>
          <w:highlight w:val="none"/>
          <w:lang w:val="en-US" w:eastAsia="zh-CN"/>
          <w14:textFill>
            <w14:solidFill>
              <w14:schemeClr w14:val="tx1"/>
            </w14:solidFill>
          </w14:textFill>
        </w:rPr>
        <w:t>投后</w:t>
      </w:r>
      <w:r>
        <w:rPr>
          <w:rFonts w:hint="eastAsia" w:ascii="宋体" w:hAnsi="宋体" w:eastAsia="黑体" w:cs="黑体"/>
          <w:color w:val="000000" w:themeColor="text1"/>
          <w:sz w:val="32"/>
          <w:szCs w:val="32"/>
          <w:highlight w:val="none"/>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五</w:t>
      </w:r>
      <w:r>
        <w:rPr>
          <w:rFonts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区基金办</w:t>
      </w:r>
      <w:r>
        <w:rPr>
          <w:rFonts w:ascii="宋体" w:hAnsi="宋体" w:eastAsia="仿宋_GB2312" w:cs="仿宋_GB2312"/>
          <w:color w:val="000000" w:themeColor="text1"/>
          <w:sz w:val="32"/>
          <w:szCs w:val="32"/>
          <w:highlight w:val="none"/>
          <w14:textFill>
            <w14:solidFill>
              <w14:schemeClr w14:val="tx1"/>
            </w14:solidFill>
          </w14:textFill>
        </w:rPr>
        <w:t>及时掌握专项基金运营管理情况</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ascii="宋体" w:hAnsi="宋体" w:eastAsia="仿宋_GB2312" w:cs="仿宋_GB2312"/>
          <w:color w:val="000000" w:themeColor="text1"/>
          <w:sz w:val="32"/>
          <w:szCs w:val="32"/>
          <w:highlight w:val="none"/>
          <w14:textFill>
            <w14:solidFill>
              <w14:schemeClr w14:val="tx1"/>
            </w14:solidFill>
          </w14:textFill>
        </w:rPr>
        <w:t>依托</w:t>
      </w:r>
      <w:r>
        <w:rPr>
          <w:rFonts w:hint="eastAsia" w:ascii="宋体" w:hAnsi="宋体" w:eastAsia="仿宋_GB2312" w:cs="仿宋_GB2312"/>
          <w:color w:val="000000" w:themeColor="text1"/>
          <w:sz w:val="32"/>
          <w:szCs w:val="32"/>
          <w:highlight w:val="none"/>
          <w14:textFill>
            <w14:solidFill>
              <w14:schemeClr w14:val="tx1"/>
            </w14:solidFill>
          </w14:textFill>
        </w:rPr>
        <w:t>“三办一园”</w:t>
      </w:r>
      <w:r>
        <w:rPr>
          <w:rFonts w:ascii="宋体" w:hAnsi="宋体" w:eastAsia="仿宋_GB2312" w:cs="仿宋_GB2312"/>
          <w:color w:val="000000" w:themeColor="text1"/>
          <w:sz w:val="32"/>
          <w:szCs w:val="32"/>
          <w:highlight w:val="none"/>
          <w14:textFill>
            <w14:solidFill>
              <w14:schemeClr w14:val="tx1"/>
            </w14:solidFill>
          </w14:textFill>
        </w:rPr>
        <w:t>等</w:t>
      </w:r>
      <w:r>
        <w:rPr>
          <w:rFonts w:hint="eastAsia" w:ascii="宋体" w:hAnsi="宋体" w:eastAsia="仿宋_GB2312" w:cs="仿宋_GB2312"/>
          <w:color w:val="000000" w:themeColor="text1"/>
          <w:sz w:val="32"/>
          <w:szCs w:val="32"/>
          <w:highlight w:val="none"/>
          <w14:textFill>
            <w14:solidFill>
              <w14:schemeClr w14:val="tx1"/>
            </w14:solidFill>
          </w14:textFill>
        </w:rPr>
        <w:t>工作机制</w:t>
      </w:r>
      <w:r>
        <w:rPr>
          <w:rFonts w:ascii="宋体" w:hAnsi="宋体" w:eastAsia="仿宋_GB2312" w:cs="仿宋_GB2312"/>
          <w:color w:val="000000" w:themeColor="text1"/>
          <w:sz w:val="32"/>
          <w:szCs w:val="32"/>
          <w:highlight w:val="none"/>
          <w14:textFill>
            <w14:solidFill>
              <w14:schemeClr w14:val="tx1"/>
            </w14:solidFill>
          </w14:textFill>
        </w:rPr>
        <w:t>，为</w:t>
      </w:r>
      <w:r>
        <w:rPr>
          <w:rFonts w:hint="eastAsia" w:ascii="宋体" w:hAnsi="宋体" w:eastAsia="仿宋_GB2312" w:cs="仿宋_GB2312"/>
          <w:color w:val="000000" w:themeColor="text1"/>
          <w:sz w:val="32"/>
          <w:szCs w:val="32"/>
          <w:highlight w:val="none"/>
          <w14:textFill>
            <w14:solidFill>
              <w14:schemeClr w14:val="tx1"/>
            </w14:solidFill>
          </w14:textFill>
        </w:rPr>
        <w:t>专项基金投资项目</w:t>
      </w:r>
      <w:r>
        <w:rPr>
          <w:rFonts w:ascii="宋体" w:hAnsi="宋体" w:eastAsia="仿宋_GB2312" w:cs="仿宋_GB2312"/>
          <w:color w:val="000000" w:themeColor="text1"/>
          <w:sz w:val="32"/>
          <w:szCs w:val="32"/>
          <w:highlight w:val="none"/>
          <w14:textFill>
            <w14:solidFill>
              <w14:schemeClr w14:val="tx1"/>
            </w14:solidFill>
          </w14:textFill>
        </w:rPr>
        <w:t>提供全面综合赋能</w:t>
      </w:r>
      <w:r>
        <w:rPr>
          <w:rFonts w:hint="eastAsia" w:ascii="宋体" w:hAnsi="宋体" w:eastAsia="仿宋_GB2312" w:cs="仿宋_GB2312"/>
          <w:color w:val="000000" w:themeColor="text1"/>
          <w:sz w:val="32"/>
          <w:szCs w:val="32"/>
          <w:highlight w:val="none"/>
          <w14:textFill>
            <w14:solidFill>
              <w14:schemeClr w14:val="tx1"/>
            </w14:solidFill>
          </w14:textFill>
        </w:rPr>
        <w:t>，包括但不限于：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lang w:eastAsia="zh-CN"/>
          <w14:textFill>
            <w14:solidFill>
              <w14:schemeClr w14:val="tx1"/>
            </w14:solidFill>
          </w14:textFill>
        </w:rPr>
        <w:t>（一）</w:t>
      </w:r>
      <w:r>
        <w:rPr>
          <w:rFonts w:hint="eastAsia" w:ascii="宋体" w:hAnsi="宋体" w:eastAsia="仿宋_GB2312" w:cs="仿宋_GB2312"/>
          <w:color w:val="000000" w:themeColor="text1"/>
          <w:sz w:val="32"/>
          <w:szCs w:val="32"/>
          <w:highlight w:val="none"/>
          <w14:textFill>
            <w14:solidFill>
              <w14:schemeClr w14:val="tx1"/>
            </w14:solidFill>
          </w14:textFill>
        </w:rPr>
        <w:t>按照全省企业上市</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相</w:t>
      </w:r>
      <w:r>
        <w:rPr>
          <w:rFonts w:hint="eastAsia" w:ascii="宋体" w:hAnsi="宋体" w:eastAsia="仿宋_GB2312" w:cs="仿宋_GB2312"/>
          <w:color w:val="000000" w:themeColor="text1"/>
          <w:sz w:val="32"/>
          <w:szCs w:val="32"/>
          <w:highlight w:val="none"/>
          <w14:textFill>
            <w14:solidFill>
              <w14:schemeClr w14:val="tx1"/>
            </w14:solidFill>
          </w14:textFill>
        </w:rPr>
        <w:t>关要求，不断强化政策引领和扶持力度，通过“三办一园”工作机制，聚焦企业资产端、负债端、权益端，优化银行信贷、供应链金融、融资租赁、商业保理、基金等资源配置，为企业提供精准融资方案，缓解企业融资难题，助力企业早日达到上市标准；发挥区“上市办”牵头抓总作用，及时协调已落地企业在项目建设、上市过程中涉及土地、厂房、环保、税务等方面问题，为企业上市提供全流程、全方位的服务；充分借助中国证监会对口支援赣南苏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工作</w:t>
      </w:r>
      <w:r>
        <w:rPr>
          <w:rFonts w:hint="eastAsia" w:ascii="宋体" w:hAnsi="宋体" w:eastAsia="仿宋_GB2312" w:cs="仿宋_GB2312"/>
          <w:color w:val="000000" w:themeColor="text1"/>
          <w:sz w:val="32"/>
          <w:szCs w:val="32"/>
          <w:highlight w:val="none"/>
          <w14:textFill>
            <w14:solidFill>
              <w14:schemeClr w14:val="tx1"/>
            </w14:solidFill>
          </w14:textFill>
        </w:rPr>
        <w:t>机制、北沪深交易所在我市设立服务基地等政策资源优势，畅通向上沟通渠道，助力企业加快上市进程。</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（二）</w:t>
      </w:r>
      <w:r>
        <w:rPr>
          <w:rFonts w:hint="eastAsia" w:ascii="宋体" w:hAnsi="宋体" w:eastAsia="仿宋_GB2312" w:cs="仿宋_GB2312"/>
          <w:color w:val="000000" w:themeColor="text1"/>
          <w:sz w:val="32"/>
          <w:szCs w:val="32"/>
          <w:highlight w:val="none"/>
          <w14:textFill>
            <w14:solidFill>
              <w14:schemeClr w14:val="tx1"/>
            </w14:solidFill>
          </w14:textFill>
        </w:rPr>
        <w:t>跟踪、服务已落地项目</w:t>
      </w:r>
      <w:r>
        <w:rPr>
          <w:rFonts w:ascii="宋体" w:hAnsi="宋体" w:eastAsia="仿宋_GB2312" w:cs="仿宋_GB2312"/>
          <w:color w:val="000000" w:themeColor="text1"/>
          <w:sz w:val="32"/>
          <w:szCs w:val="32"/>
          <w:highlight w:val="none"/>
          <w14:textFill>
            <w14:solidFill>
              <w14:schemeClr w14:val="tx1"/>
            </w14:solidFill>
          </w14:textFill>
        </w:rPr>
        <w:t>，协调相关</w:t>
      </w:r>
      <w:r>
        <w:rPr>
          <w:rFonts w:hint="eastAsia" w:ascii="宋体" w:hAnsi="宋体" w:eastAsia="仿宋_GB2312" w:cs="仿宋_GB2312"/>
          <w:color w:val="000000" w:themeColor="text1"/>
          <w:sz w:val="32"/>
          <w:szCs w:val="32"/>
          <w:highlight w:val="none"/>
          <w14:textFill>
            <w14:solidFill>
              <w14:schemeClr w14:val="tx1"/>
            </w14:solidFill>
          </w14:textFill>
        </w:rPr>
        <w:t>职能部门</w:t>
      </w:r>
      <w:r>
        <w:rPr>
          <w:rFonts w:ascii="宋体" w:hAnsi="宋体" w:eastAsia="仿宋_GB2312" w:cs="仿宋_GB2312"/>
          <w:color w:val="000000" w:themeColor="text1"/>
          <w:sz w:val="32"/>
          <w:szCs w:val="32"/>
          <w:highlight w:val="none"/>
          <w14:textFill>
            <w14:solidFill>
              <w14:schemeClr w14:val="tx1"/>
            </w14:solidFill>
          </w14:textFill>
        </w:rPr>
        <w:t>形成合力，</w:t>
      </w:r>
      <w:r>
        <w:rPr>
          <w:rFonts w:hint="eastAsia" w:ascii="宋体" w:hAnsi="宋体" w:eastAsia="仿宋_GB2312" w:cs="仿宋_GB2312"/>
          <w:color w:val="000000" w:themeColor="text1"/>
          <w:sz w:val="32"/>
          <w:szCs w:val="32"/>
          <w:highlight w:val="none"/>
          <w14:textFill>
            <w14:solidFill>
              <w14:schemeClr w14:val="tx1"/>
            </w14:solidFill>
          </w14:textFill>
        </w:rPr>
        <w:t>推动项目早落地、早开工、早投产、早见效；大力发展产业集群以及实施“延链”“拓链”“补链”“强链”有关政策，</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落实</w:t>
      </w:r>
      <w:r>
        <w:rPr>
          <w:rFonts w:hint="eastAsia" w:ascii="宋体" w:hAnsi="宋体" w:eastAsia="仿宋_GB2312" w:cs="仿宋_GB2312"/>
          <w:color w:val="000000" w:themeColor="text1"/>
          <w:sz w:val="32"/>
          <w:szCs w:val="32"/>
          <w:highlight w:val="none"/>
          <w14:textFill>
            <w14:solidFill>
              <w14:schemeClr w14:val="tx1"/>
            </w14:solidFill>
          </w14:textFill>
        </w:rPr>
        <w:t>产业链链长制度，强化重点产业链的组织领导，不断做强产业规模，实现区域产业</w:t>
      </w:r>
      <w:r>
        <w:rPr>
          <w:rFonts w:hint="eastAsia" w:ascii="宋体" w:hAnsi="宋体" w:eastAsia="仿宋_GB2312" w:cs="仿宋_GB2312"/>
          <w:sz w:val="32"/>
          <w:szCs w:val="32"/>
          <w:highlight w:val="none"/>
        </w:rPr>
        <w:t>循环</w:t>
      </w:r>
      <w:r>
        <w:rPr>
          <w:rFonts w:hint="eastAsia" w:ascii="宋体" w:hAnsi="宋体" w:eastAsia="仿宋_GB2312" w:cs="仿宋_GB2312"/>
          <w:color w:val="000000" w:themeColor="text1"/>
          <w:sz w:val="32"/>
          <w:szCs w:val="32"/>
          <w:highlight w:val="none"/>
          <w14:textFill>
            <w14:solidFill>
              <w14:schemeClr w14:val="tx1"/>
            </w14:solidFill>
          </w14:textFill>
        </w:rPr>
        <w:t>发展。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ascii="宋体" w:hAnsi="宋体" w:eastAsia="仿宋_GB2312" w:cs="仿宋_GB2312"/>
          <w:color w:val="000000" w:themeColor="text1"/>
          <w:sz w:val="32"/>
          <w:szCs w:val="32"/>
          <w:highlight w:val="none"/>
          <w14:textFill>
            <w14:solidFill>
              <w14:schemeClr w14:val="tx1"/>
            </w14:solidFill>
          </w14:textFill>
        </w:rPr>
        <w:t>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六</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ascii="宋体" w:hAnsi="宋体" w:eastAsia="仿宋_GB2312" w:cs="仿宋_GB2312"/>
          <w:color w:val="000000" w:themeColor="text1"/>
          <w:sz w:val="32"/>
          <w:szCs w:val="32"/>
          <w:highlight w:val="none"/>
          <w14:textFill>
            <w14:solidFill>
              <w14:schemeClr w14:val="tx1"/>
            </w14:solidFill>
          </w14:textFill>
        </w:rPr>
        <w:t>专项</w:t>
      </w:r>
      <w:r>
        <w:rPr>
          <w:rFonts w:hint="eastAsia" w:ascii="宋体" w:hAnsi="宋体" w:eastAsia="仿宋_GB2312" w:cs="仿宋_GB2312"/>
          <w:color w:val="000000" w:themeColor="text1"/>
          <w:sz w:val="32"/>
          <w:szCs w:val="32"/>
          <w:highlight w:val="none"/>
          <w14:textFill>
            <w14:solidFill>
              <w14:schemeClr w14:val="tx1"/>
            </w14:solidFill>
          </w14:textFill>
        </w:rPr>
        <w:t>基金管理人</w:t>
      </w:r>
      <w:r>
        <w:rPr>
          <w:rFonts w:ascii="宋体" w:hAnsi="宋体" w:eastAsia="仿宋_GB2312" w:cs="仿宋_GB2312"/>
          <w:color w:val="000000" w:themeColor="text1"/>
          <w:sz w:val="32"/>
          <w:szCs w:val="32"/>
          <w:highlight w:val="none"/>
          <w14:textFill>
            <w14:solidFill>
              <w14:schemeClr w14:val="tx1"/>
            </w14:solidFill>
          </w14:textFill>
        </w:rPr>
        <w:t>与赣晟投资</w:t>
      </w:r>
      <w:r>
        <w:rPr>
          <w:rFonts w:hint="eastAsia" w:ascii="宋体" w:hAnsi="宋体" w:eastAsia="仿宋_GB2312" w:cs="仿宋_GB2312"/>
          <w:color w:val="000000" w:themeColor="text1"/>
          <w:sz w:val="32"/>
          <w:szCs w:val="32"/>
          <w:highlight w:val="none"/>
          <w14:textFill>
            <w14:solidFill>
              <w14:schemeClr w14:val="tx1"/>
            </w14:solidFill>
          </w14:textFill>
        </w:rPr>
        <w:t>应当按照</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区产业引导母基金</w:t>
      </w:r>
      <w:r>
        <w:rPr>
          <w:rFonts w:ascii="宋体" w:hAnsi="宋体" w:eastAsia="仿宋_GB2312" w:cs="仿宋_GB2312"/>
          <w:color w:val="000000" w:themeColor="text1"/>
          <w:sz w:val="32"/>
          <w:szCs w:val="32"/>
          <w:highlight w:val="none"/>
          <w14:textFill>
            <w14:solidFill>
              <w14:schemeClr w14:val="tx1"/>
            </w14:solidFill>
          </w14:textFill>
        </w:rPr>
        <w:t>投后管理工作</w:t>
      </w:r>
      <w:r>
        <w:rPr>
          <w:rFonts w:hint="eastAsia" w:ascii="宋体" w:hAnsi="宋体" w:eastAsia="仿宋_GB2312" w:cs="仿宋_GB2312"/>
          <w:color w:val="000000" w:themeColor="text1"/>
          <w:sz w:val="32"/>
          <w:szCs w:val="32"/>
          <w:highlight w:val="none"/>
          <w14:textFill>
            <w14:solidFill>
              <w14:schemeClr w14:val="tx1"/>
            </w14:solidFill>
          </w14:textFill>
        </w:rPr>
        <w:t>要求</w:t>
      </w:r>
      <w:r>
        <w:rPr>
          <w:rFonts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勤勉尽责</w:t>
      </w:r>
      <w:r>
        <w:rPr>
          <w:rFonts w:ascii="宋体" w:hAnsi="宋体" w:eastAsia="仿宋_GB2312" w:cs="仿宋_GB2312"/>
          <w:color w:val="000000" w:themeColor="text1"/>
          <w:sz w:val="32"/>
          <w:szCs w:val="32"/>
          <w:highlight w:val="none"/>
          <w14:textFill>
            <w14:solidFill>
              <w14:schemeClr w14:val="tx1"/>
            </w14:solidFill>
          </w14:textFill>
        </w:rPr>
        <w:t>地</w:t>
      </w:r>
      <w:r>
        <w:rPr>
          <w:rFonts w:hint="eastAsia" w:ascii="宋体" w:hAnsi="宋体" w:eastAsia="仿宋_GB2312" w:cs="仿宋_GB2312"/>
          <w:color w:val="000000" w:themeColor="text1"/>
          <w:sz w:val="32"/>
          <w:szCs w:val="32"/>
          <w:highlight w:val="none"/>
          <w14:textFill>
            <w14:solidFill>
              <w14:schemeClr w14:val="tx1"/>
            </w14:solidFill>
          </w14:textFill>
        </w:rPr>
        <w:t>履行投后管理工作职责</w:t>
      </w:r>
      <w:r>
        <w:rPr>
          <w:rFonts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七</w:t>
      </w:r>
      <w:r>
        <w:rPr>
          <w:rFonts w:hint="eastAsia" w:ascii="宋体" w:hAnsi="宋体" w:eastAsia="仿宋_GB2312" w:cs="仿宋_GB2312"/>
          <w:color w:val="000000" w:themeColor="text1"/>
          <w:sz w:val="32"/>
          <w:szCs w:val="32"/>
          <w:highlight w:val="none"/>
          <w14:textFill>
            <w14:solidFill>
              <w14:schemeClr w14:val="tx1"/>
            </w14:solidFill>
          </w14:textFill>
        </w:rPr>
        <w:t>条</w:t>
      </w:r>
      <w:r>
        <w:rPr>
          <w:rFonts w:hint="eastAsia" w:ascii="宋体" w:hAnsi="宋体" w:eastAsia="楷体_GB2312" w:cs="楷体_GB2312"/>
          <w:color w:val="000000" w:themeColor="text1"/>
          <w:sz w:val="32"/>
          <w:szCs w:val="32"/>
          <w:highlight w:val="none"/>
          <w14:textFill>
            <w14:solidFill>
              <w14:schemeClr w14:val="tx1"/>
            </w14:solidFill>
          </w14:textFill>
        </w:rPr>
        <w:t xml:space="preserve"> </w:t>
      </w:r>
      <w:r>
        <w:rPr>
          <w:rFonts w:hint="eastAsia" w:ascii="宋体" w:hAnsi="宋体"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专项基金管理人应持续合法合规运营，遵守国家在证券投资领域有关的法律、法规等相关规定，并持续符合中国证券投资基金</w:t>
      </w:r>
      <w:r>
        <w:rPr>
          <w:rFonts w:hint="eastAsia" w:ascii="宋体" w:hAnsi="宋体" w:eastAsia="仿宋_GB2312" w:cs="仿宋_GB2312"/>
          <w:sz w:val="32"/>
          <w:szCs w:val="32"/>
          <w:highlight w:val="none"/>
        </w:rPr>
        <w:t>业</w:t>
      </w:r>
      <w:r>
        <w:rPr>
          <w:rFonts w:hint="eastAsia" w:ascii="宋体" w:hAnsi="宋体" w:eastAsia="仿宋_GB2312" w:cs="仿宋_GB2312"/>
          <w:color w:val="000000" w:themeColor="text1"/>
          <w:sz w:val="32"/>
          <w:szCs w:val="32"/>
          <w:highlight w:val="none"/>
          <w14:textFill>
            <w14:solidFill>
              <w14:schemeClr w14:val="tx1"/>
            </w14:solidFill>
          </w14:textFill>
        </w:rPr>
        <w:t>协会关于私募基金相关的自律要求。</w:t>
      </w:r>
      <w:r>
        <w:rPr>
          <w:rFonts w:ascii="宋体" w:hAnsi="宋体" w:eastAsia="仿宋_GB2312" w:cs="仿宋_GB2312"/>
          <w:color w:val="000000" w:themeColor="text1"/>
          <w:sz w:val="32"/>
          <w:szCs w:val="32"/>
          <w:highlight w:val="none"/>
          <w:lang w:bidi="ar"/>
          <w14:textFill>
            <w14:solidFill>
              <w14:schemeClr w14:val="tx1"/>
            </w14:solidFill>
          </w14:textFill>
        </w:rPr>
        <w:t>专项基金管理人应建立重大事项披露制度，如发生基金合伙协议修订、资本增减、高级管理人员变更等重大事项变化的情形应向</w:t>
      </w:r>
      <w:r>
        <w:rPr>
          <w:rFonts w:hint="eastAsia" w:ascii="宋体" w:hAnsi="宋体" w:eastAsia="仿宋_GB2312" w:cs="仿宋_GB2312"/>
          <w:color w:val="000000" w:themeColor="text1"/>
          <w:sz w:val="32"/>
          <w:szCs w:val="32"/>
          <w:highlight w:val="none"/>
          <w:lang w:eastAsia="zh-CN" w:bidi="ar"/>
          <w14:textFill>
            <w14:solidFill>
              <w14:schemeClr w14:val="tx1"/>
            </w14:solidFill>
          </w14:textFill>
        </w:rPr>
        <w:t>区产业引导母基金</w:t>
      </w:r>
      <w:r>
        <w:rPr>
          <w:rFonts w:ascii="宋体" w:hAnsi="宋体" w:eastAsia="仿宋_GB2312" w:cs="仿宋_GB2312"/>
          <w:color w:val="000000" w:themeColor="text1"/>
          <w:sz w:val="32"/>
          <w:szCs w:val="32"/>
          <w:highlight w:val="none"/>
          <w:lang w:bidi="ar"/>
          <w14:textFill>
            <w14:solidFill>
              <w14:schemeClr w14:val="tx1"/>
            </w14:solidFill>
          </w14:textFill>
        </w:rPr>
        <w:t>及时披露</w:t>
      </w:r>
      <w:r>
        <w:rPr>
          <w:rFonts w:hint="eastAsia" w:ascii="宋体" w:hAnsi="宋体" w:eastAsia="仿宋_GB2312" w:cs="仿宋_GB2312"/>
          <w:color w:val="000000" w:themeColor="text1"/>
          <w:sz w:val="32"/>
          <w:szCs w:val="32"/>
          <w:highlight w:val="none"/>
          <w:lang w:bidi="ar"/>
          <w14:textFill>
            <w14:solidFill>
              <w14:schemeClr w14:val="tx1"/>
            </w14:solidFill>
          </w14:textFill>
        </w:rPr>
        <w:t>，并同时向区基金办报告</w:t>
      </w:r>
      <w:r>
        <w:rPr>
          <w:rFonts w:ascii="宋体" w:hAnsi="宋体" w:eastAsia="仿宋_GB2312" w:cs="仿宋_GB2312"/>
          <w:color w:val="000000" w:themeColor="text1"/>
          <w:sz w:val="32"/>
          <w:szCs w:val="32"/>
          <w:highlight w:val="none"/>
          <w:lang w:bidi="ar"/>
          <w14:textFill>
            <w14:solidFill>
              <w14:schemeClr w14:val="tx1"/>
            </w14:solidFill>
          </w14:textFill>
        </w:rPr>
        <w:t>。</w:t>
      </w:r>
      <w:r>
        <w:rPr>
          <w:rFonts w:hint="eastAsia" w:ascii="宋体" w:hAnsi="宋体" w:eastAsia="仿宋_GB2312" w:cs="仿宋_GB2312"/>
          <w:color w:val="000000" w:themeColor="text1"/>
          <w:sz w:val="32"/>
          <w:szCs w:val="32"/>
          <w:highlight w:val="none"/>
          <w:lang w:bidi="ar"/>
          <w14:textFill>
            <w14:solidFill>
              <w14:schemeClr w14:val="tx1"/>
            </w14:solidFill>
          </w14:textFill>
        </w:rPr>
        <w:t>专项基金管理人</w:t>
      </w:r>
      <w:r>
        <w:rPr>
          <w:rFonts w:ascii="宋体" w:hAnsi="宋体" w:eastAsia="仿宋_GB2312" w:cs="仿宋_GB2312"/>
          <w:color w:val="000000" w:themeColor="text1"/>
          <w:sz w:val="32"/>
          <w:szCs w:val="32"/>
          <w:highlight w:val="none"/>
          <w:lang w:bidi="ar"/>
          <w14:textFill>
            <w14:solidFill>
              <w14:schemeClr w14:val="tx1"/>
            </w14:solidFill>
          </w14:textFill>
        </w:rPr>
        <w:t>定期向</w:t>
      </w:r>
      <w:r>
        <w:rPr>
          <w:rFonts w:hint="eastAsia" w:ascii="宋体" w:hAnsi="宋体" w:eastAsia="仿宋_GB2312" w:cs="仿宋_GB2312"/>
          <w:color w:val="000000" w:themeColor="text1"/>
          <w:sz w:val="32"/>
          <w:szCs w:val="32"/>
          <w:highlight w:val="none"/>
          <w:lang w:bidi="ar"/>
          <w14:textFill>
            <w14:solidFill>
              <w14:schemeClr w14:val="tx1"/>
            </w14:solidFill>
          </w14:textFill>
        </w:rPr>
        <w:t>区基金办</w:t>
      </w:r>
      <w:r>
        <w:rPr>
          <w:rFonts w:ascii="宋体" w:hAnsi="宋体" w:eastAsia="仿宋_GB2312" w:cs="仿宋_GB2312"/>
          <w:color w:val="000000" w:themeColor="text1"/>
          <w:sz w:val="32"/>
          <w:szCs w:val="32"/>
          <w:highlight w:val="none"/>
          <w:lang w:bidi="ar"/>
          <w14:textFill>
            <w14:solidFill>
              <w14:schemeClr w14:val="tx1"/>
            </w14:solidFill>
          </w14:textFill>
        </w:rPr>
        <w:t>提交专项基金</w:t>
      </w:r>
      <w:r>
        <w:rPr>
          <w:rFonts w:hint="eastAsia" w:ascii="宋体" w:hAnsi="宋体" w:eastAsia="仿宋_GB2312" w:cs="仿宋_GB2312"/>
          <w:color w:val="000000" w:themeColor="text1"/>
          <w:sz w:val="32"/>
          <w:szCs w:val="32"/>
          <w:highlight w:val="none"/>
          <w:lang w:bidi="ar"/>
          <w14:textFill>
            <w14:solidFill>
              <w14:schemeClr w14:val="tx1"/>
            </w14:solidFill>
          </w14:textFill>
        </w:rPr>
        <w:t>季</w:t>
      </w:r>
      <w:r>
        <w:rPr>
          <w:rFonts w:ascii="宋体" w:hAnsi="宋体" w:eastAsia="仿宋_GB2312" w:cs="仿宋_GB2312"/>
          <w:color w:val="000000" w:themeColor="text1"/>
          <w:sz w:val="32"/>
          <w:szCs w:val="32"/>
          <w:highlight w:val="none"/>
          <w:lang w:bidi="ar"/>
          <w14:textFill>
            <w14:solidFill>
              <w14:schemeClr w14:val="tx1"/>
            </w14:solidFill>
          </w14:textFill>
        </w:rPr>
        <w:t>度运营报告，并及时报告投资运营中的重大事项。对专项基金管理人或其关联方弄虚作假骗取</w:t>
      </w:r>
      <w:r>
        <w:rPr>
          <w:rFonts w:hint="eastAsia" w:ascii="宋体" w:hAnsi="宋体" w:eastAsia="仿宋_GB2312" w:cs="仿宋_GB2312"/>
          <w:color w:val="000000" w:themeColor="text1"/>
          <w:sz w:val="32"/>
          <w:szCs w:val="32"/>
          <w:highlight w:val="none"/>
          <w:lang w:eastAsia="zh-CN" w:bidi="ar"/>
          <w14:textFill>
            <w14:solidFill>
              <w14:schemeClr w14:val="tx1"/>
            </w14:solidFill>
          </w14:textFill>
        </w:rPr>
        <w:t>区产业引导母基金</w:t>
      </w:r>
      <w:r>
        <w:rPr>
          <w:rFonts w:ascii="宋体" w:hAnsi="宋体" w:eastAsia="仿宋_GB2312" w:cs="仿宋_GB2312"/>
          <w:color w:val="000000" w:themeColor="text1"/>
          <w:sz w:val="32"/>
          <w:szCs w:val="32"/>
          <w:highlight w:val="none"/>
          <w:lang w:bidi="ar"/>
          <w14:textFill>
            <w14:solidFill>
              <w14:schemeClr w14:val="tx1"/>
            </w14:solidFill>
          </w14:textFill>
        </w:rPr>
        <w:t>出资或不按规定用途使用、截留、挪用基金等行为，将依法依规追究</w:t>
      </w:r>
      <w:r>
        <w:rPr>
          <w:rFonts w:hint="eastAsia" w:ascii="宋体" w:hAnsi="宋体" w:eastAsia="仿宋_GB2312" w:cs="仿宋_GB2312"/>
          <w:sz w:val="32"/>
          <w:szCs w:val="32"/>
          <w:highlight w:val="none"/>
          <w:lang w:bidi="ar"/>
        </w:rPr>
        <w:t>法律</w:t>
      </w:r>
      <w:r>
        <w:rPr>
          <w:rFonts w:ascii="宋体" w:hAnsi="宋体" w:eastAsia="仿宋_GB2312" w:cs="仿宋_GB2312"/>
          <w:color w:val="000000" w:themeColor="text1"/>
          <w:sz w:val="32"/>
          <w:szCs w:val="32"/>
          <w:highlight w:val="none"/>
          <w:lang w:bidi="ar"/>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r>
        <w:rPr>
          <w:rFonts w:hint="eastAsia" w:ascii="宋体" w:hAnsi="宋体" w:eastAsia="黑体" w:cs="黑体"/>
          <w:color w:val="000000" w:themeColor="text1"/>
          <w:sz w:val="32"/>
          <w:szCs w:val="32"/>
          <w:highlight w:val="none"/>
          <w14:textFill>
            <w14:solidFill>
              <w14:schemeClr w14:val="tx1"/>
            </w14:solidFill>
          </w14:textFill>
        </w:rPr>
        <w:t>第五章 附  则</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w:t>
      </w:r>
      <w:r>
        <w:rPr>
          <w:rFonts w:ascii="宋体" w:hAnsi="宋体" w:eastAsia="仿宋_GB2312" w:cs="仿宋_GB2312"/>
          <w:color w:val="000000" w:themeColor="text1"/>
          <w:sz w:val="32"/>
          <w:szCs w:val="32"/>
          <w:highlight w:val="none"/>
          <w14:textFill>
            <w14:solidFill>
              <w14:schemeClr w14:val="tx1"/>
            </w14:solidFill>
          </w14:textFill>
        </w:rPr>
        <w:t>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八</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ascii="宋体" w:hAnsi="宋体" w:eastAsia="仿宋_GB2312" w:cs="仿宋_GB2312"/>
          <w:color w:val="000000" w:themeColor="text1"/>
          <w:sz w:val="32"/>
          <w:szCs w:val="32"/>
          <w:highlight w:val="none"/>
          <w14:textFill>
            <w14:solidFill>
              <w14:schemeClr w14:val="tx1"/>
            </w14:solidFill>
          </w14:textFill>
        </w:rPr>
        <w:t>依据</w:t>
      </w:r>
      <w:r>
        <w:rPr>
          <w:rFonts w:hint="eastAsia" w:ascii="宋体" w:hAnsi="宋体" w:eastAsia="仿宋_GB2312" w:cs="仿宋_GB2312"/>
          <w:color w:val="000000" w:themeColor="text1"/>
          <w:sz w:val="32"/>
          <w:szCs w:val="32"/>
          <w:highlight w:val="none"/>
          <w14:textFill>
            <w14:solidFill>
              <w14:schemeClr w14:val="tx1"/>
            </w14:solidFill>
          </w14:textFill>
        </w:rPr>
        <w:t>省地方金融监管局、中国证监会江西监管局《关于促进我省私募股权投资高质量发展的实施意见》（赣金字〔2022〕133号）</w:t>
      </w:r>
      <w:r>
        <w:rPr>
          <w:rFonts w:ascii="宋体" w:hAnsi="宋体" w:eastAsia="仿宋_GB2312" w:cs="仿宋_GB2312"/>
          <w:color w:val="000000" w:themeColor="text1"/>
          <w:sz w:val="32"/>
          <w:szCs w:val="32"/>
          <w:highlight w:val="none"/>
          <w14:textFill>
            <w14:solidFill>
              <w14:schemeClr w14:val="tx1"/>
            </w14:solidFill>
          </w14:textFill>
        </w:rPr>
        <w:t>精神，</w:t>
      </w:r>
      <w:r>
        <w:rPr>
          <w:rFonts w:hint="eastAsia" w:ascii="宋体" w:hAnsi="宋体" w:eastAsia="仿宋_GB2312" w:cs="仿宋_GB2312"/>
          <w:color w:val="000000" w:themeColor="text1"/>
          <w:sz w:val="32"/>
          <w:szCs w:val="32"/>
          <w:highlight w:val="none"/>
          <w14:textFill>
            <w14:solidFill>
              <w14:schemeClr w14:val="tx1"/>
            </w14:solidFill>
          </w14:textFill>
        </w:rPr>
        <w:t>建立专项基金有关容错免责</w:t>
      </w:r>
      <w:r>
        <w:rPr>
          <w:rFonts w:ascii="宋体" w:hAnsi="宋体" w:eastAsia="仿宋_GB2312" w:cs="仿宋_GB2312"/>
          <w:color w:val="000000" w:themeColor="text1"/>
          <w:sz w:val="32"/>
          <w:szCs w:val="32"/>
          <w:highlight w:val="none"/>
          <w14:textFill>
            <w14:solidFill>
              <w14:schemeClr w14:val="tx1"/>
            </w14:solidFill>
          </w14:textFill>
        </w:rPr>
        <w:t>、绩效考核</w:t>
      </w:r>
      <w:r>
        <w:rPr>
          <w:rFonts w:hint="eastAsia" w:ascii="宋体" w:hAnsi="宋体" w:eastAsia="仿宋_GB2312" w:cs="仿宋_GB2312"/>
          <w:color w:val="000000" w:themeColor="text1"/>
          <w:sz w:val="32"/>
          <w:szCs w:val="32"/>
          <w:highlight w:val="none"/>
          <w14:textFill>
            <w14:solidFill>
              <w14:schemeClr w14:val="tx1"/>
            </w14:solidFill>
          </w14:textFill>
        </w:rPr>
        <w:t>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九</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ascii="宋体" w:hAnsi="宋体" w:eastAsia="仿宋_GB2312" w:cs="仿宋_GB2312"/>
          <w:color w:val="000000" w:themeColor="text1"/>
          <w:sz w:val="32"/>
          <w:szCs w:val="32"/>
          <w:highlight w:val="none"/>
          <w14:textFill>
            <w14:solidFill>
              <w14:schemeClr w14:val="tx1"/>
            </w14:solidFill>
          </w14:textFill>
        </w:rPr>
        <w:t>本办法具体实施细则由</w:t>
      </w:r>
      <w:r>
        <w:rPr>
          <w:rFonts w:hint="eastAsia" w:ascii="宋体" w:hAnsi="宋体" w:eastAsia="仿宋_GB2312" w:cs="仿宋_GB2312"/>
          <w:color w:val="000000" w:themeColor="text1"/>
          <w:sz w:val="32"/>
          <w:szCs w:val="32"/>
          <w:highlight w:val="none"/>
          <w14:textFill>
            <w14:solidFill>
              <w14:schemeClr w14:val="tx1"/>
            </w14:solidFill>
          </w14:textFill>
        </w:rPr>
        <w:t>区基金办</w:t>
      </w:r>
      <w:r>
        <w:rPr>
          <w:rFonts w:ascii="宋体" w:hAnsi="宋体" w:eastAsia="仿宋_GB2312" w:cs="仿宋_GB2312"/>
          <w:color w:val="000000" w:themeColor="text1"/>
          <w:sz w:val="32"/>
          <w:szCs w:val="32"/>
          <w:highlight w:val="none"/>
          <w14:textFill>
            <w14:solidFill>
              <w14:schemeClr w14:val="tx1"/>
            </w14:solidFill>
          </w14:textFill>
        </w:rPr>
        <w:t>制定</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和组织实施</w:t>
      </w:r>
      <w:r>
        <w:rPr>
          <w:rFonts w:ascii="宋体" w:hAnsi="宋体"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pPr>
      <w:r>
        <w:rPr>
          <w:rFonts w:ascii="宋体" w:hAnsi="宋体" w:eastAsia="仿宋_GB2312" w:cs="仿宋_GB2312"/>
          <w:color w:val="000000" w:themeColor="text1"/>
          <w:sz w:val="32"/>
          <w:szCs w:val="32"/>
          <w:highlight w:val="none"/>
          <w14:textFill>
            <w14:solidFill>
              <w14:schemeClr w14:val="tx1"/>
            </w14:solidFill>
          </w14:textFill>
        </w:rPr>
        <w:t xml:space="preserve">第二十条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b w:val="0"/>
          <w:color w:val="000000" w:themeColor="text1"/>
          <w:sz w:val="32"/>
          <w:szCs w:val="32"/>
          <w:highlight w:val="none"/>
          <w14:textFill>
            <w14:solidFill>
              <w14:schemeClr w14:val="tx1"/>
            </w14:solidFill>
          </w14:textFill>
        </w:rPr>
        <w:t>本办法自202</w:t>
      </w:r>
      <w:r>
        <w:rPr>
          <w:rFonts w:hint="eastAsia" w:ascii="宋体" w:hAnsi="宋体" w:eastAsia="仿宋_GB2312" w:cs="仿宋_GB2312"/>
          <w:b w:val="0"/>
          <w:color w:val="000000" w:themeColor="text1"/>
          <w:sz w:val="32"/>
          <w:szCs w:val="32"/>
          <w:highlight w:val="none"/>
          <w:lang w:val="en-US" w:eastAsia="zh-CN"/>
          <w14:textFill>
            <w14:solidFill>
              <w14:schemeClr w14:val="tx1"/>
            </w14:solidFill>
          </w14:textFill>
        </w:rPr>
        <w:t>4</w:t>
      </w:r>
      <w:r>
        <w:rPr>
          <w:rFonts w:hint="eastAsia" w:ascii="宋体" w:hAnsi="宋体" w:eastAsia="仿宋_GB2312" w:cs="仿宋_GB2312"/>
          <w:b w:val="0"/>
          <w:color w:val="000000" w:themeColor="text1"/>
          <w:sz w:val="32"/>
          <w:szCs w:val="32"/>
          <w:highlight w:val="none"/>
          <w14:textFill>
            <w14:solidFill>
              <w14:schemeClr w14:val="tx1"/>
            </w14:solidFill>
          </w14:textFill>
        </w:rPr>
        <w:t>年</w:t>
      </w:r>
      <w:r>
        <w:rPr>
          <w:rFonts w:hint="eastAsia" w:ascii="宋体" w:hAnsi="宋体" w:eastAsia="仿宋_GB2312" w:cs="仿宋_GB2312"/>
          <w:b w:val="0"/>
          <w:color w:val="000000" w:themeColor="text1"/>
          <w:sz w:val="32"/>
          <w:szCs w:val="32"/>
          <w:highlight w:val="none"/>
          <w:lang w:val="en-US" w:eastAsia="zh-CN"/>
          <w14:textFill>
            <w14:solidFill>
              <w14:schemeClr w14:val="tx1"/>
            </w14:solidFill>
          </w14:textFill>
        </w:rPr>
        <w:t>10</w:t>
      </w:r>
      <w:r>
        <w:rPr>
          <w:rFonts w:hint="eastAsia" w:ascii="宋体" w:hAnsi="宋体" w:eastAsia="仿宋_GB2312" w:cs="仿宋_GB2312"/>
          <w:b w:val="0"/>
          <w:color w:val="000000" w:themeColor="text1"/>
          <w:sz w:val="32"/>
          <w:szCs w:val="32"/>
          <w:highlight w:val="none"/>
          <w14:textFill>
            <w14:solidFill>
              <w14:schemeClr w14:val="tx1"/>
            </w14:solidFill>
          </w14:textFill>
        </w:rPr>
        <w:t>月</w:t>
      </w:r>
      <w:r>
        <w:rPr>
          <w:rFonts w:hint="eastAsia" w:ascii="宋体" w:hAnsi="宋体" w:eastAsia="仿宋_GB2312" w:cs="仿宋_GB2312"/>
          <w:b w:val="0"/>
          <w:color w:val="000000" w:themeColor="text1"/>
          <w:sz w:val="32"/>
          <w:szCs w:val="32"/>
          <w:highlight w:val="none"/>
          <w:lang w:val="en-US" w:eastAsia="zh-CN"/>
          <w14:textFill>
            <w14:solidFill>
              <w14:schemeClr w14:val="tx1"/>
            </w14:solidFill>
          </w14:textFill>
        </w:rPr>
        <w:t>31</w:t>
      </w:r>
      <w:r>
        <w:rPr>
          <w:rFonts w:hint="eastAsia" w:ascii="宋体" w:hAnsi="宋体" w:eastAsia="仿宋_GB2312" w:cs="仿宋_GB2312"/>
          <w:b w:val="0"/>
          <w:color w:val="000000" w:themeColor="text1"/>
          <w:sz w:val="32"/>
          <w:szCs w:val="32"/>
          <w:highlight w:val="none"/>
          <w14:textFill>
            <w14:solidFill>
              <w14:schemeClr w14:val="tx1"/>
            </w14:solidFill>
          </w14:textFill>
        </w:rPr>
        <w:t>日起施行。</w:t>
      </w:r>
      <w:r>
        <w:rPr>
          <w:rFonts w:hint="eastAsia" w:ascii="宋体" w:hAnsi="宋体" w:eastAsia="仿宋_GB2312" w:cs="仿宋_GB2312"/>
          <w:b w:val="0"/>
          <w:color w:val="000000" w:themeColor="text1"/>
          <w:sz w:val="32"/>
          <w:szCs w:val="32"/>
          <w:highlight w:val="none"/>
          <w:lang w:val="en-US" w:eastAsia="zh-CN"/>
          <w14:textFill>
            <w14:solidFill>
              <w14:schemeClr w14:val="tx1"/>
            </w14:solidFill>
          </w14:textFill>
        </w:rPr>
        <w:t>原《赣州经开区“双GP”专项基金试点管理办法（试行）》（赣经开办字</w:t>
      </w:r>
      <w:r>
        <w:rPr>
          <w:rFonts w:hint="eastAsia" w:ascii="宋体" w:hAnsi="宋体" w:eastAsia="仿宋_GB2312" w:cs="仿宋_GB2312"/>
          <w:i w:val="0"/>
          <w:iCs w:val="0"/>
          <w:caps w:val="0"/>
          <w:color w:val="000000" w:themeColor="text1"/>
          <w:spacing w:val="0"/>
          <w:sz w:val="32"/>
          <w:szCs w:val="32"/>
          <w:highlight w:val="none"/>
          <w:shd w:val="clear"/>
          <w14:textFill>
            <w14:solidFill>
              <w14:schemeClr w14:val="tx1"/>
            </w14:solidFill>
          </w14:textFill>
        </w:rPr>
        <w:t>〔</w:t>
      </w:r>
      <w:r>
        <w:rPr>
          <w:rFonts w:hint="eastAsia" w:ascii="宋体" w:hAnsi="宋体" w:eastAsia="仿宋_GB2312" w:cs="仿宋_GB2312"/>
          <w:i w:val="0"/>
          <w:iCs w:val="0"/>
          <w:caps w:val="0"/>
          <w:color w:val="000000" w:themeColor="text1"/>
          <w:spacing w:val="0"/>
          <w:sz w:val="32"/>
          <w:szCs w:val="32"/>
          <w:highlight w:val="none"/>
          <w:shd w:val="clear"/>
          <w:lang w:val="en-US" w:eastAsia="zh-CN"/>
          <w14:textFill>
            <w14:solidFill>
              <w14:schemeClr w14:val="tx1"/>
            </w14:solidFill>
          </w14:textFill>
        </w:rPr>
        <w:t>2023</w:t>
      </w:r>
      <w:r>
        <w:rPr>
          <w:rFonts w:hint="eastAsia" w:ascii="宋体" w:hAnsi="宋体" w:eastAsia="仿宋_GB2312" w:cs="仿宋_GB2312"/>
          <w:i w:val="0"/>
          <w:iCs w:val="0"/>
          <w:caps w:val="0"/>
          <w:color w:val="000000" w:themeColor="text1"/>
          <w:spacing w:val="0"/>
          <w:sz w:val="32"/>
          <w:szCs w:val="32"/>
          <w:highlight w:val="none"/>
          <w:shd w:val="clear"/>
          <w14:textFill>
            <w14:solidFill>
              <w14:schemeClr w14:val="tx1"/>
            </w14:solidFill>
          </w14:textFill>
        </w:rPr>
        <w:t>〕</w:t>
      </w:r>
      <w:r>
        <w:rPr>
          <w:rFonts w:hint="eastAsia" w:ascii="宋体" w:hAnsi="宋体" w:eastAsia="仿宋_GB2312" w:cs="仿宋_GB2312"/>
          <w:i w:val="0"/>
          <w:iCs w:val="0"/>
          <w:caps w:val="0"/>
          <w:color w:val="000000" w:themeColor="text1"/>
          <w:spacing w:val="0"/>
          <w:sz w:val="32"/>
          <w:szCs w:val="32"/>
          <w:highlight w:val="none"/>
          <w:shd w:val="clear"/>
          <w:lang w:val="en-US" w:eastAsia="zh-CN"/>
          <w14:textFill>
            <w14:solidFill>
              <w14:schemeClr w14:val="tx1"/>
            </w14:solidFill>
          </w14:textFill>
        </w:rPr>
        <w:t>61号</w:t>
      </w:r>
      <w:r>
        <w:rPr>
          <w:rFonts w:hint="eastAsia" w:ascii="宋体" w:hAnsi="宋体" w:eastAsia="仿宋_GB2312" w:cs="仿宋_GB2312"/>
          <w:b w:val="0"/>
          <w:color w:val="000000" w:themeColor="text1"/>
          <w:sz w:val="32"/>
          <w:szCs w:val="32"/>
          <w:highlight w:val="none"/>
          <w:lang w:val="en-US" w:eastAsia="zh-CN"/>
          <w14:textFill>
            <w14:solidFill>
              <w14:schemeClr w14:val="tx1"/>
            </w14:solidFill>
          </w14:textFill>
        </w:rPr>
        <w:t>）废止。</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第二十</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一</w:t>
      </w:r>
      <w:r>
        <w:rPr>
          <w:rFonts w:hint="eastAsia" w:ascii="宋体" w:hAnsi="宋体" w:eastAsia="仿宋_GB2312" w:cs="仿宋_GB2312"/>
          <w:color w:val="000000" w:themeColor="text1"/>
          <w:sz w:val="32"/>
          <w:szCs w:val="32"/>
          <w:highlight w:val="none"/>
          <w14:textFill>
            <w14:solidFill>
              <w14:schemeClr w14:val="tx1"/>
            </w14:solidFill>
          </w14:textFill>
        </w:rPr>
        <w:t xml:space="preserve">条 </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highlight w:val="none"/>
          <w14:textFill>
            <w14:solidFill>
              <w14:schemeClr w14:val="tx1"/>
            </w14:solidFill>
          </w14:textFill>
        </w:rPr>
        <w:t>本办法由区基金办负责解释。</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ascii="宋体" w:hAnsi="宋体"/>
          <w:highlight w:val="none"/>
        </w:rPr>
      </w:pPr>
    </w:p>
    <w:p>
      <w:pPr>
        <w:pStyle w:val="2"/>
        <w:keepNext w:val="0"/>
        <w:keepLines w:val="0"/>
        <w:pageBreakBefore w:val="0"/>
        <w:kinsoku/>
        <w:wordWrap/>
        <w:overflowPunct/>
        <w:topLinePunct w:val="0"/>
        <w:autoSpaceDE/>
        <w:autoSpaceDN/>
        <w:bidi w:val="0"/>
        <w:spacing w:line="560" w:lineRule="exact"/>
        <w:textAlignment w:val="auto"/>
        <w:rPr>
          <w:rFonts w:ascii="宋体" w:hAnsi="宋体"/>
          <w:highlight w:val="none"/>
        </w:rPr>
      </w:pPr>
    </w:p>
    <w:p>
      <w:pPr>
        <w:pStyle w:val="2"/>
        <w:keepNext w:val="0"/>
        <w:keepLines w:val="0"/>
        <w:pageBreakBefore w:val="0"/>
        <w:kinsoku/>
        <w:wordWrap/>
        <w:overflowPunct/>
        <w:topLinePunct w:val="0"/>
        <w:autoSpaceDE/>
        <w:autoSpaceDN/>
        <w:bidi w:val="0"/>
        <w:spacing w:line="560" w:lineRule="exact"/>
        <w:textAlignment w:val="auto"/>
        <w:rPr>
          <w:rFonts w:ascii="宋体" w:hAnsi="宋体"/>
          <w:highlight w:val="none"/>
        </w:rPr>
      </w:pPr>
    </w:p>
    <w:tbl>
      <w:tblPr>
        <w:tblStyle w:val="10"/>
        <w:tblpPr w:leftFromText="180" w:rightFromText="180" w:vertAnchor="text" w:horzAnchor="page" w:tblpX="1600" w:tblpY="9239"/>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10</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8</w:t>
            </w:r>
            <w:r>
              <w:rPr>
                <w:rFonts w:hint="eastAsia" w:ascii="宋体" w:hAnsi="宋体" w:eastAsia="仿宋_GB2312" w:cs="Arial"/>
                <w:b w:val="0"/>
                <w:bCs w:val="0"/>
                <w:snapToGrid/>
                <w:color w:val="auto"/>
                <w:kern w:val="2"/>
                <w:sz w:val="28"/>
                <w:szCs w:val="28"/>
                <w:u w:val="none" w:color="auto"/>
              </w:rPr>
              <w:t>日印发</w:t>
            </w:r>
          </w:p>
        </w:tc>
      </w:tr>
    </w:tbl>
    <w:p>
      <w:pPr>
        <w:pStyle w:val="2"/>
        <w:keepNext w:val="0"/>
        <w:keepLines w:val="0"/>
        <w:pageBreakBefore w:val="0"/>
        <w:kinsoku/>
        <w:wordWrap/>
        <w:overflowPunct/>
        <w:topLinePunct w:val="0"/>
        <w:autoSpaceDE/>
        <w:autoSpaceDN/>
        <w:bidi w:val="0"/>
        <w:spacing w:line="560" w:lineRule="exact"/>
        <w:textAlignment w:val="auto"/>
        <w:rPr>
          <w:rFonts w:ascii="宋体" w:hAnsi="宋体"/>
          <w:highlight w:val="none"/>
        </w:rPr>
      </w:pPr>
    </w:p>
    <w:sectPr>
      <w:footerReference r:id="rId3" w:type="default"/>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87ACEB-F406-48E5-8617-5B055D3F259F}"/>
  </w:font>
  <w:font w:name="黑体">
    <w:panose1 w:val="02010609060101010101"/>
    <w:charset w:val="86"/>
    <w:family w:val="auto"/>
    <w:pitch w:val="default"/>
    <w:sig w:usb0="800002BF" w:usb1="38CF7CFA" w:usb2="00000016" w:usb3="00000000" w:csb0="00040001" w:csb1="00000000"/>
    <w:embedRegular r:id="rId2" w:fontKey="{9603E58E-0A39-4AAD-AA85-0005BFDD5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E599D78-BB5A-4F5E-AA46-CEA53954873B}"/>
  </w:font>
  <w:font w:name="楷体_GB2312">
    <w:panose1 w:val="02010609030101010101"/>
    <w:charset w:val="86"/>
    <w:family w:val="modern"/>
    <w:pitch w:val="default"/>
    <w:sig w:usb0="00000001" w:usb1="080E0000" w:usb2="00000000" w:usb3="00000000" w:csb0="00040000" w:csb1="00000000"/>
    <w:embedRegular r:id="rId4" w:fontKey="{F827DCD9-6ADE-4436-8356-89553A21650C}"/>
  </w:font>
  <w:font w:name="方正小标宋简体">
    <w:panose1 w:val="03000509000000000000"/>
    <w:charset w:val="86"/>
    <w:family w:val="script"/>
    <w:pitch w:val="default"/>
    <w:sig w:usb0="00000001" w:usb1="080E0000" w:usb2="00000000" w:usb3="00000000" w:csb0="00040000" w:csb1="00000000"/>
    <w:embedRegular r:id="rId5" w:fontKey="{7CAA7909-EB5F-4DE7-8CD4-7EE1BBDD695B}"/>
  </w:font>
  <w:font w:name="仿宋">
    <w:panose1 w:val="02010609060101010101"/>
    <w:charset w:val="86"/>
    <w:family w:val="modern"/>
    <w:pitch w:val="default"/>
    <w:sig w:usb0="800002BF" w:usb1="38CF7CFA" w:usb2="00000016" w:usb3="00000000" w:csb0="00040001" w:csb1="00000000"/>
    <w:embedRegular r:id="rId6" w:fontKey="{A594F5AD-F14B-4D59-80C1-3C95508337E0}"/>
  </w:font>
  <w:font w:name="Tahoma">
    <w:panose1 w:val="020B0604030504040204"/>
    <w:charset w:val="00"/>
    <w:family w:val="swiss"/>
    <w:pitch w:val="default"/>
    <w:sig w:usb0="E1002EFF" w:usb1="C000605B" w:usb2="00000029" w:usb3="00000000" w:csb0="200101FF" w:csb1="20280000"/>
    <w:embedRegular r:id="rId7" w:fontKey="{C5E72880-5F82-4035-9CB7-83B83D5287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d627a12e-33fe-42cb-8d7e-85bb41961e16"/>
  </w:docVars>
  <w:rsids>
    <w:rsidRoot w:val="48231329"/>
    <w:rsid w:val="000E4915"/>
    <w:rsid w:val="00181471"/>
    <w:rsid w:val="00187EE2"/>
    <w:rsid w:val="001A2F25"/>
    <w:rsid w:val="003D4132"/>
    <w:rsid w:val="003D68BC"/>
    <w:rsid w:val="00530404"/>
    <w:rsid w:val="00617EFF"/>
    <w:rsid w:val="006923C9"/>
    <w:rsid w:val="00887E47"/>
    <w:rsid w:val="0095032A"/>
    <w:rsid w:val="009634A4"/>
    <w:rsid w:val="009637E4"/>
    <w:rsid w:val="009B307F"/>
    <w:rsid w:val="00A85925"/>
    <w:rsid w:val="00C142AD"/>
    <w:rsid w:val="00C41744"/>
    <w:rsid w:val="00C470DB"/>
    <w:rsid w:val="00E56D64"/>
    <w:rsid w:val="00EA3231"/>
    <w:rsid w:val="00ED3648"/>
    <w:rsid w:val="015D4A76"/>
    <w:rsid w:val="0160261F"/>
    <w:rsid w:val="020B41FF"/>
    <w:rsid w:val="03A62E81"/>
    <w:rsid w:val="03F32506"/>
    <w:rsid w:val="041E7B16"/>
    <w:rsid w:val="04560016"/>
    <w:rsid w:val="04E84DE3"/>
    <w:rsid w:val="055A4ED6"/>
    <w:rsid w:val="05BC5925"/>
    <w:rsid w:val="05BFC890"/>
    <w:rsid w:val="06641BD7"/>
    <w:rsid w:val="06FECFE7"/>
    <w:rsid w:val="07044413"/>
    <w:rsid w:val="07610659"/>
    <w:rsid w:val="076916B8"/>
    <w:rsid w:val="07A11279"/>
    <w:rsid w:val="082B53D9"/>
    <w:rsid w:val="084108F1"/>
    <w:rsid w:val="096114AF"/>
    <w:rsid w:val="0A8241D9"/>
    <w:rsid w:val="0B741C7E"/>
    <w:rsid w:val="0BCB1806"/>
    <w:rsid w:val="0BF85CAB"/>
    <w:rsid w:val="0CAE13E8"/>
    <w:rsid w:val="0D8C1B5F"/>
    <w:rsid w:val="0DEF207E"/>
    <w:rsid w:val="0E3F71AC"/>
    <w:rsid w:val="0FBF20C1"/>
    <w:rsid w:val="0FFDBEC0"/>
    <w:rsid w:val="115A7068"/>
    <w:rsid w:val="11BD4180"/>
    <w:rsid w:val="11E57B67"/>
    <w:rsid w:val="12D467A0"/>
    <w:rsid w:val="13DE7D34"/>
    <w:rsid w:val="155B5C32"/>
    <w:rsid w:val="15717612"/>
    <w:rsid w:val="15FB22AF"/>
    <w:rsid w:val="160475A2"/>
    <w:rsid w:val="1608581D"/>
    <w:rsid w:val="162716E7"/>
    <w:rsid w:val="16D18B35"/>
    <w:rsid w:val="17B375AF"/>
    <w:rsid w:val="185D4829"/>
    <w:rsid w:val="19B87968"/>
    <w:rsid w:val="19EC77E6"/>
    <w:rsid w:val="1BE75EF3"/>
    <w:rsid w:val="1CCB706C"/>
    <w:rsid w:val="1CEF7544"/>
    <w:rsid w:val="1CFA15A5"/>
    <w:rsid w:val="1DCD0BC2"/>
    <w:rsid w:val="1DFD2BAD"/>
    <w:rsid w:val="1EA305EF"/>
    <w:rsid w:val="1EE82B3E"/>
    <w:rsid w:val="1F127786"/>
    <w:rsid w:val="1FEDEDE5"/>
    <w:rsid w:val="200A1A5E"/>
    <w:rsid w:val="20182D94"/>
    <w:rsid w:val="20A80F49"/>
    <w:rsid w:val="21E1090C"/>
    <w:rsid w:val="22E76282"/>
    <w:rsid w:val="23A81AC6"/>
    <w:rsid w:val="23EA25D3"/>
    <w:rsid w:val="254856B7"/>
    <w:rsid w:val="25939C19"/>
    <w:rsid w:val="25CD408A"/>
    <w:rsid w:val="26D91FCF"/>
    <w:rsid w:val="279A4C07"/>
    <w:rsid w:val="279FB0B6"/>
    <w:rsid w:val="27B5111F"/>
    <w:rsid w:val="27E85219"/>
    <w:rsid w:val="27FD5316"/>
    <w:rsid w:val="27FF24C3"/>
    <w:rsid w:val="282B5A74"/>
    <w:rsid w:val="294F69A2"/>
    <w:rsid w:val="29F837AE"/>
    <w:rsid w:val="2B367DA6"/>
    <w:rsid w:val="2C31690F"/>
    <w:rsid w:val="2CDC2BCF"/>
    <w:rsid w:val="2D636E4D"/>
    <w:rsid w:val="2D650892"/>
    <w:rsid w:val="2E2119A4"/>
    <w:rsid w:val="2EE67CD4"/>
    <w:rsid w:val="2EF97582"/>
    <w:rsid w:val="2F170C39"/>
    <w:rsid w:val="2F4D344F"/>
    <w:rsid w:val="2F67CBE2"/>
    <w:rsid w:val="2FAFB865"/>
    <w:rsid w:val="2FBE9363"/>
    <w:rsid w:val="2FEC9A28"/>
    <w:rsid w:val="2FEFB809"/>
    <w:rsid w:val="2FF3ED96"/>
    <w:rsid w:val="2FFEDFBE"/>
    <w:rsid w:val="30DA240D"/>
    <w:rsid w:val="31BE79F2"/>
    <w:rsid w:val="31FB1DB5"/>
    <w:rsid w:val="323D3B96"/>
    <w:rsid w:val="34436144"/>
    <w:rsid w:val="34563CEC"/>
    <w:rsid w:val="345A2AA8"/>
    <w:rsid w:val="35E623C9"/>
    <w:rsid w:val="3745BE4C"/>
    <w:rsid w:val="376D20CB"/>
    <w:rsid w:val="37E6AE9E"/>
    <w:rsid w:val="397720D5"/>
    <w:rsid w:val="397FFDEF"/>
    <w:rsid w:val="39FD0947"/>
    <w:rsid w:val="3AFDC22D"/>
    <w:rsid w:val="3B0509ED"/>
    <w:rsid w:val="3B4F7A18"/>
    <w:rsid w:val="3B7F526D"/>
    <w:rsid w:val="3BBB0906"/>
    <w:rsid w:val="3BDB9752"/>
    <w:rsid w:val="3BEF39F6"/>
    <w:rsid w:val="3C2B322B"/>
    <w:rsid w:val="3C406456"/>
    <w:rsid w:val="3D7D1395"/>
    <w:rsid w:val="3D8303C2"/>
    <w:rsid w:val="3DFDAA40"/>
    <w:rsid w:val="3E1232EA"/>
    <w:rsid w:val="3EDA6843"/>
    <w:rsid w:val="3EF73D4F"/>
    <w:rsid w:val="3F34006A"/>
    <w:rsid w:val="3F4F6299"/>
    <w:rsid w:val="3F932DAD"/>
    <w:rsid w:val="3FCBEA2E"/>
    <w:rsid w:val="3FF65D7A"/>
    <w:rsid w:val="3FFA2CA0"/>
    <w:rsid w:val="3FFB9E62"/>
    <w:rsid w:val="3FFD115A"/>
    <w:rsid w:val="3FFF2350"/>
    <w:rsid w:val="41CA4B28"/>
    <w:rsid w:val="42363C8D"/>
    <w:rsid w:val="430A3B9B"/>
    <w:rsid w:val="434846C3"/>
    <w:rsid w:val="44315157"/>
    <w:rsid w:val="44655746"/>
    <w:rsid w:val="4577031C"/>
    <w:rsid w:val="45973189"/>
    <w:rsid w:val="48231329"/>
    <w:rsid w:val="49500DDA"/>
    <w:rsid w:val="4C576449"/>
    <w:rsid w:val="4CEDF210"/>
    <w:rsid w:val="4F6E9065"/>
    <w:rsid w:val="4FB4B3D0"/>
    <w:rsid w:val="50612555"/>
    <w:rsid w:val="50C34EB1"/>
    <w:rsid w:val="532120A5"/>
    <w:rsid w:val="53EDD791"/>
    <w:rsid w:val="55DF5918"/>
    <w:rsid w:val="55EC5382"/>
    <w:rsid w:val="569CF8FA"/>
    <w:rsid w:val="57EFAC18"/>
    <w:rsid w:val="587910B3"/>
    <w:rsid w:val="588123C3"/>
    <w:rsid w:val="59FB5AD4"/>
    <w:rsid w:val="5ADE3B72"/>
    <w:rsid w:val="5AE67E70"/>
    <w:rsid w:val="5AFFC638"/>
    <w:rsid w:val="5B5B8E45"/>
    <w:rsid w:val="5BD8425D"/>
    <w:rsid w:val="5BFF3D54"/>
    <w:rsid w:val="5DBBB2DF"/>
    <w:rsid w:val="5DBF6455"/>
    <w:rsid w:val="5DE548F0"/>
    <w:rsid w:val="5DEC2992"/>
    <w:rsid w:val="5DF7C0C7"/>
    <w:rsid w:val="5E9F374F"/>
    <w:rsid w:val="5EC01843"/>
    <w:rsid w:val="5ECF2C20"/>
    <w:rsid w:val="5EE3728C"/>
    <w:rsid w:val="5EFFC71A"/>
    <w:rsid w:val="5F2A3C23"/>
    <w:rsid w:val="5F6E50A7"/>
    <w:rsid w:val="5F8A2976"/>
    <w:rsid w:val="5FA6EE4B"/>
    <w:rsid w:val="5FBFC8F0"/>
    <w:rsid w:val="5FD543D7"/>
    <w:rsid w:val="5FDFDE57"/>
    <w:rsid w:val="5FE7DC1D"/>
    <w:rsid w:val="5FF5AADC"/>
    <w:rsid w:val="5FFB95F1"/>
    <w:rsid w:val="5FFF44FE"/>
    <w:rsid w:val="61E5407C"/>
    <w:rsid w:val="6321507E"/>
    <w:rsid w:val="64205BC6"/>
    <w:rsid w:val="653E9A79"/>
    <w:rsid w:val="66581144"/>
    <w:rsid w:val="66A51520"/>
    <w:rsid w:val="66DF528F"/>
    <w:rsid w:val="677F2A1A"/>
    <w:rsid w:val="67D32DED"/>
    <w:rsid w:val="67E50060"/>
    <w:rsid w:val="68243E7A"/>
    <w:rsid w:val="69565EFE"/>
    <w:rsid w:val="6A207A55"/>
    <w:rsid w:val="6A5EFEC1"/>
    <w:rsid w:val="6A9A4F55"/>
    <w:rsid w:val="6B1E13A3"/>
    <w:rsid w:val="6BF379B2"/>
    <w:rsid w:val="6D135F0E"/>
    <w:rsid w:val="6DBDC21D"/>
    <w:rsid w:val="6DD39332"/>
    <w:rsid w:val="6DDF41E4"/>
    <w:rsid w:val="6E779D74"/>
    <w:rsid w:val="6EE7C501"/>
    <w:rsid w:val="6FBDF2BA"/>
    <w:rsid w:val="6FC7BED7"/>
    <w:rsid w:val="6FDBAD59"/>
    <w:rsid w:val="6FDEF378"/>
    <w:rsid w:val="6FFE1CC9"/>
    <w:rsid w:val="70065659"/>
    <w:rsid w:val="715760AD"/>
    <w:rsid w:val="719B7F30"/>
    <w:rsid w:val="71F733D3"/>
    <w:rsid w:val="72FE1D4D"/>
    <w:rsid w:val="73504BEA"/>
    <w:rsid w:val="73860687"/>
    <w:rsid w:val="738F4C25"/>
    <w:rsid w:val="73BFBBD7"/>
    <w:rsid w:val="73D3A30C"/>
    <w:rsid w:val="73F69F57"/>
    <w:rsid w:val="73FE8036"/>
    <w:rsid w:val="73FF2707"/>
    <w:rsid w:val="74461180"/>
    <w:rsid w:val="7452061D"/>
    <w:rsid w:val="74936DE2"/>
    <w:rsid w:val="757DC91F"/>
    <w:rsid w:val="75AE0187"/>
    <w:rsid w:val="75BFD419"/>
    <w:rsid w:val="75DC35CB"/>
    <w:rsid w:val="75ED303A"/>
    <w:rsid w:val="75F67D31"/>
    <w:rsid w:val="772D6BC3"/>
    <w:rsid w:val="775FBEBC"/>
    <w:rsid w:val="777BB708"/>
    <w:rsid w:val="77831323"/>
    <w:rsid w:val="77AFCF1A"/>
    <w:rsid w:val="77DE0F9F"/>
    <w:rsid w:val="77E7E457"/>
    <w:rsid w:val="77FD4DDE"/>
    <w:rsid w:val="784A620C"/>
    <w:rsid w:val="79474B8C"/>
    <w:rsid w:val="799A128A"/>
    <w:rsid w:val="79B96544"/>
    <w:rsid w:val="79E354B7"/>
    <w:rsid w:val="7A76D2C4"/>
    <w:rsid w:val="7AD62C48"/>
    <w:rsid w:val="7AFB4BCE"/>
    <w:rsid w:val="7B021E4C"/>
    <w:rsid w:val="7B3FFB28"/>
    <w:rsid w:val="7B9CD6D8"/>
    <w:rsid w:val="7BFD5E33"/>
    <w:rsid w:val="7C7F4D98"/>
    <w:rsid w:val="7CB9CA30"/>
    <w:rsid w:val="7CFFF576"/>
    <w:rsid w:val="7D083FA0"/>
    <w:rsid w:val="7D74F551"/>
    <w:rsid w:val="7D7A7167"/>
    <w:rsid w:val="7DB69D2D"/>
    <w:rsid w:val="7DBAE543"/>
    <w:rsid w:val="7DFEDCFD"/>
    <w:rsid w:val="7EDE6553"/>
    <w:rsid w:val="7EEDBDB2"/>
    <w:rsid w:val="7EFDD668"/>
    <w:rsid w:val="7F365C38"/>
    <w:rsid w:val="7F5D4A9A"/>
    <w:rsid w:val="7F74042C"/>
    <w:rsid w:val="7F77E929"/>
    <w:rsid w:val="7F7B31BA"/>
    <w:rsid w:val="7F7D09D7"/>
    <w:rsid w:val="7F970AA8"/>
    <w:rsid w:val="7FAFBE3B"/>
    <w:rsid w:val="7FB60894"/>
    <w:rsid w:val="7FC333DA"/>
    <w:rsid w:val="7FDEB068"/>
    <w:rsid w:val="7FEB9B13"/>
    <w:rsid w:val="7FEF7C0A"/>
    <w:rsid w:val="7FEF9EAC"/>
    <w:rsid w:val="97F792D2"/>
    <w:rsid w:val="9BBB5A2B"/>
    <w:rsid w:val="9BCFF93B"/>
    <w:rsid w:val="9C5F307F"/>
    <w:rsid w:val="9CFD0086"/>
    <w:rsid w:val="A5FD78FF"/>
    <w:rsid w:val="A9FDC757"/>
    <w:rsid w:val="ABDFA9C9"/>
    <w:rsid w:val="B7CBA310"/>
    <w:rsid w:val="B7DE62E9"/>
    <w:rsid w:val="B7FF4938"/>
    <w:rsid w:val="BB7BCDC3"/>
    <w:rsid w:val="BBE83F9B"/>
    <w:rsid w:val="BBFF38EE"/>
    <w:rsid w:val="BEE7E84B"/>
    <w:rsid w:val="BEF3E2BB"/>
    <w:rsid w:val="BF7D6BFF"/>
    <w:rsid w:val="BFAFDF14"/>
    <w:rsid w:val="BFD7EDE7"/>
    <w:rsid w:val="BFEF719E"/>
    <w:rsid w:val="BFFBABE5"/>
    <w:rsid w:val="CD7F6D1F"/>
    <w:rsid w:val="CE10F8F0"/>
    <w:rsid w:val="CEBC3043"/>
    <w:rsid w:val="CFFE8E42"/>
    <w:rsid w:val="D33FE9C1"/>
    <w:rsid w:val="D5FEB11B"/>
    <w:rsid w:val="D6D71FCE"/>
    <w:rsid w:val="D6FC6F3D"/>
    <w:rsid w:val="D79EF042"/>
    <w:rsid w:val="D7AF103C"/>
    <w:rsid w:val="D7BD0AF2"/>
    <w:rsid w:val="DAB95900"/>
    <w:rsid w:val="DB13E078"/>
    <w:rsid w:val="DB7DEA91"/>
    <w:rsid w:val="DB7E3E34"/>
    <w:rsid w:val="DBFBE9DC"/>
    <w:rsid w:val="DC79ECA2"/>
    <w:rsid w:val="DD3F825F"/>
    <w:rsid w:val="DDFF16EF"/>
    <w:rsid w:val="DEFF33AB"/>
    <w:rsid w:val="DFBC6FBC"/>
    <w:rsid w:val="DFF4928A"/>
    <w:rsid w:val="E74F4EDE"/>
    <w:rsid w:val="E9AFE7E4"/>
    <w:rsid w:val="E9FF570D"/>
    <w:rsid w:val="EAFB27D5"/>
    <w:rsid w:val="EEF92582"/>
    <w:rsid w:val="EFBEA841"/>
    <w:rsid w:val="EFDBA6BD"/>
    <w:rsid w:val="EFEBD0D3"/>
    <w:rsid w:val="F17FB7D0"/>
    <w:rsid w:val="F191BC2B"/>
    <w:rsid w:val="F1939D7B"/>
    <w:rsid w:val="F3A50692"/>
    <w:rsid w:val="F3AD945A"/>
    <w:rsid w:val="F3FF913E"/>
    <w:rsid w:val="F4EF862E"/>
    <w:rsid w:val="F53F590D"/>
    <w:rsid w:val="F6EF77E9"/>
    <w:rsid w:val="F6FB6B9F"/>
    <w:rsid w:val="F70F4492"/>
    <w:rsid w:val="F7374DCB"/>
    <w:rsid w:val="F7AF377A"/>
    <w:rsid w:val="F7B020D4"/>
    <w:rsid w:val="F7BC2C46"/>
    <w:rsid w:val="F7CF473F"/>
    <w:rsid w:val="F7EEB87C"/>
    <w:rsid w:val="F7FBA418"/>
    <w:rsid w:val="F7FBC081"/>
    <w:rsid w:val="F95FEB54"/>
    <w:rsid w:val="F9E6547F"/>
    <w:rsid w:val="F9FB969E"/>
    <w:rsid w:val="F9FEE5EF"/>
    <w:rsid w:val="F9FF6CC1"/>
    <w:rsid w:val="FADFADF6"/>
    <w:rsid w:val="FBBEE822"/>
    <w:rsid w:val="FBEF34D7"/>
    <w:rsid w:val="FBFF19B0"/>
    <w:rsid w:val="FBFF7A93"/>
    <w:rsid w:val="FCEF27E4"/>
    <w:rsid w:val="FD4B6871"/>
    <w:rsid w:val="FD787B72"/>
    <w:rsid w:val="FDB398EF"/>
    <w:rsid w:val="FDDF6400"/>
    <w:rsid w:val="FDEB3011"/>
    <w:rsid w:val="FDFFF9D5"/>
    <w:rsid w:val="FE7738B4"/>
    <w:rsid w:val="FEAD8F6F"/>
    <w:rsid w:val="FEBF0EA7"/>
    <w:rsid w:val="FEEE99C6"/>
    <w:rsid w:val="FF374387"/>
    <w:rsid w:val="FF714603"/>
    <w:rsid w:val="FF740915"/>
    <w:rsid w:val="FF7A670B"/>
    <w:rsid w:val="FF7D7DC9"/>
    <w:rsid w:val="FFAF9C32"/>
    <w:rsid w:val="FFBB9167"/>
    <w:rsid w:val="FFBF18D7"/>
    <w:rsid w:val="FFD1E0DB"/>
    <w:rsid w:val="FFDBF562"/>
    <w:rsid w:val="FFEF3E4A"/>
    <w:rsid w:val="FFEF9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style>
  <w:style w:type="paragraph" w:styleId="5">
    <w:name w:val="annotation text"/>
    <w:basedOn w:val="1"/>
    <w:link w:val="17"/>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5"/>
    <w:next w:val="5"/>
    <w:link w:val="18"/>
    <w:qFormat/>
    <w:uiPriority w:val="0"/>
    <w:rPr>
      <w:b/>
      <w:bCs/>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标题 1 字符"/>
    <w:basedOn w:val="11"/>
    <w:link w:val="3"/>
    <w:qFormat/>
    <w:uiPriority w:val="0"/>
    <w:rPr>
      <w:rFonts w:hint="default" w:ascii="Calibri" w:hAnsi="Calibri" w:eastAsia="宋体" w:cs="Times New Roman"/>
      <w:b/>
      <w:bCs/>
      <w:kern w:val="44"/>
      <w:sz w:val="44"/>
      <w:szCs w:val="44"/>
    </w:rPr>
  </w:style>
  <w:style w:type="paragraph" w:customStyle="1" w:styleId="21">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3077</Words>
  <Characters>3150</Characters>
  <Lines>24</Lines>
  <Paragraphs>6</Paragraphs>
  <TotalTime>0</TotalTime>
  <ScaleCrop>false</ScaleCrop>
  <LinksUpToDate>false</LinksUpToDate>
  <CharactersWithSpaces>3836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2023-01-21T08:19:00Z</dcterms:created>
  <dc:creator>罗春胜</dc:creator>
  <cp:lastModifiedBy>声宇</cp:lastModifiedBy>
  <cp:lastPrinted>2023-04-04T14:40:00Z</cp:lastPrinted>
  <dcterms:modified xsi:type="dcterms:W3CDTF">2024-10-08T08:17:55Z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0E3AC8310D90494489F78E8EB701C48A_13</vt:lpwstr>
  </property>
</Properties>
</file>