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19099">
      <w:pPr>
        <w:rPr>
          <w:rFonts w:ascii="仿宋_GB2312" w:hAnsi="仿宋_GB2312" w:eastAsia="仿宋_GB2312" w:cs="仿宋_GB2312"/>
          <w:color w:val="auto"/>
          <w:sz w:val="36"/>
          <w:szCs w:val="36"/>
        </w:rPr>
      </w:pPr>
    </w:p>
    <w:p w14:paraId="35089E31">
      <w:pPr>
        <w:rPr>
          <w:rFonts w:ascii="仿宋_GB2312" w:hAnsi="仿宋_GB2312" w:eastAsia="仿宋_GB2312" w:cs="仿宋_GB2312"/>
          <w:color w:val="auto"/>
          <w:sz w:val="36"/>
          <w:szCs w:val="36"/>
        </w:rPr>
      </w:pPr>
    </w:p>
    <w:p w14:paraId="17898AA3">
      <w:pPr>
        <w:rPr>
          <w:rFonts w:ascii="仿宋_GB2312" w:hAnsi="仿宋_GB2312" w:eastAsia="仿宋_GB2312" w:cs="仿宋_GB2312"/>
          <w:color w:val="auto"/>
          <w:sz w:val="36"/>
          <w:szCs w:val="36"/>
        </w:rPr>
      </w:pPr>
    </w:p>
    <w:p w14:paraId="495C4DAE">
      <w:pPr>
        <w:rPr>
          <w:rFonts w:ascii="仿宋_GB2312" w:hAnsi="仿宋_GB2312" w:eastAsia="仿宋_GB2312" w:cs="仿宋_GB2312"/>
          <w:color w:val="auto"/>
          <w:sz w:val="36"/>
          <w:szCs w:val="36"/>
        </w:rPr>
      </w:pPr>
    </w:p>
    <w:p w14:paraId="7B375AAD">
      <w:pPr>
        <w:rPr>
          <w:rFonts w:ascii="仿宋_GB2312" w:hAnsi="仿宋_GB2312" w:eastAsia="仿宋_GB2312" w:cs="仿宋_GB2312"/>
          <w:color w:val="auto"/>
          <w:sz w:val="36"/>
          <w:szCs w:val="36"/>
        </w:rPr>
      </w:pPr>
    </w:p>
    <w:p w14:paraId="3D2465B5">
      <w:pPr>
        <w:adjustRightInd w:val="0"/>
        <w:snapToGrid w:val="0"/>
        <w:jc w:val="center"/>
        <w:outlineLvl w:val="0"/>
        <w:rPr>
          <w:rFonts w:ascii="方正小标宋_GBK" w:eastAsia="方正小标宋_GBK"/>
          <w:bCs/>
          <w:color w:val="auto"/>
          <w:sz w:val="72"/>
          <w:szCs w:val="72"/>
        </w:rPr>
      </w:pPr>
      <w:bookmarkStart w:id="0" w:name="_Toc23428"/>
      <w:bookmarkStart w:id="1" w:name="_Toc1070"/>
      <w:bookmarkStart w:id="2" w:name="_Toc24045"/>
      <w:bookmarkStart w:id="3" w:name="_Toc27699"/>
      <w:r>
        <w:rPr>
          <w:rFonts w:hint="eastAsia" w:ascii="方正小标宋_GBK" w:eastAsia="方正小标宋_GBK"/>
          <w:bCs/>
          <w:color w:val="auto"/>
          <w:sz w:val="72"/>
          <w:szCs w:val="72"/>
        </w:rPr>
        <w:t>建设项目环境影响报告表</w:t>
      </w:r>
      <w:bookmarkEnd w:id="0"/>
      <w:bookmarkEnd w:id="1"/>
    </w:p>
    <w:p w14:paraId="7C81BA44">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677FF97A">
      <w:pPr>
        <w:adjustRightInd w:val="0"/>
        <w:snapToGrid w:val="0"/>
        <w:spacing w:line="288" w:lineRule="auto"/>
        <w:jc w:val="center"/>
        <w:rPr>
          <w:rFonts w:ascii="华文仿宋" w:hAnsi="华文仿宋" w:eastAsia="华文仿宋" w:cs="华文仿宋"/>
          <w:color w:val="auto"/>
          <w:kern w:val="44"/>
          <w:sz w:val="44"/>
          <w:szCs w:val="44"/>
        </w:rPr>
      </w:pPr>
    </w:p>
    <w:p w14:paraId="129BFFBE">
      <w:pPr>
        <w:jc w:val="center"/>
        <w:rPr>
          <w:rFonts w:eastAsia="仿宋"/>
          <w:color w:val="auto"/>
          <w:sz w:val="52"/>
          <w:szCs w:val="52"/>
        </w:rPr>
      </w:pPr>
    </w:p>
    <w:p w14:paraId="2524CF2C">
      <w:pPr>
        <w:ind w:firstLine="1040"/>
        <w:rPr>
          <w:rFonts w:eastAsia="仿宋"/>
          <w:color w:val="auto"/>
          <w:sz w:val="44"/>
          <w:szCs w:val="44"/>
        </w:rPr>
      </w:pPr>
    </w:p>
    <w:p w14:paraId="73159B35">
      <w:pPr>
        <w:ind w:firstLine="1040"/>
        <w:rPr>
          <w:rFonts w:eastAsia="仿宋"/>
          <w:color w:val="auto"/>
          <w:sz w:val="44"/>
          <w:szCs w:val="44"/>
        </w:rPr>
      </w:pPr>
    </w:p>
    <w:p w14:paraId="44E9704E">
      <w:pPr>
        <w:ind w:firstLine="1040"/>
        <w:rPr>
          <w:rFonts w:eastAsia="仿宋"/>
          <w:color w:val="auto"/>
          <w:sz w:val="44"/>
          <w:szCs w:val="44"/>
        </w:rPr>
      </w:pPr>
    </w:p>
    <w:p w14:paraId="7D2F7597">
      <w:pPr>
        <w:ind w:firstLine="1040"/>
        <w:rPr>
          <w:rFonts w:eastAsia="仿宋"/>
          <w:color w:val="auto"/>
          <w:sz w:val="44"/>
          <w:szCs w:val="44"/>
        </w:rPr>
      </w:pPr>
    </w:p>
    <w:p w14:paraId="4D3EA1AD">
      <w:pPr>
        <w:tabs>
          <w:tab w:val="left" w:pos="4620"/>
        </w:tabs>
        <w:adjustRightInd w:val="0"/>
        <w:snapToGrid w:val="0"/>
        <w:spacing w:line="288" w:lineRule="auto"/>
        <w:ind w:left="1680" w:leftChars="-57" w:hanging="1800" w:hangingChars="500"/>
        <w:rPr>
          <w:rFonts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新建机械加工及组件制造中心项目</w:t>
      </w:r>
    </w:p>
    <w:p w14:paraId="581B9F40">
      <w:pPr>
        <w:adjustRightInd w:val="0"/>
        <w:snapToGrid w:val="0"/>
        <w:spacing w:line="288" w:lineRule="auto"/>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江西劲诚永磁新材料有限公司</w:t>
      </w:r>
    </w:p>
    <w:p w14:paraId="75E0F62C">
      <w:pPr>
        <w:adjustRightInd w:val="0"/>
        <w:snapToGrid w:val="0"/>
        <w:spacing w:line="288" w:lineRule="auto"/>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2024年</w:t>
      </w:r>
      <w:r>
        <w:rPr>
          <w:rFonts w:hint="eastAsia" w:ascii="仿宋_GB2312" w:eastAsia="仿宋_GB2312"/>
          <w:color w:val="auto"/>
          <w:sz w:val="36"/>
          <w:szCs w:val="36"/>
          <w:u w:val="single"/>
          <w:lang w:val="en-US" w:eastAsia="zh-CN"/>
        </w:rPr>
        <w:t>12</w:t>
      </w:r>
      <w:r>
        <w:rPr>
          <w:rFonts w:hint="eastAsia" w:ascii="仿宋_GB2312" w:eastAsia="仿宋_GB2312"/>
          <w:color w:val="auto"/>
          <w:sz w:val="36"/>
          <w:szCs w:val="36"/>
          <w:u w:val="single"/>
        </w:rPr>
        <w:t>月</w:t>
      </w:r>
    </w:p>
    <w:p w14:paraId="49162C4C">
      <w:pPr>
        <w:adjustRightInd w:val="0"/>
        <w:snapToGrid w:val="0"/>
        <w:spacing w:line="288" w:lineRule="auto"/>
        <w:ind w:firstLine="1040"/>
        <w:rPr>
          <w:rFonts w:ascii="仿宋_GB2312" w:eastAsia="仿宋_GB2312"/>
          <w:color w:val="auto"/>
          <w:sz w:val="36"/>
          <w:szCs w:val="36"/>
          <w:u w:val="single"/>
        </w:rPr>
      </w:pPr>
      <w:bookmarkStart w:id="4" w:name="_Hlk57884087"/>
    </w:p>
    <w:p w14:paraId="0BB42E97">
      <w:pPr>
        <w:adjustRightInd w:val="0"/>
        <w:snapToGrid w:val="0"/>
        <w:spacing w:line="288" w:lineRule="auto"/>
        <w:ind w:firstLine="1040"/>
        <w:rPr>
          <w:rFonts w:ascii="仿宋_GB2312" w:eastAsia="仿宋_GB2312"/>
          <w:color w:val="auto"/>
          <w:sz w:val="36"/>
          <w:szCs w:val="36"/>
        </w:rPr>
      </w:pPr>
    </w:p>
    <w:p w14:paraId="50E969DF">
      <w:pPr>
        <w:adjustRightInd w:val="0"/>
        <w:snapToGrid w:val="0"/>
        <w:spacing w:line="288" w:lineRule="auto"/>
        <w:ind w:firstLine="1040"/>
        <w:rPr>
          <w:rFonts w:ascii="仿宋_GB2312" w:eastAsia="仿宋_GB2312"/>
          <w:color w:val="auto"/>
          <w:sz w:val="36"/>
          <w:szCs w:val="36"/>
        </w:rPr>
      </w:pPr>
    </w:p>
    <w:p w14:paraId="20E56DDA">
      <w:pPr>
        <w:adjustRightInd w:val="0"/>
        <w:snapToGrid w:val="0"/>
        <w:spacing w:line="288" w:lineRule="auto"/>
        <w:ind w:firstLine="1040"/>
        <w:rPr>
          <w:rFonts w:ascii="仿宋_GB2312" w:eastAsia="仿宋_GB2312"/>
          <w:color w:val="auto"/>
          <w:sz w:val="36"/>
          <w:szCs w:val="36"/>
        </w:rPr>
      </w:pPr>
    </w:p>
    <w:p w14:paraId="76AB5FFA">
      <w:pPr>
        <w:adjustRightInd w:val="0"/>
        <w:snapToGrid w:val="0"/>
        <w:spacing w:line="288" w:lineRule="auto"/>
        <w:ind w:firstLine="1040"/>
        <w:rPr>
          <w:rFonts w:ascii="仿宋_GB2312" w:eastAsia="仿宋_GB2312"/>
          <w:color w:val="auto"/>
          <w:sz w:val="36"/>
          <w:szCs w:val="36"/>
        </w:rPr>
      </w:pPr>
    </w:p>
    <w:bookmarkEnd w:id="4"/>
    <w:p w14:paraId="7CB91460">
      <w:pPr>
        <w:adjustRightInd w:val="0"/>
        <w:snapToGrid w:val="0"/>
        <w:spacing w:line="288" w:lineRule="auto"/>
        <w:jc w:val="center"/>
        <w:rPr>
          <w:rFonts w:ascii="楷体_GB2312" w:eastAsia="楷体_GB2312"/>
          <w:color w:val="auto"/>
          <w:sz w:val="36"/>
          <w:szCs w:val="36"/>
        </w:rPr>
      </w:pPr>
      <w:bookmarkStart w:id="5" w:name="_Toc22163"/>
      <w:bookmarkStart w:id="6" w:name="_Toc11318"/>
      <w:r>
        <w:rPr>
          <w:rFonts w:hint="eastAsia" w:ascii="楷体_GB2312" w:eastAsia="楷体_GB2312"/>
          <w:color w:val="auto"/>
          <w:sz w:val="36"/>
          <w:szCs w:val="36"/>
        </w:rPr>
        <w:t>中华人民共和国生态环境部制</w:t>
      </w:r>
      <w:bookmarkEnd w:id="5"/>
      <w:bookmarkEnd w:id="6"/>
    </w:p>
    <w:p w14:paraId="25FD27D4">
      <w:pPr>
        <w:adjustRightInd w:val="0"/>
        <w:snapToGrid w:val="0"/>
        <w:spacing w:line="360" w:lineRule="auto"/>
        <w:jc w:val="center"/>
        <w:rPr>
          <w:color w:val="auto"/>
          <w:sz w:val="24"/>
        </w:rPr>
      </w:pPr>
      <w:r>
        <w:rPr>
          <w:rFonts w:ascii="仿宋_GB2312" w:eastAsia="仿宋_GB2312"/>
          <w:color w:val="auto"/>
          <w:sz w:val="36"/>
          <w:szCs w:val="36"/>
        </w:rPr>
        <w:br w:type="page"/>
      </w:r>
      <w:r>
        <w:rPr>
          <w:b/>
          <w:bCs/>
          <w:color w:val="auto"/>
          <w:sz w:val="24"/>
        </w:rPr>
        <w:t>目录</w:t>
      </w:r>
      <w:r>
        <w:rPr>
          <w:rFonts w:hint="eastAsia"/>
          <w:color w:val="auto"/>
          <w:sz w:val="24"/>
        </w:rPr>
        <w:fldChar w:fldCharType="begin"/>
      </w:r>
      <w:r>
        <w:rPr>
          <w:rFonts w:hint="eastAsia"/>
          <w:color w:val="auto"/>
          <w:sz w:val="24"/>
        </w:rPr>
        <w:instrText xml:space="preserve">TOC \o "1-1" \h \u </w:instrText>
      </w:r>
      <w:r>
        <w:rPr>
          <w:rFonts w:hint="eastAsia"/>
          <w:color w:val="auto"/>
          <w:sz w:val="24"/>
        </w:rPr>
        <w:fldChar w:fldCharType="separate"/>
      </w:r>
    </w:p>
    <w:p w14:paraId="676B6AB4">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"_Toc27699" </w:instrText>
      </w:r>
      <w:r>
        <w:rPr>
          <w:color w:val="auto"/>
        </w:rPr>
        <w:fldChar w:fldCharType="separate"/>
      </w:r>
      <w:r>
        <w:rPr>
          <w:rFonts w:hint="eastAsia"/>
          <w:color w:val="auto"/>
          <w:sz w:val="24"/>
          <w:szCs w:val="24"/>
        </w:rPr>
        <w:t>一、建设项目基本情况</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_Toc27699 \h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r>
        <w:rPr>
          <w:rFonts w:hint="eastAsia"/>
          <w:color w:val="auto"/>
          <w:sz w:val="24"/>
          <w:szCs w:val="24"/>
        </w:rPr>
        <w:fldChar w:fldCharType="end"/>
      </w:r>
    </w:p>
    <w:p w14:paraId="55D1176D">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"_Toc1560" </w:instrText>
      </w:r>
      <w:r>
        <w:rPr>
          <w:color w:val="auto"/>
        </w:rPr>
        <w:fldChar w:fldCharType="separate"/>
      </w:r>
      <w:r>
        <w:rPr>
          <w:rFonts w:hint="eastAsia"/>
          <w:color w:val="auto"/>
          <w:sz w:val="24"/>
          <w:szCs w:val="24"/>
        </w:rPr>
        <w:t>二、建设项目工程分析</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_Toc1560 \h </w:instrText>
      </w:r>
      <w:r>
        <w:rPr>
          <w:rFonts w:hint="eastAsia"/>
          <w:color w:val="auto"/>
          <w:sz w:val="24"/>
          <w:szCs w:val="24"/>
        </w:rPr>
        <w:fldChar w:fldCharType="separate"/>
      </w:r>
      <w:r>
        <w:rPr>
          <w:rFonts w:hint="eastAsia"/>
          <w:color w:val="auto"/>
          <w:sz w:val="24"/>
          <w:szCs w:val="24"/>
        </w:rPr>
        <w:t>25</w:t>
      </w:r>
      <w:r>
        <w:rPr>
          <w:rFonts w:hint="eastAsia"/>
          <w:color w:val="auto"/>
          <w:sz w:val="24"/>
          <w:szCs w:val="24"/>
        </w:rPr>
        <w:fldChar w:fldCharType="end"/>
      </w:r>
      <w:r>
        <w:rPr>
          <w:rFonts w:hint="eastAsia"/>
          <w:color w:val="auto"/>
          <w:sz w:val="24"/>
          <w:szCs w:val="24"/>
        </w:rPr>
        <w:fldChar w:fldCharType="end"/>
      </w:r>
    </w:p>
    <w:p w14:paraId="4541CBB1">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"_Toc25740" </w:instrText>
      </w:r>
      <w:r>
        <w:rPr>
          <w:color w:val="auto"/>
        </w:rPr>
        <w:fldChar w:fldCharType="separate"/>
      </w:r>
      <w:r>
        <w:rPr>
          <w:rFonts w:hint="eastAsia"/>
          <w:color w:val="auto"/>
          <w:sz w:val="24"/>
          <w:szCs w:val="24"/>
        </w:rPr>
        <w:t>三、区域环境质量现状、环境保护目标及评价标准</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_Toc25740 \h </w:instrText>
      </w:r>
      <w:r>
        <w:rPr>
          <w:rFonts w:hint="eastAsia"/>
          <w:color w:val="auto"/>
          <w:sz w:val="24"/>
          <w:szCs w:val="24"/>
        </w:rPr>
        <w:fldChar w:fldCharType="separate"/>
      </w:r>
      <w:r>
        <w:rPr>
          <w:rFonts w:hint="eastAsia"/>
          <w:color w:val="auto"/>
          <w:sz w:val="24"/>
          <w:szCs w:val="24"/>
        </w:rPr>
        <w:t>82</w:t>
      </w:r>
      <w:r>
        <w:rPr>
          <w:rFonts w:hint="eastAsia"/>
          <w:color w:val="auto"/>
          <w:sz w:val="24"/>
          <w:szCs w:val="24"/>
        </w:rPr>
        <w:fldChar w:fldCharType="end"/>
      </w:r>
      <w:r>
        <w:rPr>
          <w:rFonts w:hint="eastAsia"/>
          <w:color w:val="auto"/>
          <w:sz w:val="24"/>
          <w:szCs w:val="24"/>
        </w:rPr>
        <w:fldChar w:fldCharType="end"/>
      </w:r>
    </w:p>
    <w:p w14:paraId="3F6176D3">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"_Toc20343" </w:instrText>
      </w:r>
      <w:r>
        <w:rPr>
          <w:color w:val="auto"/>
        </w:rPr>
        <w:fldChar w:fldCharType="separate"/>
      </w:r>
      <w:r>
        <w:rPr>
          <w:rFonts w:hint="eastAsia"/>
          <w:color w:val="auto"/>
          <w:sz w:val="24"/>
          <w:szCs w:val="24"/>
        </w:rPr>
        <w:t>四、主要环境影响和保护措施</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_Toc20343 \h </w:instrText>
      </w:r>
      <w:r>
        <w:rPr>
          <w:rFonts w:hint="eastAsia"/>
          <w:color w:val="auto"/>
          <w:sz w:val="24"/>
          <w:szCs w:val="24"/>
        </w:rPr>
        <w:fldChar w:fldCharType="separate"/>
      </w:r>
      <w:r>
        <w:rPr>
          <w:rFonts w:hint="eastAsia"/>
          <w:color w:val="auto"/>
          <w:sz w:val="24"/>
          <w:szCs w:val="24"/>
        </w:rPr>
        <w:t>90</w:t>
      </w:r>
      <w:r>
        <w:rPr>
          <w:rFonts w:hint="eastAsia"/>
          <w:color w:val="auto"/>
          <w:sz w:val="24"/>
          <w:szCs w:val="24"/>
        </w:rPr>
        <w:fldChar w:fldCharType="end"/>
      </w:r>
      <w:r>
        <w:rPr>
          <w:rFonts w:hint="eastAsia"/>
          <w:color w:val="auto"/>
          <w:sz w:val="24"/>
          <w:szCs w:val="24"/>
        </w:rPr>
        <w:fldChar w:fldCharType="end"/>
      </w:r>
    </w:p>
    <w:p w14:paraId="7E1E2657">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"_Toc27804" </w:instrText>
      </w:r>
      <w:r>
        <w:rPr>
          <w:color w:val="auto"/>
        </w:rPr>
        <w:fldChar w:fldCharType="separate"/>
      </w:r>
      <w:r>
        <w:rPr>
          <w:rFonts w:hint="eastAsia"/>
          <w:color w:val="auto"/>
          <w:sz w:val="24"/>
          <w:szCs w:val="24"/>
        </w:rPr>
        <w:t>五、环境保护措施监督检查清单</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_Toc27804 \h </w:instrText>
      </w:r>
      <w:r>
        <w:rPr>
          <w:rFonts w:hint="eastAsia"/>
          <w:color w:val="auto"/>
          <w:sz w:val="24"/>
          <w:szCs w:val="24"/>
        </w:rPr>
        <w:fldChar w:fldCharType="separate"/>
      </w:r>
      <w:r>
        <w:rPr>
          <w:rFonts w:hint="eastAsia"/>
          <w:color w:val="auto"/>
          <w:sz w:val="24"/>
          <w:szCs w:val="24"/>
        </w:rPr>
        <w:t>90</w:t>
      </w:r>
      <w:r>
        <w:rPr>
          <w:rFonts w:hint="eastAsia"/>
          <w:color w:val="auto"/>
          <w:sz w:val="24"/>
          <w:szCs w:val="24"/>
        </w:rPr>
        <w:fldChar w:fldCharType="end"/>
      </w:r>
      <w:r>
        <w:rPr>
          <w:rFonts w:hint="eastAsia"/>
          <w:color w:val="auto"/>
          <w:sz w:val="24"/>
          <w:szCs w:val="24"/>
        </w:rPr>
        <w:fldChar w:fldCharType="end"/>
      </w:r>
    </w:p>
    <w:p w14:paraId="0B0D14A1">
      <w:pPr>
        <w:pStyle w:val="80"/>
        <w:tabs>
          <w:tab w:val="right" w:leader="dot" w:pos="8844"/>
        </w:tabs>
        <w:spacing w:line="360" w:lineRule="auto"/>
        <w:rPr>
          <w:color w:val="auto"/>
          <w:sz w:val="24"/>
          <w:szCs w:val="24"/>
        </w:rPr>
      </w:pPr>
      <w:r>
        <w:rPr>
          <w:color w:val="auto"/>
        </w:rPr>
        <w:fldChar w:fldCharType="begin"/>
      </w:r>
      <w:r>
        <w:rPr>
          <w:color w:val="auto"/>
        </w:rPr>
        <w:instrText xml:space="preserve"> HYPERLINK \l "_Toc21539" </w:instrText>
      </w:r>
      <w:r>
        <w:rPr>
          <w:color w:val="auto"/>
        </w:rPr>
        <w:fldChar w:fldCharType="separate"/>
      </w:r>
      <w:r>
        <w:rPr>
          <w:rFonts w:hint="eastAsia"/>
          <w:color w:val="auto"/>
          <w:sz w:val="24"/>
          <w:szCs w:val="24"/>
        </w:rPr>
        <w:t>六、结论</w:t>
      </w:r>
      <w:r>
        <w:rPr>
          <w:rFonts w:hint="eastAsia"/>
          <w:color w:val="auto"/>
          <w:sz w:val="24"/>
          <w:szCs w:val="24"/>
        </w:rPr>
        <w:tab/>
      </w:r>
      <w:r>
        <w:rPr>
          <w:rFonts w:hint="eastAsia"/>
          <w:color w:val="auto"/>
          <w:sz w:val="24"/>
          <w:szCs w:val="24"/>
        </w:rPr>
        <w:fldChar w:fldCharType="begin"/>
      </w:r>
      <w:r>
        <w:rPr>
          <w:rFonts w:hint="eastAsia"/>
          <w:color w:val="auto"/>
          <w:sz w:val="24"/>
          <w:szCs w:val="24"/>
        </w:rPr>
        <w:instrText xml:space="preserve"> PAGEREF _Toc21539 \h </w:instrText>
      </w:r>
      <w:r>
        <w:rPr>
          <w:rFonts w:hint="eastAsia"/>
          <w:color w:val="auto"/>
          <w:sz w:val="24"/>
          <w:szCs w:val="24"/>
        </w:rPr>
        <w:fldChar w:fldCharType="separate"/>
      </w:r>
      <w:r>
        <w:rPr>
          <w:rFonts w:hint="eastAsia"/>
          <w:color w:val="auto"/>
          <w:sz w:val="24"/>
          <w:szCs w:val="24"/>
        </w:rPr>
        <w:t>131</w:t>
      </w:r>
      <w:r>
        <w:rPr>
          <w:rFonts w:hint="eastAsia"/>
          <w:color w:val="auto"/>
          <w:sz w:val="24"/>
          <w:szCs w:val="24"/>
        </w:rPr>
        <w:fldChar w:fldCharType="end"/>
      </w:r>
      <w:r>
        <w:rPr>
          <w:rFonts w:hint="eastAsia"/>
          <w:color w:val="auto"/>
          <w:sz w:val="24"/>
          <w:szCs w:val="24"/>
        </w:rPr>
        <w:fldChar w:fldCharType="end"/>
      </w:r>
    </w:p>
    <w:p w14:paraId="257D1034">
      <w:pPr>
        <w:pStyle w:val="80"/>
        <w:tabs>
          <w:tab w:val="right" w:leader="dot" w:pos="8844"/>
        </w:tabs>
        <w:spacing w:line="360" w:lineRule="auto"/>
        <w:rPr>
          <w:color w:val="auto"/>
          <w:sz w:val="24"/>
          <w:szCs w:val="24"/>
        </w:rPr>
      </w:pPr>
      <w:r>
        <w:rPr>
          <w:rFonts w:hint="eastAsia"/>
          <w:color w:val="auto"/>
          <w:sz w:val="24"/>
          <w:szCs w:val="24"/>
        </w:rPr>
        <w:t>附图：</w:t>
      </w:r>
    </w:p>
    <w:p w14:paraId="7F8B1845">
      <w:pPr>
        <w:pStyle w:val="80"/>
        <w:tabs>
          <w:tab w:val="right" w:leader="dot" w:pos="8844"/>
        </w:tabs>
        <w:spacing w:line="360" w:lineRule="auto"/>
        <w:rPr>
          <w:color w:val="auto"/>
          <w:sz w:val="24"/>
          <w:szCs w:val="24"/>
        </w:rPr>
      </w:pPr>
      <w:r>
        <w:rPr>
          <w:rFonts w:hint="eastAsia"/>
          <w:color w:val="auto"/>
          <w:sz w:val="24"/>
          <w:szCs w:val="24"/>
        </w:rPr>
        <w:t>附图1地理位置图</w:t>
      </w:r>
      <w:r>
        <w:rPr>
          <w:rFonts w:hint="eastAsia"/>
          <w:color w:val="auto"/>
          <w:sz w:val="24"/>
          <w:szCs w:val="24"/>
        </w:rPr>
        <w:fldChar w:fldCharType="end"/>
      </w:r>
    </w:p>
    <w:p w14:paraId="2BAF84B6">
      <w:pPr>
        <w:pStyle w:val="80"/>
        <w:tabs>
          <w:tab w:val="right" w:leader="dot" w:pos="8844"/>
        </w:tabs>
        <w:spacing w:line="360" w:lineRule="auto"/>
        <w:rPr>
          <w:color w:val="auto"/>
          <w:sz w:val="24"/>
          <w:szCs w:val="24"/>
        </w:rPr>
      </w:pPr>
      <w:r>
        <w:rPr>
          <w:rFonts w:hint="eastAsia"/>
          <w:color w:val="auto"/>
          <w:sz w:val="24"/>
          <w:szCs w:val="24"/>
        </w:rPr>
        <w:t>附图2地表水水环境功能区划图</w:t>
      </w:r>
    </w:p>
    <w:p w14:paraId="5D4C05F5">
      <w:pPr>
        <w:pStyle w:val="80"/>
        <w:tabs>
          <w:tab w:val="right" w:leader="dot" w:pos="8844"/>
        </w:tabs>
        <w:spacing w:line="360" w:lineRule="auto"/>
        <w:rPr>
          <w:color w:val="auto"/>
          <w:sz w:val="24"/>
          <w:szCs w:val="24"/>
        </w:rPr>
      </w:pPr>
      <w:r>
        <w:rPr>
          <w:rFonts w:hint="eastAsia"/>
          <w:color w:val="auto"/>
          <w:sz w:val="24"/>
          <w:szCs w:val="24"/>
        </w:rPr>
        <w:t>附图3生态保护红线范围图</w:t>
      </w:r>
    </w:p>
    <w:p w14:paraId="24F25862">
      <w:pPr>
        <w:pStyle w:val="80"/>
        <w:tabs>
          <w:tab w:val="right" w:leader="dot" w:pos="8844"/>
        </w:tabs>
        <w:spacing w:line="360" w:lineRule="auto"/>
        <w:rPr>
          <w:color w:val="auto"/>
          <w:sz w:val="24"/>
          <w:szCs w:val="24"/>
        </w:rPr>
      </w:pPr>
      <w:r>
        <w:rPr>
          <w:rFonts w:hint="eastAsia"/>
          <w:color w:val="auto"/>
          <w:sz w:val="24"/>
          <w:szCs w:val="24"/>
        </w:rPr>
        <w:t>附图4赣州市环境综合管控单元分布图</w:t>
      </w:r>
    </w:p>
    <w:p w14:paraId="1E4DE226">
      <w:pPr>
        <w:pStyle w:val="80"/>
        <w:tabs>
          <w:tab w:val="right" w:leader="dot" w:pos="8844"/>
        </w:tabs>
        <w:spacing w:line="360" w:lineRule="auto"/>
        <w:rPr>
          <w:color w:val="auto"/>
          <w:sz w:val="24"/>
          <w:szCs w:val="24"/>
        </w:rPr>
      </w:pPr>
      <w:r>
        <w:rPr>
          <w:rFonts w:hint="eastAsia"/>
          <w:color w:val="auto"/>
          <w:sz w:val="24"/>
          <w:szCs w:val="24"/>
        </w:rPr>
        <w:t>附图5总平面布置图</w:t>
      </w:r>
    </w:p>
    <w:p w14:paraId="25B9FF5E">
      <w:pPr>
        <w:pStyle w:val="80"/>
        <w:tabs>
          <w:tab w:val="right" w:leader="dot" w:pos="8844"/>
        </w:tabs>
        <w:spacing w:line="360" w:lineRule="auto"/>
        <w:rPr>
          <w:color w:val="auto"/>
          <w:sz w:val="24"/>
          <w:szCs w:val="24"/>
        </w:rPr>
      </w:pPr>
      <w:r>
        <w:rPr>
          <w:rFonts w:hint="eastAsia"/>
          <w:color w:val="auto"/>
          <w:sz w:val="24"/>
          <w:szCs w:val="24"/>
        </w:rPr>
        <w:t>附图6平面布置图</w:t>
      </w:r>
    </w:p>
    <w:p w14:paraId="6ED3010C">
      <w:pPr>
        <w:pStyle w:val="80"/>
        <w:tabs>
          <w:tab w:val="right" w:leader="dot" w:pos="8844"/>
        </w:tabs>
        <w:spacing w:line="360" w:lineRule="auto"/>
        <w:rPr>
          <w:color w:val="auto"/>
          <w:sz w:val="24"/>
          <w:szCs w:val="24"/>
        </w:rPr>
      </w:pPr>
      <w:r>
        <w:rPr>
          <w:rFonts w:hint="eastAsia"/>
          <w:color w:val="auto"/>
          <w:sz w:val="24"/>
          <w:szCs w:val="24"/>
        </w:rPr>
        <w:t>附图7大气环境保护目标分布图</w:t>
      </w:r>
    </w:p>
    <w:p w14:paraId="389D423C">
      <w:pPr>
        <w:pStyle w:val="80"/>
        <w:tabs>
          <w:tab w:val="right" w:leader="dot" w:pos="8844"/>
        </w:tabs>
        <w:spacing w:line="360" w:lineRule="auto"/>
        <w:rPr>
          <w:color w:val="auto"/>
          <w:sz w:val="24"/>
          <w:szCs w:val="24"/>
        </w:rPr>
      </w:pPr>
      <w:r>
        <w:rPr>
          <w:rFonts w:hint="eastAsia"/>
          <w:color w:val="auto"/>
          <w:sz w:val="24"/>
          <w:szCs w:val="24"/>
        </w:rPr>
        <w:t>附图8项目四至情况图</w:t>
      </w:r>
    </w:p>
    <w:p w14:paraId="6B25F0FD">
      <w:pPr>
        <w:pStyle w:val="80"/>
        <w:tabs>
          <w:tab w:val="right" w:leader="dot" w:pos="8844"/>
        </w:tabs>
        <w:spacing w:line="360" w:lineRule="auto"/>
        <w:rPr>
          <w:color w:val="auto"/>
          <w:sz w:val="24"/>
          <w:szCs w:val="24"/>
        </w:rPr>
      </w:pPr>
      <w:r>
        <w:rPr>
          <w:rFonts w:hint="eastAsia"/>
          <w:color w:val="auto"/>
          <w:sz w:val="24"/>
          <w:szCs w:val="24"/>
        </w:rPr>
        <w:t>附图9卫生防护距离包络线图</w:t>
      </w:r>
    </w:p>
    <w:p w14:paraId="2F5BF89A">
      <w:pPr>
        <w:pStyle w:val="80"/>
        <w:tabs>
          <w:tab w:val="right" w:leader="dot" w:pos="8844"/>
        </w:tabs>
        <w:spacing w:line="360" w:lineRule="auto"/>
        <w:rPr>
          <w:color w:val="auto"/>
          <w:sz w:val="24"/>
          <w:szCs w:val="24"/>
        </w:rPr>
      </w:pPr>
      <w:r>
        <w:rPr>
          <w:rFonts w:hint="eastAsia"/>
          <w:color w:val="auto"/>
          <w:sz w:val="24"/>
          <w:szCs w:val="24"/>
        </w:rPr>
        <w:t>附图10赣州新能源科技城土地使用规划图</w:t>
      </w:r>
    </w:p>
    <w:p w14:paraId="7C03B085">
      <w:pPr>
        <w:pStyle w:val="80"/>
        <w:tabs>
          <w:tab w:val="right" w:leader="dot" w:pos="8844"/>
        </w:tabs>
        <w:spacing w:line="360" w:lineRule="auto"/>
        <w:rPr>
          <w:color w:val="auto"/>
          <w:sz w:val="24"/>
          <w:szCs w:val="24"/>
        </w:rPr>
      </w:pPr>
      <w:r>
        <w:rPr>
          <w:rFonts w:hint="eastAsia"/>
          <w:color w:val="auto"/>
          <w:sz w:val="24"/>
          <w:szCs w:val="24"/>
        </w:rPr>
        <w:t>附图11赣州新能源科技城空间结构规划图</w:t>
      </w:r>
    </w:p>
    <w:p w14:paraId="1EA46B36">
      <w:pPr>
        <w:pStyle w:val="80"/>
        <w:tabs>
          <w:tab w:val="right" w:leader="dot" w:pos="8844"/>
        </w:tabs>
        <w:spacing w:line="360" w:lineRule="auto"/>
        <w:rPr>
          <w:color w:val="auto"/>
          <w:sz w:val="24"/>
          <w:szCs w:val="24"/>
        </w:rPr>
      </w:pPr>
      <w:r>
        <w:rPr>
          <w:rFonts w:hint="eastAsia"/>
          <w:color w:val="auto"/>
          <w:sz w:val="24"/>
          <w:szCs w:val="24"/>
        </w:rPr>
        <w:t>附图12赣州市中心城区污水工程规划图</w:t>
      </w:r>
    </w:p>
    <w:p w14:paraId="6B241D64">
      <w:pPr>
        <w:pStyle w:val="80"/>
        <w:tabs>
          <w:tab w:val="right" w:leader="dot" w:pos="8844"/>
        </w:tabs>
        <w:spacing w:line="360" w:lineRule="auto"/>
        <w:rPr>
          <w:color w:val="auto"/>
          <w:sz w:val="24"/>
          <w:szCs w:val="24"/>
        </w:rPr>
      </w:pPr>
      <w:r>
        <w:rPr>
          <w:rFonts w:hint="eastAsia"/>
          <w:color w:val="auto"/>
          <w:sz w:val="24"/>
          <w:szCs w:val="24"/>
        </w:rPr>
        <w:t>附图13新能源汽车科技城污水处理厂污水接管图</w:t>
      </w:r>
    </w:p>
    <w:p w14:paraId="19AEC1E7">
      <w:pPr>
        <w:pStyle w:val="80"/>
        <w:tabs>
          <w:tab w:val="right" w:leader="dot" w:pos="8844"/>
        </w:tabs>
        <w:spacing w:line="360" w:lineRule="auto"/>
        <w:rPr>
          <w:rFonts w:hint="eastAsia"/>
          <w:color w:val="auto"/>
          <w:sz w:val="24"/>
          <w:szCs w:val="24"/>
        </w:rPr>
      </w:pPr>
      <w:r>
        <w:rPr>
          <w:rFonts w:hint="eastAsia"/>
          <w:color w:val="auto"/>
          <w:sz w:val="24"/>
          <w:szCs w:val="24"/>
        </w:rPr>
        <w:t>附图14新能源汽车科技城污水处理厂雨水接管图</w:t>
      </w:r>
    </w:p>
    <w:p w14:paraId="1A1DF65F">
      <w:pPr>
        <w:pStyle w:val="80"/>
        <w:tabs>
          <w:tab w:val="right" w:leader="dot" w:pos="8844"/>
        </w:tabs>
        <w:spacing w:line="360" w:lineRule="auto"/>
        <w:rPr>
          <w:rFonts w:hint="eastAsia"/>
          <w:color w:val="auto"/>
          <w:sz w:val="24"/>
          <w:szCs w:val="24"/>
          <w:lang w:val="en-US" w:eastAsia="zh-CN"/>
        </w:rPr>
      </w:pPr>
      <w:r>
        <w:rPr>
          <w:rFonts w:hint="eastAsia"/>
          <w:color w:val="auto"/>
          <w:sz w:val="24"/>
          <w:szCs w:val="24"/>
          <w:lang w:val="en-US" w:eastAsia="zh-CN"/>
        </w:rPr>
        <w:t>附图15分区防渗图</w:t>
      </w:r>
    </w:p>
    <w:p w14:paraId="6B227DED">
      <w:pPr>
        <w:pStyle w:val="80"/>
        <w:tabs>
          <w:tab w:val="right" w:leader="dot" w:pos="8844"/>
        </w:tabs>
        <w:spacing w:line="360" w:lineRule="auto"/>
        <w:rPr>
          <w:rFonts w:hint="eastAsia"/>
          <w:color w:val="auto"/>
          <w:sz w:val="24"/>
          <w:szCs w:val="24"/>
          <w:lang w:val="en-US" w:eastAsia="zh-CN"/>
        </w:rPr>
      </w:pPr>
      <w:r>
        <w:rPr>
          <w:rFonts w:hint="eastAsia"/>
          <w:color w:val="auto"/>
          <w:sz w:val="24"/>
          <w:szCs w:val="24"/>
          <w:lang w:val="en-US" w:eastAsia="zh-CN"/>
        </w:rPr>
        <w:t>附图16工程师现场踏勘图</w:t>
      </w:r>
    </w:p>
    <w:p w14:paraId="7337C8B9">
      <w:pPr>
        <w:pStyle w:val="80"/>
        <w:tabs>
          <w:tab w:val="right" w:leader="dot" w:pos="8844"/>
        </w:tabs>
        <w:spacing w:line="360" w:lineRule="auto"/>
        <w:rPr>
          <w:rFonts w:hint="default"/>
          <w:color w:val="auto"/>
          <w:sz w:val="24"/>
          <w:szCs w:val="24"/>
          <w:lang w:val="en-US" w:eastAsia="zh-CN"/>
        </w:rPr>
      </w:pPr>
      <w:r>
        <w:rPr>
          <w:rFonts w:hint="eastAsia"/>
          <w:color w:val="auto"/>
          <w:sz w:val="24"/>
          <w:szCs w:val="24"/>
          <w:lang w:val="en-US" w:eastAsia="zh-CN"/>
        </w:rPr>
        <w:t>附图17厂区雨污水管网图</w:t>
      </w:r>
    </w:p>
    <w:p w14:paraId="5554940A">
      <w:pPr>
        <w:pStyle w:val="80"/>
        <w:tabs>
          <w:tab w:val="right" w:leader="dot" w:pos="8844"/>
        </w:tabs>
        <w:spacing w:line="360" w:lineRule="auto"/>
        <w:rPr>
          <w:color w:val="auto"/>
          <w:sz w:val="24"/>
          <w:szCs w:val="24"/>
        </w:rPr>
      </w:pPr>
      <w:r>
        <w:rPr>
          <w:rFonts w:hint="eastAsia"/>
          <w:color w:val="auto"/>
          <w:sz w:val="24"/>
          <w:szCs w:val="24"/>
        </w:rPr>
        <w:t>附件：</w:t>
      </w:r>
    </w:p>
    <w:p w14:paraId="5206897F">
      <w:pPr>
        <w:pStyle w:val="80"/>
        <w:tabs>
          <w:tab w:val="right" w:leader="dot" w:pos="8844"/>
        </w:tabs>
        <w:spacing w:line="360" w:lineRule="auto"/>
        <w:rPr>
          <w:color w:val="auto"/>
          <w:sz w:val="24"/>
          <w:szCs w:val="24"/>
        </w:rPr>
      </w:pPr>
      <w:r>
        <w:rPr>
          <w:rFonts w:hint="eastAsia"/>
          <w:color w:val="auto"/>
          <w:sz w:val="24"/>
          <w:szCs w:val="24"/>
        </w:rPr>
        <w:t>附件1委托书</w:t>
      </w:r>
    </w:p>
    <w:p w14:paraId="73AD0472">
      <w:pPr>
        <w:pStyle w:val="80"/>
        <w:tabs>
          <w:tab w:val="right" w:leader="dot" w:pos="8844"/>
        </w:tabs>
        <w:spacing w:line="360" w:lineRule="auto"/>
        <w:rPr>
          <w:color w:val="auto"/>
          <w:sz w:val="24"/>
          <w:szCs w:val="24"/>
        </w:rPr>
      </w:pPr>
      <w:r>
        <w:rPr>
          <w:rFonts w:hint="eastAsia"/>
          <w:color w:val="auto"/>
          <w:sz w:val="24"/>
          <w:szCs w:val="24"/>
        </w:rPr>
        <w:t>附件2不动产权证</w:t>
      </w:r>
    </w:p>
    <w:p w14:paraId="4042BDD1">
      <w:pPr>
        <w:pStyle w:val="80"/>
        <w:tabs>
          <w:tab w:val="right" w:leader="dot" w:pos="8844"/>
        </w:tabs>
        <w:spacing w:line="360" w:lineRule="auto"/>
        <w:rPr>
          <w:color w:val="auto"/>
          <w:sz w:val="24"/>
          <w:szCs w:val="24"/>
        </w:rPr>
      </w:pPr>
      <w:r>
        <w:rPr>
          <w:rFonts w:hint="eastAsia"/>
          <w:color w:val="auto"/>
          <w:sz w:val="24"/>
          <w:szCs w:val="24"/>
        </w:rPr>
        <w:t>附件3备案通知书</w:t>
      </w:r>
    </w:p>
    <w:p w14:paraId="18E10077">
      <w:pPr>
        <w:pStyle w:val="80"/>
        <w:tabs>
          <w:tab w:val="right" w:leader="dot" w:pos="8844"/>
        </w:tabs>
        <w:spacing w:line="360" w:lineRule="auto"/>
        <w:rPr>
          <w:color w:val="auto"/>
          <w:sz w:val="24"/>
          <w:szCs w:val="24"/>
        </w:rPr>
      </w:pPr>
      <w:r>
        <w:rPr>
          <w:rFonts w:hint="eastAsia"/>
          <w:color w:val="auto"/>
          <w:sz w:val="24"/>
          <w:szCs w:val="24"/>
        </w:rPr>
        <w:t>附件4营业执照</w:t>
      </w:r>
    </w:p>
    <w:p w14:paraId="0683A5CF">
      <w:pPr>
        <w:pStyle w:val="80"/>
        <w:tabs>
          <w:tab w:val="right" w:leader="dot" w:pos="8844"/>
        </w:tabs>
        <w:spacing w:line="360" w:lineRule="auto"/>
        <w:rPr>
          <w:color w:val="auto"/>
          <w:sz w:val="24"/>
          <w:szCs w:val="24"/>
        </w:rPr>
      </w:pPr>
      <w:r>
        <w:rPr>
          <w:rFonts w:hint="eastAsia"/>
          <w:color w:val="auto"/>
          <w:sz w:val="24"/>
          <w:szCs w:val="24"/>
        </w:rPr>
        <w:t>附件5关于赣州新能源汽车科技城首期控制性详细规划环境影响报告书审查意见的函</w:t>
      </w:r>
    </w:p>
    <w:p w14:paraId="4E6877E7">
      <w:pPr>
        <w:pStyle w:val="80"/>
        <w:tabs>
          <w:tab w:val="right" w:leader="dot" w:pos="8844"/>
        </w:tabs>
        <w:spacing w:line="360" w:lineRule="auto"/>
        <w:rPr>
          <w:rFonts w:hint="eastAsia"/>
          <w:color w:val="auto"/>
          <w:sz w:val="24"/>
          <w:szCs w:val="24"/>
        </w:rPr>
      </w:pPr>
      <w:r>
        <w:rPr>
          <w:rFonts w:hint="eastAsia"/>
          <w:color w:val="auto"/>
          <w:sz w:val="24"/>
          <w:szCs w:val="24"/>
        </w:rPr>
        <w:t>附件6引用监测报告</w:t>
      </w:r>
    </w:p>
    <w:p w14:paraId="1340A7C8">
      <w:pPr>
        <w:pStyle w:val="80"/>
        <w:tabs>
          <w:tab w:val="right" w:leader="dot" w:pos="8844"/>
        </w:tabs>
        <w:spacing w:line="360" w:lineRule="auto"/>
        <w:rPr>
          <w:rFonts w:hint="eastAsia"/>
          <w:color w:val="auto"/>
          <w:sz w:val="24"/>
          <w:szCs w:val="24"/>
        </w:rPr>
      </w:pPr>
      <w:r>
        <w:rPr>
          <w:rFonts w:hint="eastAsia"/>
          <w:color w:val="auto"/>
          <w:sz w:val="24"/>
          <w:szCs w:val="24"/>
        </w:rPr>
        <w:t>附件7《关于赣州新能源汽车科技城首期控制性详细规划的批复》（赣市府字〔2019〕63号）</w:t>
      </w:r>
    </w:p>
    <w:p w14:paraId="3D01A4F1">
      <w:pPr>
        <w:pStyle w:val="80"/>
        <w:tabs>
          <w:tab w:val="right" w:leader="dot" w:pos="8844"/>
        </w:tabs>
        <w:spacing w:line="360" w:lineRule="auto"/>
        <w:rPr>
          <w:rFonts w:hint="eastAsia" w:ascii="Times New Roman" w:hAnsi="Times New Roman" w:cs="Times New Roman"/>
          <w:b/>
          <w:bCs/>
          <w:color w:val="auto"/>
          <w:sz w:val="24"/>
          <w:szCs w:val="24"/>
          <w:lang w:val="en-US" w:eastAsia="zh-CN"/>
        </w:rPr>
      </w:pPr>
      <w:r>
        <w:rPr>
          <w:rFonts w:hint="eastAsia"/>
          <w:color w:val="auto"/>
          <w:sz w:val="24"/>
          <w:szCs w:val="24"/>
        </w:rPr>
        <w:t>附件8</w:t>
      </w:r>
      <w:r>
        <w:rPr>
          <w:rFonts w:hint="eastAsia" w:ascii="Times New Roman" w:hAnsi="Times New Roman" w:cs="Times New Roman"/>
          <w:b w:val="0"/>
          <w:bCs w:val="0"/>
          <w:color w:val="auto"/>
          <w:sz w:val="24"/>
          <w:szCs w:val="24"/>
          <w:lang w:val="en-US" w:eastAsia="zh-CN"/>
        </w:rPr>
        <w:t>《赣州市人民政府关于赣州新能源汽车科技城首期控制性详细规划局部调整规划方案的批复》（赣市府字〔2023〕5号）</w:t>
      </w:r>
    </w:p>
    <w:p w14:paraId="24E9477A">
      <w:pPr>
        <w:pStyle w:val="80"/>
        <w:tabs>
          <w:tab w:val="right" w:leader="dot" w:pos="8844"/>
        </w:tabs>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附图9《关于江西劲诚永磁新材料有限公司高效节能电机用磁材基地项目环境影响报告书的批复》（赣环审〔2024〕6号）（一期工程）</w:t>
      </w:r>
    </w:p>
    <w:p w14:paraId="542BE194">
      <w:pPr>
        <w:pStyle w:val="80"/>
        <w:tabs>
          <w:tab w:val="right" w:leader="dot" w:pos="8844"/>
        </w:tabs>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附件10检测报告</w:t>
      </w:r>
    </w:p>
    <w:p w14:paraId="27C8B733">
      <w:pPr>
        <w:pStyle w:val="80"/>
        <w:tabs>
          <w:tab w:val="right" w:leader="dot" w:pos="8844"/>
        </w:tabs>
        <w:spacing w:line="360" w:lineRule="auto"/>
        <w:rPr>
          <w:rFonts w:hint="eastAsia" w:cs="Times New Roman"/>
          <w:color w:val="auto"/>
          <w:sz w:val="24"/>
          <w:szCs w:val="24"/>
          <w:lang w:val="en-US" w:eastAsia="zh-CN"/>
        </w:rPr>
      </w:pPr>
      <w:r>
        <w:rPr>
          <w:rFonts w:hint="eastAsia" w:cs="Times New Roman"/>
          <w:color w:val="auto"/>
          <w:sz w:val="24"/>
          <w:szCs w:val="24"/>
          <w:lang w:val="en-US" w:eastAsia="zh-CN"/>
        </w:rPr>
        <w:t>附件11一期工程总量确认书</w:t>
      </w:r>
    </w:p>
    <w:p w14:paraId="06F9C028">
      <w:pPr>
        <w:pStyle w:val="80"/>
        <w:tabs>
          <w:tab w:val="right" w:leader="dot" w:pos="8844"/>
        </w:tabs>
        <w:spacing w:line="360" w:lineRule="auto"/>
        <w:rPr>
          <w:rFonts w:hint="eastAsia" w:cs="Times New Roman"/>
          <w:color w:val="auto"/>
          <w:sz w:val="24"/>
          <w:szCs w:val="24"/>
          <w:lang w:val="en-US" w:eastAsia="zh-CN"/>
        </w:rPr>
      </w:pPr>
      <w:r>
        <w:rPr>
          <w:rFonts w:hint="eastAsia" w:cs="Times New Roman"/>
          <w:color w:val="auto"/>
          <w:sz w:val="24"/>
          <w:szCs w:val="24"/>
          <w:lang w:val="en-US" w:eastAsia="zh-CN"/>
        </w:rPr>
        <w:t>附件12专家意见</w:t>
      </w:r>
    </w:p>
    <w:p w14:paraId="65CD2CB2">
      <w:pPr>
        <w:pStyle w:val="80"/>
        <w:tabs>
          <w:tab w:val="right" w:leader="dot" w:pos="8844"/>
        </w:tabs>
        <w:spacing w:line="360" w:lineRule="auto"/>
        <w:rPr>
          <w:rFonts w:hint="eastAsia" w:cs="Times New Roman"/>
          <w:color w:val="auto"/>
          <w:sz w:val="24"/>
          <w:szCs w:val="24"/>
          <w:lang w:val="en-US" w:eastAsia="zh-CN"/>
        </w:rPr>
      </w:pPr>
      <w:r>
        <w:rPr>
          <w:rFonts w:hint="eastAsia" w:cs="Times New Roman"/>
          <w:color w:val="auto"/>
          <w:sz w:val="24"/>
          <w:szCs w:val="24"/>
          <w:lang w:val="en-US" w:eastAsia="zh-CN"/>
        </w:rPr>
        <w:t>附件13专家复核意见签字及修改清单</w:t>
      </w:r>
    </w:p>
    <w:p w14:paraId="5984F8A2">
      <w:pPr>
        <w:pStyle w:val="80"/>
        <w:tabs>
          <w:tab w:val="right" w:leader="dot" w:pos="8844"/>
        </w:tabs>
        <w:spacing w:line="360" w:lineRule="auto"/>
        <w:rPr>
          <w:rFonts w:hint="default" w:cs="Times New Roman"/>
          <w:color w:val="auto"/>
          <w:sz w:val="24"/>
          <w:szCs w:val="24"/>
          <w:lang w:val="en-US" w:eastAsia="zh-CN"/>
        </w:rPr>
      </w:pPr>
      <w:r>
        <w:rPr>
          <w:rFonts w:hint="eastAsia" w:cs="Times New Roman"/>
          <w:color w:val="auto"/>
          <w:sz w:val="24"/>
          <w:szCs w:val="24"/>
          <w:lang w:val="en-US" w:eastAsia="zh-CN"/>
        </w:rPr>
        <w:t>附件14废水总量确认书</w:t>
      </w:r>
    </w:p>
    <w:p w14:paraId="0627DA37">
      <w:pPr>
        <w:pStyle w:val="80"/>
        <w:tabs>
          <w:tab w:val="right" w:leader="dot" w:pos="8844"/>
        </w:tabs>
        <w:spacing w:line="360" w:lineRule="auto"/>
        <w:rPr>
          <w:rFonts w:hint="default" w:cs="Times New Roman"/>
          <w:color w:val="auto"/>
          <w:sz w:val="24"/>
          <w:szCs w:val="24"/>
          <w:lang w:val="en-US" w:eastAsia="zh-CN"/>
        </w:rPr>
      </w:pPr>
    </w:p>
    <w:p w14:paraId="48984145">
      <w:pPr>
        <w:pStyle w:val="80"/>
        <w:tabs>
          <w:tab w:val="right" w:leader="dot" w:pos="8844"/>
        </w:tabs>
        <w:spacing w:line="360" w:lineRule="auto"/>
        <w:rPr>
          <w:color w:val="auto"/>
          <w:sz w:val="24"/>
          <w:szCs w:val="24"/>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EA9956A">
      <w:pPr>
        <w:pStyle w:val="20"/>
        <w:spacing w:before="0" w:beforeAutospacing="0" w:after="0" w:afterAutospacing="0" w:line="240" w:lineRule="atLeast"/>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bookmarkEnd w:id="2"/>
      <w:bookmarkEnd w:id="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44"/>
        <w:gridCol w:w="1768"/>
        <w:gridCol w:w="2378"/>
        <w:gridCol w:w="2704"/>
      </w:tblGrid>
      <w:tr w14:paraId="4809B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44" w:type="dxa"/>
            <w:tcMar>
              <w:top w:w="16" w:type="dxa"/>
              <w:left w:w="16" w:type="dxa"/>
              <w:right w:w="16" w:type="dxa"/>
            </w:tcMar>
            <w:vAlign w:val="center"/>
          </w:tcPr>
          <w:p w14:paraId="5F6093F3">
            <w:pPr>
              <w:adjustRightInd w:val="0"/>
              <w:snapToGrid w:val="0"/>
              <w:jc w:val="center"/>
              <w:rPr>
                <w:rFonts w:cs="宋体"/>
                <w:color w:val="auto"/>
                <w:sz w:val="24"/>
              </w:rPr>
            </w:pPr>
            <w:r>
              <w:rPr>
                <w:rFonts w:hint="eastAsia" w:cs="宋体"/>
                <w:color w:val="auto"/>
                <w:sz w:val="24"/>
              </w:rPr>
              <w:t>建设项目名称</w:t>
            </w:r>
          </w:p>
        </w:tc>
        <w:tc>
          <w:tcPr>
            <w:tcW w:w="6850" w:type="dxa"/>
            <w:gridSpan w:val="3"/>
            <w:vAlign w:val="center"/>
          </w:tcPr>
          <w:p w14:paraId="7DA02AB3">
            <w:pPr>
              <w:adjustRightInd w:val="0"/>
              <w:snapToGrid w:val="0"/>
              <w:jc w:val="center"/>
              <w:rPr>
                <w:rFonts w:cs="宋体"/>
                <w:color w:val="auto"/>
                <w:sz w:val="24"/>
              </w:rPr>
            </w:pPr>
            <w:r>
              <w:rPr>
                <w:rFonts w:hint="eastAsia" w:cs="宋体"/>
                <w:color w:val="auto"/>
                <w:sz w:val="24"/>
              </w:rPr>
              <w:t>江西劲诚永磁新材料有限公司新建机械加工及组件制造中心项目</w:t>
            </w:r>
          </w:p>
        </w:tc>
      </w:tr>
      <w:tr w14:paraId="761C9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4AC506A2">
            <w:pPr>
              <w:adjustRightInd w:val="0"/>
              <w:snapToGrid w:val="0"/>
              <w:jc w:val="center"/>
              <w:rPr>
                <w:rFonts w:cs="宋体"/>
                <w:color w:val="auto"/>
                <w:sz w:val="24"/>
              </w:rPr>
            </w:pPr>
            <w:r>
              <w:rPr>
                <w:rFonts w:hint="eastAsia" w:cs="宋体"/>
                <w:color w:val="auto"/>
                <w:sz w:val="24"/>
              </w:rPr>
              <w:t>项目代码</w:t>
            </w:r>
          </w:p>
        </w:tc>
        <w:tc>
          <w:tcPr>
            <w:tcW w:w="6850" w:type="dxa"/>
            <w:gridSpan w:val="3"/>
            <w:vAlign w:val="center"/>
          </w:tcPr>
          <w:p w14:paraId="69075FA1">
            <w:pPr>
              <w:adjustRightInd w:val="0"/>
              <w:snapToGrid w:val="0"/>
              <w:jc w:val="center"/>
              <w:rPr>
                <w:rFonts w:cs="宋体"/>
                <w:color w:val="auto"/>
                <w:sz w:val="24"/>
              </w:rPr>
            </w:pPr>
            <w:r>
              <w:rPr>
                <w:rFonts w:hint="eastAsia" w:cs="宋体"/>
                <w:color w:val="auto"/>
                <w:sz w:val="24"/>
              </w:rPr>
              <w:t>2409-360799-04-01-657477</w:t>
            </w:r>
          </w:p>
        </w:tc>
      </w:tr>
      <w:tr w14:paraId="771CB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434A1A18">
            <w:pPr>
              <w:adjustRightInd w:val="0"/>
              <w:snapToGrid w:val="0"/>
              <w:jc w:val="center"/>
              <w:rPr>
                <w:rFonts w:cs="宋体"/>
                <w:color w:val="auto"/>
                <w:sz w:val="24"/>
              </w:rPr>
            </w:pPr>
            <w:r>
              <w:rPr>
                <w:rFonts w:hint="eastAsia" w:cs="宋体"/>
                <w:color w:val="auto"/>
                <w:sz w:val="24"/>
              </w:rPr>
              <w:t>建设单位联系人</w:t>
            </w:r>
          </w:p>
        </w:tc>
        <w:tc>
          <w:tcPr>
            <w:tcW w:w="1768" w:type="dxa"/>
            <w:vAlign w:val="center"/>
          </w:tcPr>
          <w:p w14:paraId="1D0AFEE8">
            <w:pPr>
              <w:adjustRightInd w:val="0"/>
              <w:snapToGrid w:val="0"/>
              <w:jc w:val="center"/>
              <w:rPr>
                <w:rFonts w:cs="宋体"/>
                <w:color w:val="auto"/>
                <w:sz w:val="24"/>
              </w:rPr>
            </w:pPr>
            <w:r>
              <w:rPr>
                <w:rFonts w:hint="eastAsia" w:cs="宋体"/>
                <w:color w:val="auto"/>
                <w:sz w:val="24"/>
              </w:rPr>
              <w:t>徐万平</w:t>
            </w:r>
          </w:p>
        </w:tc>
        <w:tc>
          <w:tcPr>
            <w:tcW w:w="2378" w:type="dxa"/>
            <w:vAlign w:val="center"/>
          </w:tcPr>
          <w:p w14:paraId="6ECE36BF">
            <w:pPr>
              <w:adjustRightInd w:val="0"/>
              <w:snapToGrid w:val="0"/>
              <w:jc w:val="center"/>
              <w:rPr>
                <w:rFonts w:cs="宋体"/>
                <w:color w:val="auto"/>
                <w:sz w:val="24"/>
              </w:rPr>
            </w:pPr>
            <w:r>
              <w:rPr>
                <w:rFonts w:hint="eastAsia" w:cs="宋体"/>
                <w:color w:val="auto"/>
                <w:sz w:val="24"/>
              </w:rPr>
              <w:t>联系方式</w:t>
            </w:r>
          </w:p>
        </w:tc>
        <w:tc>
          <w:tcPr>
            <w:tcW w:w="2704" w:type="dxa"/>
            <w:vAlign w:val="center"/>
          </w:tcPr>
          <w:p w14:paraId="03741DF1">
            <w:pPr>
              <w:adjustRightInd w:val="0"/>
              <w:snapToGrid w:val="0"/>
              <w:jc w:val="center"/>
              <w:rPr>
                <w:rFonts w:cs="宋体"/>
                <w:color w:val="auto"/>
                <w:sz w:val="24"/>
              </w:rPr>
            </w:pPr>
            <w:r>
              <w:rPr>
                <w:rFonts w:hint="eastAsia" w:cs="宋体"/>
                <w:color w:val="auto"/>
                <w:sz w:val="24"/>
              </w:rPr>
              <w:t>18146686995</w:t>
            </w:r>
          </w:p>
        </w:tc>
      </w:tr>
      <w:tr w14:paraId="01E2B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3212BE48">
            <w:pPr>
              <w:adjustRightInd w:val="0"/>
              <w:snapToGrid w:val="0"/>
              <w:jc w:val="center"/>
              <w:rPr>
                <w:rFonts w:cs="宋体"/>
                <w:color w:val="auto"/>
                <w:sz w:val="24"/>
              </w:rPr>
            </w:pPr>
            <w:r>
              <w:rPr>
                <w:rFonts w:hint="eastAsia" w:cs="宋体"/>
                <w:color w:val="auto"/>
                <w:sz w:val="24"/>
              </w:rPr>
              <w:t>建设地点</w:t>
            </w:r>
          </w:p>
        </w:tc>
        <w:tc>
          <w:tcPr>
            <w:tcW w:w="6850" w:type="dxa"/>
            <w:gridSpan w:val="3"/>
            <w:vAlign w:val="center"/>
          </w:tcPr>
          <w:p w14:paraId="4DABAE53">
            <w:pPr>
              <w:adjustRightInd w:val="0"/>
              <w:snapToGrid w:val="0"/>
              <w:jc w:val="center"/>
              <w:rPr>
                <w:rFonts w:cs="宋体"/>
                <w:color w:val="auto"/>
                <w:sz w:val="24"/>
              </w:rPr>
            </w:pPr>
            <w:r>
              <w:rPr>
                <w:rFonts w:hint="eastAsia" w:cs="宋体"/>
                <w:color w:val="auto"/>
                <w:sz w:val="24"/>
              </w:rPr>
              <w:t>江西省赣州市赣州经济技术开发区东至科技大道、南至湘江路、西至青云山路、北至旭日大道</w:t>
            </w:r>
          </w:p>
        </w:tc>
      </w:tr>
      <w:tr w14:paraId="2FEEC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36789B90">
            <w:pPr>
              <w:adjustRightInd w:val="0"/>
              <w:snapToGrid w:val="0"/>
              <w:jc w:val="center"/>
              <w:rPr>
                <w:rFonts w:cs="宋体"/>
                <w:color w:val="auto"/>
                <w:sz w:val="24"/>
              </w:rPr>
            </w:pPr>
            <w:r>
              <w:rPr>
                <w:rFonts w:hint="eastAsia" w:cs="宋体"/>
                <w:color w:val="auto"/>
                <w:sz w:val="24"/>
              </w:rPr>
              <w:t>地理坐标</w:t>
            </w:r>
          </w:p>
        </w:tc>
        <w:tc>
          <w:tcPr>
            <w:tcW w:w="6850" w:type="dxa"/>
            <w:gridSpan w:val="3"/>
            <w:vAlign w:val="center"/>
          </w:tcPr>
          <w:p w14:paraId="2AC7B5C3">
            <w:pPr>
              <w:jc w:val="center"/>
              <w:rPr>
                <w:rFonts w:cs="宋体"/>
                <w:color w:val="auto"/>
                <w:sz w:val="24"/>
              </w:rPr>
            </w:pPr>
            <w:r>
              <w:rPr>
                <w:rFonts w:hint="eastAsia" w:cs="宋体"/>
                <w:color w:val="auto"/>
                <w:sz w:val="24"/>
              </w:rPr>
              <w:t>（</w:t>
            </w:r>
            <w:r>
              <w:rPr>
                <w:rFonts w:hint="eastAsia"/>
                <w:color w:val="auto"/>
                <w:sz w:val="24"/>
              </w:rPr>
              <w:t>东经</w:t>
            </w:r>
            <w:r>
              <w:rPr>
                <w:color w:val="auto"/>
                <w:sz w:val="24"/>
              </w:rPr>
              <w:t>114°44′53.264″</w:t>
            </w:r>
            <w:r>
              <w:rPr>
                <w:rFonts w:hint="eastAsia"/>
                <w:color w:val="auto"/>
                <w:sz w:val="24"/>
              </w:rPr>
              <w:t>，北纬</w:t>
            </w:r>
            <w:r>
              <w:rPr>
                <w:color w:val="auto"/>
                <w:sz w:val="24"/>
              </w:rPr>
              <w:t>25°46′34.454″</w:t>
            </w:r>
            <w:r>
              <w:rPr>
                <w:rFonts w:hint="eastAsia" w:cs="宋体"/>
                <w:color w:val="auto"/>
                <w:sz w:val="24"/>
              </w:rPr>
              <w:t>）</w:t>
            </w:r>
          </w:p>
        </w:tc>
      </w:tr>
      <w:tr w14:paraId="4F4D0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44" w:type="dxa"/>
            <w:tcMar>
              <w:top w:w="16" w:type="dxa"/>
              <w:left w:w="16" w:type="dxa"/>
              <w:right w:w="16" w:type="dxa"/>
            </w:tcMar>
            <w:vAlign w:val="center"/>
          </w:tcPr>
          <w:p w14:paraId="21BCDAEB">
            <w:pPr>
              <w:adjustRightInd w:val="0"/>
              <w:snapToGrid w:val="0"/>
              <w:jc w:val="center"/>
              <w:rPr>
                <w:rFonts w:cs="宋体"/>
                <w:color w:val="auto"/>
                <w:sz w:val="24"/>
              </w:rPr>
            </w:pPr>
            <w:r>
              <w:rPr>
                <w:rFonts w:hint="eastAsia" w:cs="宋体"/>
                <w:color w:val="auto"/>
                <w:sz w:val="24"/>
              </w:rPr>
              <w:t>国民经济</w:t>
            </w:r>
          </w:p>
          <w:p w14:paraId="6B28AAB4">
            <w:pPr>
              <w:adjustRightInd w:val="0"/>
              <w:snapToGrid w:val="0"/>
              <w:jc w:val="center"/>
              <w:rPr>
                <w:rFonts w:cs="宋体"/>
                <w:color w:val="auto"/>
                <w:sz w:val="24"/>
              </w:rPr>
            </w:pPr>
            <w:r>
              <w:rPr>
                <w:rFonts w:hint="eastAsia" w:cs="宋体"/>
                <w:color w:val="auto"/>
                <w:sz w:val="24"/>
              </w:rPr>
              <w:t>行业类别</w:t>
            </w:r>
          </w:p>
        </w:tc>
        <w:tc>
          <w:tcPr>
            <w:tcW w:w="1768" w:type="dxa"/>
            <w:vAlign w:val="center"/>
          </w:tcPr>
          <w:p w14:paraId="49170195">
            <w:pPr>
              <w:jc w:val="center"/>
              <w:rPr>
                <w:rFonts w:hint="eastAsia" w:eastAsia="宋体"/>
                <w:color w:val="auto"/>
                <w:lang w:eastAsia="zh-CN"/>
              </w:rPr>
            </w:pPr>
            <w:r>
              <w:rPr>
                <w:rFonts w:hint="eastAsia" w:cs="宋体"/>
                <w:color w:val="auto"/>
                <w:sz w:val="24"/>
              </w:rPr>
              <w:t>C3985电子专用材料制造</w:t>
            </w:r>
          </w:p>
        </w:tc>
        <w:tc>
          <w:tcPr>
            <w:tcW w:w="2378" w:type="dxa"/>
            <w:vAlign w:val="center"/>
          </w:tcPr>
          <w:p w14:paraId="7FAF38E3">
            <w:pPr>
              <w:adjustRightInd w:val="0"/>
              <w:snapToGrid w:val="0"/>
              <w:jc w:val="center"/>
              <w:rPr>
                <w:rFonts w:cs="宋体"/>
                <w:color w:val="auto"/>
                <w:sz w:val="24"/>
              </w:rPr>
            </w:pPr>
            <w:bookmarkStart w:id="7" w:name="_Hlk49843745"/>
            <w:r>
              <w:rPr>
                <w:rFonts w:hint="eastAsia" w:cs="宋体"/>
                <w:color w:val="auto"/>
                <w:sz w:val="24"/>
              </w:rPr>
              <w:t>建设项目</w:t>
            </w:r>
          </w:p>
          <w:p w14:paraId="68872958">
            <w:pPr>
              <w:adjustRightInd w:val="0"/>
              <w:snapToGrid w:val="0"/>
              <w:jc w:val="center"/>
              <w:rPr>
                <w:rFonts w:cs="宋体"/>
                <w:color w:val="auto"/>
                <w:sz w:val="24"/>
              </w:rPr>
            </w:pPr>
            <w:r>
              <w:rPr>
                <w:rFonts w:hint="eastAsia" w:cs="宋体"/>
                <w:color w:val="auto"/>
                <w:sz w:val="24"/>
              </w:rPr>
              <w:t>行业类别</w:t>
            </w:r>
            <w:bookmarkEnd w:id="7"/>
          </w:p>
        </w:tc>
        <w:tc>
          <w:tcPr>
            <w:tcW w:w="2704" w:type="dxa"/>
            <w:vAlign w:val="center"/>
          </w:tcPr>
          <w:p w14:paraId="4657E544">
            <w:pPr>
              <w:adjustRightInd w:val="0"/>
              <w:snapToGrid w:val="0"/>
              <w:jc w:val="center"/>
              <w:rPr>
                <w:rFonts w:cs="宋体"/>
                <w:color w:val="auto"/>
                <w:sz w:val="24"/>
              </w:rPr>
            </w:pPr>
            <w:r>
              <w:rPr>
                <w:rFonts w:hint="eastAsia" w:cs="宋体"/>
                <w:color w:val="auto"/>
                <w:sz w:val="24"/>
              </w:rPr>
              <w:t>三十六、计算机、通信和</w:t>
            </w:r>
          </w:p>
          <w:p w14:paraId="5C78BCD2">
            <w:pPr>
              <w:adjustRightInd w:val="0"/>
              <w:snapToGrid w:val="0"/>
              <w:jc w:val="center"/>
              <w:rPr>
                <w:rFonts w:cs="宋体"/>
                <w:color w:val="auto"/>
                <w:sz w:val="24"/>
              </w:rPr>
            </w:pPr>
            <w:r>
              <w:rPr>
                <w:rFonts w:hint="eastAsia" w:cs="宋体"/>
                <w:color w:val="auto"/>
                <w:sz w:val="24"/>
              </w:rPr>
              <w:t>其他电子设备制造业；81</w:t>
            </w:r>
          </w:p>
          <w:p w14:paraId="72186593">
            <w:pPr>
              <w:adjustRightInd w:val="0"/>
              <w:snapToGrid w:val="0"/>
              <w:jc w:val="center"/>
              <w:rPr>
                <w:rFonts w:cs="宋体"/>
                <w:color w:val="auto"/>
                <w:sz w:val="24"/>
              </w:rPr>
            </w:pPr>
            <w:r>
              <w:rPr>
                <w:rFonts w:hint="eastAsia" w:cs="宋体"/>
                <w:color w:val="auto"/>
                <w:sz w:val="24"/>
              </w:rPr>
              <w:t>电子元件及电子专用材料</w:t>
            </w:r>
          </w:p>
          <w:p w14:paraId="330857C9">
            <w:pPr>
              <w:adjustRightInd w:val="0"/>
              <w:snapToGrid w:val="0"/>
              <w:jc w:val="center"/>
              <w:rPr>
                <w:rFonts w:hint="eastAsia" w:eastAsia="宋体" w:cs="宋体"/>
                <w:color w:val="auto"/>
                <w:sz w:val="24"/>
                <w:lang w:eastAsia="zh-CN"/>
              </w:rPr>
            </w:pPr>
            <w:r>
              <w:rPr>
                <w:rFonts w:hint="eastAsia" w:cs="宋体"/>
                <w:color w:val="auto"/>
                <w:sz w:val="24"/>
              </w:rPr>
              <w:t>制造398</w:t>
            </w:r>
            <w:r>
              <w:rPr>
                <w:rFonts w:hint="eastAsia" w:cs="宋体"/>
                <w:color w:val="auto"/>
                <w:sz w:val="24"/>
                <w:lang w:eastAsia="zh-CN"/>
              </w:rPr>
              <w:t>；</w:t>
            </w:r>
            <w:r>
              <w:rPr>
                <w:rFonts w:hint="eastAsia" w:cs="宋体"/>
                <w:color w:val="auto"/>
                <w:sz w:val="24"/>
                <w:lang w:val="en-US" w:eastAsia="zh-CN"/>
              </w:rPr>
              <w:t>小类中“</w:t>
            </w:r>
            <w:r>
              <w:rPr>
                <w:rFonts w:hint="eastAsia" w:cs="宋体"/>
                <w:color w:val="auto"/>
                <w:sz w:val="24"/>
                <w:lang w:eastAsia="zh-CN"/>
              </w:rPr>
              <w:t>电子专用材料制造（电子化工材料制造除外）</w:t>
            </w:r>
            <w:r>
              <w:rPr>
                <w:rFonts w:hint="eastAsia" w:cs="宋体"/>
                <w:color w:val="auto"/>
                <w:sz w:val="24"/>
                <w:lang w:val="en-US" w:eastAsia="zh-CN"/>
              </w:rPr>
              <w:t>”</w:t>
            </w:r>
          </w:p>
        </w:tc>
      </w:tr>
      <w:tr w14:paraId="1D036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44" w:type="dxa"/>
            <w:tcMar>
              <w:top w:w="16" w:type="dxa"/>
              <w:left w:w="16" w:type="dxa"/>
              <w:right w:w="16" w:type="dxa"/>
            </w:tcMar>
            <w:vAlign w:val="center"/>
          </w:tcPr>
          <w:p w14:paraId="2D619789">
            <w:pPr>
              <w:adjustRightInd w:val="0"/>
              <w:snapToGrid w:val="0"/>
              <w:jc w:val="center"/>
              <w:rPr>
                <w:rFonts w:cs="宋体"/>
                <w:color w:val="auto"/>
                <w:sz w:val="24"/>
              </w:rPr>
            </w:pPr>
            <w:r>
              <w:rPr>
                <w:rFonts w:hint="eastAsia" w:cs="宋体"/>
                <w:color w:val="auto"/>
                <w:sz w:val="24"/>
              </w:rPr>
              <w:t>建设性质</w:t>
            </w:r>
          </w:p>
        </w:tc>
        <w:tc>
          <w:tcPr>
            <w:tcW w:w="1768" w:type="dxa"/>
            <w:vAlign w:val="center"/>
          </w:tcPr>
          <w:p w14:paraId="679343C5">
            <w:pPr>
              <w:jc w:val="left"/>
              <w:rPr>
                <w:rFonts w:cs="宋体"/>
                <w:color w:val="auto"/>
                <w:sz w:val="24"/>
              </w:rPr>
            </w:pPr>
            <w:r>
              <w:rPr>
                <w:rFonts w:hint="eastAsia" w:cs="宋体"/>
                <w:color w:val="auto"/>
                <w:sz w:val="24"/>
              </w:rPr>
              <w:sym w:font="Wingdings 2" w:char="00A3"/>
            </w:r>
            <w:r>
              <w:rPr>
                <w:rFonts w:hint="eastAsia" w:cs="宋体"/>
                <w:color w:val="auto"/>
                <w:sz w:val="24"/>
              </w:rPr>
              <w:t>新建（迁建）</w:t>
            </w:r>
          </w:p>
          <w:p w14:paraId="66235A7E">
            <w:pPr>
              <w:jc w:val="left"/>
              <w:rPr>
                <w:rFonts w:cs="宋体"/>
                <w:color w:val="auto"/>
                <w:sz w:val="24"/>
              </w:rPr>
            </w:pPr>
            <w:r>
              <w:rPr>
                <w:rFonts w:hint="eastAsia" w:cs="宋体"/>
                <w:color w:val="auto"/>
                <w:sz w:val="24"/>
              </w:rPr>
              <w:sym w:font="Wingdings 2" w:char="00A3"/>
            </w:r>
            <w:r>
              <w:rPr>
                <w:rFonts w:hint="eastAsia" w:cs="宋体"/>
                <w:color w:val="auto"/>
                <w:sz w:val="24"/>
              </w:rPr>
              <w:t>改建</w:t>
            </w:r>
          </w:p>
          <w:p w14:paraId="68AD2A76">
            <w:pPr>
              <w:jc w:val="left"/>
              <w:rPr>
                <w:rFonts w:cs="宋体"/>
                <w:color w:val="auto"/>
                <w:sz w:val="24"/>
              </w:rPr>
            </w:pPr>
            <w:r>
              <w:rPr>
                <w:rFonts w:hint="eastAsia" w:cs="宋体"/>
                <w:color w:val="auto"/>
                <w:sz w:val="24"/>
              </w:rPr>
              <w:t>☑扩建</w:t>
            </w:r>
          </w:p>
          <w:p w14:paraId="4C61D393">
            <w:pPr>
              <w:jc w:val="left"/>
              <w:rPr>
                <w:rFonts w:cs="宋体"/>
                <w:color w:val="auto"/>
                <w:sz w:val="24"/>
              </w:rPr>
            </w:pPr>
            <w:r>
              <w:rPr>
                <w:rFonts w:hint="eastAsia" w:cs="宋体"/>
                <w:color w:val="auto"/>
                <w:sz w:val="24"/>
              </w:rPr>
              <w:t>□技术改造</w:t>
            </w:r>
          </w:p>
        </w:tc>
        <w:tc>
          <w:tcPr>
            <w:tcW w:w="2378" w:type="dxa"/>
            <w:vAlign w:val="center"/>
          </w:tcPr>
          <w:p w14:paraId="1C2DD625">
            <w:pPr>
              <w:adjustRightInd w:val="0"/>
              <w:snapToGrid w:val="0"/>
              <w:jc w:val="center"/>
              <w:rPr>
                <w:rFonts w:cs="宋体"/>
                <w:color w:val="auto"/>
                <w:sz w:val="24"/>
              </w:rPr>
            </w:pPr>
            <w:r>
              <w:rPr>
                <w:rFonts w:hint="eastAsia" w:cs="宋体"/>
                <w:color w:val="auto"/>
                <w:sz w:val="24"/>
              </w:rPr>
              <w:t>建设项目</w:t>
            </w:r>
          </w:p>
          <w:p w14:paraId="47BB4D51">
            <w:pPr>
              <w:adjustRightInd w:val="0"/>
              <w:snapToGrid w:val="0"/>
              <w:jc w:val="center"/>
              <w:rPr>
                <w:rFonts w:cs="宋体"/>
                <w:color w:val="auto"/>
                <w:sz w:val="24"/>
              </w:rPr>
            </w:pPr>
            <w:r>
              <w:rPr>
                <w:rFonts w:hint="eastAsia" w:cs="宋体"/>
                <w:color w:val="auto"/>
                <w:sz w:val="24"/>
              </w:rPr>
              <w:t>申报情形</w:t>
            </w:r>
          </w:p>
        </w:tc>
        <w:tc>
          <w:tcPr>
            <w:tcW w:w="2704" w:type="dxa"/>
            <w:vAlign w:val="center"/>
          </w:tcPr>
          <w:p w14:paraId="7D89FF70">
            <w:pPr>
              <w:jc w:val="left"/>
              <w:rPr>
                <w:rFonts w:cs="宋体"/>
                <w:color w:val="auto"/>
                <w:sz w:val="24"/>
              </w:rPr>
            </w:pPr>
            <w:r>
              <w:rPr>
                <w:rFonts w:hint="eastAsia" w:cs="宋体"/>
                <w:color w:val="auto"/>
                <w:sz w:val="24"/>
              </w:rPr>
              <w:sym w:font="Wingdings 2" w:char="0052"/>
            </w:r>
            <w:r>
              <w:rPr>
                <w:rFonts w:hint="eastAsia" w:cs="宋体"/>
                <w:color w:val="auto"/>
                <w:sz w:val="24"/>
              </w:rPr>
              <w:t>首次申报项目</w:t>
            </w:r>
          </w:p>
          <w:p w14:paraId="6D392B87">
            <w:pPr>
              <w:jc w:val="left"/>
              <w:rPr>
                <w:rFonts w:cs="宋体"/>
                <w:color w:val="auto"/>
                <w:sz w:val="24"/>
              </w:rPr>
            </w:pPr>
            <w:r>
              <w:rPr>
                <w:rFonts w:hint="eastAsia" w:cs="宋体"/>
                <w:color w:val="auto"/>
                <w:sz w:val="24"/>
              </w:rPr>
              <w:t>□不予批准后再次申报项目</w:t>
            </w:r>
          </w:p>
          <w:p w14:paraId="3E7C17D8">
            <w:pPr>
              <w:jc w:val="left"/>
              <w:rPr>
                <w:rFonts w:cs="宋体"/>
                <w:color w:val="auto"/>
                <w:sz w:val="24"/>
              </w:rPr>
            </w:pPr>
            <w:r>
              <w:rPr>
                <w:rFonts w:hint="eastAsia" w:cs="宋体"/>
                <w:color w:val="auto"/>
                <w:sz w:val="24"/>
              </w:rPr>
              <w:sym w:font="Wingdings 2" w:char="00A3"/>
            </w:r>
            <w:r>
              <w:rPr>
                <w:rFonts w:hint="eastAsia" w:cs="宋体"/>
                <w:color w:val="auto"/>
                <w:sz w:val="24"/>
              </w:rPr>
              <w:t>超五年重新审核项目</w:t>
            </w:r>
          </w:p>
          <w:p w14:paraId="5DD55780">
            <w:pPr>
              <w:jc w:val="left"/>
              <w:rPr>
                <w:rFonts w:cs="宋体"/>
                <w:color w:val="auto"/>
                <w:sz w:val="24"/>
              </w:rPr>
            </w:pPr>
            <w:r>
              <w:rPr>
                <w:rFonts w:hint="eastAsia" w:cs="宋体"/>
                <w:color w:val="auto"/>
                <w:sz w:val="24"/>
              </w:rPr>
              <w:t>□重大变动重新报批项目</w:t>
            </w:r>
          </w:p>
        </w:tc>
      </w:tr>
      <w:tr w14:paraId="264D2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1944" w:type="dxa"/>
            <w:tcMar>
              <w:top w:w="16" w:type="dxa"/>
              <w:left w:w="16" w:type="dxa"/>
              <w:right w:w="16" w:type="dxa"/>
            </w:tcMar>
            <w:vAlign w:val="center"/>
          </w:tcPr>
          <w:p w14:paraId="0C94736F">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p>
          <w:p w14:paraId="117E5A25">
            <w:pPr>
              <w:adjustRightInd w:val="0"/>
              <w:snapToGrid w:val="0"/>
              <w:jc w:val="center"/>
              <w:rPr>
                <w:rFonts w:cs="宋体"/>
                <w:color w:val="auto"/>
                <w:sz w:val="24"/>
              </w:rPr>
            </w:pPr>
            <w:r>
              <w:rPr>
                <w:rFonts w:hint="eastAsia" w:cs="宋体"/>
                <w:color w:val="auto"/>
                <w:sz w:val="24"/>
              </w:rPr>
              <w:t>备案）部门（选填）</w:t>
            </w:r>
          </w:p>
        </w:tc>
        <w:tc>
          <w:tcPr>
            <w:tcW w:w="1768" w:type="dxa"/>
            <w:vAlign w:val="center"/>
          </w:tcPr>
          <w:p w14:paraId="273B72D3">
            <w:pPr>
              <w:adjustRightInd w:val="0"/>
              <w:snapToGrid w:val="0"/>
              <w:jc w:val="center"/>
              <w:rPr>
                <w:rFonts w:cs="宋体"/>
                <w:color w:val="auto"/>
                <w:sz w:val="24"/>
              </w:rPr>
            </w:pPr>
            <w:r>
              <w:rPr>
                <w:rFonts w:hint="eastAsia" w:cs="宋体"/>
                <w:color w:val="auto"/>
                <w:sz w:val="24"/>
              </w:rPr>
              <w:t>赣州经济技术开发区行政审批局</w:t>
            </w:r>
          </w:p>
        </w:tc>
        <w:tc>
          <w:tcPr>
            <w:tcW w:w="2378" w:type="dxa"/>
            <w:vAlign w:val="center"/>
          </w:tcPr>
          <w:p w14:paraId="0A9F2B75">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p>
          <w:p w14:paraId="5C490511">
            <w:pPr>
              <w:adjustRightInd w:val="0"/>
              <w:snapToGrid w:val="0"/>
              <w:jc w:val="center"/>
              <w:rPr>
                <w:rFonts w:cs="宋体"/>
                <w:color w:val="auto"/>
                <w:sz w:val="24"/>
              </w:rPr>
            </w:pPr>
            <w:r>
              <w:rPr>
                <w:rFonts w:hint="eastAsia" w:cs="宋体"/>
                <w:color w:val="auto"/>
                <w:sz w:val="24"/>
              </w:rPr>
              <w:t>备案）文号（选填）</w:t>
            </w:r>
          </w:p>
        </w:tc>
        <w:tc>
          <w:tcPr>
            <w:tcW w:w="2704" w:type="dxa"/>
            <w:vAlign w:val="center"/>
          </w:tcPr>
          <w:p w14:paraId="580510A0">
            <w:pPr>
              <w:adjustRightInd w:val="0"/>
              <w:snapToGrid w:val="0"/>
              <w:jc w:val="center"/>
              <w:rPr>
                <w:rFonts w:cs="宋体"/>
                <w:color w:val="auto"/>
                <w:sz w:val="24"/>
              </w:rPr>
            </w:pPr>
            <w:r>
              <w:rPr>
                <w:rFonts w:hint="eastAsia" w:cs="宋体"/>
                <w:color w:val="auto"/>
                <w:sz w:val="24"/>
              </w:rPr>
              <w:t>无</w:t>
            </w:r>
          </w:p>
        </w:tc>
      </w:tr>
      <w:tr w14:paraId="34DC9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59F46433">
            <w:pPr>
              <w:adjustRightInd w:val="0"/>
              <w:snapToGrid w:val="0"/>
              <w:jc w:val="center"/>
              <w:rPr>
                <w:rFonts w:cs="宋体"/>
                <w:color w:val="auto"/>
                <w:sz w:val="24"/>
              </w:rPr>
            </w:pPr>
            <w:r>
              <w:rPr>
                <w:rFonts w:hint="eastAsia" w:cs="宋体"/>
                <w:color w:val="auto"/>
                <w:sz w:val="24"/>
              </w:rPr>
              <w:t>总投资（万元）</w:t>
            </w:r>
          </w:p>
        </w:tc>
        <w:tc>
          <w:tcPr>
            <w:tcW w:w="1768" w:type="dxa"/>
            <w:vAlign w:val="center"/>
          </w:tcPr>
          <w:p w14:paraId="076C98DE">
            <w:pPr>
              <w:adjustRightInd w:val="0"/>
              <w:snapToGrid w:val="0"/>
              <w:jc w:val="center"/>
              <w:rPr>
                <w:rFonts w:cs="宋体"/>
                <w:color w:val="auto"/>
                <w:sz w:val="24"/>
              </w:rPr>
            </w:pPr>
            <w:r>
              <w:rPr>
                <w:rFonts w:hint="eastAsia" w:cs="宋体"/>
                <w:color w:val="auto"/>
                <w:sz w:val="24"/>
              </w:rPr>
              <w:t>46368.65</w:t>
            </w:r>
          </w:p>
        </w:tc>
        <w:tc>
          <w:tcPr>
            <w:tcW w:w="2378" w:type="dxa"/>
            <w:tcMar>
              <w:top w:w="16" w:type="dxa"/>
              <w:left w:w="16" w:type="dxa"/>
              <w:right w:w="16" w:type="dxa"/>
            </w:tcMar>
            <w:vAlign w:val="center"/>
          </w:tcPr>
          <w:p w14:paraId="01CB0952">
            <w:pPr>
              <w:adjustRightInd w:val="0"/>
              <w:snapToGrid w:val="0"/>
              <w:jc w:val="center"/>
              <w:rPr>
                <w:rFonts w:cs="宋体"/>
                <w:color w:val="auto"/>
                <w:sz w:val="24"/>
              </w:rPr>
            </w:pPr>
            <w:r>
              <w:rPr>
                <w:rFonts w:hint="eastAsia" w:cs="宋体"/>
                <w:color w:val="auto"/>
                <w:sz w:val="24"/>
              </w:rPr>
              <w:t>环保投资（万元）</w:t>
            </w:r>
          </w:p>
        </w:tc>
        <w:tc>
          <w:tcPr>
            <w:tcW w:w="2704" w:type="dxa"/>
            <w:vAlign w:val="center"/>
          </w:tcPr>
          <w:p w14:paraId="6BF93126">
            <w:pPr>
              <w:adjustRightInd w:val="0"/>
              <w:snapToGrid w:val="0"/>
              <w:jc w:val="center"/>
              <w:rPr>
                <w:rFonts w:cs="宋体"/>
                <w:color w:val="auto"/>
                <w:sz w:val="24"/>
              </w:rPr>
            </w:pPr>
            <w:r>
              <w:rPr>
                <w:rFonts w:hint="eastAsia" w:cs="宋体"/>
                <w:color w:val="auto"/>
                <w:sz w:val="24"/>
              </w:rPr>
              <w:t>100</w:t>
            </w:r>
          </w:p>
        </w:tc>
      </w:tr>
      <w:tr w14:paraId="05F03A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38D7E781">
            <w:pPr>
              <w:adjustRightInd w:val="0"/>
              <w:snapToGrid w:val="0"/>
              <w:jc w:val="center"/>
              <w:rPr>
                <w:rFonts w:cs="宋体"/>
                <w:color w:val="auto"/>
                <w:sz w:val="24"/>
              </w:rPr>
            </w:pPr>
            <w:r>
              <w:rPr>
                <w:rFonts w:hint="eastAsia" w:cs="宋体"/>
                <w:color w:val="auto"/>
                <w:sz w:val="24"/>
              </w:rPr>
              <w:t>环保投资占比（</w:t>
            </w:r>
            <w:r>
              <w:rPr>
                <w:rFonts w:cs="宋体"/>
                <w:color w:val="auto"/>
                <w:sz w:val="24"/>
              </w:rPr>
              <w:t>%</w:t>
            </w:r>
            <w:r>
              <w:rPr>
                <w:rFonts w:hint="eastAsia" w:cs="宋体"/>
                <w:color w:val="auto"/>
                <w:sz w:val="24"/>
              </w:rPr>
              <w:t>）</w:t>
            </w:r>
          </w:p>
        </w:tc>
        <w:tc>
          <w:tcPr>
            <w:tcW w:w="1768" w:type="dxa"/>
            <w:vAlign w:val="center"/>
          </w:tcPr>
          <w:p w14:paraId="798CBF57">
            <w:pPr>
              <w:adjustRightInd w:val="0"/>
              <w:snapToGrid w:val="0"/>
              <w:jc w:val="center"/>
              <w:rPr>
                <w:rFonts w:cs="宋体"/>
                <w:color w:val="auto"/>
                <w:sz w:val="24"/>
              </w:rPr>
            </w:pPr>
            <w:r>
              <w:rPr>
                <w:rFonts w:hint="eastAsia" w:cs="宋体"/>
                <w:color w:val="auto"/>
                <w:sz w:val="24"/>
              </w:rPr>
              <w:t>0.22</w:t>
            </w:r>
          </w:p>
        </w:tc>
        <w:tc>
          <w:tcPr>
            <w:tcW w:w="2378" w:type="dxa"/>
            <w:tcMar>
              <w:top w:w="16" w:type="dxa"/>
              <w:left w:w="16" w:type="dxa"/>
              <w:right w:w="16" w:type="dxa"/>
            </w:tcMar>
            <w:vAlign w:val="center"/>
          </w:tcPr>
          <w:p w14:paraId="787E158E">
            <w:pPr>
              <w:adjustRightInd w:val="0"/>
              <w:snapToGrid w:val="0"/>
              <w:jc w:val="center"/>
              <w:rPr>
                <w:rFonts w:cs="宋体"/>
                <w:color w:val="auto"/>
                <w:sz w:val="24"/>
              </w:rPr>
            </w:pPr>
            <w:r>
              <w:rPr>
                <w:rFonts w:hint="eastAsia" w:cs="宋体"/>
                <w:color w:val="auto"/>
                <w:sz w:val="24"/>
              </w:rPr>
              <w:t>施工工期</w:t>
            </w:r>
          </w:p>
        </w:tc>
        <w:tc>
          <w:tcPr>
            <w:tcW w:w="2704" w:type="dxa"/>
            <w:vAlign w:val="center"/>
          </w:tcPr>
          <w:p w14:paraId="5C964FA2">
            <w:pPr>
              <w:adjustRightInd w:val="0"/>
              <w:snapToGrid w:val="0"/>
              <w:jc w:val="center"/>
              <w:rPr>
                <w:rFonts w:cs="宋体"/>
                <w:color w:val="auto"/>
                <w:sz w:val="24"/>
              </w:rPr>
            </w:pPr>
            <w:r>
              <w:rPr>
                <w:rFonts w:hint="eastAsia" w:cs="宋体"/>
                <w:color w:val="auto"/>
                <w:sz w:val="24"/>
              </w:rPr>
              <w:t>36个月</w:t>
            </w:r>
          </w:p>
        </w:tc>
      </w:tr>
      <w:tr w14:paraId="04700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4" w:type="dxa"/>
            <w:tcMar>
              <w:top w:w="16" w:type="dxa"/>
              <w:left w:w="16" w:type="dxa"/>
              <w:right w:w="16" w:type="dxa"/>
            </w:tcMar>
            <w:vAlign w:val="center"/>
          </w:tcPr>
          <w:p w14:paraId="318F2678">
            <w:pPr>
              <w:adjustRightInd w:val="0"/>
              <w:snapToGrid w:val="0"/>
              <w:jc w:val="center"/>
              <w:rPr>
                <w:rFonts w:cs="宋体"/>
                <w:color w:val="auto"/>
                <w:sz w:val="24"/>
              </w:rPr>
            </w:pPr>
            <w:r>
              <w:rPr>
                <w:rFonts w:hint="eastAsia" w:cs="宋体"/>
                <w:color w:val="auto"/>
                <w:sz w:val="24"/>
              </w:rPr>
              <w:t>是否开工建设</w:t>
            </w:r>
          </w:p>
        </w:tc>
        <w:tc>
          <w:tcPr>
            <w:tcW w:w="1768" w:type="dxa"/>
            <w:vAlign w:val="center"/>
          </w:tcPr>
          <w:p w14:paraId="274159CD">
            <w:pPr>
              <w:adjustRightInd w:val="0"/>
              <w:snapToGrid w:val="0"/>
              <w:rPr>
                <w:rFonts w:cs="宋体"/>
                <w:color w:val="auto"/>
                <w:sz w:val="24"/>
              </w:rPr>
            </w:pPr>
            <w:r>
              <w:rPr>
                <w:rFonts w:hint="eastAsia" w:cs="宋体"/>
                <w:color w:val="auto"/>
                <w:sz w:val="24"/>
              </w:rPr>
              <w:sym w:font="Wingdings 2" w:char="0052"/>
            </w:r>
            <w:r>
              <w:rPr>
                <w:rFonts w:hint="eastAsia" w:cs="宋体"/>
                <w:color w:val="auto"/>
                <w:sz w:val="24"/>
              </w:rPr>
              <w:t>否</w:t>
            </w:r>
          </w:p>
          <w:p w14:paraId="0D85221B">
            <w:pPr>
              <w:adjustRightInd w:val="0"/>
              <w:snapToGrid w:val="0"/>
              <w:rPr>
                <w:rFonts w:cs="宋体"/>
                <w:color w:val="auto"/>
                <w:sz w:val="24"/>
              </w:rPr>
            </w:pPr>
            <w:r>
              <w:rPr>
                <w:rFonts w:hint="eastAsia" w:cs="宋体"/>
                <w:color w:val="auto"/>
                <w:sz w:val="24"/>
              </w:rPr>
              <w:sym w:font="Wingdings 2" w:char="00A3"/>
            </w:r>
            <w:r>
              <w:rPr>
                <w:rFonts w:hint="eastAsia" w:cs="宋体"/>
                <w:color w:val="auto"/>
                <w:sz w:val="24"/>
              </w:rPr>
              <w:t>是：</w:t>
            </w:r>
          </w:p>
        </w:tc>
        <w:tc>
          <w:tcPr>
            <w:tcW w:w="2378" w:type="dxa"/>
            <w:tcMar>
              <w:top w:w="16" w:type="dxa"/>
              <w:left w:w="16" w:type="dxa"/>
              <w:right w:w="16" w:type="dxa"/>
            </w:tcMar>
            <w:vAlign w:val="center"/>
          </w:tcPr>
          <w:p w14:paraId="1FAFCE32">
            <w:pPr>
              <w:adjustRightInd w:val="0"/>
              <w:snapToGrid w:val="0"/>
              <w:jc w:val="center"/>
              <w:rPr>
                <w:rFonts w:cs="宋体"/>
                <w:color w:val="auto"/>
                <w:sz w:val="24"/>
              </w:rPr>
            </w:pPr>
            <w:r>
              <w:rPr>
                <w:rFonts w:hint="eastAsia" w:cs="宋体"/>
                <w:color w:val="auto"/>
                <w:spacing w:val="-6"/>
                <w:sz w:val="24"/>
                <w:lang w:val="en-US" w:eastAsia="zh-CN"/>
              </w:rPr>
              <w:t>占地</w:t>
            </w:r>
            <w:r>
              <w:rPr>
                <w:rFonts w:hint="eastAsia" w:cs="宋体"/>
                <w:color w:val="auto"/>
                <w:spacing w:val="-6"/>
                <w:sz w:val="24"/>
              </w:rPr>
              <w:t>面积（</w:t>
            </w:r>
            <w:r>
              <w:rPr>
                <w:rFonts w:cs="宋体"/>
                <w:color w:val="auto"/>
                <w:spacing w:val="-6"/>
                <w:sz w:val="24"/>
              </w:rPr>
              <w:t>m</w:t>
            </w:r>
            <w:r>
              <w:rPr>
                <w:rFonts w:cs="宋体"/>
                <w:color w:val="auto"/>
                <w:spacing w:val="-6"/>
                <w:sz w:val="24"/>
                <w:vertAlign w:val="superscript"/>
              </w:rPr>
              <w:t>2</w:t>
            </w:r>
            <w:r>
              <w:rPr>
                <w:rFonts w:hint="eastAsia" w:cs="宋体"/>
                <w:color w:val="auto"/>
                <w:spacing w:val="-6"/>
                <w:sz w:val="24"/>
              </w:rPr>
              <w:t>）</w:t>
            </w:r>
          </w:p>
        </w:tc>
        <w:tc>
          <w:tcPr>
            <w:tcW w:w="2704" w:type="dxa"/>
            <w:vAlign w:val="center"/>
          </w:tcPr>
          <w:p w14:paraId="248804DD">
            <w:pPr>
              <w:adjustRightInd w:val="0"/>
              <w:snapToGrid w:val="0"/>
              <w:jc w:val="center"/>
              <w:rPr>
                <w:rFonts w:cs="宋体"/>
                <w:color w:val="auto"/>
                <w:sz w:val="24"/>
              </w:rPr>
            </w:pPr>
            <w:r>
              <w:rPr>
                <w:rFonts w:hint="eastAsia" w:cs="宋体"/>
                <w:color w:val="auto"/>
                <w:sz w:val="24"/>
              </w:rPr>
              <w:t>16739</w:t>
            </w:r>
          </w:p>
        </w:tc>
      </w:tr>
      <w:tr w14:paraId="2179E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944" w:type="dxa"/>
            <w:vAlign w:val="center"/>
          </w:tcPr>
          <w:p w14:paraId="5B951EA4">
            <w:pPr>
              <w:autoSpaceDE w:val="0"/>
              <w:autoSpaceDN w:val="0"/>
              <w:adjustRightInd w:val="0"/>
              <w:snapToGrid w:val="0"/>
              <w:jc w:val="center"/>
              <w:rPr>
                <w:rFonts w:cs="宋体"/>
                <w:color w:val="auto"/>
                <w:kern w:val="0"/>
                <w:sz w:val="24"/>
              </w:rPr>
            </w:pPr>
            <w:r>
              <w:rPr>
                <w:rFonts w:hint="eastAsia" w:cs="宋体"/>
                <w:color w:val="auto"/>
                <w:kern w:val="0"/>
                <w:sz w:val="24"/>
              </w:rPr>
              <w:t>专项评价设置情况</w:t>
            </w:r>
          </w:p>
        </w:tc>
        <w:tc>
          <w:tcPr>
            <w:tcW w:w="6850" w:type="dxa"/>
            <w:gridSpan w:val="3"/>
            <w:vAlign w:val="center"/>
          </w:tcPr>
          <w:p w14:paraId="16344081">
            <w:pPr>
              <w:widowControl/>
              <w:spacing w:before="120" w:beforeLines="50" w:line="360" w:lineRule="auto"/>
              <w:ind w:firstLine="480" w:firstLineChars="200"/>
              <w:jc w:val="left"/>
              <w:rPr>
                <w:color w:val="auto"/>
                <w:sz w:val="24"/>
              </w:rPr>
            </w:pPr>
            <w:r>
              <w:rPr>
                <w:color w:val="auto"/>
                <w:kern w:val="0"/>
                <w:sz w:val="24"/>
                <w:lang w:bidi="ar"/>
              </w:rPr>
              <w:t>依据《建设项目环境影响报告表编制技术指南-污染影响类》专项评价设置原则表</w:t>
            </w:r>
            <w:r>
              <w:rPr>
                <w:color w:val="auto"/>
                <w:sz w:val="24"/>
              </w:rPr>
              <w:t>，本项目</w:t>
            </w:r>
            <w:r>
              <w:rPr>
                <w:rFonts w:hint="eastAsia"/>
                <w:color w:val="auto"/>
                <w:sz w:val="24"/>
              </w:rPr>
              <w:t>不涉及专项评价内容。</w:t>
            </w:r>
          </w:p>
          <w:tbl>
            <w:tblPr>
              <w:tblStyle w:val="24"/>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2583"/>
              <w:gridCol w:w="1291"/>
              <w:gridCol w:w="1292"/>
            </w:tblGrid>
            <w:tr w14:paraId="3AF8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0CA34F66">
                  <w:pPr>
                    <w:jc w:val="center"/>
                    <w:rPr>
                      <w:b/>
                      <w:bCs/>
                      <w:color w:val="auto"/>
                      <w:szCs w:val="21"/>
                    </w:rPr>
                  </w:pPr>
                  <w:r>
                    <w:rPr>
                      <w:rFonts w:hint="eastAsia"/>
                      <w:b/>
                      <w:bCs/>
                      <w:color w:val="auto"/>
                      <w:szCs w:val="21"/>
                    </w:rPr>
                    <w:t>专项评价的类别</w:t>
                  </w:r>
                </w:p>
              </w:tc>
              <w:tc>
                <w:tcPr>
                  <w:tcW w:w="2583" w:type="dxa"/>
                  <w:vAlign w:val="center"/>
                </w:tcPr>
                <w:p w14:paraId="671A568A">
                  <w:pPr>
                    <w:jc w:val="center"/>
                    <w:rPr>
                      <w:b/>
                      <w:bCs/>
                      <w:color w:val="auto"/>
                      <w:szCs w:val="21"/>
                    </w:rPr>
                  </w:pPr>
                  <w:r>
                    <w:rPr>
                      <w:rFonts w:hint="eastAsia"/>
                      <w:b/>
                      <w:bCs/>
                      <w:color w:val="auto"/>
                      <w:szCs w:val="21"/>
                    </w:rPr>
                    <w:t>设置原则</w:t>
                  </w:r>
                </w:p>
              </w:tc>
              <w:tc>
                <w:tcPr>
                  <w:tcW w:w="1291" w:type="dxa"/>
                  <w:vAlign w:val="center"/>
                </w:tcPr>
                <w:p w14:paraId="6B88BAB4">
                  <w:pPr>
                    <w:pStyle w:val="86"/>
                    <w:rPr>
                      <w:b/>
                      <w:bCs/>
                      <w:color w:val="auto"/>
                      <w:szCs w:val="21"/>
                    </w:rPr>
                  </w:pPr>
                  <w:r>
                    <w:rPr>
                      <w:rFonts w:hint="eastAsia"/>
                      <w:b/>
                      <w:bCs/>
                      <w:color w:val="auto"/>
                      <w:szCs w:val="21"/>
                    </w:rPr>
                    <w:t>本项目情况</w:t>
                  </w:r>
                </w:p>
              </w:tc>
              <w:tc>
                <w:tcPr>
                  <w:tcW w:w="1292" w:type="dxa"/>
                  <w:vAlign w:val="center"/>
                </w:tcPr>
                <w:p w14:paraId="59BDBE26">
                  <w:pPr>
                    <w:pStyle w:val="86"/>
                    <w:rPr>
                      <w:b/>
                      <w:bCs/>
                      <w:color w:val="auto"/>
                      <w:szCs w:val="21"/>
                    </w:rPr>
                  </w:pPr>
                  <w:r>
                    <w:rPr>
                      <w:rFonts w:hint="eastAsia"/>
                      <w:b/>
                      <w:bCs/>
                      <w:color w:val="auto"/>
                      <w:szCs w:val="21"/>
                    </w:rPr>
                    <w:t>设置情况</w:t>
                  </w:r>
                </w:p>
              </w:tc>
            </w:tr>
            <w:tr w14:paraId="3C1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73423B22">
                  <w:pPr>
                    <w:jc w:val="center"/>
                    <w:rPr>
                      <w:color w:val="auto"/>
                      <w:szCs w:val="21"/>
                    </w:rPr>
                  </w:pPr>
                  <w:r>
                    <w:rPr>
                      <w:rFonts w:hint="eastAsia"/>
                      <w:color w:val="auto"/>
                      <w:szCs w:val="21"/>
                    </w:rPr>
                    <w:t>大气</w:t>
                  </w:r>
                </w:p>
              </w:tc>
              <w:tc>
                <w:tcPr>
                  <w:tcW w:w="2583" w:type="dxa"/>
                  <w:vAlign w:val="center"/>
                </w:tcPr>
                <w:p w14:paraId="6DFE8A28">
                  <w:pPr>
                    <w:jc w:val="center"/>
                    <w:rPr>
                      <w:color w:val="auto"/>
                      <w:szCs w:val="21"/>
                    </w:rPr>
                  </w:pPr>
                  <w:r>
                    <w:rPr>
                      <w:rFonts w:hint="eastAsia"/>
                      <w:color w:val="auto"/>
                      <w:szCs w:val="21"/>
                    </w:rPr>
                    <w:t>排放废气含有毒有害污染物、二噁英、苯并[a]芘、氰化物、氯气且厂界外500米范围内有环境空气保护目标的建设项目</w:t>
                  </w:r>
                </w:p>
              </w:tc>
              <w:tc>
                <w:tcPr>
                  <w:tcW w:w="1291" w:type="dxa"/>
                  <w:vAlign w:val="center"/>
                </w:tcPr>
                <w:p w14:paraId="063A33AA">
                  <w:pPr>
                    <w:pStyle w:val="86"/>
                    <w:rPr>
                      <w:color w:val="auto"/>
                      <w:szCs w:val="21"/>
                    </w:rPr>
                  </w:pPr>
                  <w:r>
                    <w:rPr>
                      <w:rFonts w:hint="eastAsia"/>
                      <w:color w:val="auto"/>
                      <w:szCs w:val="21"/>
                    </w:rPr>
                    <w:t>本项目废气不含</w:t>
                  </w:r>
                  <w:r>
                    <w:rPr>
                      <w:color w:val="auto"/>
                      <w:szCs w:val="21"/>
                    </w:rPr>
                    <w:t>有毒有害污染物、二噁英、苯并[a]芘、氰化物、氯气</w:t>
                  </w:r>
                </w:p>
              </w:tc>
              <w:tc>
                <w:tcPr>
                  <w:tcW w:w="1292" w:type="dxa"/>
                  <w:vAlign w:val="center"/>
                </w:tcPr>
                <w:p w14:paraId="2E0A77FB">
                  <w:pPr>
                    <w:pStyle w:val="86"/>
                    <w:rPr>
                      <w:color w:val="auto"/>
                      <w:szCs w:val="21"/>
                    </w:rPr>
                  </w:pPr>
                  <w:r>
                    <w:rPr>
                      <w:rFonts w:hint="eastAsia"/>
                      <w:color w:val="auto"/>
                      <w:szCs w:val="21"/>
                    </w:rPr>
                    <w:t>不设置</w:t>
                  </w:r>
                </w:p>
              </w:tc>
            </w:tr>
            <w:tr w14:paraId="0593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44A1E1E4">
                  <w:pPr>
                    <w:jc w:val="center"/>
                    <w:rPr>
                      <w:color w:val="auto"/>
                      <w:szCs w:val="21"/>
                    </w:rPr>
                  </w:pPr>
                  <w:r>
                    <w:rPr>
                      <w:rFonts w:hint="eastAsia"/>
                      <w:color w:val="auto"/>
                      <w:szCs w:val="21"/>
                    </w:rPr>
                    <w:t>地表水</w:t>
                  </w:r>
                </w:p>
              </w:tc>
              <w:tc>
                <w:tcPr>
                  <w:tcW w:w="2583" w:type="dxa"/>
                  <w:vAlign w:val="center"/>
                </w:tcPr>
                <w:p w14:paraId="731F5A7A">
                  <w:pPr>
                    <w:jc w:val="center"/>
                    <w:rPr>
                      <w:color w:val="auto"/>
                      <w:szCs w:val="21"/>
                    </w:rPr>
                  </w:pPr>
                  <w:r>
                    <w:rPr>
                      <w:rFonts w:hint="eastAsia"/>
                      <w:color w:val="auto"/>
                      <w:szCs w:val="21"/>
                    </w:rPr>
                    <w:t>新增工业废水直排建设项目（槽罐车外送污水处理厂的除外）；新增废水直排的污水集中处理厂</w:t>
                  </w:r>
                </w:p>
              </w:tc>
              <w:tc>
                <w:tcPr>
                  <w:tcW w:w="1291" w:type="dxa"/>
                  <w:vAlign w:val="center"/>
                </w:tcPr>
                <w:p w14:paraId="2BC6511F">
                  <w:pPr>
                    <w:pStyle w:val="86"/>
                    <w:rPr>
                      <w:color w:val="auto"/>
                      <w:szCs w:val="21"/>
                    </w:rPr>
                  </w:pPr>
                  <w:r>
                    <w:rPr>
                      <w:rFonts w:hint="eastAsia"/>
                      <w:color w:val="auto"/>
                      <w:szCs w:val="21"/>
                    </w:rPr>
                    <w:t>本项目废水间接排放</w:t>
                  </w:r>
                </w:p>
              </w:tc>
              <w:tc>
                <w:tcPr>
                  <w:tcW w:w="1292" w:type="dxa"/>
                  <w:vAlign w:val="center"/>
                </w:tcPr>
                <w:p w14:paraId="2137D58D">
                  <w:pPr>
                    <w:jc w:val="center"/>
                    <w:rPr>
                      <w:color w:val="auto"/>
                      <w:szCs w:val="21"/>
                    </w:rPr>
                  </w:pPr>
                  <w:r>
                    <w:rPr>
                      <w:rFonts w:hint="eastAsia"/>
                      <w:color w:val="auto"/>
                      <w:szCs w:val="21"/>
                    </w:rPr>
                    <w:t>不设置</w:t>
                  </w:r>
                </w:p>
              </w:tc>
            </w:tr>
            <w:tr w14:paraId="569C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48F39415">
                  <w:pPr>
                    <w:jc w:val="center"/>
                    <w:rPr>
                      <w:color w:val="auto"/>
                      <w:szCs w:val="21"/>
                    </w:rPr>
                  </w:pPr>
                  <w:r>
                    <w:rPr>
                      <w:rFonts w:hint="eastAsia"/>
                      <w:color w:val="auto"/>
                      <w:szCs w:val="21"/>
                    </w:rPr>
                    <w:t>环境风险</w:t>
                  </w:r>
                </w:p>
              </w:tc>
              <w:tc>
                <w:tcPr>
                  <w:tcW w:w="2583" w:type="dxa"/>
                  <w:vAlign w:val="center"/>
                </w:tcPr>
                <w:p w14:paraId="1ADC7767">
                  <w:pPr>
                    <w:jc w:val="center"/>
                    <w:rPr>
                      <w:color w:val="auto"/>
                      <w:szCs w:val="21"/>
                    </w:rPr>
                  </w:pPr>
                  <w:r>
                    <w:rPr>
                      <w:rFonts w:hint="eastAsia"/>
                      <w:color w:val="auto"/>
                      <w:szCs w:val="21"/>
                    </w:rPr>
                    <w:t>有毒有害和易燃易爆危险物质存储量超过临界量的建设项目</w:t>
                  </w:r>
                </w:p>
              </w:tc>
              <w:tc>
                <w:tcPr>
                  <w:tcW w:w="1291" w:type="dxa"/>
                  <w:vAlign w:val="center"/>
                </w:tcPr>
                <w:p w14:paraId="173DF6FC">
                  <w:pPr>
                    <w:pStyle w:val="86"/>
                    <w:rPr>
                      <w:color w:val="auto"/>
                      <w:szCs w:val="21"/>
                    </w:rPr>
                  </w:pPr>
                  <w:r>
                    <w:rPr>
                      <w:rFonts w:hint="eastAsia"/>
                      <w:color w:val="auto"/>
                      <w:szCs w:val="21"/>
                    </w:rPr>
                    <w:t>本项目</w:t>
                  </w:r>
                  <w:r>
                    <w:rPr>
                      <w:color w:val="auto"/>
                      <w:szCs w:val="21"/>
                    </w:rPr>
                    <w:t>有毒有害和易燃易爆危险物质存储量</w:t>
                  </w:r>
                  <w:r>
                    <w:rPr>
                      <w:rFonts w:hint="eastAsia"/>
                      <w:color w:val="auto"/>
                      <w:szCs w:val="21"/>
                      <w:lang w:val="en-US" w:eastAsia="zh-CN"/>
                    </w:rPr>
                    <w:t>超过</w:t>
                  </w:r>
                  <w:r>
                    <w:rPr>
                      <w:color w:val="auto"/>
                      <w:szCs w:val="21"/>
                    </w:rPr>
                    <w:t>临界量</w:t>
                  </w:r>
                </w:p>
              </w:tc>
              <w:tc>
                <w:tcPr>
                  <w:tcW w:w="1292" w:type="dxa"/>
                  <w:vAlign w:val="center"/>
                </w:tcPr>
                <w:p w14:paraId="6A5E5445">
                  <w:pPr>
                    <w:jc w:val="center"/>
                    <w:rPr>
                      <w:color w:val="auto"/>
                      <w:szCs w:val="21"/>
                    </w:rPr>
                  </w:pPr>
                  <w:r>
                    <w:rPr>
                      <w:rFonts w:hint="eastAsia"/>
                      <w:color w:val="auto"/>
                      <w:szCs w:val="21"/>
                    </w:rPr>
                    <w:t>设置</w:t>
                  </w:r>
                </w:p>
              </w:tc>
            </w:tr>
            <w:tr w14:paraId="20E3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2FFBCCC4">
                  <w:pPr>
                    <w:jc w:val="center"/>
                    <w:rPr>
                      <w:color w:val="auto"/>
                      <w:szCs w:val="21"/>
                    </w:rPr>
                  </w:pPr>
                  <w:r>
                    <w:rPr>
                      <w:rFonts w:hint="eastAsia"/>
                      <w:color w:val="auto"/>
                      <w:szCs w:val="21"/>
                    </w:rPr>
                    <w:t>生态</w:t>
                  </w:r>
                </w:p>
              </w:tc>
              <w:tc>
                <w:tcPr>
                  <w:tcW w:w="2583" w:type="dxa"/>
                  <w:vAlign w:val="center"/>
                </w:tcPr>
                <w:p w14:paraId="602FD117">
                  <w:pPr>
                    <w:jc w:val="center"/>
                    <w:rPr>
                      <w:color w:val="auto"/>
                      <w:szCs w:val="21"/>
                    </w:rPr>
                  </w:pPr>
                  <w:r>
                    <w:rPr>
                      <w:rFonts w:hint="eastAsia"/>
                      <w:color w:val="auto"/>
                      <w:szCs w:val="21"/>
                    </w:rPr>
                    <w:t>取水口下游500米范围内有重要水生生物的自然产卵场、索饵场、越冬场和洄游通道的新增河道取水的污染类建设项目</w:t>
                  </w:r>
                </w:p>
              </w:tc>
              <w:tc>
                <w:tcPr>
                  <w:tcW w:w="1291" w:type="dxa"/>
                  <w:vAlign w:val="center"/>
                </w:tcPr>
                <w:p w14:paraId="4417A871">
                  <w:pPr>
                    <w:pStyle w:val="86"/>
                    <w:rPr>
                      <w:color w:val="auto"/>
                      <w:szCs w:val="21"/>
                    </w:rPr>
                  </w:pPr>
                  <w:r>
                    <w:rPr>
                      <w:rFonts w:hint="eastAsia"/>
                      <w:color w:val="auto"/>
                      <w:szCs w:val="21"/>
                    </w:rPr>
                    <w:t>不涉及</w:t>
                  </w:r>
                </w:p>
              </w:tc>
              <w:tc>
                <w:tcPr>
                  <w:tcW w:w="1292" w:type="dxa"/>
                  <w:vAlign w:val="center"/>
                </w:tcPr>
                <w:p w14:paraId="5D0F3232">
                  <w:pPr>
                    <w:jc w:val="center"/>
                    <w:rPr>
                      <w:color w:val="auto"/>
                      <w:szCs w:val="21"/>
                    </w:rPr>
                  </w:pPr>
                  <w:r>
                    <w:rPr>
                      <w:rFonts w:hint="eastAsia"/>
                      <w:color w:val="auto"/>
                      <w:szCs w:val="21"/>
                    </w:rPr>
                    <w:t>不设置</w:t>
                  </w:r>
                </w:p>
              </w:tc>
            </w:tr>
            <w:tr w14:paraId="0A6D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vAlign w:val="center"/>
                </w:tcPr>
                <w:p w14:paraId="42D058DF">
                  <w:pPr>
                    <w:jc w:val="center"/>
                    <w:rPr>
                      <w:color w:val="auto"/>
                      <w:szCs w:val="21"/>
                    </w:rPr>
                  </w:pPr>
                  <w:r>
                    <w:rPr>
                      <w:rFonts w:hint="eastAsia"/>
                      <w:color w:val="auto"/>
                      <w:szCs w:val="21"/>
                    </w:rPr>
                    <w:t>海洋</w:t>
                  </w:r>
                </w:p>
              </w:tc>
              <w:tc>
                <w:tcPr>
                  <w:tcW w:w="2583" w:type="dxa"/>
                  <w:vAlign w:val="center"/>
                </w:tcPr>
                <w:p w14:paraId="4DCB6DC2">
                  <w:pPr>
                    <w:jc w:val="center"/>
                    <w:rPr>
                      <w:color w:val="auto"/>
                      <w:szCs w:val="21"/>
                    </w:rPr>
                  </w:pPr>
                  <w:r>
                    <w:rPr>
                      <w:rFonts w:hint="eastAsia"/>
                      <w:color w:val="auto"/>
                      <w:szCs w:val="21"/>
                    </w:rPr>
                    <w:t>直接向海排放污染物的海洋工程建设项目</w:t>
                  </w:r>
                </w:p>
              </w:tc>
              <w:tc>
                <w:tcPr>
                  <w:tcW w:w="1291" w:type="dxa"/>
                  <w:vAlign w:val="center"/>
                </w:tcPr>
                <w:p w14:paraId="05A08DC7">
                  <w:pPr>
                    <w:pStyle w:val="86"/>
                    <w:rPr>
                      <w:color w:val="auto"/>
                      <w:szCs w:val="21"/>
                    </w:rPr>
                  </w:pPr>
                  <w:r>
                    <w:rPr>
                      <w:rFonts w:hint="eastAsia"/>
                      <w:color w:val="auto"/>
                      <w:szCs w:val="21"/>
                    </w:rPr>
                    <w:t>不涉及</w:t>
                  </w:r>
                </w:p>
              </w:tc>
              <w:tc>
                <w:tcPr>
                  <w:tcW w:w="1292" w:type="dxa"/>
                  <w:vAlign w:val="center"/>
                </w:tcPr>
                <w:p w14:paraId="1F5E4414">
                  <w:pPr>
                    <w:jc w:val="center"/>
                    <w:rPr>
                      <w:color w:val="auto"/>
                      <w:szCs w:val="21"/>
                    </w:rPr>
                  </w:pPr>
                  <w:r>
                    <w:rPr>
                      <w:rFonts w:hint="eastAsia"/>
                      <w:color w:val="auto"/>
                      <w:szCs w:val="21"/>
                    </w:rPr>
                    <w:t>不设置</w:t>
                  </w:r>
                </w:p>
              </w:tc>
            </w:tr>
            <w:tr w14:paraId="58DD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0" w:type="dxa"/>
                  <w:gridSpan w:val="4"/>
                  <w:vAlign w:val="center"/>
                </w:tcPr>
                <w:p w14:paraId="0A7DD9C2">
                  <w:pPr>
                    <w:pStyle w:val="86"/>
                    <w:jc w:val="left"/>
                    <w:rPr>
                      <w:color w:val="auto"/>
                      <w:szCs w:val="21"/>
                    </w:rPr>
                  </w:pPr>
                  <w:r>
                    <w:rPr>
                      <w:rFonts w:hint="eastAsia"/>
                      <w:color w:val="auto"/>
                      <w:szCs w:val="21"/>
                    </w:rPr>
                    <w:t>注：1.废气中有毒有害污染物指纳入《有毒有害大气污染物名录》的污染物（不包括无排放标准的污染物）。</w:t>
                  </w:r>
                </w:p>
                <w:p w14:paraId="0AD0E75E">
                  <w:pPr>
                    <w:pStyle w:val="86"/>
                    <w:jc w:val="left"/>
                    <w:rPr>
                      <w:color w:val="auto"/>
                      <w:szCs w:val="21"/>
                    </w:rPr>
                  </w:pPr>
                  <w:r>
                    <w:rPr>
                      <w:rFonts w:hint="eastAsia"/>
                      <w:color w:val="auto"/>
                      <w:szCs w:val="21"/>
                    </w:rPr>
                    <w:t>2.环境空气保护目标指自然保护区、风景名胜区、居住区、文化区和农村地区中人群较集中的区域。</w:t>
                  </w:r>
                </w:p>
                <w:p w14:paraId="13B16BE1">
                  <w:pPr>
                    <w:jc w:val="left"/>
                    <w:rPr>
                      <w:color w:val="auto"/>
                      <w:szCs w:val="21"/>
                    </w:rPr>
                  </w:pPr>
                  <w:r>
                    <w:rPr>
                      <w:rFonts w:hint="eastAsia"/>
                      <w:color w:val="auto"/>
                      <w:szCs w:val="21"/>
                    </w:rPr>
                    <w:t>3.临界量及其计算方法可参考《建设项目环境风险评价技术导则》（HJ169）附录B、附录C</w:t>
                  </w:r>
                </w:p>
              </w:tc>
            </w:tr>
          </w:tbl>
          <w:p w14:paraId="226A0C27">
            <w:pPr>
              <w:autoSpaceDE w:val="0"/>
              <w:autoSpaceDN w:val="0"/>
              <w:adjustRightInd w:val="0"/>
              <w:snapToGrid w:val="0"/>
              <w:ind w:firstLine="480" w:firstLineChars="200"/>
              <w:rPr>
                <w:rFonts w:hint="default" w:eastAsia="宋体" w:cs="宋体"/>
                <w:color w:val="auto"/>
                <w:kern w:val="0"/>
                <w:sz w:val="24"/>
                <w:lang w:val="en-US" w:eastAsia="zh-CN"/>
              </w:rPr>
            </w:pPr>
            <w:r>
              <w:rPr>
                <w:rFonts w:hint="eastAsia"/>
                <w:color w:val="auto"/>
                <w:sz w:val="24"/>
              </w:rPr>
              <w:t>综上，本项目</w:t>
            </w:r>
            <w:r>
              <w:rPr>
                <w:rFonts w:hint="eastAsia"/>
                <w:color w:val="auto"/>
                <w:sz w:val="24"/>
                <w:lang w:val="en-US" w:eastAsia="zh-CN"/>
              </w:rPr>
              <w:t>已</w:t>
            </w:r>
            <w:r>
              <w:rPr>
                <w:rFonts w:hint="eastAsia"/>
                <w:color w:val="auto"/>
                <w:sz w:val="24"/>
              </w:rPr>
              <w:t>设置</w:t>
            </w:r>
            <w:r>
              <w:rPr>
                <w:rFonts w:hint="eastAsia"/>
                <w:color w:val="auto"/>
                <w:sz w:val="24"/>
                <w:lang w:val="en-US" w:eastAsia="zh-CN"/>
              </w:rPr>
              <w:t>环境风险</w:t>
            </w:r>
            <w:r>
              <w:rPr>
                <w:rFonts w:hint="eastAsia"/>
                <w:color w:val="auto"/>
                <w:sz w:val="24"/>
              </w:rPr>
              <w:t>专项评价</w:t>
            </w:r>
            <w:r>
              <w:rPr>
                <w:rFonts w:hint="eastAsia"/>
                <w:color w:val="auto"/>
                <w:sz w:val="24"/>
                <w:lang w:eastAsia="zh-CN"/>
              </w:rPr>
              <w:t>，</w:t>
            </w:r>
            <w:r>
              <w:rPr>
                <w:rFonts w:hint="eastAsia"/>
                <w:color w:val="auto"/>
                <w:sz w:val="24"/>
                <w:lang w:val="en-US" w:eastAsia="zh-CN"/>
              </w:rPr>
              <w:t>详见七、环境风险专项评价。</w:t>
            </w:r>
          </w:p>
        </w:tc>
      </w:tr>
      <w:tr w14:paraId="53CEC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4" w:type="dxa"/>
            <w:vAlign w:val="center"/>
          </w:tcPr>
          <w:p w14:paraId="2762A2B0">
            <w:pPr>
              <w:autoSpaceDE w:val="0"/>
              <w:autoSpaceDN w:val="0"/>
              <w:adjustRightInd w:val="0"/>
              <w:snapToGrid w:val="0"/>
              <w:jc w:val="center"/>
              <w:rPr>
                <w:rFonts w:cs="宋体"/>
                <w:color w:val="auto"/>
                <w:kern w:val="0"/>
                <w:sz w:val="24"/>
              </w:rPr>
            </w:pPr>
            <w:r>
              <w:rPr>
                <w:rFonts w:hint="eastAsia" w:cs="宋体"/>
                <w:color w:val="auto"/>
                <w:sz w:val="24"/>
              </w:rPr>
              <w:t>规划情况</w:t>
            </w:r>
          </w:p>
        </w:tc>
        <w:tc>
          <w:tcPr>
            <w:tcW w:w="6850" w:type="dxa"/>
            <w:gridSpan w:val="3"/>
            <w:vAlign w:val="center"/>
          </w:tcPr>
          <w:p w14:paraId="25242179">
            <w:pPr>
              <w:autoSpaceDE w:val="0"/>
              <w:autoSpaceDN w:val="0"/>
              <w:adjustRightInd w:val="0"/>
              <w:snapToGrid w:val="0"/>
              <w:spacing w:line="360" w:lineRule="auto"/>
              <w:jc w:val="left"/>
              <w:rPr>
                <w:color w:val="auto"/>
                <w:sz w:val="24"/>
                <w:szCs w:val="21"/>
              </w:rPr>
            </w:pPr>
            <w:r>
              <w:rPr>
                <w:rFonts w:hint="eastAsia"/>
                <w:color w:val="auto"/>
                <w:sz w:val="24"/>
                <w:szCs w:val="21"/>
              </w:rPr>
              <w:t>规划名称：《赣州新能源汽车科技城首期控制性详细规划》。</w:t>
            </w:r>
          </w:p>
          <w:p w14:paraId="161B671C">
            <w:pPr>
              <w:autoSpaceDE w:val="0"/>
              <w:autoSpaceDN w:val="0"/>
              <w:adjustRightInd w:val="0"/>
              <w:snapToGrid w:val="0"/>
              <w:spacing w:line="360" w:lineRule="auto"/>
              <w:jc w:val="left"/>
              <w:rPr>
                <w:color w:val="auto"/>
                <w:sz w:val="24"/>
                <w:szCs w:val="21"/>
              </w:rPr>
            </w:pPr>
            <w:r>
              <w:rPr>
                <w:rFonts w:hint="eastAsia"/>
                <w:color w:val="auto"/>
                <w:sz w:val="24"/>
                <w:szCs w:val="21"/>
              </w:rPr>
              <w:t>审批机关：赣州市人民政府。</w:t>
            </w:r>
          </w:p>
          <w:p w14:paraId="566D9504">
            <w:pPr>
              <w:autoSpaceDE w:val="0"/>
              <w:autoSpaceDN w:val="0"/>
              <w:adjustRightInd w:val="0"/>
              <w:snapToGrid w:val="0"/>
              <w:spacing w:line="360" w:lineRule="auto"/>
              <w:jc w:val="left"/>
              <w:rPr>
                <w:rFonts w:hint="eastAsia"/>
                <w:color w:val="auto"/>
                <w:sz w:val="24"/>
                <w:szCs w:val="21"/>
              </w:rPr>
            </w:pPr>
            <w:r>
              <w:rPr>
                <w:rFonts w:hint="eastAsia"/>
                <w:color w:val="auto"/>
                <w:sz w:val="24"/>
                <w:szCs w:val="21"/>
              </w:rPr>
              <w:t>审批文件文号：《关于赣州新能源汽车科技城首期控制性详细规划的批复》，赣市府字〔2019〕63号。</w:t>
            </w:r>
          </w:p>
          <w:p w14:paraId="3E244D22">
            <w:pPr>
              <w:autoSpaceDE w:val="0"/>
              <w:autoSpaceDN w:val="0"/>
              <w:adjustRightInd w:val="0"/>
              <w:snapToGrid w:val="0"/>
              <w:spacing w:line="360" w:lineRule="auto"/>
              <w:jc w:val="left"/>
              <w:rPr>
                <w:rFonts w:hint="eastAsia" w:eastAsia="宋体"/>
                <w:color w:val="auto"/>
                <w:sz w:val="24"/>
                <w:szCs w:val="21"/>
                <w:lang w:eastAsia="zh-CN"/>
              </w:rPr>
            </w:pPr>
            <w:r>
              <w:rPr>
                <w:rFonts w:hint="eastAsia"/>
                <w:color w:val="auto"/>
                <w:sz w:val="24"/>
                <w:szCs w:val="21"/>
              </w:rPr>
              <w:t>规划名称：《赣州新能源汽车科技城首期控制性详细规划局部调整规划方案》</w:t>
            </w:r>
            <w:r>
              <w:rPr>
                <w:rFonts w:hint="eastAsia"/>
                <w:color w:val="auto"/>
                <w:sz w:val="24"/>
                <w:szCs w:val="21"/>
                <w:lang w:eastAsia="zh-CN"/>
              </w:rPr>
              <w:t>。</w:t>
            </w:r>
          </w:p>
          <w:p w14:paraId="1B4061D0">
            <w:pPr>
              <w:autoSpaceDE w:val="0"/>
              <w:autoSpaceDN w:val="0"/>
              <w:adjustRightInd w:val="0"/>
              <w:snapToGrid w:val="0"/>
              <w:spacing w:line="360" w:lineRule="auto"/>
              <w:jc w:val="left"/>
              <w:rPr>
                <w:color w:val="auto"/>
                <w:sz w:val="24"/>
                <w:szCs w:val="21"/>
              </w:rPr>
            </w:pPr>
            <w:r>
              <w:rPr>
                <w:rFonts w:hint="eastAsia"/>
                <w:color w:val="auto"/>
                <w:sz w:val="24"/>
                <w:szCs w:val="21"/>
              </w:rPr>
              <w:t>审批机关：赣州市人民政府。</w:t>
            </w:r>
          </w:p>
          <w:p w14:paraId="71EFF4DD">
            <w:pPr>
              <w:autoSpaceDE w:val="0"/>
              <w:autoSpaceDN w:val="0"/>
              <w:adjustRightInd w:val="0"/>
              <w:snapToGrid w:val="0"/>
              <w:spacing w:line="360" w:lineRule="auto"/>
              <w:jc w:val="left"/>
              <w:rPr>
                <w:rFonts w:hint="eastAsia"/>
                <w:color w:val="auto"/>
                <w:sz w:val="24"/>
                <w:szCs w:val="21"/>
                <w:lang w:eastAsia="zh-CN"/>
              </w:rPr>
            </w:pPr>
            <w:r>
              <w:rPr>
                <w:rFonts w:hint="eastAsia"/>
                <w:color w:val="auto"/>
                <w:sz w:val="24"/>
                <w:szCs w:val="21"/>
              </w:rPr>
              <w:t>审批文件文号：</w:t>
            </w:r>
            <w:r>
              <w:rPr>
                <w:rFonts w:hint="eastAsia" w:ascii="Times New Roman" w:hAnsi="Times New Roman" w:eastAsia="宋体"/>
                <w:color w:val="auto"/>
                <w:sz w:val="24"/>
                <w:szCs w:val="24"/>
                <w:lang w:val="en-US" w:eastAsia="zh-CN"/>
              </w:rPr>
              <w:t>《关于赣州新能源汽车科技城首期控制性详细规划局部调整规划方案的批复》（赣市府字〔2023〕5号）。</w:t>
            </w:r>
          </w:p>
        </w:tc>
      </w:tr>
      <w:tr w14:paraId="52EA1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4" w:type="dxa"/>
            <w:vAlign w:val="center"/>
          </w:tcPr>
          <w:p w14:paraId="527DF931">
            <w:pPr>
              <w:adjustRightInd w:val="0"/>
              <w:snapToGrid w:val="0"/>
              <w:jc w:val="center"/>
              <w:rPr>
                <w:rFonts w:cs="宋体"/>
                <w:color w:val="auto"/>
                <w:kern w:val="0"/>
                <w:sz w:val="24"/>
              </w:rPr>
            </w:pPr>
            <w:r>
              <w:rPr>
                <w:rFonts w:hint="eastAsia" w:cs="宋体"/>
                <w:color w:val="auto"/>
                <w:sz w:val="24"/>
              </w:rPr>
              <w:t>规划环境影响评价情况</w:t>
            </w:r>
          </w:p>
        </w:tc>
        <w:tc>
          <w:tcPr>
            <w:tcW w:w="6850" w:type="dxa"/>
            <w:gridSpan w:val="3"/>
            <w:vAlign w:val="center"/>
          </w:tcPr>
          <w:p w14:paraId="77E6BB48">
            <w:pPr>
              <w:autoSpaceDE w:val="0"/>
              <w:autoSpaceDN w:val="0"/>
              <w:adjustRightInd w:val="0"/>
              <w:snapToGrid w:val="0"/>
              <w:spacing w:line="360" w:lineRule="auto"/>
              <w:jc w:val="left"/>
              <w:rPr>
                <w:color w:val="auto"/>
                <w:sz w:val="24"/>
                <w:szCs w:val="21"/>
              </w:rPr>
            </w:pPr>
            <w:r>
              <w:rPr>
                <w:rFonts w:hint="eastAsia"/>
                <w:color w:val="auto"/>
                <w:sz w:val="24"/>
                <w:szCs w:val="21"/>
              </w:rPr>
              <w:t>规划环评文件名称：《赣州新能源汽车科技城首期控制性详细规划调整环境影响报告书》。</w:t>
            </w:r>
          </w:p>
          <w:p w14:paraId="2CFF3B1B">
            <w:pPr>
              <w:autoSpaceDE w:val="0"/>
              <w:autoSpaceDN w:val="0"/>
              <w:adjustRightInd w:val="0"/>
              <w:snapToGrid w:val="0"/>
              <w:spacing w:line="360" w:lineRule="auto"/>
              <w:jc w:val="left"/>
              <w:rPr>
                <w:color w:val="auto"/>
                <w:sz w:val="24"/>
                <w:szCs w:val="21"/>
              </w:rPr>
            </w:pPr>
            <w:r>
              <w:rPr>
                <w:rFonts w:hint="eastAsia"/>
                <w:color w:val="auto"/>
                <w:sz w:val="24"/>
                <w:szCs w:val="21"/>
              </w:rPr>
              <w:t>审查机关：赣州市生态环境局。</w:t>
            </w:r>
          </w:p>
          <w:p w14:paraId="477A843E">
            <w:pPr>
              <w:autoSpaceDE w:val="0"/>
              <w:autoSpaceDN w:val="0"/>
              <w:adjustRightInd w:val="0"/>
              <w:snapToGrid w:val="0"/>
              <w:spacing w:line="360" w:lineRule="auto"/>
              <w:jc w:val="left"/>
              <w:rPr>
                <w:rFonts w:cs="宋体"/>
                <w:color w:val="auto"/>
                <w:kern w:val="0"/>
                <w:szCs w:val="21"/>
              </w:rPr>
            </w:pPr>
            <w:r>
              <w:rPr>
                <w:rFonts w:hint="eastAsia"/>
                <w:color w:val="auto"/>
                <w:sz w:val="24"/>
                <w:szCs w:val="21"/>
              </w:rPr>
              <w:t>审查文件名称及文号：《关于赣州新能源汽车科技城首期控制性详细规划调整环境影响报告书审查意见的函》（赣市环综合〔2023〕4号）。</w:t>
            </w:r>
          </w:p>
        </w:tc>
      </w:tr>
      <w:tr w14:paraId="03725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944" w:type="dxa"/>
            <w:vAlign w:val="center"/>
          </w:tcPr>
          <w:p w14:paraId="75149336">
            <w:pPr>
              <w:autoSpaceDE w:val="0"/>
              <w:autoSpaceDN w:val="0"/>
              <w:adjustRightInd w:val="0"/>
              <w:snapToGrid w:val="0"/>
              <w:jc w:val="center"/>
              <w:rPr>
                <w:rFonts w:cs="宋体"/>
                <w:color w:val="auto"/>
                <w:kern w:val="0"/>
                <w:sz w:val="24"/>
              </w:rPr>
            </w:pPr>
            <w:r>
              <w:rPr>
                <w:rFonts w:hint="eastAsia" w:cs="宋体"/>
                <w:color w:val="auto"/>
                <w:kern w:val="0"/>
                <w:sz w:val="24"/>
              </w:rPr>
              <w:t>规划及规划环境影响评价符合性分析</w:t>
            </w:r>
          </w:p>
        </w:tc>
        <w:tc>
          <w:tcPr>
            <w:tcW w:w="6850" w:type="dxa"/>
            <w:gridSpan w:val="3"/>
            <w:vAlign w:val="center"/>
          </w:tcPr>
          <w:p w14:paraId="1A8FB25A">
            <w:pPr>
              <w:autoSpaceDE w:val="0"/>
              <w:autoSpaceDN w:val="0"/>
              <w:adjustRightInd w:val="0"/>
              <w:snapToGrid w:val="0"/>
              <w:spacing w:before="120" w:beforeLines="50" w:line="360" w:lineRule="auto"/>
              <w:ind w:firstLine="482" w:firstLineChars="200"/>
              <w:jc w:val="left"/>
              <w:rPr>
                <w:b/>
                <w:bCs/>
                <w:color w:val="auto"/>
                <w:sz w:val="24"/>
                <w:szCs w:val="21"/>
              </w:rPr>
            </w:pPr>
            <w:r>
              <w:rPr>
                <w:rFonts w:hint="eastAsia"/>
                <w:b/>
                <w:bCs/>
                <w:color w:val="auto"/>
                <w:sz w:val="24"/>
                <w:szCs w:val="21"/>
              </w:rPr>
              <w:t>1、与《赣州新能源汽车科技城首期控制性详细规划》的相符性</w:t>
            </w:r>
          </w:p>
          <w:p w14:paraId="1C006764">
            <w:pPr>
              <w:autoSpaceDE w:val="0"/>
              <w:autoSpaceDN w:val="0"/>
              <w:adjustRightInd w:val="0"/>
              <w:snapToGrid w:val="0"/>
              <w:spacing w:line="360" w:lineRule="auto"/>
              <w:ind w:firstLine="480" w:firstLineChars="200"/>
              <w:rPr>
                <w:color w:val="auto"/>
                <w:kern w:val="0"/>
                <w:sz w:val="24"/>
              </w:rPr>
            </w:pPr>
            <w:r>
              <w:rPr>
                <w:color w:val="auto"/>
                <w:kern w:val="0"/>
                <w:sz w:val="24"/>
              </w:rPr>
              <w:t>根据《赣州</w:t>
            </w:r>
            <w:r>
              <w:rPr>
                <w:rStyle w:val="31"/>
                <w:color w:val="auto"/>
                <w:sz w:val="24"/>
              </w:rPr>
              <w:t>新能源汽车科技城产业发展规划</w:t>
            </w:r>
            <w:r>
              <w:rPr>
                <w:color w:val="auto"/>
                <w:kern w:val="0"/>
                <w:sz w:val="24"/>
              </w:rPr>
              <w:t>（2016-2025年）》，分析本</w:t>
            </w:r>
            <w:r>
              <w:rPr>
                <w:rFonts w:hint="eastAsia"/>
                <w:color w:val="auto"/>
                <w:kern w:val="0"/>
                <w:sz w:val="24"/>
              </w:rPr>
              <w:t>项目</w:t>
            </w:r>
            <w:r>
              <w:rPr>
                <w:color w:val="auto"/>
                <w:kern w:val="0"/>
                <w:sz w:val="24"/>
              </w:rPr>
              <w:t>与园区规划的相符性情况见下表：</w:t>
            </w:r>
          </w:p>
          <w:p w14:paraId="5B12ECA5">
            <w:pPr>
              <w:autoSpaceDE w:val="0"/>
              <w:autoSpaceDN w:val="0"/>
              <w:adjustRightInd w:val="0"/>
              <w:snapToGrid w:val="0"/>
              <w:jc w:val="center"/>
              <w:rPr>
                <w:b/>
                <w:bCs/>
                <w:color w:val="auto"/>
                <w:kern w:val="0"/>
                <w:sz w:val="24"/>
              </w:rPr>
            </w:pPr>
            <w:r>
              <w:rPr>
                <w:b/>
                <w:bCs/>
                <w:color w:val="auto"/>
                <w:kern w:val="0"/>
                <w:sz w:val="24"/>
              </w:rPr>
              <w:t>表1-</w:t>
            </w:r>
            <w:r>
              <w:rPr>
                <w:rFonts w:hint="eastAsia"/>
                <w:b/>
                <w:bCs/>
                <w:color w:val="auto"/>
                <w:kern w:val="0"/>
                <w:sz w:val="24"/>
              </w:rPr>
              <w:t>1</w:t>
            </w:r>
            <w:r>
              <w:rPr>
                <w:b/>
                <w:bCs/>
                <w:color w:val="auto"/>
                <w:kern w:val="0"/>
                <w:sz w:val="24"/>
              </w:rPr>
              <w:t>与新能源汽车科技城规划相符性分析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5"/>
              <w:gridCol w:w="1757"/>
              <w:gridCol w:w="682"/>
            </w:tblGrid>
            <w:tr w14:paraId="344E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center"/>
                </w:tcPr>
                <w:p w14:paraId="009895ED">
                  <w:pPr>
                    <w:pStyle w:val="87"/>
                    <w:rPr>
                      <w:b/>
                      <w:color w:val="auto"/>
                      <w:sz w:val="21"/>
                      <w:szCs w:val="21"/>
                    </w:rPr>
                  </w:pPr>
                  <w:r>
                    <w:rPr>
                      <w:b/>
                      <w:color w:val="auto"/>
                      <w:sz w:val="21"/>
                      <w:szCs w:val="21"/>
                    </w:rPr>
                    <w:t>规划要求</w:t>
                  </w:r>
                </w:p>
              </w:tc>
              <w:tc>
                <w:tcPr>
                  <w:tcW w:w="1972" w:type="dxa"/>
                  <w:vAlign w:val="center"/>
                </w:tcPr>
                <w:p w14:paraId="78CA252C">
                  <w:pPr>
                    <w:pStyle w:val="87"/>
                    <w:rPr>
                      <w:b/>
                      <w:color w:val="auto"/>
                      <w:sz w:val="21"/>
                      <w:szCs w:val="21"/>
                    </w:rPr>
                  </w:pPr>
                  <w:r>
                    <w:rPr>
                      <w:b/>
                      <w:color w:val="auto"/>
                      <w:sz w:val="21"/>
                      <w:szCs w:val="21"/>
                    </w:rPr>
                    <w:t>本项目情况</w:t>
                  </w:r>
                </w:p>
              </w:tc>
              <w:tc>
                <w:tcPr>
                  <w:tcW w:w="738" w:type="dxa"/>
                  <w:vAlign w:val="center"/>
                </w:tcPr>
                <w:p w14:paraId="1A6E8602">
                  <w:pPr>
                    <w:pStyle w:val="87"/>
                    <w:rPr>
                      <w:b/>
                      <w:color w:val="auto"/>
                      <w:sz w:val="21"/>
                      <w:szCs w:val="21"/>
                    </w:rPr>
                  </w:pPr>
                  <w:r>
                    <w:rPr>
                      <w:b/>
                      <w:color w:val="auto"/>
                      <w:sz w:val="21"/>
                      <w:szCs w:val="21"/>
                    </w:rPr>
                    <w:t>是否相符</w:t>
                  </w:r>
                </w:p>
              </w:tc>
            </w:tr>
            <w:tr w14:paraId="100E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center"/>
                </w:tcPr>
                <w:p w14:paraId="45864DE0">
                  <w:pPr>
                    <w:pStyle w:val="87"/>
                    <w:jc w:val="both"/>
                    <w:rPr>
                      <w:color w:val="auto"/>
                      <w:sz w:val="21"/>
                      <w:szCs w:val="21"/>
                    </w:rPr>
                  </w:pPr>
                  <w:r>
                    <w:rPr>
                      <w:b/>
                      <w:color w:val="auto"/>
                      <w:sz w:val="21"/>
                      <w:szCs w:val="21"/>
                    </w:rPr>
                    <w:t>产业定位规划：</w:t>
                  </w:r>
                  <w:r>
                    <w:rPr>
                      <w:color w:val="auto"/>
                      <w:sz w:val="21"/>
                      <w:szCs w:val="21"/>
                    </w:rPr>
                    <w:t>充分依托赣州发展的政策优势，本着落实总体规划对开发区产业发展的要求，本次规划提出园区产业发展定位为</w:t>
                  </w:r>
                  <w:r>
                    <w:rPr>
                      <w:rFonts w:hint="eastAsia"/>
                      <w:color w:val="auto"/>
                      <w:sz w:val="21"/>
                      <w:szCs w:val="21"/>
                    </w:rPr>
                    <w:t>：</w:t>
                  </w:r>
                  <w:r>
                    <w:rPr>
                      <w:color w:val="auto"/>
                      <w:sz w:val="21"/>
                      <w:szCs w:val="21"/>
                    </w:rPr>
                    <w:t>以新能源汽车制造为主，集研发、培训、展销、体验等功能于一体的生态智造活力新城。</w:t>
                  </w:r>
                </w:p>
              </w:tc>
              <w:tc>
                <w:tcPr>
                  <w:tcW w:w="1972" w:type="dxa"/>
                  <w:vAlign w:val="center"/>
                </w:tcPr>
                <w:p w14:paraId="03F70BEC">
                  <w:pPr>
                    <w:pStyle w:val="87"/>
                    <w:jc w:val="both"/>
                    <w:rPr>
                      <w:color w:val="auto"/>
                      <w:sz w:val="21"/>
                      <w:szCs w:val="21"/>
                    </w:rPr>
                  </w:pPr>
                  <w:r>
                    <w:rPr>
                      <w:color w:val="auto"/>
                      <w:sz w:val="21"/>
                      <w:szCs w:val="21"/>
                    </w:rPr>
                    <w:t>本项目为</w:t>
                  </w:r>
                  <w:r>
                    <w:rPr>
                      <w:rFonts w:hint="eastAsia"/>
                      <w:color w:val="auto"/>
                      <w:sz w:val="21"/>
                      <w:szCs w:val="21"/>
                    </w:rPr>
                    <w:t>C3985电子专用材料制造</w:t>
                  </w:r>
                  <w:r>
                    <w:rPr>
                      <w:color w:val="auto"/>
                      <w:sz w:val="21"/>
                      <w:szCs w:val="21"/>
                    </w:rPr>
                    <w:t>，</w:t>
                  </w:r>
                  <w:r>
                    <w:rPr>
                      <w:rFonts w:hint="eastAsia"/>
                      <w:color w:val="auto"/>
                      <w:sz w:val="21"/>
                      <w:szCs w:val="21"/>
                    </w:rPr>
                    <w:t>主要用于计算机、汽车、仪器、仪表、家用电器、石油化工、医疗保健、航空航天等行业中的各种微特电机，核磁共振设备，电器件，磁分离设备，磁力机械，磁疗器械等需产生强间隙磁场的元器件，为配套企业</w:t>
                  </w:r>
                  <w:r>
                    <w:rPr>
                      <w:color w:val="auto"/>
                      <w:sz w:val="21"/>
                      <w:szCs w:val="21"/>
                    </w:rPr>
                    <w:t>，符合园区产业定位。</w:t>
                  </w:r>
                </w:p>
              </w:tc>
              <w:tc>
                <w:tcPr>
                  <w:tcW w:w="738" w:type="dxa"/>
                  <w:vAlign w:val="center"/>
                </w:tcPr>
                <w:p w14:paraId="336F8523">
                  <w:pPr>
                    <w:pStyle w:val="87"/>
                    <w:rPr>
                      <w:color w:val="auto"/>
                      <w:sz w:val="21"/>
                      <w:szCs w:val="21"/>
                    </w:rPr>
                  </w:pPr>
                  <w:r>
                    <w:rPr>
                      <w:color w:val="auto"/>
                      <w:sz w:val="21"/>
                      <w:szCs w:val="21"/>
                    </w:rPr>
                    <w:t>符合</w:t>
                  </w:r>
                </w:p>
              </w:tc>
            </w:tr>
            <w:tr w14:paraId="458C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center"/>
                </w:tcPr>
                <w:p w14:paraId="0A53F3CE">
                  <w:pPr>
                    <w:pStyle w:val="87"/>
                    <w:jc w:val="both"/>
                    <w:rPr>
                      <w:color w:val="auto"/>
                      <w:sz w:val="21"/>
                      <w:szCs w:val="21"/>
                    </w:rPr>
                  </w:pPr>
                  <w:r>
                    <w:rPr>
                      <w:b/>
                      <w:color w:val="auto"/>
                      <w:sz w:val="21"/>
                      <w:szCs w:val="21"/>
                    </w:rPr>
                    <w:t>产业布局规划：</w:t>
                  </w:r>
                  <w:r>
                    <w:rPr>
                      <w:color w:val="auto"/>
                      <w:sz w:val="21"/>
                      <w:szCs w:val="21"/>
                    </w:rPr>
                    <w:t>规划区定位新能源汽车产业为主，规划区采用“两轴两心，一带八区”空间结构，江西理工大学、赣南职业技术学院、警察学校等高等院校用地与唐南综合服务区、横江生活服务区、1#产业园等大部分居住服务用地布局于规划区北面，规划2#产业园、3#产业园居住区被工业用地完全包围，1#产业园居住用地及高等院校用地部分邻近工业用地，建设居住用地与工业用地之间设置一定的防护带，可以布置商业、公用设施用地、绿化用地等，汽车制造企业入驻时应充分考虑卫生防护距离要求，避免对规划居住区造成不利影响。部分规划居住用地邻近大广高速，邻近高速公路一侧的居民容易受到交通噪声影响，规划设置了一定的防护绿地，还应采取设置隔声屏、隔声窗等措施减轻交通噪声对居民的影响。本规划区工业用地6.49km</w:t>
                  </w:r>
                  <w:r>
                    <w:rPr>
                      <w:color w:val="auto"/>
                      <w:sz w:val="21"/>
                      <w:szCs w:val="21"/>
                      <w:vertAlign w:val="superscript"/>
                    </w:rPr>
                    <w:t>2</w:t>
                  </w:r>
                  <w:r>
                    <w:rPr>
                      <w:color w:val="auto"/>
                      <w:sz w:val="21"/>
                      <w:szCs w:val="21"/>
                    </w:rPr>
                    <w:t>，入驻企业内部平面布置时通过结合周边环境敏感点及规划居住区分布情况，合理布局，可以保证涂装车间和冲压车间满足卫生防护距离要求。</w:t>
                  </w:r>
                </w:p>
              </w:tc>
              <w:tc>
                <w:tcPr>
                  <w:tcW w:w="1972" w:type="dxa"/>
                  <w:vAlign w:val="center"/>
                </w:tcPr>
                <w:p w14:paraId="6F66A82E">
                  <w:pPr>
                    <w:pStyle w:val="87"/>
                    <w:jc w:val="both"/>
                    <w:rPr>
                      <w:color w:val="auto"/>
                      <w:sz w:val="21"/>
                      <w:szCs w:val="21"/>
                    </w:rPr>
                  </w:pPr>
                  <w:r>
                    <w:rPr>
                      <w:color w:val="auto"/>
                      <w:sz w:val="21"/>
                      <w:szCs w:val="21"/>
                    </w:rPr>
                    <w:t>本项目位于赣州</w:t>
                  </w:r>
                  <w:r>
                    <w:rPr>
                      <w:rStyle w:val="31"/>
                      <w:color w:val="auto"/>
                      <w:szCs w:val="21"/>
                    </w:rPr>
                    <w:t>新能源汽车科技城</w:t>
                  </w:r>
                  <w:r>
                    <w:rPr>
                      <w:rStyle w:val="31"/>
                      <w:rFonts w:hint="eastAsia"/>
                      <w:color w:val="auto"/>
                      <w:szCs w:val="21"/>
                    </w:rPr>
                    <w:t>内</w:t>
                  </w:r>
                  <w:r>
                    <w:rPr>
                      <w:rStyle w:val="31"/>
                      <w:color w:val="auto"/>
                      <w:szCs w:val="21"/>
                    </w:rPr>
                    <w:t>，项目用地均为工业用地，</w:t>
                  </w:r>
                  <w:r>
                    <w:rPr>
                      <w:rStyle w:val="31"/>
                      <w:rFonts w:hint="eastAsia"/>
                      <w:color w:val="auto"/>
                      <w:szCs w:val="21"/>
                    </w:rPr>
                    <w:t>项目500m范围无环境保护目标</w:t>
                  </w:r>
                  <w:r>
                    <w:rPr>
                      <w:color w:val="auto"/>
                      <w:sz w:val="21"/>
                      <w:szCs w:val="21"/>
                    </w:rPr>
                    <w:t>，项目</w:t>
                  </w:r>
                  <w:r>
                    <w:rPr>
                      <w:rFonts w:hint="eastAsia"/>
                      <w:color w:val="auto"/>
                      <w:sz w:val="21"/>
                      <w:szCs w:val="21"/>
                    </w:rPr>
                    <w:t>5</w:t>
                  </w:r>
                  <w:r>
                    <w:rPr>
                      <w:color w:val="auto"/>
                      <w:sz w:val="21"/>
                      <w:szCs w:val="21"/>
                    </w:rPr>
                    <w:t>0m的卫生防护距离范围内无敏感点，符合文件要求。</w:t>
                  </w:r>
                </w:p>
              </w:tc>
              <w:tc>
                <w:tcPr>
                  <w:tcW w:w="738" w:type="dxa"/>
                  <w:vAlign w:val="center"/>
                </w:tcPr>
                <w:p w14:paraId="22CFFE68">
                  <w:pPr>
                    <w:pStyle w:val="87"/>
                    <w:rPr>
                      <w:color w:val="auto"/>
                      <w:sz w:val="21"/>
                      <w:szCs w:val="21"/>
                    </w:rPr>
                  </w:pPr>
                  <w:r>
                    <w:rPr>
                      <w:color w:val="auto"/>
                      <w:sz w:val="21"/>
                      <w:szCs w:val="21"/>
                    </w:rPr>
                    <w:t>符合</w:t>
                  </w:r>
                </w:p>
              </w:tc>
            </w:tr>
            <w:tr w14:paraId="5DBA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center"/>
                </w:tcPr>
                <w:p w14:paraId="4BCCB181">
                  <w:pPr>
                    <w:pStyle w:val="87"/>
                    <w:jc w:val="both"/>
                    <w:rPr>
                      <w:color w:val="auto"/>
                      <w:sz w:val="21"/>
                      <w:szCs w:val="21"/>
                    </w:rPr>
                  </w:pPr>
                  <w:r>
                    <w:rPr>
                      <w:b/>
                      <w:color w:val="auto"/>
                      <w:sz w:val="21"/>
                      <w:szCs w:val="21"/>
                    </w:rPr>
                    <w:t>产业发展规划：</w:t>
                  </w:r>
                  <w:r>
                    <w:rPr>
                      <w:color w:val="auto"/>
                      <w:sz w:val="21"/>
                      <w:szCs w:val="21"/>
                    </w:rPr>
                    <w:t>赣州新能源汽车科技城是赣州市发展新能源汽车产业的核心区，是赣州市实现汽车产业跨越式发展和产业结构转型升级的主要参与者、承担者和责任主体。全市各区(县)以科技城为载体，统筹谋划、分工协作，齐心协力打造体系完善、配套齐全、行业领先的赣州市新能源汽车产业发展新格局。从功能上来讲，科技城将定位为赣州市乃至江西省发展新能源汽车的“四个中心”（即“四个中心目标"）。(1)技术研发及工程应用中心；(2)整车制造中心；(3)关键零部件制造中心；(4)新能源汽车教育及宣传促进中心。</w:t>
                  </w:r>
                </w:p>
              </w:tc>
              <w:tc>
                <w:tcPr>
                  <w:tcW w:w="1972" w:type="dxa"/>
                  <w:vAlign w:val="center"/>
                </w:tcPr>
                <w:p w14:paraId="2B8AC320">
                  <w:pPr>
                    <w:pStyle w:val="87"/>
                    <w:jc w:val="both"/>
                    <w:rPr>
                      <w:color w:val="auto"/>
                      <w:sz w:val="21"/>
                      <w:szCs w:val="21"/>
                    </w:rPr>
                  </w:pPr>
                  <w:r>
                    <w:rPr>
                      <w:color w:val="auto"/>
                      <w:sz w:val="21"/>
                      <w:szCs w:val="21"/>
                    </w:rPr>
                    <w:t>本项目为</w:t>
                  </w:r>
                  <w:r>
                    <w:rPr>
                      <w:rFonts w:hint="eastAsia"/>
                      <w:color w:val="auto"/>
                      <w:sz w:val="21"/>
                      <w:szCs w:val="21"/>
                    </w:rPr>
                    <w:t>C3985电子专用材料制造，主要用于计算机、汽车、仪器、仪表、家用电器、石油化工、医疗保健、航空航天等行业中的各种微特电机，核磁共振设备，电器件，磁分离设备，磁力机械，磁疗器械等需产生强间隙磁场的元器件，为配套企业，符合园区产业定位</w:t>
                  </w:r>
                  <w:r>
                    <w:rPr>
                      <w:color w:val="auto"/>
                      <w:sz w:val="21"/>
                      <w:szCs w:val="21"/>
                    </w:rPr>
                    <w:t>。</w:t>
                  </w:r>
                </w:p>
              </w:tc>
              <w:tc>
                <w:tcPr>
                  <w:tcW w:w="738" w:type="dxa"/>
                  <w:vAlign w:val="center"/>
                </w:tcPr>
                <w:p w14:paraId="406E4391">
                  <w:pPr>
                    <w:pStyle w:val="87"/>
                    <w:rPr>
                      <w:color w:val="auto"/>
                      <w:sz w:val="21"/>
                      <w:szCs w:val="21"/>
                    </w:rPr>
                  </w:pPr>
                  <w:r>
                    <w:rPr>
                      <w:color w:val="auto"/>
                      <w:sz w:val="21"/>
                      <w:szCs w:val="21"/>
                    </w:rPr>
                    <w:t>符合</w:t>
                  </w:r>
                </w:p>
              </w:tc>
            </w:tr>
          </w:tbl>
          <w:p w14:paraId="7395D4C8">
            <w:pPr>
              <w:adjustRightInd w:val="0"/>
              <w:snapToGrid w:val="0"/>
              <w:spacing w:line="360" w:lineRule="auto"/>
              <w:ind w:firstLine="480" w:firstLineChars="200"/>
              <w:rPr>
                <w:color w:val="auto"/>
                <w:sz w:val="24"/>
              </w:rPr>
            </w:pPr>
            <w:r>
              <w:rPr>
                <w:color w:val="auto"/>
                <w:kern w:val="0"/>
                <w:sz w:val="24"/>
              </w:rPr>
              <w:t>综上分析，</w:t>
            </w:r>
            <w:r>
              <w:rPr>
                <w:rFonts w:hint="eastAsia"/>
                <w:color w:val="auto"/>
                <w:sz w:val="24"/>
              </w:rPr>
              <w:t>符合赣州新能源汽车科技城的产业定位，因此项目的建设与《赣州新能源汽车科技城首期控制性详细规划》相符。</w:t>
            </w:r>
          </w:p>
          <w:p w14:paraId="3D123AF2">
            <w:pPr>
              <w:autoSpaceDE w:val="0"/>
              <w:autoSpaceDN w:val="0"/>
              <w:adjustRightInd w:val="0"/>
              <w:snapToGrid w:val="0"/>
              <w:spacing w:line="360" w:lineRule="auto"/>
              <w:ind w:firstLine="482" w:firstLineChars="200"/>
              <w:jc w:val="left"/>
              <w:rPr>
                <w:rFonts w:hint="eastAsia"/>
                <w:b/>
                <w:bCs/>
                <w:color w:val="auto"/>
                <w:sz w:val="24"/>
                <w:szCs w:val="21"/>
                <w:lang w:val="en-US" w:eastAsia="zh-CN"/>
              </w:rPr>
            </w:pPr>
            <w:r>
              <w:rPr>
                <w:rFonts w:hint="eastAsia"/>
                <w:b/>
                <w:bCs/>
                <w:color w:val="auto"/>
                <w:sz w:val="24"/>
                <w:szCs w:val="21"/>
                <w:lang w:val="en-US" w:eastAsia="zh-CN"/>
              </w:rPr>
              <w:t>2、与《赣州新能源汽车科技城首期控制性详细规划局部调整规划方案》（赣市府字〔2023〕5号）的相符性</w:t>
            </w:r>
          </w:p>
          <w:p w14:paraId="0D69B180">
            <w:pPr>
              <w:autoSpaceDE w:val="0"/>
              <w:autoSpaceDN w:val="0"/>
              <w:jc w:val="center"/>
              <w:rPr>
                <w:rFonts w:cs="宋体"/>
                <w:b/>
                <w:bCs/>
                <w:color w:val="auto"/>
                <w:kern w:val="0"/>
                <w:sz w:val="24"/>
              </w:rPr>
            </w:pPr>
            <w:r>
              <w:rPr>
                <w:rFonts w:hint="eastAsia" w:cs="宋体"/>
                <w:b/>
                <w:bCs/>
                <w:color w:val="auto"/>
                <w:kern w:val="0"/>
                <w:sz w:val="24"/>
              </w:rPr>
              <w:t>表1-2与</w:t>
            </w:r>
            <w:r>
              <w:rPr>
                <w:rFonts w:hint="eastAsia" w:cs="宋体"/>
                <w:b/>
                <w:bCs/>
                <w:color w:val="auto"/>
                <w:kern w:val="0"/>
                <w:sz w:val="24"/>
                <w:lang w:eastAsia="zh-CN"/>
              </w:rPr>
              <w:t>《</w:t>
            </w:r>
            <w:r>
              <w:rPr>
                <w:rFonts w:hint="eastAsia" w:cs="宋体"/>
                <w:b/>
                <w:bCs/>
                <w:color w:val="auto"/>
                <w:kern w:val="0"/>
                <w:sz w:val="24"/>
              </w:rPr>
              <w:t>赣州新能源汽车科技城首期控制性详细规划局部调整规划方案</w:t>
            </w:r>
            <w:r>
              <w:rPr>
                <w:rFonts w:hint="eastAsia" w:cs="宋体"/>
                <w:b/>
                <w:bCs/>
                <w:color w:val="auto"/>
                <w:kern w:val="0"/>
                <w:sz w:val="24"/>
                <w:lang w:eastAsia="zh-CN"/>
              </w:rPr>
              <w:t>》</w:t>
            </w:r>
            <w:r>
              <w:rPr>
                <w:rFonts w:hint="eastAsia" w:cs="宋体"/>
                <w:b/>
                <w:bCs/>
                <w:color w:val="auto"/>
                <w:kern w:val="0"/>
                <w:sz w:val="24"/>
              </w:rPr>
              <w:t>相符性分析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3544"/>
              <w:gridCol w:w="1800"/>
              <w:gridCol w:w="726"/>
            </w:tblGrid>
            <w:tr w14:paraId="2ABC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4586F9E0">
                  <w:pPr>
                    <w:autoSpaceDE w:val="0"/>
                    <w:autoSpaceDN w:val="0"/>
                    <w:adjustRightInd w:val="0"/>
                    <w:snapToGrid w:val="0"/>
                    <w:spacing w:line="240" w:lineRule="auto"/>
                    <w:jc w:val="center"/>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3544" w:type="dxa"/>
                  <w:vAlign w:val="center"/>
                </w:tcPr>
                <w:p w14:paraId="3F28C33F">
                  <w:pPr>
                    <w:autoSpaceDE w:val="0"/>
                    <w:autoSpaceDN w:val="0"/>
                    <w:adjustRightInd w:val="0"/>
                    <w:snapToGrid w:val="0"/>
                    <w:spacing w:line="240" w:lineRule="auto"/>
                    <w:jc w:val="center"/>
                    <w:rPr>
                      <w:rFonts w:hint="default" w:ascii="Times New Roman" w:hAnsi="Times New Roman" w:eastAsia="宋体"/>
                      <w:b/>
                      <w:bCs/>
                      <w:color w:val="auto"/>
                      <w:sz w:val="21"/>
                      <w:szCs w:val="21"/>
                      <w:vertAlign w:val="baseline"/>
                      <w:lang w:val="en-US" w:eastAsia="zh-CN"/>
                    </w:rPr>
                  </w:pPr>
                  <w:r>
                    <w:rPr>
                      <w:rFonts w:hint="default" w:ascii="Times New Roman" w:hAnsi="Times New Roman" w:eastAsia="宋体"/>
                      <w:b/>
                      <w:bCs/>
                      <w:color w:val="auto"/>
                      <w:sz w:val="21"/>
                      <w:szCs w:val="21"/>
                      <w:vertAlign w:val="baseline"/>
                      <w:lang w:val="en-US" w:eastAsia="zh-CN"/>
                    </w:rPr>
                    <w:t>调整主要内容</w:t>
                  </w:r>
                </w:p>
              </w:tc>
              <w:tc>
                <w:tcPr>
                  <w:tcW w:w="1800" w:type="dxa"/>
                  <w:vAlign w:val="center"/>
                </w:tcPr>
                <w:p w14:paraId="119B9F68">
                  <w:pPr>
                    <w:autoSpaceDE w:val="0"/>
                    <w:autoSpaceDN w:val="0"/>
                    <w:adjustRightInd w:val="0"/>
                    <w:snapToGrid w:val="0"/>
                    <w:spacing w:line="240" w:lineRule="auto"/>
                    <w:jc w:val="center"/>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本项目</w:t>
                  </w:r>
                </w:p>
              </w:tc>
              <w:tc>
                <w:tcPr>
                  <w:tcW w:w="726" w:type="dxa"/>
                  <w:vAlign w:val="center"/>
                </w:tcPr>
                <w:p w14:paraId="231FC9DF">
                  <w:pPr>
                    <w:autoSpaceDE w:val="0"/>
                    <w:autoSpaceDN w:val="0"/>
                    <w:adjustRightInd w:val="0"/>
                    <w:snapToGrid w:val="0"/>
                    <w:spacing w:line="240" w:lineRule="auto"/>
                    <w:jc w:val="center"/>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符合性</w:t>
                  </w:r>
                </w:p>
              </w:tc>
            </w:tr>
            <w:tr w14:paraId="6EFB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3D811448">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1</w:t>
                  </w:r>
                </w:p>
              </w:tc>
              <w:tc>
                <w:tcPr>
                  <w:tcW w:w="3544" w:type="dxa"/>
                  <w:vAlign w:val="center"/>
                </w:tcPr>
                <w:p w14:paraId="13048492">
                  <w:pPr>
                    <w:autoSpaceDE w:val="0"/>
                    <w:autoSpaceDN w:val="0"/>
                    <w:adjustRightInd w:val="0"/>
                    <w:snapToGrid w:val="0"/>
                    <w:spacing w:line="240" w:lineRule="auto"/>
                    <w:jc w:val="both"/>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用地布局方面：</w:t>
                  </w:r>
                </w:p>
                <w:p w14:paraId="2492BC0C">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eastAsia="宋体"/>
                      <w:b w:val="0"/>
                      <w:bCs w:val="0"/>
                      <w:color w:val="auto"/>
                      <w:sz w:val="21"/>
                      <w:szCs w:val="21"/>
                      <w:vertAlign w:val="baseline"/>
                      <w:lang w:val="en-US" w:eastAsia="zh-CN"/>
                    </w:rPr>
                    <w:t>唐凤大道以北、金湾大道以南、车都大道以东、青云山路以西区域调整为职业教育用地，车都大道以西、金华山路以东、唐凤大道以南、星光路以北区域保留和调整为职业教育用地，濂江路以南、旭日大道以北的商业用地调整为工业用地，金华山路东侧的燃气设施等用地根据城镇开发边界调整布局，城西大道以北、大琴河路以南、宝莲山路以西区域调整为工业用地，黄沙河路以北、唐凤大道以南、科技大道以东、章潭路以西区域调整为商住用地、高中用地、留白用地、公园绿地及防护绿地，黄沙河路以南的工业用地等维持不变。</w:t>
                  </w:r>
                </w:p>
              </w:tc>
              <w:tc>
                <w:tcPr>
                  <w:tcW w:w="1800" w:type="dxa"/>
                  <w:vAlign w:val="center"/>
                </w:tcPr>
                <w:p w14:paraId="30DBCCC6">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本项目位于江西省赣州市赣州经济技术开发区东至科技大道、南至湘江路、西至青云山路、北至旭日大道，</w:t>
                  </w:r>
                  <w:r>
                    <w:rPr>
                      <w:rFonts w:hint="eastAsia"/>
                      <w:b w:val="0"/>
                      <w:bCs w:val="0"/>
                      <w:color w:val="auto"/>
                      <w:sz w:val="21"/>
                      <w:szCs w:val="21"/>
                      <w:vertAlign w:val="baseline"/>
                      <w:lang w:val="en-US" w:eastAsia="zh-CN"/>
                    </w:rPr>
                    <w:t>为工业用地</w:t>
                  </w:r>
                </w:p>
              </w:tc>
              <w:tc>
                <w:tcPr>
                  <w:tcW w:w="726" w:type="dxa"/>
                  <w:vAlign w:val="center"/>
                </w:tcPr>
                <w:p w14:paraId="123C066A">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符合</w:t>
                  </w:r>
                </w:p>
              </w:tc>
            </w:tr>
            <w:tr w14:paraId="346B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14:paraId="4A38261E">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2</w:t>
                  </w:r>
                </w:p>
              </w:tc>
              <w:tc>
                <w:tcPr>
                  <w:tcW w:w="3544" w:type="dxa"/>
                  <w:vAlign w:val="center"/>
                </w:tcPr>
                <w:p w14:paraId="350072BA">
                  <w:pPr>
                    <w:autoSpaceDE w:val="0"/>
                    <w:autoSpaceDN w:val="0"/>
                    <w:adjustRightInd w:val="0"/>
                    <w:snapToGrid w:val="0"/>
                    <w:spacing w:line="240" w:lineRule="auto"/>
                    <w:jc w:val="both"/>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eastAsia="宋体"/>
                      <w:b w:val="0"/>
                      <w:bCs w:val="0"/>
                      <w:color w:val="auto"/>
                      <w:sz w:val="21"/>
                      <w:szCs w:val="21"/>
                      <w:vertAlign w:val="baseline"/>
                      <w:lang w:val="en-US" w:eastAsia="zh-CN"/>
                    </w:rPr>
                    <w:t>规划指标调整：</w:t>
                  </w:r>
                </w:p>
                <w:p w14:paraId="42251C60">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eastAsia="宋体"/>
                      <w:b w:val="0"/>
                      <w:bCs w:val="0"/>
                      <w:color w:val="auto"/>
                      <w:sz w:val="21"/>
                      <w:szCs w:val="21"/>
                      <w:vertAlign w:val="baseline"/>
                      <w:lang w:val="en-US" w:eastAsia="zh-CN"/>
                    </w:rPr>
                    <w:t>工业用地规划指标按照《关于进一步加强工业用地节约集约利用的意见》(赣市府发〔2022)16号）要求进行调整落实，高等、中等职业教育用地容积率≤1.5，建筑密度≤30%,建筑高度≤50米，绿地率≥30%：商住用地规划指标为容积率≤2.2，建筑密度≤35%，建筑高度≤60米，绿地率≥30%:中小学用地规划指标为容积率≤1.0，建筑密度≤25%，建筑高度≤24米，绿地率≥30%；其他地块除用地面积或位置微调外，规划指标与原控规一致。</w:t>
                  </w:r>
                </w:p>
              </w:tc>
              <w:tc>
                <w:tcPr>
                  <w:tcW w:w="1800" w:type="dxa"/>
                  <w:vAlign w:val="center"/>
                </w:tcPr>
                <w:p w14:paraId="334BC76E">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本项目建设点点不在调整范围内，符合原控规</w:t>
                  </w:r>
                </w:p>
              </w:tc>
              <w:tc>
                <w:tcPr>
                  <w:tcW w:w="726" w:type="dxa"/>
                  <w:vAlign w:val="center"/>
                </w:tcPr>
                <w:p w14:paraId="2F480425">
                  <w:pPr>
                    <w:autoSpaceDE w:val="0"/>
                    <w:autoSpaceDN w:val="0"/>
                    <w:adjustRightInd w:val="0"/>
                    <w:snapToGrid w:val="0"/>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符合</w:t>
                  </w:r>
                </w:p>
              </w:tc>
            </w:tr>
          </w:tbl>
          <w:p w14:paraId="3D621265">
            <w:pPr>
              <w:autoSpaceDE w:val="0"/>
              <w:autoSpaceDN w:val="0"/>
              <w:adjustRightInd w:val="0"/>
              <w:snapToGrid w:val="0"/>
              <w:spacing w:line="360" w:lineRule="auto"/>
              <w:ind w:firstLine="482" w:firstLineChars="200"/>
              <w:jc w:val="left"/>
              <w:rPr>
                <w:b/>
                <w:bCs/>
                <w:color w:val="auto"/>
                <w:sz w:val="24"/>
                <w:szCs w:val="21"/>
              </w:rPr>
            </w:pPr>
            <w:r>
              <w:rPr>
                <w:rFonts w:hint="eastAsia"/>
                <w:b/>
                <w:bCs/>
                <w:color w:val="auto"/>
                <w:sz w:val="24"/>
                <w:szCs w:val="21"/>
                <w:lang w:val="en-US" w:eastAsia="zh-CN"/>
              </w:rPr>
              <w:t>3</w:t>
            </w:r>
            <w:r>
              <w:rPr>
                <w:rFonts w:hint="eastAsia"/>
                <w:b/>
                <w:bCs/>
                <w:color w:val="auto"/>
                <w:sz w:val="24"/>
                <w:szCs w:val="21"/>
              </w:rPr>
              <w:t>、与《赣州新能源汽车科技城首期控制性详细规划环境影响报告书》的相符性</w:t>
            </w:r>
          </w:p>
          <w:p w14:paraId="2500DE7C">
            <w:pPr>
              <w:autoSpaceDE w:val="0"/>
              <w:autoSpaceDN w:val="0"/>
              <w:adjustRightInd w:val="0"/>
              <w:snapToGrid w:val="0"/>
              <w:spacing w:line="360" w:lineRule="auto"/>
              <w:ind w:firstLine="480" w:firstLineChars="200"/>
              <w:jc w:val="left"/>
              <w:rPr>
                <w:color w:val="auto"/>
                <w:sz w:val="24"/>
                <w:szCs w:val="21"/>
              </w:rPr>
            </w:pPr>
            <w:r>
              <w:rPr>
                <w:color w:val="auto"/>
                <w:kern w:val="0"/>
                <w:sz w:val="24"/>
              </w:rPr>
              <w:t>根据</w:t>
            </w:r>
            <w:r>
              <w:rPr>
                <w:rFonts w:hint="eastAsia"/>
                <w:color w:val="auto"/>
                <w:sz w:val="24"/>
                <w:szCs w:val="21"/>
              </w:rPr>
              <w:t>《关于赣州新能源汽车科技城首期控制性详细规划调整环境影响报告书审查意见的函》（市环综合〔2023〕4号）中的入园企业要求进行分析</w:t>
            </w:r>
          </w:p>
          <w:p w14:paraId="1242CEFC">
            <w:pPr>
              <w:autoSpaceDE w:val="0"/>
              <w:autoSpaceDN w:val="0"/>
              <w:jc w:val="center"/>
              <w:rPr>
                <w:rFonts w:cs="宋体"/>
                <w:b/>
                <w:bCs/>
                <w:color w:val="auto"/>
                <w:kern w:val="0"/>
                <w:sz w:val="24"/>
              </w:rPr>
            </w:pPr>
            <w:r>
              <w:rPr>
                <w:rFonts w:hint="eastAsia" w:cs="宋体"/>
                <w:b/>
                <w:bCs/>
                <w:color w:val="auto"/>
                <w:kern w:val="0"/>
                <w:sz w:val="24"/>
              </w:rPr>
              <w:t>表1-</w:t>
            </w:r>
            <w:r>
              <w:rPr>
                <w:rFonts w:hint="eastAsia" w:cs="宋体"/>
                <w:b/>
                <w:bCs/>
                <w:color w:val="auto"/>
                <w:kern w:val="0"/>
                <w:sz w:val="24"/>
                <w:lang w:val="en-US" w:eastAsia="zh-CN"/>
              </w:rPr>
              <w:t>3</w:t>
            </w:r>
            <w:r>
              <w:rPr>
                <w:rFonts w:hint="eastAsia" w:cs="宋体"/>
                <w:b/>
                <w:bCs/>
                <w:color w:val="auto"/>
                <w:kern w:val="0"/>
                <w:sz w:val="24"/>
              </w:rPr>
              <w:t>与新能源汽车科技城规划环评相符性分析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7"/>
              <w:gridCol w:w="2252"/>
              <w:gridCol w:w="715"/>
            </w:tblGrid>
            <w:tr w14:paraId="3313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15C6D28B">
                  <w:pPr>
                    <w:autoSpaceDE w:val="0"/>
                    <w:autoSpaceDN w:val="0"/>
                    <w:jc w:val="center"/>
                    <w:rPr>
                      <w:rFonts w:cs="宋体"/>
                      <w:color w:val="auto"/>
                      <w:kern w:val="0"/>
                      <w:szCs w:val="21"/>
                    </w:rPr>
                  </w:pPr>
                  <w:r>
                    <w:rPr>
                      <w:rFonts w:hint="eastAsia" w:cs="宋体"/>
                      <w:color w:val="auto"/>
                      <w:kern w:val="0"/>
                      <w:szCs w:val="21"/>
                    </w:rPr>
                    <w:t>规划环评要求</w:t>
                  </w:r>
                </w:p>
              </w:tc>
              <w:tc>
                <w:tcPr>
                  <w:tcW w:w="2270" w:type="dxa"/>
                  <w:vAlign w:val="center"/>
                </w:tcPr>
                <w:p w14:paraId="68156575">
                  <w:pPr>
                    <w:autoSpaceDE w:val="0"/>
                    <w:autoSpaceDN w:val="0"/>
                    <w:jc w:val="center"/>
                    <w:rPr>
                      <w:rFonts w:cs="宋体"/>
                      <w:color w:val="auto"/>
                      <w:kern w:val="0"/>
                      <w:szCs w:val="21"/>
                    </w:rPr>
                  </w:pPr>
                  <w:r>
                    <w:rPr>
                      <w:rFonts w:hint="eastAsia" w:cs="宋体"/>
                      <w:color w:val="auto"/>
                      <w:kern w:val="0"/>
                      <w:szCs w:val="21"/>
                    </w:rPr>
                    <w:t>本项目情况</w:t>
                  </w:r>
                </w:p>
              </w:tc>
              <w:tc>
                <w:tcPr>
                  <w:tcW w:w="718" w:type="dxa"/>
                  <w:vAlign w:val="center"/>
                </w:tcPr>
                <w:p w14:paraId="38B52483">
                  <w:pPr>
                    <w:autoSpaceDE w:val="0"/>
                    <w:autoSpaceDN w:val="0"/>
                    <w:jc w:val="center"/>
                    <w:rPr>
                      <w:rFonts w:cs="宋体"/>
                      <w:color w:val="auto"/>
                      <w:kern w:val="0"/>
                      <w:szCs w:val="21"/>
                    </w:rPr>
                  </w:pPr>
                  <w:r>
                    <w:rPr>
                      <w:rFonts w:hint="eastAsia" w:cs="宋体"/>
                      <w:color w:val="auto"/>
                      <w:kern w:val="0"/>
                      <w:szCs w:val="21"/>
                    </w:rPr>
                    <w:t>是否相符</w:t>
                  </w:r>
                </w:p>
              </w:tc>
            </w:tr>
            <w:tr w14:paraId="3C2B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2BBF1214">
                  <w:pPr>
                    <w:autoSpaceDE w:val="0"/>
                    <w:autoSpaceDN w:val="0"/>
                    <w:jc w:val="center"/>
                    <w:rPr>
                      <w:rFonts w:cs="宋体"/>
                      <w:color w:val="auto"/>
                      <w:kern w:val="0"/>
                      <w:szCs w:val="21"/>
                    </w:rPr>
                  </w:pPr>
                  <w:r>
                    <w:rPr>
                      <w:rFonts w:hint="eastAsia" w:cs="宋体"/>
                      <w:color w:val="auto"/>
                      <w:kern w:val="0"/>
                      <w:szCs w:val="21"/>
                    </w:rPr>
                    <w:t>规划应与赣州市国土空间总体规划相衔接，本次规划超出城镇开发边界45.03公顷的用地，应调出本次规划范围；涉及的7.93亩基本农田，在未办理用地审批手续前，不得实施建设项目。</w:t>
                  </w:r>
                </w:p>
              </w:tc>
              <w:tc>
                <w:tcPr>
                  <w:tcW w:w="2270" w:type="dxa"/>
                  <w:vAlign w:val="center"/>
                </w:tcPr>
                <w:p w14:paraId="21AB6B90">
                  <w:pPr>
                    <w:autoSpaceDE w:val="0"/>
                    <w:autoSpaceDN w:val="0"/>
                    <w:jc w:val="center"/>
                    <w:rPr>
                      <w:rFonts w:cs="宋体"/>
                      <w:color w:val="auto"/>
                      <w:kern w:val="0"/>
                      <w:szCs w:val="21"/>
                    </w:rPr>
                  </w:pPr>
                  <w:r>
                    <w:rPr>
                      <w:rFonts w:hint="eastAsia" w:cs="宋体"/>
                      <w:color w:val="auto"/>
                      <w:kern w:val="0"/>
                      <w:szCs w:val="21"/>
                    </w:rPr>
                    <w:t>本项目用地为工业用地，项目选址位于原规划区范围，不属于基本农田区域和超出城镇开发边界区域位置。</w:t>
                  </w:r>
                </w:p>
              </w:tc>
              <w:tc>
                <w:tcPr>
                  <w:tcW w:w="718" w:type="dxa"/>
                  <w:vAlign w:val="center"/>
                </w:tcPr>
                <w:p w14:paraId="5992879C">
                  <w:pPr>
                    <w:autoSpaceDE w:val="0"/>
                    <w:autoSpaceDN w:val="0"/>
                    <w:jc w:val="center"/>
                    <w:rPr>
                      <w:rFonts w:cs="宋体"/>
                      <w:color w:val="auto"/>
                      <w:kern w:val="0"/>
                      <w:szCs w:val="21"/>
                    </w:rPr>
                  </w:pPr>
                  <w:r>
                    <w:rPr>
                      <w:rFonts w:hint="eastAsia" w:cs="宋体"/>
                      <w:color w:val="auto"/>
                      <w:kern w:val="0"/>
                      <w:szCs w:val="21"/>
                    </w:rPr>
                    <w:t>符合</w:t>
                  </w:r>
                </w:p>
              </w:tc>
            </w:tr>
            <w:tr w14:paraId="2CF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427D0131">
                  <w:pPr>
                    <w:autoSpaceDE w:val="0"/>
                    <w:autoSpaceDN w:val="0"/>
                    <w:jc w:val="center"/>
                    <w:rPr>
                      <w:rFonts w:cs="宋体"/>
                      <w:color w:val="auto"/>
                      <w:kern w:val="0"/>
                      <w:szCs w:val="21"/>
                    </w:rPr>
                  </w:pPr>
                  <w:r>
                    <w:rPr>
                      <w:rFonts w:hint="eastAsia" w:cs="宋体"/>
                      <w:color w:val="auto"/>
                      <w:kern w:val="0"/>
                      <w:szCs w:val="21"/>
                    </w:rPr>
                    <w:t>为保护江西章江国家湿地公园、上犹江生态系统完整和维护区域水质、水量的稳定，应合理确定涉及表面处理等污染较重的企业规模，慎重引进废水排放量大的项目。根据入园企业废水排放情况，合理确定新能源汽车科技城污水处理厂的建设时序及规模，确保新能源汽车科技城污水全部接入白塔污水处理厂以及区域水环境功能不降低。根据环境风险防控要求，合理规划建设废水事故应急池，严防地表水环境污染事故;禁止引入化工、冶炼、铅酸蓄电池等项目。</w:t>
                  </w:r>
                </w:p>
              </w:tc>
              <w:tc>
                <w:tcPr>
                  <w:tcW w:w="2270" w:type="dxa"/>
                  <w:vAlign w:val="center"/>
                </w:tcPr>
                <w:p w14:paraId="3EC20BD3">
                  <w:pPr>
                    <w:autoSpaceDE w:val="0"/>
                    <w:autoSpaceDN w:val="0"/>
                    <w:jc w:val="center"/>
                    <w:rPr>
                      <w:rFonts w:cs="宋体"/>
                      <w:color w:val="auto"/>
                      <w:kern w:val="0"/>
                      <w:szCs w:val="21"/>
                    </w:rPr>
                  </w:pPr>
                  <w:r>
                    <w:rPr>
                      <w:rFonts w:hint="eastAsia" w:cs="宋体"/>
                      <w:color w:val="auto"/>
                      <w:kern w:val="0"/>
                      <w:szCs w:val="21"/>
                    </w:rPr>
                    <w:t>本项目为电子专用材料制造，项目外排废水经一期污水处理站处理后达新能源汽车科技城污水处理厂进水水质标准后，排入新能源汽车科技城污水处理厂集中处理后排入白塔污水处理厂进行处理，处理后的最终尾水排入赣江，不会造成江西章江国家湿地公园、上犹江生态系统完整和维护区域水质、水量的稳定等区域水质的破坏。</w:t>
                  </w:r>
                </w:p>
              </w:tc>
              <w:tc>
                <w:tcPr>
                  <w:tcW w:w="718" w:type="dxa"/>
                  <w:vAlign w:val="center"/>
                </w:tcPr>
                <w:p w14:paraId="1841F18A">
                  <w:pPr>
                    <w:autoSpaceDE w:val="0"/>
                    <w:autoSpaceDN w:val="0"/>
                    <w:jc w:val="center"/>
                    <w:rPr>
                      <w:rFonts w:cs="宋体"/>
                      <w:color w:val="auto"/>
                      <w:kern w:val="0"/>
                      <w:szCs w:val="21"/>
                    </w:rPr>
                  </w:pPr>
                  <w:r>
                    <w:rPr>
                      <w:rFonts w:hint="eastAsia" w:cs="宋体"/>
                      <w:color w:val="auto"/>
                      <w:kern w:val="0"/>
                      <w:szCs w:val="21"/>
                    </w:rPr>
                    <w:t>符合</w:t>
                  </w:r>
                </w:p>
              </w:tc>
            </w:tr>
            <w:tr w14:paraId="13DF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28B231F3">
                  <w:pPr>
                    <w:autoSpaceDE w:val="0"/>
                    <w:autoSpaceDN w:val="0"/>
                    <w:jc w:val="center"/>
                    <w:rPr>
                      <w:rFonts w:cs="宋体"/>
                      <w:color w:val="auto"/>
                      <w:kern w:val="0"/>
                      <w:szCs w:val="21"/>
                    </w:rPr>
                  </w:pPr>
                  <w:r>
                    <w:rPr>
                      <w:rFonts w:hint="eastAsia" w:cs="宋体"/>
                      <w:color w:val="auto"/>
                      <w:kern w:val="0"/>
                      <w:szCs w:val="21"/>
                    </w:rPr>
                    <w:t>与工业企业距离较近的学校、居民点等环境敏感目标，应合理布局各功能分区，科学确定防护距离，设置缓冲隔离带，建设绿化屏障。对汽车科技城内、外需搬迁的环境保护目标，地方政府应尽快制定搬迁计划，落实现有企业的卫生防护距离要求，避免工业生产对学校、住宅等周边环境产生不良影响。</w:t>
                  </w:r>
                </w:p>
              </w:tc>
              <w:tc>
                <w:tcPr>
                  <w:tcW w:w="2270" w:type="dxa"/>
                  <w:vAlign w:val="center"/>
                </w:tcPr>
                <w:p w14:paraId="06E7C7B6">
                  <w:pPr>
                    <w:autoSpaceDE w:val="0"/>
                    <w:autoSpaceDN w:val="0"/>
                    <w:jc w:val="center"/>
                    <w:rPr>
                      <w:rFonts w:cs="宋体"/>
                      <w:color w:val="auto"/>
                      <w:kern w:val="0"/>
                      <w:szCs w:val="21"/>
                    </w:rPr>
                  </w:pPr>
                  <w:r>
                    <w:rPr>
                      <w:rFonts w:hint="eastAsia" w:cs="宋体"/>
                      <w:color w:val="auto"/>
                      <w:kern w:val="0"/>
                      <w:szCs w:val="21"/>
                    </w:rPr>
                    <w:t>本项目卫生防护距离内不存在学校、居民点等环境敏感目标，不会对学校、住宅等周边环境产生不良影响。</w:t>
                  </w:r>
                </w:p>
              </w:tc>
              <w:tc>
                <w:tcPr>
                  <w:tcW w:w="718" w:type="dxa"/>
                  <w:vAlign w:val="center"/>
                </w:tcPr>
                <w:p w14:paraId="6409D851">
                  <w:pPr>
                    <w:autoSpaceDE w:val="0"/>
                    <w:autoSpaceDN w:val="0"/>
                    <w:jc w:val="center"/>
                    <w:rPr>
                      <w:rFonts w:cs="宋体"/>
                      <w:color w:val="auto"/>
                      <w:kern w:val="0"/>
                      <w:szCs w:val="21"/>
                    </w:rPr>
                  </w:pPr>
                  <w:r>
                    <w:rPr>
                      <w:rFonts w:hint="eastAsia" w:cs="宋体"/>
                      <w:color w:val="auto"/>
                      <w:kern w:val="0"/>
                      <w:szCs w:val="21"/>
                    </w:rPr>
                    <w:t>符合</w:t>
                  </w:r>
                </w:p>
              </w:tc>
            </w:tr>
            <w:tr w14:paraId="69D5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5DEC0F68">
                  <w:pPr>
                    <w:autoSpaceDE w:val="0"/>
                    <w:autoSpaceDN w:val="0"/>
                    <w:rPr>
                      <w:rFonts w:cs="宋体"/>
                      <w:color w:val="auto"/>
                      <w:kern w:val="0"/>
                      <w:szCs w:val="21"/>
                    </w:rPr>
                  </w:pPr>
                  <w:r>
                    <w:rPr>
                      <w:rFonts w:hint="eastAsia" w:cs="宋体"/>
                      <w:color w:val="auto"/>
                      <w:kern w:val="0"/>
                      <w:szCs w:val="21"/>
                    </w:rPr>
                    <w:t>拟入园建设项目环评要求</w:t>
                  </w:r>
                </w:p>
                <w:p w14:paraId="3725DA3B">
                  <w:pPr>
                    <w:autoSpaceDE w:val="0"/>
                    <w:autoSpaceDN w:val="0"/>
                    <w:jc w:val="center"/>
                    <w:rPr>
                      <w:rFonts w:cs="宋体"/>
                      <w:color w:val="auto"/>
                      <w:kern w:val="0"/>
                      <w:szCs w:val="21"/>
                    </w:rPr>
                  </w:pPr>
                  <w:r>
                    <w:rPr>
                      <w:rFonts w:hint="eastAsia" w:cs="宋体"/>
                      <w:color w:val="auto"/>
                      <w:kern w:val="0"/>
                      <w:szCs w:val="21"/>
                    </w:rPr>
                    <w:t>对拟入园的建设项目，应结合规划环评提出的指导意见做好环境影响评价工作，落实相关要求，加强与规划环评的联动，重点开展工程分析、污染物允许排放量测算、环境影响预测与评价、防护距离设置、环境风险影响评价和环保措施可行性论证等工作，强化环境监测和环境保护相关措施的落实。项目环评工作中可以简化的内容按《江西省环评审批提质增效改革指导意见》等文件要求执行。</w:t>
                  </w:r>
                </w:p>
              </w:tc>
              <w:tc>
                <w:tcPr>
                  <w:tcW w:w="2270" w:type="dxa"/>
                  <w:vAlign w:val="center"/>
                </w:tcPr>
                <w:p w14:paraId="2613DCBE">
                  <w:pPr>
                    <w:autoSpaceDE w:val="0"/>
                    <w:autoSpaceDN w:val="0"/>
                    <w:jc w:val="center"/>
                    <w:rPr>
                      <w:rFonts w:cs="宋体"/>
                      <w:color w:val="auto"/>
                      <w:kern w:val="0"/>
                      <w:szCs w:val="21"/>
                    </w:rPr>
                  </w:pPr>
                  <w:r>
                    <w:rPr>
                      <w:rFonts w:hint="eastAsia" w:cs="宋体"/>
                      <w:color w:val="auto"/>
                      <w:kern w:val="0"/>
                      <w:szCs w:val="21"/>
                    </w:rPr>
                    <w:t>本项目为电子专用材料制造，已开展工程分析、污染物允许排放量测算、环境影响预测与评价、防护距离设置、环境风险影响评价和环保措施可行性论证等工作。</w:t>
                  </w:r>
                </w:p>
              </w:tc>
              <w:tc>
                <w:tcPr>
                  <w:tcW w:w="718" w:type="dxa"/>
                  <w:vAlign w:val="center"/>
                </w:tcPr>
                <w:p w14:paraId="7E0D7DD7">
                  <w:pPr>
                    <w:autoSpaceDE w:val="0"/>
                    <w:autoSpaceDN w:val="0"/>
                    <w:jc w:val="center"/>
                    <w:rPr>
                      <w:rFonts w:cs="宋体"/>
                      <w:color w:val="auto"/>
                      <w:kern w:val="0"/>
                      <w:szCs w:val="21"/>
                    </w:rPr>
                  </w:pPr>
                  <w:r>
                    <w:rPr>
                      <w:rFonts w:hint="eastAsia" w:cs="宋体"/>
                      <w:color w:val="auto"/>
                      <w:kern w:val="0"/>
                      <w:szCs w:val="21"/>
                    </w:rPr>
                    <w:t>符合</w:t>
                  </w:r>
                </w:p>
              </w:tc>
            </w:tr>
            <w:tr w14:paraId="6474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1" w:type="dxa"/>
                  <w:vAlign w:val="center"/>
                </w:tcPr>
                <w:p w14:paraId="50130F33">
                  <w:pPr>
                    <w:autoSpaceDE w:val="0"/>
                    <w:autoSpaceDN w:val="0"/>
                    <w:rPr>
                      <w:rFonts w:cs="宋体"/>
                      <w:color w:val="auto"/>
                      <w:kern w:val="0"/>
                      <w:szCs w:val="21"/>
                    </w:rPr>
                  </w:pPr>
                  <w:r>
                    <w:rPr>
                      <w:rFonts w:hint="eastAsia" w:cs="宋体"/>
                      <w:color w:val="auto"/>
                      <w:kern w:val="0"/>
                      <w:szCs w:val="21"/>
                    </w:rPr>
                    <w:t>产业准入清单管理要求</w:t>
                  </w:r>
                </w:p>
                <w:p w14:paraId="0D56FC64">
                  <w:pPr>
                    <w:autoSpaceDE w:val="0"/>
                    <w:autoSpaceDN w:val="0"/>
                    <w:jc w:val="center"/>
                    <w:rPr>
                      <w:rFonts w:cs="宋体"/>
                      <w:color w:val="auto"/>
                      <w:kern w:val="0"/>
                      <w:szCs w:val="21"/>
                    </w:rPr>
                  </w:pPr>
                  <w:r>
                    <w:rPr>
                      <w:rFonts w:hint="eastAsia" w:cs="宋体"/>
                      <w:color w:val="auto"/>
                      <w:kern w:val="0"/>
                      <w:szCs w:val="21"/>
                    </w:rPr>
                    <w:t>新能源汽车科技城在开发建设、管理过程中，对拟入驻项目必须严格按照其产业规划的要求和产业准入负面清单的要求进行筛选，严格新建项目的生态环境准入，推动企业落实环境影响评价制度和排污许可证制度。</w:t>
                  </w:r>
                </w:p>
              </w:tc>
              <w:tc>
                <w:tcPr>
                  <w:tcW w:w="2270" w:type="dxa"/>
                  <w:vAlign w:val="center"/>
                </w:tcPr>
                <w:p w14:paraId="75DC0F4C">
                  <w:pPr>
                    <w:autoSpaceDE w:val="0"/>
                    <w:autoSpaceDN w:val="0"/>
                    <w:jc w:val="center"/>
                    <w:rPr>
                      <w:rFonts w:cs="宋体"/>
                      <w:color w:val="auto"/>
                      <w:kern w:val="0"/>
                      <w:szCs w:val="21"/>
                    </w:rPr>
                  </w:pPr>
                  <w:r>
                    <w:rPr>
                      <w:rFonts w:hint="eastAsia" w:cs="宋体"/>
                      <w:color w:val="auto"/>
                      <w:kern w:val="0"/>
                      <w:szCs w:val="21"/>
                    </w:rPr>
                    <w:t>本项目为电子专用材料制造，不属于新能源汽车科技城产业规划的禁止类项目，也不属于产业准入负面清单中的限</w:t>
                  </w:r>
                  <w:r>
                    <w:rPr>
                      <w:rFonts w:hint="eastAsia" w:cs="宋体"/>
                      <w:color w:val="auto"/>
                      <w:kern w:val="0"/>
                      <w:szCs w:val="21"/>
                      <w:lang w:eastAsia="zh-CN"/>
                    </w:rPr>
                    <w:t>制</w:t>
                  </w:r>
                  <w:r>
                    <w:rPr>
                      <w:rFonts w:hint="eastAsia" w:cs="宋体"/>
                      <w:color w:val="auto"/>
                      <w:kern w:val="0"/>
                      <w:szCs w:val="21"/>
                    </w:rPr>
                    <w:t>类项目。</w:t>
                  </w:r>
                </w:p>
              </w:tc>
              <w:tc>
                <w:tcPr>
                  <w:tcW w:w="718" w:type="dxa"/>
                  <w:vAlign w:val="center"/>
                </w:tcPr>
                <w:p w14:paraId="4F07D932">
                  <w:pPr>
                    <w:autoSpaceDE w:val="0"/>
                    <w:autoSpaceDN w:val="0"/>
                    <w:jc w:val="center"/>
                    <w:rPr>
                      <w:rFonts w:cs="宋体"/>
                      <w:color w:val="auto"/>
                      <w:kern w:val="0"/>
                      <w:szCs w:val="21"/>
                    </w:rPr>
                  </w:pPr>
                  <w:r>
                    <w:rPr>
                      <w:rFonts w:hint="eastAsia" w:cs="宋体"/>
                      <w:color w:val="auto"/>
                      <w:kern w:val="0"/>
                      <w:szCs w:val="21"/>
                    </w:rPr>
                    <w:t>符合</w:t>
                  </w:r>
                </w:p>
              </w:tc>
            </w:tr>
          </w:tbl>
          <w:p w14:paraId="53DA7BB8">
            <w:pPr>
              <w:pStyle w:val="42"/>
              <w:rPr>
                <w:rFonts w:hint="default"/>
                <w:color w:val="auto"/>
              </w:rPr>
            </w:pPr>
            <w:r>
              <w:rPr>
                <w:color w:val="auto"/>
                <w:sz w:val="24"/>
              </w:rPr>
              <w:t>综上分析，本项目满足园区规划环评及规划环评审查意见要求。</w:t>
            </w:r>
          </w:p>
        </w:tc>
      </w:tr>
      <w:tr w14:paraId="4D57A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80" w:hRule="atLeast"/>
          <w:jc w:val="center"/>
        </w:trPr>
        <w:tc>
          <w:tcPr>
            <w:tcW w:w="1944" w:type="dxa"/>
            <w:vAlign w:val="center"/>
          </w:tcPr>
          <w:p w14:paraId="34254F71">
            <w:pPr>
              <w:autoSpaceDE w:val="0"/>
              <w:autoSpaceDN w:val="0"/>
              <w:adjustRightInd w:val="0"/>
              <w:snapToGrid w:val="0"/>
              <w:jc w:val="center"/>
              <w:rPr>
                <w:rFonts w:cs="宋体"/>
                <w:color w:val="auto"/>
                <w:kern w:val="0"/>
                <w:sz w:val="24"/>
              </w:rPr>
            </w:pPr>
            <w:r>
              <w:rPr>
                <w:rFonts w:hint="eastAsia" w:cs="宋体"/>
                <w:color w:val="auto"/>
                <w:kern w:val="0"/>
                <w:sz w:val="24"/>
              </w:rPr>
              <w:t>其他符合性分析</w:t>
            </w:r>
          </w:p>
        </w:tc>
        <w:tc>
          <w:tcPr>
            <w:tcW w:w="6850" w:type="dxa"/>
            <w:gridSpan w:val="3"/>
            <w:vAlign w:val="center"/>
          </w:tcPr>
          <w:p w14:paraId="44AACF36">
            <w:pPr>
              <w:autoSpaceDE w:val="0"/>
              <w:autoSpaceDN w:val="0"/>
              <w:adjustRightInd w:val="0"/>
              <w:snapToGrid w:val="0"/>
              <w:spacing w:line="360" w:lineRule="auto"/>
              <w:ind w:firstLine="482" w:firstLineChars="200"/>
              <w:rPr>
                <w:b/>
                <w:bCs/>
                <w:color w:val="auto"/>
                <w:kern w:val="0"/>
                <w:sz w:val="24"/>
              </w:rPr>
            </w:pPr>
            <w:r>
              <w:rPr>
                <w:rFonts w:hint="eastAsia"/>
                <w:b/>
                <w:bCs/>
                <w:color w:val="auto"/>
                <w:kern w:val="0"/>
                <w:sz w:val="24"/>
              </w:rPr>
              <w:t>1</w:t>
            </w:r>
            <w:r>
              <w:rPr>
                <w:b/>
                <w:bCs/>
                <w:color w:val="auto"/>
                <w:kern w:val="0"/>
                <w:sz w:val="24"/>
              </w:rPr>
              <w:t>、产业政策及用地相符性分析</w:t>
            </w:r>
          </w:p>
          <w:p w14:paraId="7375EEAD">
            <w:pPr>
              <w:autoSpaceDE w:val="0"/>
              <w:autoSpaceDN w:val="0"/>
              <w:adjustRightInd w:val="0"/>
              <w:snapToGrid w:val="0"/>
              <w:spacing w:line="360" w:lineRule="auto"/>
              <w:ind w:firstLine="480" w:firstLineChars="200"/>
              <w:rPr>
                <w:color w:val="auto"/>
                <w:kern w:val="0"/>
                <w:sz w:val="24"/>
              </w:rPr>
            </w:pPr>
            <w:r>
              <w:rPr>
                <w:color w:val="auto"/>
                <w:kern w:val="0"/>
                <w:sz w:val="24"/>
              </w:rPr>
              <w:t>（1）产业政策符合性分析</w:t>
            </w:r>
          </w:p>
          <w:p w14:paraId="50302F13">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本项目属于电子专用材料制造，所生产的产品主要用于钕铁硼磁钢所需要的元器件，最终形成钕铁硼磁钢成品</w:t>
            </w:r>
            <w:r>
              <w:rPr>
                <w:rFonts w:hint="eastAsia"/>
                <w:color w:val="auto"/>
                <w:kern w:val="0"/>
                <w:sz w:val="24"/>
                <w:lang w:eastAsia="zh-CN"/>
              </w:rPr>
              <w:t>，</w:t>
            </w:r>
            <w:r>
              <w:rPr>
                <w:rFonts w:hint="eastAsia"/>
                <w:color w:val="auto"/>
                <w:kern w:val="0"/>
                <w:sz w:val="24"/>
                <w:lang w:val="en-US" w:eastAsia="zh-CN"/>
              </w:rPr>
              <w:t>属于</w:t>
            </w:r>
            <w:r>
              <w:rPr>
                <w:rFonts w:hint="eastAsia"/>
                <w:color w:val="auto"/>
                <w:kern w:val="0"/>
                <w:sz w:val="24"/>
              </w:rPr>
              <w:t>《产业结构调整指导目录（2024年本）》中第一类鼓励类中的九、有色金属-4．新材料，故本项目属于鼓励类。本项目已通过</w:t>
            </w:r>
            <w:r>
              <w:rPr>
                <w:rFonts w:hint="eastAsia" w:cs="宋体"/>
                <w:color w:val="auto"/>
                <w:sz w:val="24"/>
              </w:rPr>
              <w:t>赣州经济技术开发区行政审批局</w:t>
            </w:r>
            <w:r>
              <w:rPr>
                <w:rFonts w:hint="eastAsia"/>
                <w:color w:val="auto"/>
                <w:kern w:val="0"/>
                <w:sz w:val="24"/>
              </w:rPr>
              <w:t>的备案（项目代码：</w:t>
            </w:r>
            <w:r>
              <w:rPr>
                <w:rFonts w:hint="eastAsia" w:cs="宋体"/>
                <w:color w:val="auto"/>
                <w:sz w:val="24"/>
              </w:rPr>
              <w:t>2409-360799-04-01-657477</w:t>
            </w:r>
            <w:r>
              <w:rPr>
                <w:rFonts w:hint="eastAsia"/>
                <w:color w:val="auto"/>
                <w:kern w:val="0"/>
                <w:sz w:val="24"/>
              </w:rPr>
              <w:t>）。因此，本项目与国家产业政策相符合。</w:t>
            </w:r>
          </w:p>
          <w:p w14:paraId="0A4986BA">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对照《部分工业行业淘汰落后生产工艺装备和产品指导目录》(2010年本)、《高耗水工艺、技术和装备淘汰目录（第一批）》和《高耗能落后机电设备（产品）淘汰目录(第一、二、三、四批)》，本项目使用设备不属于目录中要求淘汰及落后设备。</w:t>
            </w:r>
          </w:p>
          <w:p w14:paraId="0BD36641">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综上，本项目符合现行的产业政策。</w:t>
            </w:r>
          </w:p>
          <w:p w14:paraId="534F7A6C">
            <w:pPr>
              <w:autoSpaceDE w:val="0"/>
              <w:autoSpaceDN w:val="0"/>
              <w:adjustRightInd w:val="0"/>
              <w:snapToGrid w:val="0"/>
              <w:spacing w:line="360" w:lineRule="auto"/>
              <w:ind w:firstLine="480" w:firstLineChars="200"/>
              <w:rPr>
                <w:color w:val="auto"/>
                <w:kern w:val="0"/>
                <w:sz w:val="24"/>
              </w:rPr>
            </w:pPr>
            <w:r>
              <w:rPr>
                <w:color w:val="auto"/>
                <w:kern w:val="0"/>
                <w:sz w:val="24"/>
              </w:rPr>
              <w:t>（2）用地符合性分析</w:t>
            </w:r>
          </w:p>
          <w:p w14:paraId="65B7F10F">
            <w:pPr>
              <w:autoSpaceDE w:val="0"/>
              <w:autoSpaceDN w:val="0"/>
              <w:adjustRightInd w:val="0"/>
              <w:snapToGrid w:val="0"/>
              <w:spacing w:line="360" w:lineRule="auto"/>
              <w:ind w:firstLine="480" w:firstLineChars="200"/>
              <w:rPr>
                <w:color w:val="auto"/>
                <w:kern w:val="0"/>
                <w:sz w:val="24"/>
              </w:rPr>
            </w:pPr>
            <w:r>
              <w:rPr>
                <w:color w:val="auto"/>
                <w:kern w:val="0"/>
                <w:sz w:val="24"/>
              </w:rPr>
              <w:t>根据《关于发布实施&lt;限制用地项</w:t>
            </w:r>
            <w:r>
              <w:rPr>
                <w:rFonts w:hint="eastAsia"/>
                <w:color w:val="auto"/>
                <w:kern w:val="0"/>
                <w:sz w:val="24"/>
                <w:lang w:val="en-US" w:eastAsia="zh-CN"/>
              </w:rPr>
              <w:t>目</w:t>
            </w:r>
            <w:r>
              <w:rPr>
                <w:rFonts w:hint="eastAsia"/>
                <w:color w:val="auto"/>
                <w:kern w:val="0"/>
                <w:sz w:val="24"/>
              </w:rPr>
              <w:t>目</w:t>
            </w:r>
            <w:r>
              <w:rPr>
                <w:color w:val="auto"/>
                <w:kern w:val="0"/>
                <w:sz w:val="24"/>
              </w:rPr>
              <w:t>录（2012年本）&gt;和&lt;禁止用地项</w:t>
            </w:r>
            <w:r>
              <w:rPr>
                <w:rFonts w:hint="eastAsia"/>
                <w:color w:val="auto"/>
                <w:kern w:val="0"/>
                <w:sz w:val="24"/>
              </w:rPr>
              <w:t>目</w:t>
            </w:r>
            <w:r>
              <w:rPr>
                <w:rFonts w:hint="eastAsia"/>
                <w:color w:val="auto"/>
                <w:kern w:val="0"/>
                <w:sz w:val="24"/>
                <w:lang w:val="en-US" w:eastAsia="zh-CN"/>
              </w:rPr>
              <w:t>目</w:t>
            </w:r>
            <w:r>
              <w:rPr>
                <w:color w:val="auto"/>
                <w:kern w:val="0"/>
                <w:sz w:val="24"/>
              </w:rPr>
              <w:t>录（2012年本）&gt;的通知》（国土资发〔2012〕98号）的相关要求，本项目不</w:t>
            </w:r>
            <w:r>
              <w:rPr>
                <w:rFonts w:hint="eastAsia"/>
                <w:color w:val="auto"/>
                <w:kern w:val="0"/>
                <w:sz w:val="24"/>
                <w:lang w:eastAsia="zh-CN"/>
              </w:rPr>
              <w:t>属于</w:t>
            </w:r>
            <w:r>
              <w:rPr>
                <w:color w:val="auto"/>
                <w:kern w:val="0"/>
                <w:sz w:val="24"/>
              </w:rPr>
              <w:t>限制及禁止用地项目的范畴。</w:t>
            </w:r>
          </w:p>
          <w:p w14:paraId="0F97CC04">
            <w:pPr>
              <w:autoSpaceDE w:val="0"/>
              <w:autoSpaceDN w:val="0"/>
              <w:adjustRightInd w:val="0"/>
              <w:snapToGrid w:val="0"/>
              <w:spacing w:line="360" w:lineRule="auto"/>
              <w:ind w:firstLine="480" w:firstLineChars="200"/>
              <w:rPr>
                <w:color w:val="auto"/>
                <w:kern w:val="0"/>
                <w:sz w:val="24"/>
              </w:rPr>
            </w:pPr>
            <w:r>
              <w:rPr>
                <w:color w:val="auto"/>
                <w:kern w:val="0"/>
                <w:sz w:val="24"/>
              </w:rPr>
              <w:t>因此</w:t>
            </w:r>
            <w:r>
              <w:rPr>
                <w:rFonts w:hint="eastAsia"/>
                <w:color w:val="auto"/>
                <w:kern w:val="0"/>
                <w:sz w:val="24"/>
                <w:lang w:eastAsia="zh-CN"/>
              </w:rPr>
              <w:t>，</w:t>
            </w:r>
            <w:r>
              <w:rPr>
                <w:color w:val="auto"/>
                <w:kern w:val="0"/>
                <w:sz w:val="24"/>
              </w:rPr>
              <w:t>本项目用地符合国家土地供应政策。</w:t>
            </w:r>
          </w:p>
          <w:p w14:paraId="4AA11C87">
            <w:pPr>
              <w:autoSpaceDE w:val="0"/>
              <w:autoSpaceDN w:val="0"/>
              <w:adjustRightInd w:val="0"/>
              <w:snapToGrid w:val="0"/>
              <w:spacing w:line="360" w:lineRule="auto"/>
              <w:ind w:firstLine="482" w:firstLineChars="200"/>
              <w:rPr>
                <w:b/>
                <w:bCs/>
                <w:color w:val="auto"/>
                <w:kern w:val="0"/>
                <w:sz w:val="24"/>
              </w:rPr>
            </w:pPr>
            <w:r>
              <w:rPr>
                <w:rFonts w:hint="eastAsia"/>
                <w:b/>
                <w:bCs/>
                <w:color w:val="auto"/>
                <w:kern w:val="0"/>
                <w:sz w:val="24"/>
              </w:rPr>
              <w:t>2、与赣州市三线一单的相符性分析</w:t>
            </w:r>
          </w:p>
          <w:p w14:paraId="15E1BD5D">
            <w:pPr>
              <w:autoSpaceDE w:val="0"/>
              <w:autoSpaceDN w:val="0"/>
              <w:adjustRightInd w:val="0"/>
              <w:snapToGrid w:val="0"/>
              <w:spacing w:line="360" w:lineRule="auto"/>
              <w:ind w:firstLine="480" w:firstLineChars="200"/>
              <w:jc w:val="left"/>
              <w:rPr>
                <w:rFonts w:ascii="宋体" w:hAnsi="宋体" w:cs="宋体"/>
                <w:color w:val="auto"/>
                <w:kern w:val="0"/>
                <w:sz w:val="24"/>
              </w:rPr>
            </w:pPr>
            <w:r>
              <w:rPr>
                <w:color w:val="auto"/>
                <w:kern w:val="0"/>
                <w:sz w:val="24"/>
              </w:rPr>
              <w:t>（</w:t>
            </w:r>
            <w:r>
              <w:rPr>
                <w:rFonts w:hint="eastAsia"/>
                <w:color w:val="auto"/>
                <w:kern w:val="0"/>
                <w:sz w:val="24"/>
                <w:lang w:val="en-US" w:eastAsia="zh-CN"/>
              </w:rPr>
              <w:t>1</w:t>
            </w:r>
            <w:r>
              <w:rPr>
                <w:color w:val="auto"/>
                <w:kern w:val="0"/>
                <w:sz w:val="24"/>
              </w:rPr>
              <w:t>）</w:t>
            </w:r>
            <w:r>
              <w:rPr>
                <w:rFonts w:hint="eastAsia" w:ascii="宋体" w:hAnsi="宋体" w:cs="宋体"/>
                <w:color w:val="auto"/>
                <w:kern w:val="0"/>
                <w:sz w:val="24"/>
              </w:rPr>
              <w:t>与生态保护红线的相符性分析</w:t>
            </w:r>
          </w:p>
          <w:p w14:paraId="7EF9F778">
            <w:pPr>
              <w:autoSpaceDE w:val="0"/>
              <w:autoSpaceDN w:val="0"/>
              <w:adjustRightInd w:val="0"/>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本项目位于</w:t>
            </w:r>
            <w:r>
              <w:rPr>
                <w:rFonts w:hint="eastAsia" w:cs="宋体"/>
                <w:color w:val="auto"/>
                <w:sz w:val="24"/>
              </w:rPr>
              <w:t>江西省赣州市赣州经济技术开发区东至科技大道、南至湘江路、西至青云山路、北至旭日大道</w:t>
            </w:r>
            <w:r>
              <w:rPr>
                <w:rFonts w:hint="eastAsia" w:ascii="宋体" w:hAnsi="宋体" w:cs="宋体"/>
                <w:color w:val="auto"/>
                <w:kern w:val="0"/>
                <w:sz w:val="24"/>
              </w:rPr>
              <w:t>，依据江西省生态保护红线规划分区管控分区，本项目不在江西省生态保护红线管控区范围内，符合生态保护红线要求。</w:t>
            </w:r>
          </w:p>
          <w:p w14:paraId="38759884">
            <w:pPr>
              <w:autoSpaceDE w:val="0"/>
              <w:autoSpaceDN w:val="0"/>
              <w:adjustRightInd w:val="0"/>
              <w:snapToGrid w:val="0"/>
              <w:spacing w:line="360" w:lineRule="auto"/>
              <w:ind w:firstLine="480" w:firstLineChars="200"/>
              <w:jc w:val="left"/>
              <w:rPr>
                <w:rFonts w:ascii="宋体" w:hAnsi="宋体" w:cs="宋体"/>
                <w:color w:val="auto"/>
                <w:kern w:val="0"/>
                <w:sz w:val="24"/>
              </w:rPr>
            </w:pPr>
            <w:r>
              <w:rPr>
                <w:color w:val="auto"/>
                <w:kern w:val="0"/>
                <w:sz w:val="24"/>
              </w:rPr>
              <w:t>（</w:t>
            </w:r>
            <w:r>
              <w:rPr>
                <w:rFonts w:hint="eastAsia"/>
                <w:color w:val="auto"/>
                <w:kern w:val="0"/>
                <w:sz w:val="24"/>
                <w:lang w:val="en-US" w:eastAsia="zh-CN"/>
              </w:rPr>
              <w:t>2</w:t>
            </w:r>
            <w:r>
              <w:rPr>
                <w:color w:val="auto"/>
                <w:kern w:val="0"/>
                <w:sz w:val="24"/>
              </w:rPr>
              <w:t>）</w:t>
            </w:r>
            <w:r>
              <w:rPr>
                <w:rFonts w:hint="eastAsia" w:ascii="宋体" w:hAnsi="宋体" w:cs="宋体"/>
                <w:color w:val="auto"/>
                <w:kern w:val="0"/>
                <w:sz w:val="24"/>
              </w:rPr>
              <w:t>环境质量底线的相符性分析</w:t>
            </w:r>
          </w:p>
          <w:p w14:paraId="55D5B00F">
            <w:pPr>
              <w:autoSpaceDE w:val="0"/>
              <w:autoSpaceDN w:val="0"/>
              <w:adjustRightInd w:val="0"/>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根据《长江经济带战略环境评价江西省“三线一单”研究报告》、《长江经济带战略环境评价江西省赣州市“三线一单”划定技术报告》，对区域大气环境质量、水环境质量及土壤环境风险防控提出了底线要求，将有关要求梳理如下：</w:t>
            </w:r>
          </w:p>
          <w:p w14:paraId="21280353">
            <w:pPr>
              <w:pStyle w:val="62"/>
              <w:outlineLvl w:val="1"/>
              <w:rPr>
                <w:rFonts w:hint="default"/>
                <w:color w:val="auto"/>
                <w:lang w:val="zh-CN"/>
              </w:rPr>
            </w:pPr>
            <w:r>
              <w:rPr>
                <w:color w:val="auto"/>
              </w:rPr>
              <w:t>表1-4</w:t>
            </w:r>
            <w:r>
              <w:rPr>
                <w:rFonts w:hint="default"/>
                <w:color w:val="auto"/>
                <w:lang w:val="zh-CN"/>
              </w:rPr>
              <w:t>江西省、赣州市“三线一单”中关于</w:t>
            </w:r>
            <w:r>
              <w:rPr>
                <w:color w:val="auto"/>
              </w:rPr>
              <w:t>区域内</w:t>
            </w:r>
            <w:r>
              <w:rPr>
                <w:rFonts w:hint="default"/>
                <w:color w:val="auto"/>
                <w:lang w:val="zh-CN"/>
              </w:rPr>
              <w:t>环境质量底线目标</w:t>
            </w:r>
          </w:p>
          <w:tbl>
            <w:tblPr>
              <w:tblStyle w:val="25"/>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178"/>
              <w:gridCol w:w="1236"/>
              <w:gridCol w:w="1007"/>
              <w:gridCol w:w="1121"/>
              <w:gridCol w:w="1128"/>
            </w:tblGrid>
            <w:tr w14:paraId="749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42" w:type="pct"/>
                  <w:gridSpan w:val="3"/>
                  <w:tcBorders>
                    <w:tl2br w:val="nil"/>
                    <w:tr2bl w:val="nil"/>
                  </w:tcBorders>
                  <w:vAlign w:val="center"/>
                </w:tcPr>
                <w:p w14:paraId="59A68B2C">
                  <w:pPr>
                    <w:pStyle w:val="63"/>
                    <w:rPr>
                      <w:b/>
                      <w:bCs/>
                      <w:color w:val="auto"/>
                      <w:lang w:val="zh-CN"/>
                    </w:rPr>
                  </w:pPr>
                  <w:r>
                    <w:rPr>
                      <w:rFonts w:hint="eastAsia"/>
                      <w:b/>
                      <w:bCs/>
                      <w:color w:val="auto"/>
                    </w:rPr>
                    <w:t>环境质量底线要求</w:t>
                  </w:r>
                </w:p>
              </w:tc>
              <w:tc>
                <w:tcPr>
                  <w:tcW w:w="760" w:type="pct"/>
                  <w:tcBorders>
                    <w:tl2br w:val="nil"/>
                    <w:tr2bl w:val="nil"/>
                  </w:tcBorders>
                  <w:vAlign w:val="center"/>
                </w:tcPr>
                <w:p w14:paraId="4E3D9D66">
                  <w:pPr>
                    <w:pStyle w:val="63"/>
                    <w:rPr>
                      <w:b/>
                      <w:bCs/>
                      <w:color w:val="auto"/>
                    </w:rPr>
                  </w:pPr>
                  <w:r>
                    <w:rPr>
                      <w:rFonts w:hint="eastAsia"/>
                      <w:b/>
                      <w:bCs/>
                      <w:color w:val="auto"/>
                    </w:rPr>
                    <w:t>2020年</w:t>
                  </w:r>
                </w:p>
              </w:tc>
              <w:tc>
                <w:tcPr>
                  <w:tcW w:w="846" w:type="pct"/>
                  <w:tcBorders>
                    <w:tl2br w:val="nil"/>
                    <w:tr2bl w:val="nil"/>
                  </w:tcBorders>
                  <w:vAlign w:val="center"/>
                </w:tcPr>
                <w:p w14:paraId="62BA6459">
                  <w:pPr>
                    <w:pStyle w:val="63"/>
                    <w:rPr>
                      <w:b/>
                      <w:bCs/>
                      <w:color w:val="auto"/>
                    </w:rPr>
                  </w:pPr>
                  <w:r>
                    <w:rPr>
                      <w:rFonts w:hint="eastAsia"/>
                      <w:b/>
                      <w:bCs/>
                      <w:color w:val="auto"/>
                    </w:rPr>
                    <w:t>2025年</w:t>
                  </w:r>
                </w:p>
              </w:tc>
              <w:tc>
                <w:tcPr>
                  <w:tcW w:w="851" w:type="pct"/>
                  <w:tcBorders>
                    <w:tl2br w:val="nil"/>
                    <w:tr2bl w:val="nil"/>
                  </w:tcBorders>
                  <w:vAlign w:val="center"/>
                </w:tcPr>
                <w:p w14:paraId="049E55A4">
                  <w:pPr>
                    <w:pStyle w:val="63"/>
                    <w:rPr>
                      <w:b/>
                      <w:bCs/>
                      <w:color w:val="auto"/>
                      <w:lang w:val="zh-CN"/>
                    </w:rPr>
                  </w:pPr>
                  <w:r>
                    <w:rPr>
                      <w:rFonts w:hint="eastAsia"/>
                      <w:b/>
                      <w:bCs/>
                      <w:color w:val="auto"/>
                    </w:rPr>
                    <w:t>2035年</w:t>
                  </w:r>
                </w:p>
              </w:tc>
            </w:tr>
            <w:tr w14:paraId="290A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restart"/>
                  <w:tcBorders>
                    <w:tl2br w:val="nil"/>
                    <w:tr2bl w:val="nil"/>
                  </w:tcBorders>
                  <w:vAlign w:val="center"/>
                </w:tcPr>
                <w:p w14:paraId="7D7E140E">
                  <w:pPr>
                    <w:pStyle w:val="63"/>
                    <w:rPr>
                      <w:color w:val="auto"/>
                    </w:rPr>
                  </w:pPr>
                  <w:r>
                    <w:rPr>
                      <w:rFonts w:hint="eastAsia"/>
                      <w:color w:val="auto"/>
                    </w:rPr>
                    <w:t>大气环境质量底线</w:t>
                  </w:r>
                </w:p>
              </w:tc>
              <w:tc>
                <w:tcPr>
                  <w:tcW w:w="1821" w:type="pct"/>
                  <w:gridSpan w:val="2"/>
                  <w:tcBorders>
                    <w:tl2br w:val="nil"/>
                    <w:tr2bl w:val="nil"/>
                  </w:tcBorders>
                  <w:vAlign w:val="center"/>
                </w:tcPr>
                <w:p w14:paraId="26C451C9">
                  <w:pPr>
                    <w:pStyle w:val="63"/>
                    <w:rPr>
                      <w:color w:val="auto"/>
                      <w:lang w:val="zh-CN"/>
                    </w:rPr>
                  </w:pPr>
                  <w:r>
                    <w:rPr>
                      <w:rFonts w:hint="eastAsia"/>
                      <w:color w:val="auto"/>
                    </w:rPr>
                    <w:t>PM</w:t>
                  </w:r>
                  <w:r>
                    <w:rPr>
                      <w:rFonts w:hint="eastAsia"/>
                      <w:color w:val="auto"/>
                      <w:vertAlign w:val="subscript"/>
                    </w:rPr>
                    <w:t>2.5</w:t>
                  </w:r>
                  <w:r>
                    <w:rPr>
                      <w:rFonts w:hint="eastAsia"/>
                      <w:color w:val="auto"/>
                    </w:rPr>
                    <w:t>浓度目标（</w:t>
                  </w:r>
                  <w:r>
                    <w:rPr>
                      <w:color w:val="auto"/>
                    </w:rPr>
                    <w:t>μ</w:t>
                  </w:r>
                  <w:r>
                    <w:rPr>
                      <w:rFonts w:hint="eastAsia"/>
                      <w:color w:val="auto"/>
                    </w:rPr>
                    <w:t>g/m</w:t>
                  </w:r>
                  <w:r>
                    <w:rPr>
                      <w:rFonts w:hint="eastAsia"/>
                      <w:color w:val="auto"/>
                      <w:vertAlign w:val="superscript"/>
                    </w:rPr>
                    <w:t>3</w:t>
                  </w:r>
                  <w:r>
                    <w:rPr>
                      <w:rFonts w:hint="eastAsia"/>
                      <w:color w:val="auto"/>
                    </w:rPr>
                    <w:t>）</w:t>
                  </w:r>
                </w:p>
              </w:tc>
              <w:tc>
                <w:tcPr>
                  <w:tcW w:w="760" w:type="pct"/>
                  <w:tcBorders>
                    <w:tl2br w:val="nil"/>
                    <w:tr2bl w:val="nil"/>
                  </w:tcBorders>
                  <w:vAlign w:val="center"/>
                </w:tcPr>
                <w:p w14:paraId="728F56DB">
                  <w:pPr>
                    <w:pStyle w:val="63"/>
                    <w:rPr>
                      <w:color w:val="auto"/>
                    </w:rPr>
                  </w:pPr>
                  <w:r>
                    <w:rPr>
                      <w:rFonts w:hint="eastAsia"/>
                      <w:color w:val="auto"/>
                    </w:rPr>
                    <w:t>39</w:t>
                  </w:r>
                </w:p>
              </w:tc>
              <w:tc>
                <w:tcPr>
                  <w:tcW w:w="846" w:type="pct"/>
                  <w:tcBorders>
                    <w:tl2br w:val="nil"/>
                    <w:tr2bl w:val="nil"/>
                  </w:tcBorders>
                  <w:vAlign w:val="center"/>
                </w:tcPr>
                <w:p w14:paraId="55068776">
                  <w:pPr>
                    <w:pStyle w:val="63"/>
                    <w:rPr>
                      <w:color w:val="auto"/>
                    </w:rPr>
                  </w:pPr>
                  <w:r>
                    <w:rPr>
                      <w:rFonts w:hint="eastAsia"/>
                      <w:color w:val="auto"/>
                    </w:rPr>
                    <w:t>35</w:t>
                  </w:r>
                </w:p>
              </w:tc>
              <w:tc>
                <w:tcPr>
                  <w:tcW w:w="851" w:type="pct"/>
                  <w:tcBorders>
                    <w:tl2br w:val="nil"/>
                    <w:tr2bl w:val="nil"/>
                  </w:tcBorders>
                  <w:vAlign w:val="center"/>
                </w:tcPr>
                <w:p w14:paraId="48B802B6">
                  <w:pPr>
                    <w:pStyle w:val="63"/>
                    <w:rPr>
                      <w:color w:val="auto"/>
                    </w:rPr>
                  </w:pPr>
                  <w:r>
                    <w:rPr>
                      <w:rFonts w:hint="eastAsia"/>
                      <w:color w:val="auto"/>
                    </w:rPr>
                    <w:t>≤35</w:t>
                  </w:r>
                </w:p>
              </w:tc>
            </w:tr>
            <w:tr w14:paraId="7B6E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1CA4FC02">
                  <w:pPr>
                    <w:pStyle w:val="63"/>
                    <w:rPr>
                      <w:color w:val="auto"/>
                      <w:lang w:val="zh-CN"/>
                    </w:rPr>
                  </w:pPr>
                </w:p>
              </w:tc>
              <w:tc>
                <w:tcPr>
                  <w:tcW w:w="889" w:type="pct"/>
                  <w:vMerge w:val="restart"/>
                  <w:tcBorders>
                    <w:tl2br w:val="nil"/>
                    <w:tr2bl w:val="nil"/>
                  </w:tcBorders>
                  <w:vAlign w:val="center"/>
                </w:tcPr>
                <w:p w14:paraId="5BF42336">
                  <w:pPr>
                    <w:pStyle w:val="63"/>
                    <w:rPr>
                      <w:color w:val="auto"/>
                    </w:rPr>
                  </w:pPr>
                  <w:r>
                    <w:rPr>
                      <w:rFonts w:hint="eastAsia"/>
                      <w:color w:val="auto"/>
                    </w:rPr>
                    <w:t>大气污染物运行排放量（t/a）</w:t>
                  </w:r>
                </w:p>
              </w:tc>
              <w:tc>
                <w:tcPr>
                  <w:tcW w:w="932" w:type="pct"/>
                  <w:tcBorders>
                    <w:tl2br w:val="nil"/>
                    <w:tr2bl w:val="nil"/>
                  </w:tcBorders>
                  <w:vAlign w:val="center"/>
                </w:tcPr>
                <w:p w14:paraId="1E6116B2">
                  <w:pPr>
                    <w:pStyle w:val="63"/>
                    <w:rPr>
                      <w:color w:val="auto"/>
                    </w:rPr>
                  </w:pPr>
                  <w:r>
                    <w:rPr>
                      <w:rFonts w:hint="eastAsia"/>
                      <w:color w:val="auto"/>
                    </w:rPr>
                    <w:t>SO</w:t>
                  </w:r>
                  <w:r>
                    <w:rPr>
                      <w:rFonts w:hint="eastAsia"/>
                      <w:color w:val="auto"/>
                      <w:vertAlign w:val="subscript"/>
                    </w:rPr>
                    <w:t>2</w:t>
                  </w:r>
                </w:p>
              </w:tc>
              <w:tc>
                <w:tcPr>
                  <w:tcW w:w="760" w:type="pct"/>
                  <w:tcBorders>
                    <w:tl2br w:val="nil"/>
                    <w:tr2bl w:val="nil"/>
                  </w:tcBorders>
                  <w:vAlign w:val="center"/>
                </w:tcPr>
                <w:p w14:paraId="7A0C530A">
                  <w:pPr>
                    <w:pStyle w:val="63"/>
                    <w:rPr>
                      <w:color w:val="auto"/>
                    </w:rPr>
                  </w:pPr>
                  <w:r>
                    <w:rPr>
                      <w:color w:val="auto"/>
                    </w:rPr>
                    <w:t>10888</w:t>
                  </w:r>
                </w:p>
              </w:tc>
              <w:tc>
                <w:tcPr>
                  <w:tcW w:w="846" w:type="pct"/>
                  <w:tcBorders>
                    <w:tl2br w:val="nil"/>
                    <w:tr2bl w:val="nil"/>
                  </w:tcBorders>
                  <w:vAlign w:val="center"/>
                </w:tcPr>
                <w:p w14:paraId="54632F92">
                  <w:pPr>
                    <w:pStyle w:val="63"/>
                    <w:rPr>
                      <w:color w:val="auto"/>
                    </w:rPr>
                  </w:pPr>
                  <w:r>
                    <w:rPr>
                      <w:color w:val="auto"/>
                    </w:rPr>
                    <w:t>10253</w:t>
                  </w:r>
                </w:p>
              </w:tc>
              <w:tc>
                <w:tcPr>
                  <w:tcW w:w="851" w:type="pct"/>
                  <w:tcBorders>
                    <w:tl2br w:val="nil"/>
                    <w:tr2bl w:val="nil"/>
                  </w:tcBorders>
                  <w:vAlign w:val="center"/>
                </w:tcPr>
                <w:p w14:paraId="0A6A2A85">
                  <w:pPr>
                    <w:pStyle w:val="63"/>
                    <w:rPr>
                      <w:color w:val="auto"/>
                      <w:lang w:val="zh-CN"/>
                    </w:rPr>
                  </w:pPr>
                  <w:r>
                    <w:rPr>
                      <w:color w:val="auto"/>
                    </w:rPr>
                    <w:t>10253</w:t>
                  </w:r>
                </w:p>
              </w:tc>
            </w:tr>
            <w:tr w14:paraId="6E53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6C8A90FC">
                  <w:pPr>
                    <w:pStyle w:val="63"/>
                    <w:rPr>
                      <w:color w:val="auto"/>
                      <w:lang w:val="zh-CN"/>
                    </w:rPr>
                  </w:pPr>
                </w:p>
              </w:tc>
              <w:tc>
                <w:tcPr>
                  <w:tcW w:w="889" w:type="pct"/>
                  <w:vMerge w:val="continue"/>
                  <w:tcBorders>
                    <w:tl2br w:val="nil"/>
                    <w:tr2bl w:val="nil"/>
                  </w:tcBorders>
                  <w:vAlign w:val="center"/>
                </w:tcPr>
                <w:p w14:paraId="6B0EF8C6">
                  <w:pPr>
                    <w:pStyle w:val="63"/>
                    <w:rPr>
                      <w:color w:val="auto"/>
                      <w:lang w:val="zh-CN"/>
                    </w:rPr>
                  </w:pPr>
                </w:p>
              </w:tc>
              <w:tc>
                <w:tcPr>
                  <w:tcW w:w="932" w:type="pct"/>
                  <w:tcBorders>
                    <w:tl2br w:val="nil"/>
                    <w:tr2bl w:val="nil"/>
                  </w:tcBorders>
                  <w:vAlign w:val="center"/>
                </w:tcPr>
                <w:p w14:paraId="54FEA634">
                  <w:pPr>
                    <w:pStyle w:val="63"/>
                    <w:rPr>
                      <w:color w:val="auto"/>
                    </w:rPr>
                  </w:pPr>
                  <w:r>
                    <w:rPr>
                      <w:rFonts w:hint="eastAsia"/>
                      <w:color w:val="auto"/>
                    </w:rPr>
                    <w:t>NOx</w:t>
                  </w:r>
                </w:p>
              </w:tc>
              <w:tc>
                <w:tcPr>
                  <w:tcW w:w="760" w:type="pct"/>
                  <w:tcBorders>
                    <w:tl2br w:val="nil"/>
                    <w:tr2bl w:val="nil"/>
                  </w:tcBorders>
                  <w:vAlign w:val="center"/>
                </w:tcPr>
                <w:p w14:paraId="51C174A1">
                  <w:pPr>
                    <w:pStyle w:val="63"/>
                    <w:rPr>
                      <w:color w:val="auto"/>
                    </w:rPr>
                  </w:pPr>
                  <w:r>
                    <w:rPr>
                      <w:color w:val="auto"/>
                    </w:rPr>
                    <w:t>10470</w:t>
                  </w:r>
                </w:p>
              </w:tc>
              <w:tc>
                <w:tcPr>
                  <w:tcW w:w="846" w:type="pct"/>
                  <w:tcBorders>
                    <w:tl2br w:val="nil"/>
                    <w:tr2bl w:val="nil"/>
                  </w:tcBorders>
                  <w:vAlign w:val="center"/>
                </w:tcPr>
                <w:p w14:paraId="1C77DD1F">
                  <w:pPr>
                    <w:pStyle w:val="63"/>
                    <w:rPr>
                      <w:color w:val="auto"/>
                    </w:rPr>
                  </w:pPr>
                  <w:r>
                    <w:rPr>
                      <w:color w:val="auto"/>
                    </w:rPr>
                    <w:t>9521</w:t>
                  </w:r>
                </w:p>
              </w:tc>
              <w:tc>
                <w:tcPr>
                  <w:tcW w:w="851" w:type="pct"/>
                  <w:tcBorders>
                    <w:tl2br w:val="nil"/>
                    <w:tr2bl w:val="nil"/>
                  </w:tcBorders>
                  <w:vAlign w:val="center"/>
                </w:tcPr>
                <w:p w14:paraId="6A45DDC2">
                  <w:pPr>
                    <w:pStyle w:val="63"/>
                    <w:rPr>
                      <w:color w:val="auto"/>
                      <w:lang w:val="zh-CN"/>
                    </w:rPr>
                  </w:pPr>
                  <w:r>
                    <w:rPr>
                      <w:color w:val="auto"/>
                    </w:rPr>
                    <w:t>9521</w:t>
                  </w:r>
                </w:p>
              </w:tc>
            </w:tr>
            <w:tr w14:paraId="474F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4667E096">
                  <w:pPr>
                    <w:pStyle w:val="63"/>
                    <w:rPr>
                      <w:color w:val="auto"/>
                      <w:lang w:val="zh-CN"/>
                    </w:rPr>
                  </w:pPr>
                </w:p>
              </w:tc>
              <w:tc>
                <w:tcPr>
                  <w:tcW w:w="889" w:type="pct"/>
                  <w:vMerge w:val="continue"/>
                  <w:tcBorders>
                    <w:tl2br w:val="nil"/>
                    <w:tr2bl w:val="nil"/>
                  </w:tcBorders>
                  <w:vAlign w:val="center"/>
                </w:tcPr>
                <w:p w14:paraId="2088D06A">
                  <w:pPr>
                    <w:pStyle w:val="63"/>
                    <w:rPr>
                      <w:color w:val="auto"/>
                      <w:lang w:val="zh-CN"/>
                    </w:rPr>
                  </w:pPr>
                </w:p>
              </w:tc>
              <w:tc>
                <w:tcPr>
                  <w:tcW w:w="932" w:type="pct"/>
                  <w:tcBorders>
                    <w:tl2br w:val="nil"/>
                    <w:tr2bl w:val="nil"/>
                  </w:tcBorders>
                  <w:vAlign w:val="center"/>
                </w:tcPr>
                <w:p w14:paraId="2702D01C">
                  <w:pPr>
                    <w:pStyle w:val="63"/>
                    <w:rPr>
                      <w:color w:val="auto"/>
                    </w:rPr>
                  </w:pPr>
                  <w:r>
                    <w:rPr>
                      <w:rFonts w:hint="eastAsia"/>
                      <w:color w:val="auto"/>
                    </w:rPr>
                    <w:t>一次细颗粒物</w:t>
                  </w:r>
                </w:p>
              </w:tc>
              <w:tc>
                <w:tcPr>
                  <w:tcW w:w="760" w:type="pct"/>
                  <w:tcBorders>
                    <w:tl2br w:val="nil"/>
                    <w:tr2bl w:val="nil"/>
                  </w:tcBorders>
                  <w:vAlign w:val="center"/>
                </w:tcPr>
                <w:p w14:paraId="3A29DC4C">
                  <w:pPr>
                    <w:pStyle w:val="63"/>
                    <w:rPr>
                      <w:color w:val="auto"/>
                    </w:rPr>
                  </w:pPr>
                  <w:r>
                    <w:rPr>
                      <w:color w:val="auto"/>
                    </w:rPr>
                    <w:t>6512</w:t>
                  </w:r>
                </w:p>
              </w:tc>
              <w:tc>
                <w:tcPr>
                  <w:tcW w:w="846" w:type="pct"/>
                  <w:tcBorders>
                    <w:tl2br w:val="nil"/>
                    <w:tr2bl w:val="nil"/>
                  </w:tcBorders>
                  <w:vAlign w:val="center"/>
                </w:tcPr>
                <w:p w14:paraId="5B1ABD40">
                  <w:pPr>
                    <w:pStyle w:val="63"/>
                    <w:rPr>
                      <w:color w:val="auto"/>
                    </w:rPr>
                  </w:pPr>
                  <w:r>
                    <w:rPr>
                      <w:color w:val="auto"/>
                    </w:rPr>
                    <w:t>5644</w:t>
                  </w:r>
                </w:p>
              </w:tc>
              <w:tc>
                <w:tcPr>
                  <w:tcW w:w="851" w:type="pct"/>
                  <w:tcBorders>
                    <w:tl2br w:val="nil"/>
                    <w:tr2bl w:val="nil"/>
                  </w:tcBorders>
                  <w:vAlign w:val="center"/>
                </w:tcPr>
                <w:p w14:paraId="62876CBE">
                  <w:pPr>
                    <w:pStyle w:val="63"/>
                    <w:rPr>
                      <w:color w:val="auto"/>
                      <w:lang w:val="zh-CN"/>
                    </w:rPr>
                  </w:pPr>
                  <w:r>
                    <w:rPr>
                      <w:color w:val="auto"/>
                    </w:rPr>
                    <w:t>5644</w:t>
                  </w:r>
                </w:p>
              </w:tc>
            </w:tr>
            <w:tr w14:paraId="4FE7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32633644">
                  <w:pPr>
                    <w:pStyle w:val="63"/>
                    <w:rPr>
                      <w:color w:val="auto"/>
                      <w:lang w:val="zh-CN"/>
                    </w:rPr>
                  </w:pPr>
                </w:p>
              </w:tc>
              <w:tc>
                <w:tcPr>
                  <w:tcW w:w="889" w:type="pct"/>
                  <w:vMerge w:val="continue"/>
                  <w:tcBorders>
                    <w:tl2br w:val="nil"/>
                    <w:tr2bl w:val="nil"/>
                  </w:tcBorders>
                  <w:vAlign w:val="center"/>
                </w:tcPr>
                <w:p w14:paraId="0D9CC765">
                  <w:pPr>
                    <w:pStyle w:val="63"/>
                    <w:rPr>
                      <w:color w:val="auto"/>
                      <w:lang w:val="zh-CN"/>
                    </w:rPr>
                  </w:pPr>
                </w:p>
              </w:tc>
              <w:tc>
                <w:tcPr>
                  <w:tcW w:w="932" w:type="pct"/>
                  <w:tcBorders>
                    <w:tl2br w:val="nil"/>
                    <w:tr2bl w:val="nil"/>
                  </w:tcBorders>
                  <w:vAlign w:val="center"/>
                </w:tcPr>
                <w:p w14:paraId="2347AAA7">
                  <w:pPr>
                    <w:pStyle w:val="63"/>
                    <w:rPr>
                      <w:color w:val="auto"/>
                    </w:rPr>
                  </w:pPr>
                  <w:r>
                    <w:rPr>
                      <w:rFonts w:hint="eastAsia"/>
                      <w:color w:val="auto"/>
                    </w:rPr>
                    <w:t>VOCs</w:t>
                  </w:r>
                </w:p>
              </w:tc>
              <w:tc>
                <w:tcPr>
                  <w:tcW w:w="760" w:type="pct"/>
                  <w:tcBorders>
                    <w:tl2br w:val="nil"/>
                    <w:tr2bl w:val="nil"/>
                  </w:tcBorders>
                  <w:vAlign w:val="center"/>
                </w:tcPr>
                <w:p w14:paraId="5436A18D">
                  <w:pPr>
                    <w:pStyle w:val="63"/>
                    <w:rPr>
                      <w:color w:val="auto"/>
                    </w:rPr>
                  </w:pPr>
                  <w:r>
                    <w:rPr>
                      <w:color w:val="auto"/>
                    </w:rPr>
                    <w:t>7130</w:t>
                  </w:r>
                </w:p>
              </w:tc>
              <w:tc>
                <w:tcPr>
                  <w:tcW w:w="846" w:type="pct"/>
                  <w:tcBorders>
                    <w:tl2br w:val="nil"/>
                    <w:tr2bl w:val="nil"/>
                  </w:tcBorders>
                  <w:vAlign w:val="center"/>
                </w:tcPr>
                <w:p w14:paraId="18F45EF2">
                  <w:pPr>
                    <w:pStyle w:val="63"/>
                    <w:rPr>
                      <w:color w:val="auto"/>
                    </w:rPr>
                  </w:pPr>
                  <w:r>
                    <w:rPr>
                      <w:color w:val="auto"/>
                    </w:rPr>
                    <w:t>5843</w:t>
                  </w:r>
                </w:p>
              </w:tc>
              <w:tc>
                <w:tcPr>
                  <w:tcW w:w="851" w:type="pct"/>
                  <w:tcBorders>
                    <w:tl2br w:val="nil"/>
                    <w:tr2bl w:val="nil"/>
                  </w:tcBorders>
                  <w:vAlign w:val="center"/>
                </w:tcPr>
                <w:p w14:paraId="2ED73C17">
                  <w:pPr>
                    <w:pStyle w:val="63"/>
                    <w:rPr>
                      <w:color w:val="auto"/>
                      <w:lang w:val="zh-CN"/>
                    </w:rPr>
                  </w:pPr>
                  <w:r>
                    <w:rPr>
                      <w:color w:val="auto"/>
                    </w:rPr>
                    <w:t>5843</w:t>
                  </w:r>
                </w:p>
              </w:tc>
            </w:tr>
            <w:tr w14:paraId="7B7A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restart"/>
                  <w:tcBorders>
                    <w:tl2br w:val="nil"/>
                    <w:tr2bl w:val="nil"/>
                  </w:tcBorders>
                  <w:vAlign w:val="center"/>
                </w:tcPr>
                <w:p w14:paraId="13B07F5E">
                  <w:pPr>
                    <w:pStyle w:val="63"/>
                    <w:rPr>
                      <w:color w:val="auto"/>
                    </w:rPr>
                  </w:pPr>
                  <w:r>
                    <w:rPr>
                      <w:rFonts w:hint="eastAsia"/>
                      <w:color w:val="auto"/>
                    </w:rPr>
                    <w:t>水环境质量底线</w:t>
                  </w:r>
                </w:p>
              </w:tc>
              <w:tc>
                <w:tcPr>
                  <w:tcW w:w="1821" w:type="pct"/>
                  <w:gridSpan w:val="2"/>
                  <w:tcBorders>
                    <w:tl2br w:val="nil"/>
                    <w:tr2bl w:val="nil"/>
                  </w:tcBorders>
                  <w:vAlign w:val="center"/>
                </w:tcPr>
                <w:p w14:paraId="1B1890B7">
                  <w:pPr>
                    <w:pStyle w:val="63"/>
                    <w:rPr>
                      <w:color w:val="auto"/>
                    </w:rPr>
                  </w:pPr>
                  <w:r>
                    <w:rPr>
                      <w:rFonts w:hint="eastAsia"/>
                      <w:color w:val="auto"/>
                    </w:rPr>
                    <w:t>断面名称</w:t>
                  </w:r>
                </w:p>
              </w:tc>
              <w:tc>
                <w:tcPr>
                  <w:tcW w:w="760" w:type="pct"/>
                  <w:tcBorders>
                    <w:tl2br w:val="nil"/>
                    <w:tr2bl w:val="nil"/>
                  </w:tcBorders>
                  <w:vAlign w:val="center"/>
                </w:tcPr>
                <w:p w14:paraId="2DD148A3">
                  <w:pPr>
                    <w:pStyle w:val="63"/>
                    <w:rPr>
                      <w:color w:val="auto"/>
                      <w:lang w:val="zh-CN"/>
                    </w:rPr>
                  </w:pPr>
                  <w:r>
                    <w:rPr>
                      <w:rFonts w:hint="eastAsia"/>
                      <w:color w:val="auto"/>
                    </w:rPr>
                    <w:t>2020年</w:t>
                  </w:r>
                </w:p>
              </w:tc>
              <w:tc>
                <w:tcPr>
                  <w:tcW w:w="846" w:type="pct"/>
                  <w:tcBorders>
                    <w:tl2br w:val="nil"/>
                    <w:tr2bl w:val="nil"/>
                  </w:tcBorders>
                  <w:vAlign w:val="center"/>
                </w:tcPr>
                <w:p w14:paraId="78987AC4">
                  <w:pPr>
                    <w:pStyle w:val="63"/>
                    <w:rPr>
                      <w:color w:val="auto"/>
                      <w:lang w:val="zh-CN"/>
                    </w:rPr>
                  </w:pPr>
                  <w:r>
                    <w:rPr>
                      <w:rFonts w:hint="eastAsia"/>
                      <w:color w:val="auto"/>
                    </w:rPr>
                    <w:t>2025年</w:t>
                  </w:r>
                </w:p>
              </w:tc>
              <w:tc>
                <w:tcPr>
                  <w:tcW w:w="851" w:type="pct"/>
                  <w:tcBorders>
                    <w:tl2br w:val="nil"/>
                    <w:tr2bl w:val="nil"/>
                  </w:tcBorders>
                  <w:vAlign w:val="center"/>
                </w:tcPr>
                <w:p w14:paraId="3295A75A">
                  <w:pPr>
                    <w:pStyle w:val="63"/>
                    <w:rPr>
                      <w:color w:val="auto"/>
                      <w:lang w:val="zh-CN"/>
                    </w:rPr>
                  </w:pPr>
                  <w:r>
                    <w:rPr>
                      <w:rFonts w:hint="eastAsia"/>
                      <w:color w:val="auto"/>
                    </w:rPr>
                    <w:t>2035年</w:t>
                  </w:r>
                </w:p>
              </w:tc>
            </w:tr>
            <w:tr w14:paraId="74D9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77438437">
                  <w:pPr>
                    <w:pStyle w:val="63"/>
                    <w:rPr>
                      <w:color w:val="auto"/>
                      <w:lang w:val="zh-CN"/>
                    </w:rPr>
                  </w:pPr>
                </w:p>
              </w:tc>
              <w:tc>
                <w:tcPr>
                  <w:tcW w:w="1821" w:type="pct"/>
                  <w:gridSpan w:val="2"/>
                  <w:tcBorders>
                    <w:tl2br w:val="nil"/>
                    <w:tr2bl w:val="nil"/>
                  </w:tcBorders>
                  <w:vAlign w:val="center"/>
                </w:tcPr>
                <w:p w14:paraId="26913813">
                  <w:pPr>
                    <w:pStyle w:val="63"/>
                    <w:rPr>
                      <w:color w:val="auto"/>
                    </w:rPr>
                  </w:pPr>
                  <w:r>
                    <w:rPr>
                      <w:color w:val="auto"/>
                      <w:lang w:val="zh-CN"/>
                    </w:rPr>
                    <w:t>赣江</w:t>
                  </w:r>
                  <w:r>
                    <w:rPr>
                      <w:rFonts w:hint="eastAsia"/>
                      <w:color w:val="auto"/>
                    </w:rPr>
                    <w:t>-储潭</w:t>
                  </w:r>
                </w:p>
              </w:tc>
              <w:tc>
                <w:tcPr>
                  <w:tcW w:w="2457" w:type="pct"/>
                  <w:gridSpan w:val="3"/>
                  <w:tcBorders>
                    <w:tl2br w:val="nil"/>
                    <w:tr2bl w:val="nil"/>
                  </w:tcBorders>
                  <w:vAlign w:val="center"/>
                </w:tcPr>
                <w:p w14:paraId="1C4AEE5A">
                  <w:pPr>
                    <w:pStyle w:val="63"/>
                    <w:rPr>
                      <w:color w:val="auto"/>
                    </w:rPr>
                  </w:pPr>
                  <w:r>
                    <w:rPr>
                      <w:color w:val="auto"/>
                      <w:lang w:val="zh-CN"/>
                    </w:rPr>
                    <w:t>Ⅲ</w:t>
                  </w:r>
                  <w:r>
                    <w:rPr>
                      <w:rFonts w:hint="eastAsia"/>
                      <w:color w:val="auto"/>
                    </w:rPr>
                    <w:t>类</w:t>
                  </w:r>
                </w:p>
              </w:tc>
            </w:tr>
            <w:tr w14:paraId="73E7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0" w:type="pct"/>
                  <w:vMerge w:val="continue"/>
                  <w:tcBorders>
                    <w:tl2br w:val="nil"/>
                    <w:tr2bl w:val="nil"/>
                  </w:tcBorders>
                  <w:vAlign w:val="center"/>
                </w:tcPr>
                <w:p w14:paraId="64DF9AD3">
                  <w:pPr>
                    <w:pStyle w:val="63"/>
                    <w:rPr>
                      <w:color w:val="auto"/>
                      <w:lang w:val="zh-CN"/>
                    </w:rPr>
                  </w:pPr>
                </w:p>
              </w:tc>
              <w:tc>
                <w:tcPr>
                  <w:tcW w:w="1821" w:type="pct"/>
                  <w:gridSpan w:val="2"/>
                  <w:tcBorders>
                    <w:tl2br w:val="nil"/>
                    <w:tr2bl w:val="nil"/>
                  </w:tcBorders>
                  <w:vAlign w:val="center"/>
                </w:tcPr>
                <w:p w14:paraId="48C70A05">
                  <w:pPr>
                    <w:pStyle w:val="63"/>
                    <w:rPr>
                      <w:color w:val="auto"/>
                      <w:lang w:val="zh-CN"/>
                    </w:rPr>
                  </w:pPr>
                  <w:r>
                    <w:rPr>
                      <w:color w:val="auto"/>
                      <w:lang w:val="zh-CN"/>
                    </w:rPr>
                    <w:t>赣江</w:t>
                  </w:r>
                  <w:r>
                    <w:rPr>
                      <w:rFonts w:hint="eastAsia"/>
                      <w:color w:val="auto"/>
                    </w:rPr>
                    <w:t>-</w:t>
                  </w:r>
                  <w:r>
                    <w:rPr>
                      <w:color w:val="auto"/>
                      <w:lang w:val="zh-CN"/>
                    </w:rPr>
                    <w:t>龟角尾</w:t>
                  </w:r>
                </w:p>
              </w:tc>
              <w:tc>
                <w:tcPr>
                  <w:tcW w:w="2457" w:type="pct"/>
                  <w:gridSpan w:val="3"/>
                  <w:tcBorders>
                    <w:tl2br w:val="nil"/>
                    <w:tr2bl w:val="nil"/>
                  </w:tcBorders>
                  <w:vAlign w:val="center"/>
                </w:tcPr>
                <w:p w14:paraId="373DEC7C">
                  <w:pPr>
                    <w:pStyle w:val="63"/>
                    <w:rPr>
                      <w:color w:val="auto"/>
                      <w:lang w:val="zh-CN"/>
                    </w:rPr>
                  </w:pPr>
                  <w:r>
                    <w:rPr>
                      <w:color w:val="auto"/>
                      <w:lang w:val="zh-CN"/>
                    </w:rPr>
                    <w:t>Ⅲ</w:t>
                  </w:r>
                  <w:r>
                    <w:rPr>
                      <w:rFonts w:hint="eastAsia"/>
                      <w:color w:val="auto"/>
                    </w:rPr>
                    <w:t>类</w:t>
                  </w:r>
                </w:p>
              </w:tc>
            </w:tr>
            <w:tr w14:paraId="14BF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4" w:type="dxa"/>
                  <w:vMerge w:val="restart"/>
                  <w:tcBorders>
                    <w:tl2br w:val="nil"/>
                    <w:tr2bl w:val="nil"/>
                  </w:tcBorders>
                  <w:vAlign w:val="center"/>
                </w:tcPr>
                <w:p w14:paraId="503BFCBA">
                  <w:pPr>
                    <w:widowControl/>
                    <w:jc w:val="center"/>
                    <w:rPr>
                      <w:color w:val="auto"/>
                      <w:lang w:val="zh-CN"/>
                    </w:rPr>
                  </w:pPr>
                  <w:r>
                    <w:rPr>
                      <w:rFonts w:hint="eastAsia"/>
                      <w:color w:val="auto"/>
                      <w:szCs w:val="21"/>
                      <w:lang w:val="zh-CN"/>
                    </w:rPr>
                    <w:t>土壤环境风险防控底线</w:t>
                  </w:r>
                </w:p>
              </w:tc>
              <w:tc>
                <w:tcPr>
                  <w:tcW w:w="2414" w:type="dxa"/>
                  <w:gridSpan w:val="2"/>
                  <w:tcBorders>
                    <w:tl2br w:val="nil"/>
                    <w:tr2bl w:val="nil"/>
                  </w:tcBorders>
                  <w:vAlign w:val="center"/>
                </w:tcPr>
                <w:p w14:paraId="4A8C0101">
                  <w:pPr>
                    <w:jc w:val="center"/>
                    <w:rPr>
                      <w:color w:val="auto"/>
                      <w:lang w:val="zh-CN"/>
                    </w:rPr>
                  </w:pPr>
                  <w:r>
                    <w:rPr>
                      <w:rFonts w:hint="eastAsia"/>
                      <w:color w:val="auto"/>
                      <w:lang w:val="zh-CN"/>
                    </w:rPr>
                    <w:t>受污染耕地安全利用率</w:t>
                  </w:r>
                </w:p>
              </w:tc>
              <w:tc>
                <w:tcPr>
                  <w:tcW w:w="1084" w:type="dxa"/>
                  <w:tcBorders>
                    <w:tl2br w:val="nil"/>
                    <w:tr2bl w:val="nil"/>
                  </w:tcBorders>
                  <w:vAlign w:val="center"/>
                </w:tcPr>
                <w:p w14:paraId="13C0E925">
                  <w:pPr>
                    <w:jc w:val="center"/>
                    <w:rPr>
                      <w:color w:val="auto"/>
                      <w:lang w:val="zh-CN"/>
                    </w:rPr>
                  </w:pPr>
                  <w:r>
                    <w:rPr>
                      <w:rFonts w:hint="eastAsia"/>
                      <w:color w:val="auto"/>
                      <w:lang w:val="zh-CN"/>
                    </w:rPr>
                    <w:t>达到省政府下达的指标要求</w:t>
                  </w:r>
                </w:p>
              </w:tc>
              <w:tc>
                <w:tcPr>
                  <w:tcW w:w="1084" w:type="dxa"/>
                  <w:tcBorders>
                    <w:tl2br w:val="nil"/>
                    <w:tr2bl w:val="nil"/>
                  </w:tcBorders>
                  <w:vAlign w:val="center"/>
                </w:tcPr>
                <w:p w14:paraId="7EE88D23">
                  <w:pPr>
                    <w:jc w:val="center"/>
                    <w:rPr>
                      <w:color w:val="auto"/>
                      <w:lang w:val="zh-CN"/>
                    </w:rPr>
                  </w:pPr>
                  <w:r>
                    <w:rPr>
                      <w:rFonts w:hint="eastAsia"/>
                      <w:color w:val="auto"/>
                      <w:lang w:val="zh-CN"/>
                    </w:rPr>
                    <w:t>/</w:t>
                  </w:r>
                </w:p>
              </w:tc>
              <w:tc>
                <w:tcPr>
                  <w:tcW w:w="1088" w:type="dxa"/>
                  <w:tcBorders>
                    <w:tl2br w:val="nil"/>
                    <w:tr2bl w:val="nil"/>
                  </w:tcBorders>
                  <w:vAlign w:val="center"/>
                </w:tcPr>
                <w:p w14:paraId="7026A046">
                  <w:pPr>
                    <w:jc w:val="center"/>
                    <w:rPr>
                      <w:color w:val="auto"/>
                      <w:lang w:val="zh-CN"/>
                    </w:rPr>
                  </w:pPr>
                  <w:r>
                    <w:rPr>
                      <w:rFonts w:hint="eastAsia"/>
                      <w:color w:val="auto"/>
                      <w:lang w:val="zh-CN"/>
                    </w:rPr>
                    <w:t>9</w:t>
                  </w:r>
                  <w:r>
                    <w:rPr>
                      <w:color w:val="auto"/>
                      <w:lang w:val="zh-CN"/>
                    </w:rPr>
                    <w:t>5</w:t>
                  </w:r>
                  <w:r>
                    <w:rPr>
                      <w:rFonts w:hint="eastAsia"/>
                      <w:color w:val="auto"/>
                      <w:lang w:val="zh-CN"/>
                    </w:rPr>
                    <w:t>%</w:t>
                  </w:r>
                </w:p>
              </w:tc>
            </w:tr>
            <w:tr w14:paraId="793C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4" w:type="dxa"/>
                  <w:vMerge w:val="continue"/>
                  <w:tcBorders>
                    <w:tl2br w:val="nil"/>
                    <w:tr2bl w:val="nil"/>
                  </w:tcBorders>
                  <w:vAlign w:val="center"/>
                </w:tcPr>
                <w:p w14:paraId="39895947">
                  <w:pPr>
                    <w:pStyle w:val="63"/>
                    <w:rPr>
                      <w:color w:val="auto"/>
                      <w:lang w:val="zh-CN"/>
                    </w:rPr>
                  </w:pPr>
                </w:p>
              </w:tc>
              <w:tc>
                <w:tcPr>
                  <w:tcW w:w="2414" w:type="dxa"/>
                  <w:gridSpan w:val="2"/>
                  <w:tcBorders>
                    <w:tl2br w:val="nil"/>
                    <w:tr2bl w:val="nil"/>
                  </w:tcBorders>
                  <w:vAlign w:val="center"/>
                </w:tcPr>
                <w:p w14:paraId="7EDA17A4">
                  <w:pPr>
                    <w:jc w:val="center"/>
                    <w:rPr>
                      <w:color w:val="auto"/>
                      <w:lang w:val="zh-CN"/>
                    </w:rPr>
                  </w:pPr>
                  <w:r>
                    <w:rPr>
                      <w:rFonts w:hint="eastAsia"/>
                      <w:color w:val="auto"/>
                      <w:lang w:val="zh-CN"/>
                    </w:rPr>
                    <w:t>污染地块全利用率</w:t>
                  </w:r>
                </w:p>
              </w:tc>
              <w:tc>
                <w:tcPr>
                  <w:tcW w:w="1084" w:type="dxa"/>
                  <w:tcBorders>
                    <w:tl2br w:val="nil"/>
                    <w:tr2bl w:val="nil"/>
                  </w:tcBorders>
                  <w:vAlign w:val="center"/>
                </w:tcPr>
                <w:p w14:paraId="0E6AD126">
                  <w:pPr>
                    <w:jc w:val="center"/>
                    <w:rPr>
                      <w:color w:val="auto"/>
                      <w:lang w:val="zh-CN"/>
                    </w:rPr>
                  </w:pPr>
                  <w:r>
                    <w:rPr>
                      <w:rFonts w:hint="eastAsia"/>
                      <w:color w:val="auto"/>
                      <w:lang w:val="zh-CN"/>
                    </w:rPr>
                    <w:t>9</w:t>
                  </w:r>
                  <w:r>
                    <w:rPr>
                      <w:color w:val="auto"/>
                      <w:lang w:val="zh-CN"/>
                    </w:rPr>
                    <w:t>0</w:t>
                  </w:r>
                  <w:r>
                    <w:rPr>
                      <w:rFonts w:hint="eastAsia"/>
                      <w:color w:val="auto"/>
                      <w:lang w:val="zh-CN"/>
                    </w:rPr>
                    <w:t>%</w:t>
                  </w:r>
                </w:p>
              </w:tc>
              <w:tc>
                <w:tcPr>
                  <w:tcW w:w="1084" w:type="dxa"/>
                  <w:tcBorders>
                    <w:tl2br w:val="nil"/>
                    <w:tr2bl w:val="nil"/>
                  </w:tcBorders>
                  <w:vAlign w:val="center"/>
                </w:tcPr>
                <w:p w14:paraId="45EA777E">
                  <w:pPr>
                    <w:jc w:val="center"/>
                    <w:rPr>
                      <w:color w:val="auto"/>
                      <w:lang w:val="zh-CN"/>
                    </w:rPr>
                  </w:pPr>
                  <w:r>
                    <w:rPr>
                      <w:rFonts w:hint="eastAsia"/>
                      <w:color w:val="auto"/>
                      <w:lang w:val="zh-CN"/>
                    </w:rPr>
                    <w:t>/</w:t>
                  </w:r>
                </w:p>
              </w:tc>
              <w:tc>
                <w:tcPr>
                  <w:tcW w:w="1088" w:type="dxa"/>
                  <w:tcBorders>
                    <w:tl2br w:val="nil"/>
                    <w:tr2bl w:val="nil"/>
                  </w:tcBorders>
                  <w:vAlign w:val="center"/>
                </w:tcPr>
                <w:p w14:paraId="48359B9E">
                  <w:pPr>
                    <w:jc w:val="center"/>
                    <w:rPr>
                      <w:color w:val="auto"/>
                      <w:lang w:val="zh-CN"/>
                    </w:rPr>
                  </w:pPr>
                  <w:r>
                    <w:rPr>
                      <w:rFonts w:hint="eastAsia"/>
                      <w:color w:val="auto"/>
                      <w:lang w:val="zh-CN"/>
                    </w:rPr>
                    <w:t>9</w:t>
                  </w:r>
                  <w:r>
                    <w:rPr>
                      <w:color w:val="auto"/>
                      <w:lang w:val="zh-CN"/>
                    </w:rPr>
                    <w:t>5</w:t>
                  </w:r>
                  <w:r>
                    <w:rPr>
                      <w:rFonts w:hint="eastAsia"/>
                      <w:color w:val="auto"/>
                      <w:lang w:val="zh-CN"/>
                    </w:rPr>
                    <w:t>%</w:t>
                  </w:r>
                </w:p>
              </w:tc>
            </w:tr>
          </w:tbl>
          <w:p w14:paraId="252BE55E">
            <w:pPr>
              <w:autoSpaceDE w:val="0"/>
              <w:autoSpaceDN w:val="0"/>
              <w:adjustRightInd w:val="0"/>
              <w:snapToGrid w:val="0"/>
              <w:spacing w:line="360" w:lineRule="auto"/>
              <w:ind w:firstLine="482" w:firstLineChars="200"/>
              <w:jc w:val="left"/>
              <w:rPr>
                <w:rFonts w:cs="宋体"/>
                <w:color w:val="auto"/>
                <w:kern w:val="0"/>
                <w:sz w:val="24"/>
              </w:rPr>
            </w:pPr>
            <w:r>
              <w:rPr>
                <w:rFonts w:hint="eastAsia" w:cs="宋体"/>
                <w:b/>
                <w:bCs/>
                <w:color w:val="auto"/>
                <w:kern w:val="0"/>
                <w:sz w:val="24"/>
              </w:rPr>
              <w:t>环境空气质量底线：</w:t>
            </w:r>
            <w:r>
              <w:rPr>
                <w:rFonts w:hint="eastAsia"/>
                <w:color w:val="auto"/>
                <w:sz w:val="24"/>
              </w:rPr>
              <w:t>根据江西省生态环境厅发布的</w:t>
            </w:r>
            <w:r>
              <w:rPr>
                <w:rFonts w:hint="eastAsia" w:cs="宋体"/>
                <w:color w:val="auto"/>
                <w:sz w:val="24"/>
              </w:rPr>
              <w:t>《2023年江西省各县（市、区）六项污染物浓度年均值》</w:t>
            </w:r>
            <w:r>
              <w:rPr>
                <w:rFonts w:hint="eastAsia"/>
                <w:color w:val="auto"/>
                <w:sz w:val="24"/>
              </w:rPr>
              <w:t>中赣州经开区的监测数据，含赣州经济技术开发区六项污染物年均值已达到环境空气质量二级标准限值要求</w:t>
            </w:r>
            <w:r>
              <w:rPr>
                <w:rFonts w:hint="eastAsia" w:cs="宋体"/>
                <w:color w:val="auto"/>
                <w:kern w:val="0"/>
                <w:sz w:val="24"/>
              </w:rPr>
              <w:t>，PM</w:t>
            </w:r>
            <w:r>
              <w:rPr>
                <w:rFonts w:hint="eastAsia" w:cs="宋体"/>
                <w:color w:val="auto"/>
                <w:kern w:val="0"/>
                <w:sz w:val="24"/>
                <w:vertAlign w:val="subscript"/>
              </w:rPr>
              <w:t>2.5</w:t>
            </w:r>
            <w:r>
              <w:rPr>
                <w:rFonts w:hint="eastAsia" w:cs="宋体"/>
                <w:color w:val="auto"/>
                <w:kern w:val="0"/>
                <w:sz w:val="24"/>
              </w:rPr>
              <w:t>浓度已达到“三线一单”中的环境质量底线要求。</w:t>
            </w:r>
          </w:p>
          <w:p w14:paraId="042F754C">
            <w:pPr>
              <w:autoSpaceDE w:val="0"/>
              <w:autoSpaceDN w:val="0"/>
              <w:adjustRightInd w:val="0"/>
              <w:snapToGrid w:val="0"/>
              <w:spacing w:line="360" w:lineRule="auto"/>
              <w:ind w:firstLine="482" w:firstLineChars="200"/>
              <w:rPr>
                <w:color w:val="auto"/>
                <w:kern w:val="0"/>
                <w:sz w:val="24"/>
              </w:rPr>
            </w:pPr>
            <w:r>
              <w:rPr>
                <w:rFonts w:hint="eastAsia" w:cs="宋体"/>
                <w:b/>
                <w:bCs/>
                <w:color w:val="auto"/>
                <w:kern w:val="0"/>
                <w:sz w:val="24"/>
              </w:rPr>
              <w:t>水环境质量底线：</w:t>
            </w:r>
            <w:r>
              <w:rPr>
                <w:rFonts w:hint="eastAsia" w:cs="宋体"/>
                <w:color w:val="auto"/>
                <w:kern w:val="0"/>
                <w:sz w:val="24"/>
              </w:rPr>
              <w:t>根据《江西省地表水（环境）功能区划表》，项目所在区域为“Ⅲ类”；根据赣州市环境保护局2021年至2023年发布的赣州市环境质量状况可知，赣江“储潭”和“龟角尾”断面地表水环境质量满足所《地表水环境质量标准》（GB3838-2002）Ⅲ类水质标准。根据现状监测及评价结果，周围地表水满足《地表水环境质量标准》（GB3838-2002）Ⅲ类水标准。所在区域环境质量现状较好、具有相应的环境容量。</w:t>
            </w:r>
            <w:r>
              <w:rPr>
                <w:rFonts w:hint="eastAsia"/>
                <w:color w:val="auto"/>
                <w:kern w:val="0"/>
                <w:sz w:val="24"/>
              </w:rPr>
              <w:t>本项目外排废水为生活污水和清洗废水，经过一期污水处理站处理后达到赣州新能源汽车科技城污水处理厂接管标准，进入赣州新能源汽车科技城污水处理厂集中处理后排入赣州市白塔污水处理厂处理，最终尾水排入赣江。</w:t>
            </w:r>
          </w:p>
          <w:p w14:paraId="05BB8A1B">
            <w:pPr>
              <w:autoSpaceDE w:val="0"/>
              <w:autoSpaceDN w:val="0"/>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并且本项目固体废物均妥善处置，不直接排入外环境，综上，项目三废均能有效处理，不会明显降低区域环境质量现状；本项目建设不会对当地环境质量底线造成冲击。</w:t>
            </w:r>
          </w:p>
          <w:p w14:paraId="2D500FDE">
            <w:pPr>
              <w:autoSpaceDE w:val="0"/>
              <w:autoSpaceDN w:val="0"/>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w:t>
            </w:r>
            <w:r>
              <w:rPr>
                <w:rFonts w:hint="eastAsia" w:cs="宋体"/>
                <w:color w:val="auto"/>
                <w:kern w:val="0"/>
                <w:sz w:val="24"/>
                <w:lang w:val="en-US" w:eastAsia="zh-CN"/>
              </w:rPr>
              <w:t>3</w:t>
            </w:r>
            <w:r>
              <w:rPr>
                <w:rFonts w:hint="eastAsia" w:cs="宋体"/>
                <w:color w:val="auto"/>
                <w:kern w:val="0"/>
                <w:sz w:val="24"/>
              </w:rPr>
              <w:t>）资源利用上线</w:t>
            </w:r>
          </w:p>
          <w:p w14:paraId="34CB31F9">
            <w:pPr>
              <w:autoSpaceDE w:val="0"/>
              <w:autoSpaceDN w:val="0"/>
              <w:adjustRightInd w:val="0"/>
              <w:snapToGrid w:val="0"/>
              <w:spacing w:line="360" w:lineRule="auto"/>
              <w:ind w:firstLine="480" w:firstLineChars="200"/>
              <w:jc w:val="left"/>
              <w:rPr>
                <w:rFonts w:ascii="宋体" w:hAnsi="宋体" w:cs="宋体"/>
                <w:color w:val="auto"/>
                <w:kern w:val="0"/>
                <w:sz w:val="24"/>
              </w:rPr>
            </w:pPr>
            <w:r>
              <w:rPr>
                <w:rFonts w:hint="eastAsia" w:cs="宋体"/>
                <w:color w:val="auto"/>
                <w:kern w:val="0"/>
                <w:sz w:val="24"/>
              </w:rPr>
              <w:t>本项目供水依托市政自来水，供水稳定可靠。用电来源于市政供电系统。本项目建成运行后通过内部管理、设备选择、原辅材料的选用和管理、废物回收利用、污染治理等多方面采取可行的防治措施，以“节能、降耗、减污”为目标，有效地控制污染，项目的水、电等资源利用不会突破区域的资源利用上线。</w:t>
            </w:r>
          </w:p>
          <w:p w14:paraId="1678FF28">
            <w:pPr>
              <w:autoSpaceDE w:val="0"/>
              <w:autoSpaceDN w:val="0"/>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w:t>
            </w:r>
            <w:r>
              <w:rPr>
                <w:rFonts w:hint="eastAsia" w:cs="宋体"/>
                <w:color w:val="auto"/>
                <w:kern w:val="0"/>
                <w:sz w:val="24"/>
                <w:lang w:val="en-US" w:eastAsia="zh-CN"/>
              </w:rPr>
              <w:t>4</w:t>
            </w:r>
            <w:r>
              <w:rPr>
                <w:rFonts w:hint="eastAsia" w:cs="宋体"/>
                <w:color w:val="auto"/>
                <w:kern w:val="0"/>
                <w:sz w:val="24"/>
              </w:rPr>
              <w:t>）与生态环境准入负面清单相符性分析</w:t>
            </w:r>
          </w:p>
          <w:p w14:paraId="3EB05635">
            <w:pPr>
              <w:spacing w:line="360" w:lineRule="auto"/>
              <w:ind w:firstLine="480" w:firstLineChars="200"/>
              <w:contextualSpacing/>
              <w:rPr>
                <w:bCs/>
                <w:color w:val="auto"/>
                <w:sz w:val="24"/>
              </w:rPr>
            </w:pPr>
            <w:r>
              <w:rPr>
                <w:bCs/>
                <w:color w:val="auto"/>
                <w:sz w:val="24"/>
              </w:rPr>
              <w:t>1）规划准入清单</w:t>
            </w:r>
          </w:p>
          <w:p w14:paraId="76F807D2">
            <w:pPr>
              <w:adjustRightInd w:val="0"/>
              <w:spacing w:line="360" w:lineRule="auto"/>
              <w:ind w:firstLine="480" w:firstLineChars="200"/>
              <w:contextualSpacing/>
              <w:jc w:val="left"/>
              <w:rPr>
                <w:color w:val="auto"/>
                <w:sz w:val="24"/>
              </w:rPr>
            </w:pPr>
            <w:r>
              <w:rPr>
                <w:bCs/>
                <w:color w:val="auto"/>
                <w:sz w:val="24"/>
              </w:rPr>
              <w:t>根据</w:t>
            </w:r>
            <w:r>
              <w:rPr>
                <w:color w:val="auto"/>
                <w:sz w:val="24"/>
              </w:rPr>
              <w:t>《</w:t>
            </w:r>
            <w:r>
              <w:rPr>
                <w:color w:val="auto"/>
                <w:kern w:val="0"/>
                <w:sz w:val="24"/>
              </w:rPr>
              <w:t>赣州新能源汽车科技城首期控制性详细规划环境影响报告书</w:t>
            </w:r>
            <w:r>
              <w:rPr>
                <w:color w:val="auto"/>
                <w:sz w:val="24"/>
              </w:rPr>
              <w:t>审查意见的函》（</w:t>
            </w:r>
            <w:r>
              <w:rPr>
                <w:color w:val="auto"/>
                <w:kern w:val="0"/>
                <w:sz w:val="24"/>
              </w:rPr>
              <w:t>赣市环开发</w:t>
            </w:r>
            <w:r>
              <w:rPr>
                <w:rFonts w:hint="eastAsia"/>
                <w:color w:val="auto"/>
                <w:kern w:val="0"/>
                <w:sz w:val="24"/>
              </w:rPr>
              <w:t>〔2017〕27号</w:t>
            </w:r>
            <w:r>
              <w:rPr>
                <w:color w:val="auto"/>
                <w:sz w:val="24"/>
              </w:rPr>
              <w:t>）中要求，本项目产品为</w:t>
            </w:r>
            <w:r>
              <w:rPr>
                <w:rFonts w:hint="eastAsia" w:cs="宋体"/>
                <w:color w:val="auto"/>
                <w:sz w:val="24"/>
              </w:rPr>
              <w:t>电子专用材料制造</w:t>
            </w:r>
            <w:r>
              <w:rPr>
                <w:color w:val="auto"/>
                <w:sz w:val="24"/>
              </w:rPr>
              <w:t>，</w:t>
            </w:r>
            <w:r>
              <w:rPr>
                <w:rFonts w:hint="eastAsia"/>
                <w:color w:val="auto"/>
                <w:sz w:val="24"/>
              </w:rPr>
              <w:t>主要可用于计算机、汽车、仪器、仪表、家用电器、石油化工、医疗保健、航空航天等行业中的各种微特电机，核磁共振设备，电器件，磁分离设备，磁力机械，磁疗器械等需产生强间隙磁场的元器件</w:t>
            </w:r>
            <w:r>
              <w:rPr>
                <w:color w:val="auto"/>
                <w:sz w:val="24"/>
              </w:rPr>
              <w:t>，项目属于赣州新能源汽车科技城发展目标中的“新能源汽车的关键零部件制造”，符合园区产业规划，因此，本项目的建设符合相关规划准入要求。</w:t>
            </w:r>
          </w:p>
          <w:p w14:paraId="6E6BCEDD">
            <w:pPr>
              <w:autoSpaceDE w:val="0"/>
              <w:autoSpaceDN w:val="0"/>
              <w:adjustRightInd w:val="0"/>
              <w:snapToGrid w:val="0"/>
              <w:spacing w:line="360" w:lineRule="auto"/>
              <w:ind w:firstLine="480" w:firstLineChars="200"/>
              <w:rPr>
                <w:rFonts w:cs="宋体"/>
                <w:color w:val="auto"/>
                <w:kern w:val="0"/>
                <w:sz w:val="24"/>
              </w:rPr>
            </w:pPr>
            <w:r>
              <w:rPr>
                <w:color w:val="auto"/>
                <w:sz w:val="24"/>
              </w:rPr>
              <w:t>2）生态环境分区管控方案的衔接情况</w:t>
            </w:r>
          </w:p>
          <w:p w14:paraId="0D682B50">
            <w:pPr>
              <w:autoSpaceDE w:val="0"/>
              <w:autoSpaceDN w:val="0"/>
              <w:adjustRightInd w:val="0"/>
              <w:snapToGrid w:val="0"/>
              <w:spacing w:line="360" w:lineRule="auto"/>
              <w:ind w:firstLine="480" w:firstLineChars="200"/>
              <w:rPr>
                <w:rFonts w:cs="宋体"/>
                <w:color w:val="auto"/>
                <w:kern w:val="0"/>
                <w:sz w:val="24"/>
              </w:rPr>
            </w:pPr>
            <w:r>
              <w:rPr>
                <w:rFonts w:hint="eastAsia" w:cs="宋体"/>
                <w:color w:val="auto"/>
                <w:kern w:val="0"/>
                <w:sz w:val="24"/>
              </w:rPr>
              <w:t>根据&lt;赣州市环境管控单元生态环境准入清单&gt;的通知》（赣市环委办字〔2021〕5号）及《关于印发&lt;赣州市生态环境总体准入要求&gt;（2023年动态更新成果），本项目属于江西省赣州市赣州经济技术开发区重点管控单元46。根据赣州市生态环境局保护委员会办公室关于印发《赣州市环境管控单元生态环境准入清单》的通知要求（赣市环委办字〔2021〕5号）及《赣州市生态环境总体准入要求》（2023年动态更新成果），该地区生态环境总体准入清单相符性分析如下：</w:t>
            </w:r>
          </w:p>
          <w:p w14:paraId="3D78170A">
            <w:pPr>
              <w:autoSpaceDE w:val="0"/>
              <w:autoSpaceDN w:val="0"/>
              <w:adjustRightInd w:val="0"/>
              <w:snapToGrid w:val="0"/>
              <w:jc w:val="center"/>
              <w:rPr>
                <w:b/>
                <w:bCs/>
                <w:color w:val="auto"/>
                <w:kern w:val="0"/>
                <w:sz w:val="24"/>
              </w:rPr>
            </w:pPr>
            <w:r>
              <w:rPr>
                <w:rFonts w:hint="eastAsia"/>
                <w:b/>
                <w:bCs/>
                <w:color w:val="auto"/>
                <w:kern w:val="0"/>
                <w:sz w:val="24"/>
              </w:rPr>
              <w:t>表1-5</w:t>
            </w:r>
            <w:r>
              <w:rPr>
                <w:rFonts w:hint="eastAsia"/>
                <w:b/>
                <w:bCs/>
                <w:color w:val="auto"/>
                <w:kern w:val="0"/>
                <w:sz w:val="24"/>
                <w:lang w:val="en-US" w:eastAsia="zh-CN"/>
              </w:rPr>
              <w:t>与赣州市</w:t>
            </w:r>
            <w:r>
              <w:rPr>
                <w:rFonts w:hint="eastAsia"/>
                <w:b/>
                <w:bCs/>
                <w:color w:val="auto"/>
                <w:kern w:val="0"/>
                <w:sz w:val="24"/>
              </w:rPr>
              <w:t>生态环境总体准入清单相符性分析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
              <w:gridCol w:w="864"/>
              <w:gridCol w:w="427"/>
              <w:gridCol w:w="3952"/>
              <w:gridCol w:w="954"/>
            </w:tblGrid>
            <w:tr w14:paraId="0285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tcBorders>
                    <w:tl2br w:val="nil"/>
                    <w:tr2bl w:val="nil"/>
                  </w:tcBorders>
                  <w:tcMar>
                    <w:top w:w="0" w:type="dxa"/>
                    <w:left w:w="108" w:type="dxa"/>
                    <w:bottom w:w="0" w:type="dxa"/>
                    <w:right w:w="108" w:type="dxa"/>
                  </w:tcMar>
                  <w:vAlign w:val="center"/>
                </w:tcPr>
                <w:p w14:paraId="37F0E8E9">
                  <w:pPr>
                    <w:pStyle w:val="82"/>
                    <w:spacing w:before="0" w:beforeAutospacing="0" w:after="0" w:afterAutospacing="0" w:line="240" w:lineRule="auto"/>
                    <w:ind w:left="0" w:right="0"/>
                    <w:rPr>
                      <w:color w:val="auto"/>
                    </w:rPr>
                  </w:pPr>
                  <w:r>
                    <w:rPr>
                      <w:color w:val="auto"/>
                    </w:rPr>
                    <w:t>维度</w:t>
                  </w:r>
                </w:p>
              </w:tc>
              <w:tc>
                <w:tcPr>
                  <w:tcW w:w="652" w:type="pct"/>
                  <w:tcBorders>
                    <w:tl2br w:val="nil"/>
                    <w:tr2bl w:val="nil"/>
                  </w:tcBorders>
                  <w:tcMar>
                    <w:top w:w="0" w:type="dxa"/>
                    <w:left w:w="108" w:type="dxa"/>
                    <w:bottom w:w="0" w:type="dxa"/>
                    <w:right w:w="108" w:type="dxa"/>
                  </w:tcMar>
                  <w:vAlign w:val="center"/>
                </w:tcPr>
                <w:p w14:paraId="68B8409D">
                  <w:pPr>
                    <w:pStyle w:val="82"/>
                    <w:spacing w:before="0" w:beforeAutospacing="0" w:after="0" w:afterAutospacing="0" w:line="240" w:lineRule="auto"/>
                    <w:ind w:left="0" w:right="0"/>
                    <w:rPr>
                      <w:color w:val="auto"/>
                    </w:rPr>
                  </w:pPr>
                  <w:r>
                    <w:rPr>
                      <w:color w:val="auto"/>
                    </w:rPr>
                    <w:t>清单编制要求</w:t>
                  </w:r>
                </w:p>
              </w:tc>
              <w:tc>
                <w:tcPr>
                  <w:tcW w:w="322" w:type="pct"/>
                  <w:tcBorders>
                    <w:tl2br w:val="nil"/>
                    <w:tr2bl w:val="nil"/>
                  </w:tcBorders>
                  <w:tcMar>
                    <w:top w:w="0" w:type="dxa"/>
                    <w:left w:w="108" w:type="dxa"/>
                    <w:bottom w:w="0" w:type="dxa"/>
                    <w:right w:w="108" w:type="dxa"/>
                  </w:tcMar>
                  <w:vAlign w:val="center"/>
                </w:tcPr>
                <w:p w14:paraId="2C6A193F">
                  <w:pPr>
                    <w:pStyle w:val="82"/>
                    <w:spacing w:before="0" w:beforeAutospacing="0" w:after="0" w:afterAutospacing="0" w:line="240" w:lineRule="auto"/>
                    <w:ind w:left="0" w:right="0"/>
                    <w:rPr>
                      <w:color w:val="auto"/>
                    </w:rPr>
                  </w:pPr>
                  <w:r>
                    <w:rPr>
                      <w:color w:val="auto"/>
                    </w:rPr>
                    <w:t>序号</w:t>
                  </w:r>
                </w:p>
              </w:tc>
              <w:tc>
                <w:tcPr>
                  <w:tcW w:w="2983" w:type="pct"/>
                  <w:tcBorders>
                    <w:tl2br w:val="nil"/>
                    <w:tr2bl w:val="nil"/>
                  </w:tcBorders>
                  <w:tcMar>
                    <w:top w:w="0" w:type="dxa"/>
                    <w:left w:w="108" w:type="dxa"/>
                    <w:bottom w:w="0" w:type="dxa"/>
                    <w:right w:w="108" w:type="dxa"/>
                  </w:tcMar>
                  <w:vAlign w:val="center"/>
                </w:tcPr>
                <w:p w14:paraId="5DAF8CC5">
                  <w:pPr>
                    <w:pStyle w:val="82"/>
                    <w:spacing w:before="0" w:beforeAutospacing="0" w:after="0" w:afterAutospacing="0" w:line="240" w:lineRule="auto"/>
                    <w:ind w:left="0" w:right="0"/>
                    <w:rPr>
                      <w:color w:val="auto"/>
                    </w:rPr>
                  </w:pPr>
                  <w:r>
                    <w:rPr>
                      <w:color w:val="auto"/>
                    </w:rPr>
                    <w:t>准入要求</w:t>
                  </w:r>
                </w:p>
              </w:tc>
              <w:tc>
                <w:tcPr>
                  <w:tcW w:w="720" w:type="pct"/>
                  <w:tcBorders>
                    <w:tl2br w:val="nil"/>
                    <w:tr2bl w:val="nil"/>
                  </w:tcBorders>
                  <w:vAlign w:val="center"/>
                </w:tcPr>
                <w:p w14:paraId="76B16B97">
                  <w:pPr>
                    <w:pStyle w:val="82"/>
                    <w:spacing w:before="0" w:beforeAutospacing="0" w:after="0" w:afterAutospacing="0" w:line="240" w:lineRule="auto"/>
                    <w:ind w:left="0" w:right="0"/>
                    <w:rPr>
                      <w:color w:val="auto"/>
                    </w:rPr>
                  </w:pPr>
                  <w:r>
                    <w:rPr>
                      <w:color w:val="auto"/>
                    </w:rPr>
                    <w:t>本项目是否准入</w:t>
                  </w:r>
                </w:p>
              </w:tc>
            </w:tr>
            <w:tr w14:paraId="70D0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restart"/>
                  <w:tcBorders>
                    <w:tl2br w:val="nil"/>
                    <w:tr2bl w:val="nil"/>
                  </w:tcBorders>
                  <w:tcMar>
                    <w:top w:w="0" w:type="dxa"/>
                    <w:left w:w="108" w:type="dxa"/>
                    <w:bottom w:w="0" w:type="dxa"/>
                    <w:right w:w="108" w:type="dxa"/>
                  </w:tcMar>
                  <w:vAlign w:val="center"/>
                </w:tcPr>
                <w:p w14:paraId="29808E2A">
                  <w:pPr>
                    <w:pStyle w:val="83"/>
                    <w:spacing w:before="0" w:beforeAutospacing="0" w:after="0" w:afterAutospacing="0" w:line="240" w:lineRule="auto"/>
                    <w:ind w:left="0" w:leftChars="0" w:right="0" w:rightChars="0"/>
                    <w:rPr>
                      <w:color w:val="auto"/>
                    </w:rPr>
                  </w:pPr>
                  <w:r>
                    <w:rPr>
                      <w:color w:val="auto"/>
                    </w:rPr>
                    <w:t>空间布局约束</w:t>
                  </w:r>
                </w:p>
              </w:tc>
              <w:tc>
                <w:tcPr>
                  <w:tcW w:w="652" w:type="pct"/>
                  <w:vMerge w:val="restart"/>
                  <w:tcBorders>
                    <w:tl2br w:val="nil"/>
                    <w:tr2bl w:val="nil"/>
                  </w:tcBorders>
                  <w:tcMar>
                    <w:top w:w="0" w:type="dxa"/>
                    <w:left w:w="108" w:type="dxa"/>
                    <w:bottom w:w="0" w:type="dxa"/>
                    <w:right w:w="108" w:type="dxa"/>
                  </w:tcMar>
                  <w:vAlign w:val="center"/>
                </w:tcPr>
                <w:p w14:paraId="7ABAE2E9">
                  <w:pPr>
                    <w:pStyle w:val="83"/>
                    <w:spacing w:before="0" w:beforeAutospacing="0" w:after="0" w:afterAutospacing="0" w:line="240" w:lineRule="auto"/>
                    <w:ind w:left="0" w:leftChars="0" w:right="0" w:rightChars="0"/>
                    <w:rPr>
                      <w:color w:val="auto"/>
                    </w:rPr>
                  </w:pPr>
                  <w:r>
                    <w:rPr>
                      <w:color w:val="auto"/>
                    </w:rPr>
                    <w:t>禁止开发建设活动的要求</w:t>
                  </w:r>
                </w:p>
              </w:tc>
              <w:tc>
                <w:tcPr>
                  <w:tcW w:w="322" w:type="pct"/>
                  <w:vMerge w:val="restart"/>
                  <w:tcBorders>
                    <w:tl2br w:val="nil"/>
                    <w:tr2bl w:val="nil"/>
                  </w:tcBorders>
                  <w:tcMar>
                    <w:top w:w="0" w:type="dxa"/>
                    <w:left w:w="108" w:type="dxa"/>
                    <w:bottom w:w="0" w:type="dxa"/>
                    <w:right w:w="108" w:type="dxa"/>
                  </w:tcMar>
                  <w:vAlign w:val="center"/>
                </w:tcPr>
                <w:p w14:paraId="6619E48B">
                  <w:pPr>
                    <w:pStyle w:val="83"/>
                    <w:spacing w:before="0" w:beforeAutospacing="0" w:after="0" w:afterAutospacing="0" w:line="240" w:lineRule="auto"/>
                    <w:ind w:left="0" w:leftChars="0" w:right="0" w:rightChars="0"/>
                    <w:rPr>
                      <w:color w:val="auto"/>
                    </w:rPr>
                  </w:pPr>
                  <w:r>
                    <w:rPr>
                      <w:color w:val="auto"/>
                    </w:rPr>
                    <w:t>1</w:t>
                  </w:r>
                </w:p>
              </w:tc>
              <w:tc>
                <w:tcPr>
                  <w:tcW w:w="2983" w:type="pct"/>
                  <w:tcBorders>
                    <w:tl2br w:val="nil"/>
                    <w:tr2bl w:val="nil"/>
                  </w:tcBorders>
                  <w:tcMar>
                    <w:top w:w="0" w:type="dxa"/>
                    <w:left w:w="108" w:type="dxa"/>
                    <w:bottom w:w="0" w:type="dxa"/>
                    <w:right w:w="108" w:type="dxa"/>
                  </w:tcMar>
                  <w:vAlign w:val="center"/>
                </w:tcPr>
                <w:p w14:paraId="23EB52D5">
                  <w:pPr>
                    <w:pStyle w:val="83"/>
                    <w:spacing w:before="0" w:beforeAutospacing="0" w:after="0" w:afterAutospacing="0" w:line="240" w:lineRule="auto"/>
                    <w:ind w:left="0" w:leftChars="0" w:right="0" w:rightChars="0"/>
                    <w:rPr>
                      <w:color w:val="auto"/>
                    </w:rPr>
                  </w:pPr>
                  <w:r>
                    <w:rPr>
                      <w:color w:val="auto"/>
                    </w:rPr>
                    <w:t>禁止新建、改扩建《产业结构调整指导目录》规定的淘汰类产业。</w:t>
                  </w:r>
                </w:p>
              </w:tc>
              <w:tc>
                <w:tcPr>
                  <w:tcW w:w="720" w:type="pct"/>
                  <w:tcBorders>
                    <w:tl2br w:val="nil"/>
                    <w:tr2bl w:val="nil"/>
                  </w:tcBorders>
                  <w:vAlign w:val="center"/>
                </w:tcPr>
                <w:p w14:paraId="3D484CEC">
                  <w:pPr>
                    <w:pStyle w:val="83"/>
                    <w:spacing w:before="0" w:beforeAutospacing="0" w:after="0" w:afterAutospacing="0" w:line="240" w:lineRule="auto"/>
                    <w:ind w:left="0" w:leftChars="0" w:right="0" w:rightChars="0"/>
                    <w:rPr>
                      <w:color w:val="auto"/>
                    </w:rPr>
                  </w:pPr>
                  <w:r>
                    <w:rPr>
                      <w:color w:val="auto"/>
                    </w:rPr>
                    <w:t>根据《产业结构调整指导名录（20</w:t>
                  </w:r>
                  <w:r>
                    <w:rPr>
                      <w:rFonts w:hint="eastAsia"/>
                      <w:color w:val="auto"/>
                    </w:rPr>
                    <w:t>24</w:t>
                  </w:r>
                  <w:r>
                    <w:rPr>
                      <w:color w:val="auto"/>
                    </w:rPr>
                    <w:t>年本）》，本项目</w:t>
                  </w:r>
                  <w:r>
                    <w:rPr>
                      <w:rFonts w:hint="eastAsia"/>
                      <w:color w:val="auto"/>
                    </w:rPr>
                    <w:t>生产产品</w:t>
                  </w:r>
                  <w:r>
                    <w:rPr>
                      <w:rFonts w:hint="eastAsia"/>
                      <w:color w:val="auto"/>
                      <w:lang w:val="en-US" w:eastAsia="zh-CN"/>
                    </w:rPr>
                    <w:t>为</w:t>
                  </w:r>
                  <w:r>
                    <w:rPr>
                      <w:rFonts w:hint="eastAsia"/>
                      <w:color w:val="auto"/>
                    </w:rPr>
                    <w:t>钕铁硼磁钢成品</w:t>
                  </w:r>
                  <w:r>
                    <w:rPr>
                      <w:color w:val="auto"/>
                    </w:rPr>
                    <w:t>属</w:t>
                  </w:r>
                  <w:r>
                    <w:rPr>
                      <w:rFonts w:hint="eastAsia"/>
                      <w:color w:val="auto"/>
                    </w:rPr>
                    <w:t>鼓励类，</w:t>
                  </w:r>
                  <w:r>
                    <w:rPr>
                      <w:color w:val="auto"/>
                    </w:rPr>
                    <w:t>准入</w:t>
                  </w:r>
                </w:p>
              </w:tc>
            </w:tr>
            <w:tr w14:paraId="1683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34F79367">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7F459D8E">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09F6ACFD">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33DDEA28">
                  <w:pPr>
                    <w:pStyle w:val="83"/>
                    <w:spacing w:before="0" w:beforeAutospacing="0" w:after="0" w:afterAutospacing="0" w:line="240" w:lineRule="auto"/>
                    <w:ind w:left="0" w:leftChars="0" w:right="0" w:rightChars="0"/>
                    <w:rPr>
                      <w:color w:val="auto"/>
                    </w:rPr>
                  </w:pPr>
                  <w:r>
                    <w:rPr>
                      <w:color w:val="auto"/>
                    </w:rPr>
                    <w:t>2、大余县、上犹县、崇义县、龙南市、全南县、定南县、安远县和寻乌县禁止新建、改扩建江西省国家重点生态功能区产业准入负面清单（第一批）中禁止类项目；石城县禁止新建、改扩建江西省国家重点生态功能区产业准入负面清单（第二批）中禁止类项目。</w:t>
                  </w:r>
                </w:p>
              </w:tc>
              <w:tc>
                <w:tcPr>
                  <w:tcW w:w="720" w:type="pct"/>
                  <w:tcBorders>
                    <w:tl2br w:val="nil"/>
                    <w:tr2bl w:val="nil"/>
                  </w:tcBorders>
                  <w:vAlign w:val="center"/>
                </w:tcPr>
                <w:p w14:paraId="69D074F3">
                  <w:pPr>
                    <w:pStyle w:val="83"/>
                    <w:spacing w:before="0" w:beforeAutospacing="0" w:after="0" w:afterAutospacing="0" w:line="240" w:lineRule="auto"/>
                    <w:ind w:left="0" w:leftChars="0" w:right="0" w:rightChars="0"/>
                    <w:rPr>
                      <w:color w:val="auto"/>
                    </w:rPr>
                  </w:pPr>
                  <w:r>
                    <w:rPr>
                      <w:color w:val="auto"/>
                    </w:rPr>
                    <w:t>准入</w:t>
                  </w:r>
                </w:p>
              </w:tc>
            </w:tr>
            <w:tr w14:paraId="597F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17EFAE30">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5AD82FD5">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5317165B">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255FB6A4">
                  <w:pPr>
                    <w:pStyle w:val="83"/>
                    <w:spacing w:before="0" w:beforeAutospacing="0" w:after="0" w:afterAutospacing="0" w:line="240" w:lineRule="auto"/>
                    <w:ind w:left="0" w:leftChars="0" w:right="0" w:rightChars="0"/>
                    <w:rPr>
                      <w:color w:val="auto"/>
                    </w:rPr>
                  </w:pPr>
                  <w:r>
                    <w:rPr>
                      <w:color w:val="auto"/>
                    </w:rPr>
                    <w:t>3、</w:t>
                  </w:r>
                  <w:r>
                    <w:rPr>
                      <w:rFonts w:hint="eastAsia"/>
                      <w:color w:val="auto"/>
                    </w:rPr>
                    <w:t>禁止在长江干支流、重要湖泊岸线一公里范围内新建、扩建化工园区和化工项目。东江（定南水）源、东江（寻乌水）源、赣江（章江）源、赣江（贡江）源源头保护区内禁止新建污染企业等不符合源头保护区生态功能定位的活动。</w:t>
                  </w:r>
                </w:p>
              </w:tc>
              <w:tc>
                <w:tcPr>
                  <w:tcW w:w="720" w:type="pct"/>
                  <w:tcBorders>
                    <w:tl2br w:val="nil"/>
                    <w:tr2bl w:val="nil"/>
                  </w:tcBorders>
                  <w:vAlign w:val="center"/>
                </w:tcPr>
                <w:p w14:paraId="3D04F6E0">
                  <w:pPr>
                    <w:pStyle w:val="83"/>
                    <w:spacing w:before="0" w:beforeAutospacing="0" w:after="0" w:afterAutospacing="0" w:line="240" w:lineRule="auto"/>
                    <w:ind w:left="0" w:leftChars="0" w:right="0" w:rightChars="0"/>
                    <w:rPr>
                      <w:color w:val="auto"/>
                    </w:rPr>
                  </w:pPr>
                  <w:r>
                    <w:rPr>
                      <w:color w:val="auto"/>
                    </w:rPr>
                    <w:t>不属于此类项目，准入</w:t>
                  </w:r>
                </w:p>
              </w:tc>
            </w:tr>
            <w:tr w14:paraId="749B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45F7917E">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287EA5F3">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4866C982">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6056C91C">
                  <w:pPr>
                    <w:pStyle w:val="83"/>
                    <w:spacing w:before="0" w:beforeAutospacing="0" w:after="0" w:afterAutospacing="0" w:line="240" w:lineRule="auto"/>
                    <w:ind w:left="0" w:leftChars="0" w:right="0" w:rightChars="0"/>
                    <w:rPr>
                      <w:color w:val="auto"/>
                    </w:rPr>
                  </w:pPr>
                  <w:r>
                    <w:rPr>
                      <w:color w:val="auto"/>
                    </w:rPr>
                    <w:t>4、不得引进产业规划禁止类项目进入园区。</w:t>
                  </w:r>
                </w:p>
              </w:tc>
              <w:tc>
                <w:tcPr>
                  <w:tcW w:w="720" w:type="pct"/>
                  <w:tcBorders>
                    <w:tl2br w:val="nil"/>
                    <w:tr2bl w:val="nil"/>
                  </w:tcBorders>
                  <w:vAlign w:val="center"/>
                </w:tcPr>
                <w:p w14:paraId="61FD995B">
                  <w:pPr>
                    <w:pStyle w:val="83"/>
                    <w:spacing w:before="0" w:beforeAutospacing="0" w:after="0" w:afterAutospacing="0" w:line="240" w:lineRule="auto"/>
                    <w:ind w:left="0" w:leftChars="0" w:right="0" w:rightChars="0"/>
                    <w:rPr>
                      <w:color w:val="auto"/>
                    </w:rPr>
                  </w:pPr>
                  <w:r>
                    <w:rPr>
                      <w:color w:val="auto"/>
                    </w:rPr>
                    <w:t>不属于此类项目，准入</w:t>
                  </w:r>
                </w:p>
              </w:tc>
            </w:tr>
            <w:tr w14:paraId="4BB2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1C022AE7">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5EA45364">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2887792E">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4C4EA3F3">
                  <w:pPr>
                    <w:pStyle w:val="83"/>
                    <w:spacing w:before="0" w:beforeAutospacing="0" w:after="0" w:afterAutospacing="0" w:line="240" w:lineRule="auto"/>
                    <w:ind w:left="0" w:leftChars="0" w:right="0" w:rightChars="0"/>
                    <w:rPr>
                      <w:color w:val="auto"/>
                    </w:rPr>
                  </w:pPr>
                  <w:r>
                    <w:rPr>
                      <w:color w:val="auto"/>
                    </w:rPr>
                    <w:t>5、禁养区内禁止建设规模化养殖场或养殖小区。</w:t>
                  </w:r>
                </w:p>
              </w:tc>
              <w:tc>
                <w:tcPr>
                  <w:tcW w:w="720" w:type="pct"/>
                  <w:tcBorders>
                    <w:tl2br w:val="nil"/>
                    <w:tr2bl w:val="nil"/>
                  </w:tcBorders>
                  <w:vAlign w:val="center"/>
                </w:tcPr>
                <w:p w14:paraId="7E3E74FE">
                  <w:pPr>
                    <w:pStyle w:val="83"/>
                    <w:spacing w:before="0" w:beforeAutospacing="0" w:after="0" w:afterAutospacing="0" w:line="240" w:lineRule="auto"/>
                    <w:ind w:left="0" w:leftChars="0" w:right="0" w:rightChars="0"/>
                    <w:rPr>
                      <w:color w:val="auto"/>
                    </w:rPr>
                  </w:pPr>
                  <w:r>
                    <w:rPr>
                      <w:color w:val="auto"/>
                    </w:rPr>
                    <w:t>不属于此类项目，准入</w:t>
                  </w:r>
                </w:p>
              </w:tc>
            </w:tr>
            <w:tr w14:paraId="2BFC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53220558">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075C956B">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7BD98A52">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119957B9">
                  <w:pPr>
                    <w:pStyle w:val="83"/>
                    <w:spacing w:before="0" w:beforeAutospacing="0" w:after="0" w:afterAutospacing="0" w:line="240" w:lineRule="auto"/>
                    <w:ind w:left="0" w:leftChars="0" w:right="0" w:rightChars="0"/>
                    <w:rPr>
                      <w:color w:val="auto"/>
                    </w:rPr>
                  </w:pPr>
                  <w:r>
                    <w:rPr>
                      <w:color w:val="auto"/>
                    </w:rPr>
                    <w:t>6、</w:t>
                  </w:r>
                  <w:r>
                    <w:rPr>
                      <w:rFonts w:hint="eastAsia"/>
                      <w:color w:val="auto"/>
                    </w:rPr>
                    <w:t>生态保护红线内，自然保护地核心保护区原则上禁止人为活动；自然保护地核心保护区外，禁止开发性、生产性建设活动，在符合法律法规前提下，仅允许对生态功能不造成破坏的9类有限人为活动。生态保护红线内允许的有限人为活动，应当征求相关主管部门或具有审批权限的相关机构的意见。</w:t>
                  </w:r>
                </w:p>
              </w:tc>
              <w:tc>
                <w:tcPr>
                  <w:tcW w:w="720" w:type="pct"/>
                  <w:tcBorders>
                    <w:tl2br w:val="nil"/>
                    <w:tr2bl w:val="nil"/>
                  </w:tcBorders>
                  <w:vAlign w:val="center"/>
                </w:tcPr>
                <w:p w14:paraId="1D143070">
                  <w:pPr>
                    <w:pStyle w:val="83"/>
                    <w:spacing w:before="0" w:beforeAutospacing="0" w:after="0" w:afterAutospacing="0" w:line="240" w:lineRule="auto"/>
                    <w:ind w:left="0" w:leftChars="0" w:right="0" w:rightChars="0"/>
                    <w:rPr>
                      <w:color w:val="auto"/>
                    </w:rPr>
                  </w:pPr>
                  <w:r>
                    <w:rPr>
                      <w:color w:val="auto"/>
                    </w:rPr>
                    <w:t>不属于此类项目，准入</w:t>
                  </w:r>
                </w:p>
              </w:tc>
            </w:tr>
            <w:tr w14:paraId="0E1D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restart"/>
                  <w:tcBorders>
                    <w:tl2br w:val="nil"/>
                    <w:tr2bl w:val="nil"/>
                  </w:tcBorders>
                  <w:tcMar>
                    <w:top w:w="0" w:type="dxa"/>
                    <w:left w:w="108" w:type="dxa"/>
                    <w:bottom w:w="0" w:type="dxa"/>
                    <w:right w:w="108" w:type="dxa"/>
                  </w:tcMar>
                  <w:vAlign w:val="center"/>
                </w:tcPr>
                <w:p w14:paraId="3255D5FD">
                  <w:pPr>
                    <w:pStyle w:val="83"/>
                    <w:spacing w:before="0" w:beforeAutospacing="0" w:after="0" w:afterAutospacing="0" w:line="240" w:lineRule="auto"/>
                    <w:ind w:left="0" w:leftChars="0" w:right="0" w:rightChars="0"/>
                    <w:rPr>
                      <w:color w:val="auto"/>
                    </w:rPr>
                  </w:pPr>
                  <w:r>
                    <w:rPr>
                      <w:color w:val="auto"/>
                    </w:rPr>
                    <w:t>空间布局约束</w:t>
                  </w:r>
                </w:p>
              </w:tc>
              <w:tc>
                <w:tcPr>
                  <w:tcW w:w="652" w:type="pct"/>
                  <w:vMerge w:val="restart"/>
                  <w:tcBorders>
                    <w:tl2br w:val="nil"/>
                    <w:tr2bl w:val="nil"/>
                  </w:tcBorders>
                  <w:tcMar>
                    <w:top w:w="0" w:type="dxa"/>
                    <w:left w:w="108" w:type="dxa"/>
                    <w:bottom w:w="0" w:type="dxa"/>
                    <w:right w:w="108" w:type="dxa"/>
                  </w:tcMar>
                  <w:vAlign w:val="center"/>
                </w:tcPr>
                <w:p w14:paraId="72C74E47">
                  <w:pPr>
                    <w:pStyle w:val="83"/>
                    <w:spacing w:before="0" w:beforeAutospacing="0" w:after="0" w:afterAutospacing="0" w:line="240" w:lineRule="auto"/>
                    <w:ind w:left="0" w:leftChars="0" w:right="0" w:rightChars="0"/>
                    <w:rPr>
                      <w:color w:val="auto"/>
                    </w:rPr>
                  </w:pPr>
                  <w:r>
                    <w:rPr>
                      <w:color w:val="auto"/>
                    </w:rPr>
                    <w:t>限制开发建设活动的要求</w:t>
                  </w:r>
                </w:p>
              </w:tc>
              <w:tc>
                <w:tcPr>
                  <w:tcW w:w="322" w:type="pct"/>
                  <w:tcBorders>
                    <w:tl2br w:val="nil"/>
                    <w:tr2bl w:val="nil"/>
                  </w:tcBorders>
                  <w:tcMar>
                    <w:top w:w="0" w:type="dxa"/>
                    <w:left w:w="108" w:type="dxa"/>
                    <w:bottom w:w="0" w:type="dxa"/>
                    <w:right w:w="108" w:type="dxa"/>
                  </w:tcMar>
                  <w:vAlign w:val="center"/>
                </w:tcPr>
                <w:p w14:paraId="024E4F6B">
                  <w:pPr>
                    <w:pStyle w:val="83"/>
                    <w:spacing w:before="0" w:beforeAutospacing="0" w:after="0" w:afterAutospacing="0" w:line="240" w:lineRule="auto"/>
                    <w:ind w:left="0" w:leftChars="0" w:right="0" w:rightChars="0"/>
                    <w:rPr>
                      <w:color w:val="auto"/>
                    </w:rPr>
                  </w:pPr>
                  <w:r>
                    <w:rPr>
                      <w:color w:val="auto"/>
                    </w:rPr>
                    <w:t>2</w:t>
                  </w:r>
                </w:p>
              </w:tc>
              <w:tc>
                <w:tcPr>
                  <w:tcW w:w="2983" w:type="pct"/>
                  <w:tcBorders>
                    <w:tl2br w:val="nil"/>
                    <w:tr2bl w:val="nil"/>
                  </w:tcBorders>
                  <w:tcMar>
                    <w:top w:w="0" w:type="dxa"/>
                    <w:left w:w="108" w:type="dxa"/>
                    <w:bottom w:w="0" w:type="dxa"/>
                    <w:right w:w="108" w:type="dxa"/>
                  </w:tcMar>
                  <w:vAlign w:val="center"/>
                </w:tcPr>
                <w:p w14:paraId="531EE70A">
                  <w:pPr>
                    <w:pStyle w:val="83"/>
                    <w:spacing w:before="0" w:beforeAutospacing="0" w:after="0" w:afterAutospacing="0" w:line="240" w:lineRule="auto"/>
                    <w:ind w:left="0" w:leftChars="0" w:right="0" w:rightChars="0"/>
                    <w:rPr>
                      <w:color w:val="auto"/>
                    </w:rPr>
                  </w:pPr>
                  <w:r>
                    <w:rPr>
                      <w:color w:val="auto"/>
                    </w:rPr>
                    <w:t>不得新建规模不符合各行业准入条件的项目。</w:t>
                  </w:r>
                </w:p>
              </w:tc>
              <w:tc>
                <w:tcPr>
                  <w:tcW w:w="720" w:type="pct"/>
                  <w:tcBorders>
                    <w:tl2br w:val="nil"/>
                    <w:tr2bl w:val="nil"/>
                  </w:tcBorders>
                  <w:vAlign w:val="center"/>
                </w:tcPr>
                <w:p w14:paraId="01B6657F">
                  <w:pPr>
                    <w:pStyle w:val="83"/>
                    <w:spacing w:before="0" w:beforeAutospacing="0" w:after="0" w:afterAutospacing="0" w:line="240" w:lineRule="auto"/>
                    <w:ind w:left="0" w:leftChars="0" w:right="0" w:rightChars="0"/>
                    <w:rPr>
                      <w:color w:val="auto"/>
                    </w:rPr>
                  </w:pPr>
                  <w:r>
                    <w:rPr>
                      <w:color w:val="auto"/>
                    </w:rPr>
                    <w:t>不属于此类项目，准入</w:t>
                  </w:r>
                </w:p>
              </w:tc>
            </w:tr>
            <w:tr w14:paraId="1F67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6DB80785">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14636EA9">
                  <w:pPr>
                    <w:pStyle w:val="83"/>
                    <w:spacing w:before="0" w:beforeAutospacing="0" w:after="0" w:afterAutospacing="0" w:line="240" w:lineRule="auto"/>
                    <w:ind w:left="0" w:leftChars="0" w:right="0" w:rightChars="0"/>
                    <w:rPr>
                      <w:color w:val="auto"/>
                    </w:rPr>
                  </w:pPr>
                </w:p>
              </w:tc>
              <w:tc>
                <w:tcPr>
                  <w:tcW w:w="322" w:type="pct"/>
                  <w:tcBorders>
                    <w:tl2br w:val="nil"/>
                    <w:tr2bl w:val="nil"/>
                  </w:tcBorders>
                  <w:tcMar>
                    <w:top w:w="0" w:type="dxa"/>
                    <w:left w:w="108" w:type="dxa"/>
                    <w:bottom w:w="0" w:type="dxa"/>
                    <w:right w:w="108" w:type="dxa"/>
                  </w:tcMar>
                  <w:vAlign w:val="center"/>
                </w:tcPr>
                <w:p w14:paraId="747ADBA3">
                  <w:pPr>
                    <w:pStyle w:val="83"/>
                    <w:spacing w:before="0" w:beforeAutospacing="0" w:after="0" w:afterAutospacing="0" w:line="240" w:lineRule="auto"/>
                    <w:ind w:left="0" w:leftChars="0" w:right="0" w:rightChars="0"/>
                    <w:rPr>
                      <w:color w:val="auto"/>
                    </w:rPr>
                  </w:pPr>
                  <w:r>
                    <w:rPr>
                      <w:color w:val="auto"/>
                    </w:rPr>
                    <w:t>3</w:t>
                  </w:r>
                </w:p>
              </w:tc>
              <w:tc>
                <w:tcPr>
                  <w:tcW w:w="2983" w:type="pct"/>
                  <w:tcBorders>
                    <w:tl2br w:val="nil"/>
                    <w:tr2bl w:val="nil"/>
                  </w:tcBorders>
                  <w:tcMar>
                    <w:top w:w="0" w:type="dxa"/>
                    <w:left w:w="108" w:type="dxa"/>
                    <w:bottom w:w="0" w:type="dxa"/>
                    <w:right w:w="108" w:type="dxa"/>
                  </w:tcMar>
                  <w:vAlign w:val="center"/>
                </w:tcPr>
                <w:p w14:paraId="111F0550">
                  <w:pPr>
                    <w:pStyle w:val="83"/>
                    <w:spacing w:before="0" w:beforeAutospacing="0" w:after="0" w:afterAutospacing="0" w:line="240" w:lineRule="auto"/>
                    <w:ind w:left="0" w:leftChars="0" w:right="0" w:rightChars="0"/>
                    <w:rPr>
                      <w:color w:val="auto"/>
                    </w:rPr>
                  </w:pPr>
                  <w:r>
                    <w:rPr>
                      <w:color w:val="auto"/>
                    </w:rPr>
                    <w:t>不得新建《国家淘汰落后生产能力、工艺和产品的目录》等名录中淘汰工艺和装备。</w:t>
                  </w:r>
                </w:p>
              </w:tc>
              <w:tc>
                <w:tcPr>
                  <w:tcW w:w="720" w:type="pct"/>
                  <w:tcBorders>
                    <w:tl2br w:val="nil"/>
                    <w:tr2bl w:val="nil"/>
                  </w:tcBorders>
                  <w:vAlign w:val="center"/>
                </w:tcPr>
                <w:p w14:paraId="6FE45372">
                  <w:pPr>
                    <w:pStyle w:val="83"/>
                    <w:spacing w:before="0" w:beforeAutospacing="0" w:after="0" w:afterAutospacing="0" w:line="240" w:lineRule="auto"/>
                    <w:ind w:left="0" w:leftChars="0" w:right="0" w:rightChars="0"/>
                    <w:rPr>
                      <w:color w:val="auto"/>
                    </w:rPr>
                  </w:pPr>
                  <w:r>
                    <w:rPr>
                      <w:color w:val="auto"/>
                    </w:rPr>
                    <w:t>不属于此类项目，准入</w:t>
                  </w:r>
                </w:p>
              </w:tc>
            </w:tr>
            <w:tr w14:paraId="6A75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45F7F70F">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151224D1">
                  <w:pPr>
                    <w:pStyle w:val="83"/>
                    <w:spacing w:before="0" w:beforeAutospacing="0" w:after="0" w:afterAutospacing="0" w:line="240" w:lineRule="auto"/>
                    <w:ind w:left="0" w:leftChars="0" w:right="0" w:rightChars="0"/>
                    <w:rPr>
                      <w:color w:val="auto"/>
                    </w:rPr>
                  </w:pPr>
                </w:p>
              </w:tc>
              <w:tc>
                <w:tcPr>
                  <w:tcW w:w="322" w:type="pct"/>
                  <w:vMerge w:val="restart"/>
                  <w:tcBorders>
                    <w:tl2br w:val="nil"/>
                    <w:tr2bl w:val="nil"/>
                  </w:tcBorders>
                  <w:tcMar>
                    <w:top w:w="0" w:type="dxa"/>
                    <w:left w:w="108" w:type="dxa"/>
                    <w:bottom w:w="0" w:type="dxa"/>
                    <w:right w:w="108" w:type="dxa"/>
                  </w:tcMar>
                  <w:vAlign w:val="center"/>
                </w:tcPr>
                <w:p w14:paraId="14043ABC">
                  <w:pPr>
                    <w:pStyle w:val="83"/>
                    <w:spacing w:before="0" w:beforeAutospacing="0" w:after="0" w:afterAutospacing="0" w:line="240" w:lineRule="auto"/>
                    <w:ind w:left="0" w:leftChars="0" w:right="0" w:rightChars="0"/>
                    <w:rPr>
                      <w:color w:val="auto"/>
                    </w:rPr>
                  </w:pPr>
                  <w:r>
                    <w:rPr>
                      <w:color w:val="auto"/>
                    </w:rPr>
                    <w:t>4</w:t>
                  </w:r>
                </w:p>
              </w:tc>
              <w:tc>
                <w:tcPr>
                  <w:tcW w:w="2983" w:type="pct"/>
                  <w:tcBorders>
                    <w:tl2br w:val="nil"/>
                    <w:tr2bl w:val="nil"/>
                  </w:tcBorders>
                  <w:tcMar>
                    <w:top w:w="0" w:type="dxa"/>
                    <w:left w:w="108" w:type="dxa"/>
                    <w:bottom w:w="0" w:type="dxa"/>
                    <w:right w:w="108" w:type="dxa"/>
                  </w:tcMar>
                  <w:vAlign w:val="center"/>
                </w:tcPr>
                <w:p w14:paraId="043D6CFF">
                  <w:pPr>
                    <w:pStyle w:val="83"/>
                    <w:spacing w:before="0" w:beforeAutospacing="0" w:after="0" w:afterAutospacing="0" w:line="240" w:lineRule="auto"/>
                    <w:ind w:left="0" w:leftChars="0" w:right="0" w:rightChars="0"/>
                    <w:rPr>
                      <w:color w:val="auto"/>
                    </w:rPr>
                  </w:pPr>
                  <w:r>
                    <w:rPr>
                      <w:color w:val="auto"/>
                    </w:rPr>
                    <w:t>1、江西省国家重点生态功能区产业准入负面清单（第一批）中限制类项目，大余县、上犹县、崇义县、龙南市、全南县、定南县、安远县和寻乌县按准入条件建设；江西省国家重点生态功能区产业准入负面清单（第二批）中限制类项目，石城县按准入条件建设。</w:t>
                  </w:r>
                </w:p>
              </w:tc>
              <w:tc>
                <w:tcPr>
                  <w:tcW w:w="720" w:type="pct"/>
                  <w:tcBorders>
                    <w:tl2br w:val="nil"/>
                    <w:tr2bl w:val="nil"/>
                  </w:tcBorders>
                  <w:vAlign w:val="center"/>
                </w:tcPr>
                <w:p w14:paraId="5D6B4510">
                  <w:pPr>
                    <w:pStyle w:val="83"/>
                    <w:spacing w:before="0" w:beforeAutospacing="0" w:after="0" w:afterAutospacing="0" w:line="240" w:lineRule="auto"/>
                    <w:ind w:left="0" w:leftChars="0" w:right="0" w:rightChars="0"/>
                    <w:rPr>
                      <w:color w:val="auto"/>
                    </w:rPr>
                  </w:pPr>
                  <w:r>
                    <w:rPr>
                      <w:color w:val="auto"/>
                    </w:rPr>
                    <w:t>不属于此类项目，准入</w:t>
                  </w:r>
                </w:p>
              </w:tc>
            </w:tr>
            <w:tr w14:paraId="6B15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33B4148E">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75486794">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75DF0C97">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37FF1DB4">
                  <w:pPr>
                    <w:pStyle w:val="83"/>
                    <w:spacing w:before="0" w:beforeAutospacing="0" w:after="0" w:afterAutospacing="0" w:line="240" w:lineRule="auto"/>
                    <w:ind w:left="0" w:leftChars="0" w:right="0" w:rightChars="0"/>
                    <w:rPr>
                      <w:color w:val="auto"/>
                    </w:rPr>
                  </w:pPr>
                  <w:r>
                    <w:rPr>
                      <w:color w:val="auto"/>
                    </w:rPr>
                    <w:t>2、矿产资源禁止开采区：区内实行生态环境保护优先，原则上不得新设固体矿产的矿业权。对生态环境无影响或影响较小的地热、矿泉水等液体矿产，在征得相关部门同意后可设置矿业权。建立动态巡查和监管制度，有效防止违法违规采矿活动。</w:t>
                  </w:r>
                  <w:r>
                    <w:rPr>
                      <w:rFonts w:hint="eastAsia"/>
                      <w:color w:val="auto"/>
                    </w:rPr>
                    <w:t>/</w:t>
                  </w:r>
                </w:p>
              </w:tc>
              <w:tc>
                <w:tcPr>
                  <w:tcW w:w="720" w:type="pct"/>
                  <w:tcBorders>
                    <w:tl2br w:val="nil"/>
                    <w:tr2bl w:val="nil"/>
                  </w:tcBorders>
                  <w:vAlign w:val="center"/>
                </w:tcPr>
                <w:p w14:paraId="60291852">
                  <w:pPr>
                    <w:pStyle w:val="83"/>
                    <w:spacing w:before="0" w:beforeAutospacing="0" w:after="0" w:afterAutospacing="0" w:line="240" w:lineRule="auto"/>
                    <w:ind w:left="0" w:leftChars="0" w:right="0" w:rightChars="0"/>
                    <w:rPr>
                      <w:color w:val="auto"/>
                    </w:rPr>
                  </w:pPr>
                  <w:r>
                    <w:rPr>
                      <w:color w:val="auto"/>
                    </w:rPr>
                    <w:t>不属于此类项目，准入</w:t>
                  </w:r>
                  <w:r>
                    <w:rPr>
                      <w:rFonts w:hint="eastAsia"/>
                      <w:color w:val="auto"/>
                    </w:rPr>
                    <w:t>.</w:t>
                  </w:r>
                </w:p>
              </w:tc>
            </w:tr>
            <w:tr w14:paraId="1402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15396FE5">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78BF9C2D">
                  <w:pPr>
                    <w:pStyle w:val="83"/>
                    <w:spacing w:before="0" w:beforeAutospacing="0" w:after="0" w:afterAutospacing="0" w:line="240" w:lineRule="auto"/>
                    <w:ind w:left="0" w:leftChars="0" w:right="0" w:rightChars="0"/>
                    <w:rPr>
                      <w:color w:val="auto"/>
                    </w:rPr>
                  </w:pPr>
                </w:p>
              </w:tc>
              <w:tc>
                <w:tcPr>
                  <w:tcW w:w="322" w:type="pct"/>
                  <w:tcBorders>
                    <w:tl2br w:val="nil"/>
                    <w:tr2bl w:val="nil"/>
                  </w:tcBorders>
                  <w:tcMar>
                    <w:top w:w="0" w:type="dxa"/>
                    <w:left w:w="108" w:type="dxa"/>
                    <w:bottom w:w="0" w:type="dxa"/>
                    <w:right w:w="108" w:type="dxa"/>
                  </w:tcMar>
                  <w:vAlign w:val="center"/>
                </w:tcPr>
                <w:p w14:paraId="3589C01E">
                  <w:pPr>
                    <w:pStyle w:val="83"/>
                    <w:spacing w:before="0" w:beforeAutospacing="0" w:after="0" w:afterAutospacing="0" w:line="240" w:lineRule="auto"/>
                    <w:ind w:left="0" w:leftChars="0" w:right="0" w:rightChars="0"/>
                    <w:rPr>
                      <w:color w:val="auto"/>
                    </w:rPr>
                  </w:pPr>
                  <w:r>
                    <w:rPr>
                      <w:color w:val="auto"/>
                    </w:rPr>
                    <w:t>5</w:t>
                  </w:r>
                </w:p>
              </w:tc>
              <w:tc>
                <w:tcPr>
                  <w:tcW w:w="2983" w:type="pct"/>
                  <w:tcBorders>
                    <w:tl2br w:val="nil"/>
                    <w:tr2bl w:val="nil"/>
                  </w:tcBorders>
                  <w:tcMar>
                    <w:top w:w="0" w:type="dxa"/>
                    <w:left w:w="108" w:type="dxa"/>
                    <w:bottom w:w="0" w:type="dxa"/>
                    <w:right w:w="108" w:type="dxa"/>
                  </w:tcMar>
                  <w:vAlign w:val="center"/>
                </w:tcPr>
                <w:p w14:paraId="1D8FDA62">
                  <w:pPr>
                    <w:pStyle w:val="83"/>
                    <w:spacing w:before="0" w:beforeAutospacing="0" w:after="0" w:afterAutospacing="0" w:line="240" w:lineRule="auto"/>
                    <w:ind w:left="0" w:leftChars="0" w:right="0" w:rightChars="0"/>
                    <w:rPr>
                      <w:color w:val="auto"/>
                    </w:rPr>
                  </w:pPr>
                  <w:r>
                    <w:rPr>
                      <w:color w:val="auto"/>
                    </w:rPr>
                    <w:t>禁止在饮用水水源一级保护区内新建、改建、扩建与供水设施和保护水源无关的建设项目。</w:t>
                  </w:r>
                </w:p>
              </w:tc>
              <w:tc>
                <w:tcPr>
                  <w:tcW w:w="720" w:type="pct"/>
                  <w:tcBorders>
                    <w:tl2br w:val="nil"/>
                    <w:tr2bl w:val="nil"/>
                  </w:tcBorders>
                  <w:vAlign w:val="center"/>
                </w:tcPr>
                <w:p w14:paraId="7C42DEF7">
                  <w:pPr>
                    <w:pStyle w:val="83"/>
                    <w:spacing w:before="0" w:beforeAutospacing="0" w:after="0" w:afterAutospacing="0" w:line="240" w:lineRule="auto"/>
                    <w:ind w:left="0" w:leftChars="0" w:right="0" w:rightChars="0"/>
                    <w:rPr>
                      <w:color w:val="auto"/>
                    </w:rPr>
                  </w:pPr>
                  <w:r>
                    <w:rPr>
                      <w:color w:val="auto"/>
                    </w:rPr>
                    <w:t>不</w:t>
                  </w:r>
                  <w:r>
                    <w:rPr>
                      <w:rFonts w:hint="eastAsia"/>
                      <w:color w:val="auto"/>
                    </w:rPr>
                    <w:t>位于</w:t>
                  </w:r>
                  <w:r>
                    <w:rPr>
                      <w:color w:val="auto"/>
                    </w:rPr>
                    <w:t>饮用水水源一级保护区</w:t>
                  </w:r>
                  <w:r>
                    <w:rPr>
                      <w:rFonts w:hint="eastAsia"/>
                      <w:color w:val="auto"/>
                    </w:rPr>
                    <w:t>内</w:t>
                  </w:r>
                  <w:r>
                    <w:rPr>
                      <w:color w:val="auto"/>
                    </w:rPr>
                    <w:t>，准入</w:t>
                  </w:r>
                </w:p>
              </w:tc>
            </w:tr>
            <w:tr w14:paraId="1F06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742EF787">
                  <w:pPr>
                    <w:pStyle w:val="83"/>
                    <w:spacing w:before="0" w:beforeAutospacing="0" w:after="0" w:afterAutospacing="0" w:line="240" w:lineRule="auto"/>
                    <w:ind w:left="0" w:leftChars="0" w:right="0" w:rightChars="0"/>
                    <w:rPr>
                      <w:color w:val="auto"/>
                    </w:rPr>
                  </w:pPr>
                </w:p>
              </w:tc>
              <w:tc>
                <w:tcPr>
                  <w:tcW w:w="652" w:type="pct"/>
                  <w:vMerge w:val="restart"/>
                  <w:tcBorders>
                    <w:tl2br w:val="nil"/>
                    <w:tr2bl w:val="nil"/>
                  </w:tcBorders>
                  <w:tcMar>
                    <w:top w:w="0" w:type="dxa"/>
                    <w:left w:w="108" w:type="dxa"/>
                    <w:bottom w:w="0" w:type="dxa"/>
                    <w:right w:w="108" w:type="dxa"/>
                  </w:tcMar>
                  <w:vAlign w:val="center"/>
                </w:tcPr>
                <w:p w14:paraId="253E990B">
                  <w:pPr>
                    <w:pStyle w:val="83"/>
                    <w:spacing w:before="0" w:beforeAutospacing="0" w:after="0" w:afterAutospacing="0" w:line="240" w:lineRule="auto"/>
                    <w:ind w:left="0" w:leftChars="0" w:right="0" w:rightChars="0"/>
                    <w:rPr>
                      <w:color w:val="auto"/>
                    </w:rPr>
                  </w:pPr>
                  <w:r>
                    <w:rPr>
                      <w:color w:val="auto"/>
                    </w:rPr>
                    <w:t>不符合空间布局要求活动的退出要求</w:t>
                  </w:r>
                </w:p>
              </w:tc>
              <w:tc>
                <w:tcPr>
                  <w:tcW w:w="322" w:type="pct"/>
                  <w:vMerge w:val="restart"/>
                  <w:tcBorders>
                    <w:tl2br w:val="nil"/>
                    <w:tr2bl w:val="nil"/>
                  </w:tcBorders>
                  <w:tcMar>
                    <w:top w:w="0" w:type="dxa"/>
                    <w:left w:w="108" w:type="dxa"/>
                    <w:bottom w:w="0" w:type="dxa"/>
                    <w:right w:w="108" w:type="dxa"/>
                  </w:tcMar>
                  <w:vAlign w:val="center"/>
                </w:tcPr>
                <w:p w14:paraId="0C2ED3E8">
                  <w:pPr>
                    <w:pStyle w:val="83"/>
                    <w:spacing w:before="0" w:beforeAutospacing="0" w:after="0" w:afterAutospacing="0" w:line="240" w:lineRule="auto"/>
                    <w:ind w:left="0" w:leftChars="0" w:right="0" w:rightChars="0"/>
                    <w:rPr>
                      <w:color w:val="auto"/>
                    </w:rPr>
                  </w:pPr>
                  <w:r>
                    <w:rPr>
                      <w:color w:val="auto"/>
                    </w:rPr>
                    <w:t>6</w:t>
                  </w:r>
                </w:p>
              </w:tc>
              <w:tc>
                <w:tcPr>
                  <w:tcW w:w="2983" w:type="pct"/>
                  <w:tcBorders>
                    <w:tl2br w:val="nil"/>
                    <w:tr2bl w:val="nil"/>
                  </w:tcBorders>
                  <w:tcMar>
                    <w:top w:w="0" w:type="dxa"/>
                    <w:left w:w="108" w:type="dxa"/>
                    <w:bottom w:w="0" w:type="dxa"/>
                    <w:right w:w="108" w:type="dxa"/>
                  </w:tcMar>
                  <w:vAlign w:val="center"/>
                </w:tcPr>
                <w:p w14:paraId="3F33010A">
                  <w:pPr>
                    <w:pStyle w:val="83"/>
                    <w:spacing w:before="0" w:beforeAutospacing="0" w:after="0" w:afterAutospacing="0" w:line="240" w:lineRule="auto"/>
                    <w:ind w:left="0" w:leftChars="0" w:right="0" w:rightChars="0"/>
                    <w:rPr>
                      <w:color w:val="auto"/>
                    </w:rPr>
                  </w:pPr>
                  <w:r>
                    <w:rPr>
                      <w:rFonts w:hint="eastAsia"/>
                      <w:color w:val="auto"/>
                    </w:rPr>
                    <w:t>生态保护红线经国务院批准后，对需逐步有序退出的矿业权、建设用地、人工商品林、耕地等，按照尊重历史、实事求是、逐步退出的原则，报请省政府另行制定工作方案。</w:t>
                  </w:r>
                </w:p>
              </w:tc>
              <w:tc>
                <w:tcPr>
                  <w:tcW w:w="720" w:type="pct"/>
                  <w:tcBorders>
                    <w:tl2br w:val="nil"/>
                    <w:tr2bl w:val="nil"/>
                  </w:tcBorders>
                  <w:vAlign w:val="center"/>
                </w:tcPr>
                <w:p w14:paraId="3BC8E86B">
                  <w:pPr>
                    <w:pStyle w:val="83"/>
                    <w:spacing w:before="0" w:beforeAutospacing="0" w:after="0" w:afterAutospacing="0" w:line="240" w:lineRule="auto"/>
                    <w:ind w:left="0" w:leftChars="0" w:right="0" w:rightChars="0"/>
                    <w:rPr>
                      <w:color w:val="auto"/>
                    </w:rPr>
                  </w:pPr>
                  <w:r>
                    <w:rPr>
                      <w:color w:val="auto"/>
                    </w:rPr>
                    <w:t>不在生态红线内，准入</w:t>
                  </w:r>
                </w:p>
              </w:tc>
            </w:tr>
            <w:tr w14:paraId="43E6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0306B439">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23276E86">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2E447AD3">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4FCDDA92">
                  <w:pPr>
                    <w:pStyle w:val="83"/>
                    <w:spacing w:before="0" w:beforeAutospacing="0" w:after="0" w:afterAutospacing="0" w:line="240" w:lineRule="auto"/>
                    <w:ind w:left="0" w:leftChars="0" w:right="0" w:rightChars="0"/>
                    <w:rPr>
                      <w:color w:val="auto"/>
                    </w:rPr>
                  </w:pPr>
                  <w:r>
                    <w:rPr>
                      <w:color w:val="auto"/>
                    </w:rPr>
                    <w:t>2、现有饮用水水源一级保护区内与供水设施和保护水源无关的建设项目拆除或关闭。</w:t>
                  </w:r>
                </w:p>
              </w:tc>
              <w:tc>
                <w:tcPr>
                  <w:tcW w:w="720" w:type="pct"/>
                  <w:tcBorders>
                    <w:tl2br w:val="nil"/>
                    <w:tr2bl w:val="nil"/>
                  </w:tcBorders>
                  <w:vAlign w:val="center"/>
                </w:tcPr>
                <w:p w14:paraId="7E033F7A">
                  <w:pPr>
                    <w:pStyle w:val="83"/>
                    <w:spacing w:before="0" w:beforeAutospacing="0" w:after="0" w:afterAutospacing="0" w:line="240" w:lineRule="auto"/>
                    <w:ind w:left="0" w:leftChars="0" w:right="0" w:rightChars="0"/>
                    <w:rPr>
                      <w:color w:val="auto"/>
                    </w:rPr>
                  </w:pPr>
                  <w:r>
                    <w:rPr>
                      <w:color w:val="auto"/>
                    </w:rPr>
                    <w:t>不</w:t>
                  </w:r>
                  <w:r>
                    <w:rPr>
                      <w:rFonts w:hint="eastAsia"/>
                      <w:color w:val="auto"/>
                    </w:rPr>
                    <w:t>位于</w:t>
                  </w:r>
                  <w:r>
                    <w:rPr>
                      <w:color w:val="auto"/>
                    </w:rPr>
                    <w:t>饮用水水源一级保护区，准入</w:t>
                  </w:r>
                </w:p>
              </w:tc>
            </w:tr>
            <w:tr w14:paraId="3F97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6DDF70ED">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3ADD52BD">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26EBBAEB">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21C030E3">
                  <w:pPr>
                    <w:pStyle w:val="83"/>
                    <w:spacing w:before="0" w:beforeAutospacing="0" w:after="0" w:afterAutospacing="0" w:line="240" w:lineRule="auto"/>
                    <w:ind w:left="0" w:leftChars="0" w:right="0" w:rightChars="0"/>
                    <w:rPr>
                      <w:color w:val="auto"/>
                    </w:rPr>
                  </w:pPr>
                  <w:r>
                    <w:rPr>
                      <w:rFonts w:hint="eastAsia"/>
                      <w:color w:val="auto"/>
                    </w:rPr>
                    <w:t>/</w:t>
                  </w:r>
                </w:p>
              </w:tc>
              <w:tc>
                <w:tcPr>
                  <w:tcW w:w="720" w:type="pct"/>
                  <w:tcBorders>
                    <w:tl2br w:val="nil"/>
                    <w:tr2bl w:val="nil"/>
                  </w:tcBorders>
                  <w:vAlign w:val="center"/>
                </w:tcPr>
                <w:p w14:paraId="5FD5BCE7">
                  <w:pPr>
                    <w:pStyle w:val="83"/>
                    <w:spacing w:before="0" w:beforeAutospacing="0" w:after="0" w:afterAutospacing="0" w:line="240" w:lineRule="auto"/>
                    <w:ind w:left="0" w:leftChars="0" w:right="0" w:rightChars="0"/>
                    <w:rPr>
                      <w:color w:val="auto"/>
                    </w:rPr>
                  </w:pPr>
                  <w:r>
                    <w:rPr>
                      <w:rFonts w:hint="eastAsia"/>
                      <w:color w:val="auto"/>
                    </w:rPr>
                    <w:t>/</w:t>
                  </w:r>
                </w:p>
              </w:tc>
            </w:tr>
            <w:tr w14:paraId="4EA9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289592FC">
                  <w:pPr>
                    <w:pStyle w:val="83"/>
                    <w:spacing w:before="0" w:beforeAutospacing="0" w:after="0" w:afterAutospacing="0" w:line="240" w:lineRule="auto"/>
                    <w:ind w:left="0" w:leftChars="0" w:right="0" w:rightChars="0"/>
                    <w:rPr>
                      <w:color w:val="auto"/>
                    </w:rPr>
                  </w:pPr>
                </w:p>
              </w:tc>
              <w:tc>
                <w:tcPr>
                  <w:tcW w:w="652" w:type="pct"/>
                  <w:tcBorders>
                    <w:tl2br w:val="nil"/>
                    <w:tr2bl w:val="nil"/>
                  </w:tcBorders>
                  <w:vAlign w:val="center"/>
                </w:tcPr>
                <w:p w14:paraId="2173416F">
                  <w:pPr>
                    <w:pStyle w:val="83"/>
                    <w:spacing w:before="0" w:beforeAutospacing="0" w:after="0" w:afterAutospacing="0" w:line="240" w:lineRule="auto"/>
                    <w:ind w:left="0" w:leftChars="0" w:right="0" w:rightChars="0"/>
                    <w:rPr>
                      <w:color w:val="auto"/>
                    </w:rPr>
                  </w:pPr>
                  <w:r>
                    <w:rPr>
                      <w:rFonts w:hint="eastAsia"/>
                      <w:color w:val="auto"/>
                    </w:rPr>
                    <w:t>其他空间布局约束要求</w:t>
                  </w:r>
                </w:p>
              </w:tc>
              <w:tc>
                <w:tcPr>
                  <w:tcW w:w="322" w:type="pct"/>
                  <w:tcBorders>
                    <w:tl2br w:val="nil"/>
                    <w:tr2bl w:val="nil"/>
                  </w:tcBorders>
                  <w:vAlign w:val="center"/>
                </w:tcPr>
                <w:p w14:paraId="5235DBF6">
                  <w:pPr>
                    <w:pStyle w:val="83"/>
                    <w:spacing w:before="0" w:beforeAutospacing="0" w:after="0" w:afterAutospacing="0" w:line="240" w:lineRule="auto"/>
                    <w:ind w:left="0" w:leftChars="0" w:right="0" w:rightChars="0"/>
                    <w:rPr>
                      <w:color w:val="auto"/>
                    </w:rPr>
                  </w:pPr>
                  <w:r>
                    <w:rPr>
                      <w:rFonts w:hint="eastAsia"/>
                      <w:color w:val="auto"/>
                    </w:rPr>
                    <w:t>7</w:t>
                  </w:r>
                </w:p>
              </w:tc>
              <w:tc>
                <w:tcPr>
                  <w:tcW w:w="2983" w:type="pct"/>
                  <w:tcBorders>
                    <w:tl2br w:val="nil"/>
                    <w:tr2bl w:val="nil"/>
                  </w:tcBorders>
                  <w:tcMar>
                    <w:top w:w="0" w:type="dxa"/>
                    <w:left w:w="108" w:type="dxa"/>
                    <w:bottom w:w="0" w:type="dxa"/>
                    <w:right w:w="108" w:type="dxa"/>
                  </w:tcMar>
                  <w:vAlign w:val="center"/>
                </w:tcPr>
                <w:p w14:paraId="57C17C97">
                  <w:pPr>
                    <w:pStyle w:val="83"/>
                    <w:spacing w:before="0" w:beforeAutospacing="0" w:after="0" w:afterAutospacing="0" w:line="240" w:lineRule="auto"/>
                    <w:ind w:left="0" w:leftChars="0" w:right="0" w:rightChars="0"/>
                    <w:rPr>
                      <w:color w:val="auto"/>
                    </w:rPr>
                  </w:pPr>
                  <w:r>
                    <w:rPr>
                      <w:rFonts w:hint="eastAsia"/>
                      <w:color w:val="auto"/>
                    </w:rPr>
                    <w:t>一般生态空间中零散城镇村建设用地、永久基本农田、特殊用地等，按国土空间规划的要求开展相关活动和开发行为。</w:t>
                  </w:r>
                </w:p>
              </w:tc>
              <w:tc>
                <w:tcPr>
                  <w:tcW w:w="720" w:type="pct"/>
                  <w:tcBorders>
                    <w:tl2br w:val="nil"/>
                    <w:tr2bl w:val="nil"/>
                  </w:tcBorders>
                  <w:vAlign w:val="center"/>
                </w:tcPr>
                <w:p w14:paraId="56CCB281">
                  <w:pPr>
                    <w:pStyle w:val="83"/>
                    <w:spacing w:before="0" w:beforeAutospacing="0" w:after="0" w:afterAutospacing="0" w:line="240" w:lineRule="auto"/>
                    <w:ind w:left="0" w:leftChars="0" w:right="0" w:rightChars="0"/>
                    <w:rPr>
                      <w:color w:val="auto"/>
                    </w:rPr>
                  </w:pPr>
                  <w:r>
                    <w:rPr>
                      <w:color w:val="auto"/>
                    </w:rPr>
                    <w:t>不属于此类项目，准入</w:t>
                  </w:r>
                </w:p>
              </w:tc>
            </w:tr>
            <w:tr w14:paraId="5573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restart"/>
                  <w:tcBorders>
                    <w:tl2br w:val="nil"/>
                    <w:tr2bl w:val="nil"/>
                  </w:tcBorders>
                  <w:tcMar>
                    <w:top w:w="0" w:type="dxa"/>
                    <w:left w:w="108" w:type="dxa"/>
                    <w:bottom w:w="0" w:type="dxa"/>
                    <w:right w:w="108" w:type="dxa"/>
                  </w:tcMar>
                  <w:vAlign w:val="center"/>
                </w:tcPr>
                <w:p w14:paraId="5C0943D9">
                  <w:pPr>
                    <w:pStyle w:val="83"/>
                    <w:spacing w:before="0" w:beforeAutospacing="0" w:after="0" w:afterAutospacing="0" w:line="240" w:lineRule="auto"/>
                    <w:ind w:left="0" w:leftChars="0" w:right="0" w:rightChars="0"/>
                    <w:rPr>
                      <w:color w:val="auto"/>
                    </w:rPr>
                  </w:pPr>
                  <w:r>
                    <w:rPr>
                      <w:color w:val="auto"/>
                    </w:rPr>
                    <w:t>污染物排放管控</w:t>
                  </w:r>
                </w:p>
              </w:tc>
              <w:tc>
                <w:tcPr>
                  <w:tcW w:w="652" w:type="pct"/>
                  <w:tcBorders>
                    <w:tl2br w:val="nil"/>
                    <w:tr2bl w:val="nil"/>
                  </w:tcBorders>
                  <w:tcMar>
                    <w:top w:w="0" w:type="dxa"/>
                    <w:left w:w="108" w:type="dxa"/>
                    <w:bottom w:w="0" w:type="dxa"/>
                    <w:right w:w="108" w:type="dxa"/>
                  </w:tcMar>
                  <w:vAlign w:val="center"/>
                </w:tcPr>
                <w:p w14:paraId="1DF96006">
                  <w:pPr>
                    <w:pStyle w:val="83"/>
                    <w:spacing w:before="0" w:beforeAutospacing="0" w:after="0" w:afterAutospacing="0" w:line="240" w:lineRule="auto"/>
                    <w:ind w:left="0" w:leftChars="0" w:right="0" w:rightChars="0"/>
                    <w:rPr>
                      <w:color w:val="auto"/>
                    </w:rPr>
                  </w:pPr>
                  <w:r>
                    <w:rPr>
                      <w:color w:val="auto"/>
                    </w:rPr>
                    <w:t>允许排放量要求</w:t>
                  </w:r>
                </w:p>
              </w:tc>
              <w:tc>
                <w:tcPr>
                  <w:tcW w:w="322" w:type="pct"/>
                  <w:tcBorders>
                    <w:tl2br w:val="nil"/>
                    <w:tr2bl w:val="nil"/>
                  </w:tcBorders>
                  <w:tcMar>
                    <w:top w:w="0" w:type="dxa"/>
                    <w:left w:w="108" w:type="dxa"/>
                    <w:bottom w:w="0" w:type="dxa"/>
                    <w:right w:w="108" w:type="dxa"/>
                  </w:tcMar>
                  <w:vAlign w:val="center"/>
                </w:tcPr>
                <w:p w14:paraId="205A230E">
                  <w:pPr>
                    <w:pStyle w:val="83"/>
                    <w:spacing w:before="0" w:beforeAutospacing="0" w:after="0" w:afterAutospacing="0" w:line="240" w:lineRule="auto"/>
                    <w:ind w:left="0" w:leftChars="0" w:right="0" w:rightChars="0"/>
                    <w:rPr>
                      <w:color w:val="auto"/>
                    </w:rPr>
                  </w:pPr>
                  <w:r>
                    <w:rPr>
                      <w:color w:val="auto"/>
                    </w:rPr>
                    <w:t>7</w:t>
                  </w:r>
                  <w:r>
                    <w:rPr>
                      <w:rFonts w:hint="eastAsia"/>
                      <w:color w:val="auto"/>
                    </w:rPr>
                    <w:t>8</w:t>
                  </w:r>
                </w:p>
              </w:tc>
              <w:tc>
                <w:tcPr>
                  <w:tcW w:w="2983" w:type="pct"/>
                  <w:tcBorders>
                    <w:tl2br w:val="nil"/>
                    <w:tr2bl w:val="nil"/>
                  </w:tcBorders>
                  <w:tcMar>
                    <w:top w:w="0" w:type="dxa"/>
                    <w:left w:w="108" w:type="dxa"/>
                    <w:bottom w:w="0" w:type="dxa"/>
                    <w:right w:w="108" w:type="dxa"/>
                  </w:tcMar>
                  <w:vAlign w:val="center"/>
                </w:tcPr>
                <w:p w14:paraId="4941AC06">
                  <w:pPr>
                    <w:pStyle w:val="83"/>
                    <w:spacing w:before="0" w:beforeAutospacing="0" w:after="0" w:afterAutospacing="0" w:line="240" w:lineRule="auto"/>
                    <w:ind w:left="0" w:leftChars="0" w:right="0" w:rightChars="0"/>
                    <w:rPr>
                      <w:color w:val="auto"/>
                    </w:rPr>
                  </w:pPr>
                  <w:r>
                    <w:rPr>
                      <w:rFonts w:hint="eastAsia"/>
                      <w:color w:val="auto"/>
                    </w:rPr>
                    <w:t>到2025年，赣州市全市化学需氧量、氨氮、氮氧化物、挥发性有机物重点工程减排量分别为13451吨、873吨、873吨、1518吨。“十五五”及以后执行省级下达的管控指标要求。</w:t>
                  </w:r>
                </w:p>
              </w:tc>
              <w:tc>
                <w:tcPr>
                  <w:tcW w:w="720" w:type="pct"/>
                  <w:tcBorders>
                    <w:tl2br w:val="nil"/>
                    <w:tr2bl w:val="nil"/>
                  </w:tcBorders>
                  <w:vAlign w:val="center"/>
                </w:tcPr>
                <w:p w14:paraId="6B196278">
                  <w:pPr>
                    <w:pStyle w:val="83"/>
                    <w:spacing w:before="0" w:beforeAutospacing="0" w:after="0" w:afterAutospacing="0" w:line="240" w:lineRule="auto"/>
                    <w:ind w:left="0" w:leftChars="0" w:right="0" w:rightChars="0"/>
                    <w:rPr>
                      <w:color w:val="auto"/>
                    </w:rPr>
                  </w:pPr>
                  <w:r>
                    <w:rPr>
                      <w:color w:val="auto"/>
                    </w:rPr>
                    <w:t>准入</w:t>
                  </w:r>
                </w:p>
              </w:tc>
            </w:tr>
            <w:tr w14:paraId="0A80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4ACC451C">
                  <w:pPr>
                    <w:pStyle w:val="83"/>
                    <w:spacing w:before="0" w:beforeAutospacing="0" w:after="0" w:afterAutospacing="0" w:line="240" w:lineRule="auto"/>
                    <w:ind w:left="0" w:leftChars="0" w:right="0" w:rightChars="0"/>
                    <w:rPr>
                      <w:color w:val="auto"/>
                    </w:rPr>
                  </w:pPr>
                </w:p>
              </w:tc>
              <w:tc>
                <w:tcPr>
                  <w:tcW w:w="652" w:type="pct"/>
                  <w:vMerge w:val="restart"/>
                  <w:tcBorders>
                    <w:tl2br w:val="nil"/>
                    <w:tr2bl w:val="nil"/>
                  </w:tcBorders>
                  <w:tcMar>
                    <w:top w:w="0" w:type="dxa"/>
                    <w:left w:w="108" w:type="dxa"/>
                    <w:bottom w:w="0" w:type="dxa"/>
                    <w:right w:w="108" w:type="dxa"/>
                  </w:tcMar>
                  <w:vAlign w:val="center"/>
                </w:tcPr>
                <w:p w14:paraId="6E902840">
                  <w:pPr>
                    <w:pStyle w:val="83"/>
                    <w:spacing w:before="0" w:beforeAutospacing="0" w:after="0" w:afterAutospacing="0" w:line="240" w:lineRule="auto"/>
                    <w:ind w:left="0" w:leftChars="0" w:right="0" w:rightChars="0"/>
                    <w:rPr>
                      <w:color w:val="auto"/>
                    </w:rPr>
                  </w:pPr>
                  <w:r>
                    <w:rPr>
                      <w:color w:val="auto"/>
                    </w:rPr>
                    <w:t>现有源提标升级改造</w:t>
                  </w:r>
                </w:p>
              </w:tc>
              <w:tc>
                <w:tcPr>
                  <w:tcW w:w="322" w:type="pct"/>
                  <w:vMerge w:val="restart"/>
                  <w:tcBorders>
                    <w:tl2br w:val="nil"/>
                    <w:tr2bl w:val="nil"/>
                  </w:tcBorders>
                  <w:tcMar>
                    <w:top w:w="0" w:type="dxa"/>
                    <w:left w:w="108" w:type="dxa"/>
                    <w:bottom w:w="0" w:type="dxa"/>
                    <w:right w:w="108" w:type="dxa"/>
                  </w:tcMar>
                  <w:vAlign w:val="center"/>
                </w:tcPr>
                <w:p w14:paraId="665B2161">
                  <w:pPr>
                    <w:pStyle w:val="83"/>
                    <w:spacing w:before="0" w:beforeAutospacing="0" w:after="0" w:afterAutospacing="0" w:line="240" w:lineRule="auto"/>
                    <w:ind w:left="0" w:leftChars="0" w:right="0" w:rightChars="0"/>
                    <w:rPr>
                      <w:color w:val="auto"/>
                    </w:rPr>
                  </w:pPr>
                  <w:r>
                    <w:rPr>
                      <w:rFonts w:hint="eastAsia"/>
                      <w:color w:val="auto"/>
                    </w:rPr>
                    <w:t>9</w:t>
                  </w:r>
                </w:p>
              </w:tc>
              <w:tc>
                <w:tcPr>
                  <w:tcW w:w="2983" w:type="pct"/>
                  <w:tcBorders>
                    <w:tl2br w:val="nil"/>
                    <w:tr2bl w:val="nil"/>
                  </w:tcBorders>
                  <w:tcMar>
                    <w:top w:w="0" w:type="dxa"/>
                    <w:left w:w="108" w:type="dxa"/>
                    <w:bottom w:w="0" w:type="dxa"/>
                    <w:right w:w="108" w:type="dxa"/>
                  </w:tcMar>
                  <w:vAlign w:val="center"/>
                </w:tcPr>
                <w:p w14:paraId="1080A713">
                  <w:pPr>
                    <w:pStyle w:val="83"/>
                    <w:spacing w:before="0" w:beforeAutospacing="0" w:after="0" w:afterAutospacing="0" w:line="240" w:lineRule="auto"/>
                    <w:ind w:left="0" w:leftChars="0" w:right="0" w:rightChars="0"/>
                    <w:rPr>
                      <w:color w:val="auto"/>
                    </w:rPr>
                  </w:pPr>
                  <w:r>
                    <w:rPr>
                      <w:rFonts w:hint="eastAsia"/>
                      <w:color w:val="auto"/>
                    </w:rPr>
                    <w:t>/</w:t>
                  </w:r>
                </w:p>
              </w:tc>
              <w:tc>
                <w:tcPr>
                  <w:tcW w:w="720" w:type="pct"/>
                  <w:tcBorders>
                    <w:tl2br w:val="nil"/>
                    <w:tr2bl w:val="nil"/>
                  </w:tcBorders>
                  <w:vAlign w:val="center"/>
                </w:tcPr>
                <w:p w14:paraId="6BDE67BD">
                  <w:pPr>
                    <w:pStyle w:val="83"/>
                    <w:spacing w:before="0" w:beforeAutospacing="0" w:after="0" w:afterAutospacing="0" w:line="240" w:lineRule="auto"/>
                    <w:ind w:left="0" w:leftChars="0" w:right="0" w:rightChars="0"/>
                    <w:rPr>
                      <w:color w:val="auto"/>
                    </w:rPr>
                  </w:pPr>
                  <w:r>
                    <w:rPr>
                      <w:rFonts w:hint="eastAsia"/>
                      <w:color w:val="auto"/>
                    </w:rPr>
                    <w:t>/</w:t>
                  </w:r>
                </w:p>
              </w:tc>
            </w:tr>
            <w:tr w14:paraId="6BF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43DBEF28">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628D54F1">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57492054">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09325EEB">
                  <w:pPr>
                    <w:pStyle w:val="83"/>
                    <w:spacing w:before="0" w:beforeAutospacing="0" w:after="0" w:afterAutospacing="0" w:line="240" w:lineRule="auto"/>
                    <w:ind w:left="0" w:leftChars="0" w:right="0" w:rightChars="0"/>
                    <w:rPr>
                      <w:color w:val="auto"/>
                    </w:rPr>
                  </w:pPr>
                  <w:r>
                    <w:rPr>
                      <w:rFonts w:hint="eastAsia"/>
                      <w:color w:val="auto"/>
                    </w:rPr>
                    <w:t>依法严把准入关，县级及以上城市建成区不再审批35蒸吨/小时及以下燃煤锅炉。</w:t>
                  </w:r>
                </w:p>
              </w:tc>
              <w:tc>
                <w:tcPr>
                  <w:tcW w:w="720" w:type="pct"/>
                  <w:tcBorders>
                    <w:tl2br w:val="nil"/>
                    <w:tr2bl w:val="nil"/>
                  </w:tcBorders>
                  <w:vAlign w:val="center"/>
                </w:tcPr>
                <w:p w14:paraId="0015FD9B">
                  <w:pPr>
                    <w:pStyle w:val="83"/>
                    <w:spacing w:before="0" w:beforeAutospacing="0" w:after="0" w:afterAutospacing="0" w:line="240" w:lineRule="auto"/>
                    <w:ind w:left="0" w:leftChars="0" w:right="0" w:rightChars="0"/>
                    <w:rPr>
                      <w:color w:val="auto"/>
                    </w:rPr>
                  </w:pPr>
                  <w:r>
                    <w:rPr>
                      <w:rFonts w:hint="eastAsia"/>
                      <w:color w:val="auto"/>
                    </w:rPr>
                    <w:t>本项目依托一期天然气锅炉，</w:t>
                  </w:r>
                  <w:r>
                    <w:rPr>
                      <w:color w:val="auto"/>
                    </w:rPr>
                    <w:t>准入</w:t>
                  </w:r>
                </w:p>
              </w:tc>
            </w:tr>
            <w:tr w14:paraId="05C4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restart"/>
                  <w:tcBorders>
                    <w:tl2br w:val="nil"/>
                    <w:tr2bl w:val="nil"/>
                  </w:tcBorders>
                  <w:tcMar>
                    <w:top w:w="0" w:type="dxa"/>
                    <w:left w:w="108" w:type="dxa"/>
                    <w:bottom w:w="0" w:type="dxa"/>
                    <w:right w:w="108" w:type="dxa"/>
                  </w:tcMar>
                  <w:vAlign w:val="center"/>
                </w:tcPr>
                <w:p w14:paraId="0CDFBCDE">
                  <w:pPr>
                    <w:pStyle w:val="83"/>
                    <w:spacing w:before="0" w:beforeAutospacing="0" w:after="0" w:afterAutospacing="0" w:line="240" w:lineRule="auto"/>
                    <w:ind w:left="0" w:leftChars="0" w:right="0" w:rightChars="0"/>
                    <w:rPr>
                      <w:color w:val="auto"/>
                    </w:rPr>
                  </w:pPr>
                  <w:r>
                    <w:rPr>
                      <w:color w:val="auto"/>
                    </w:rPr>
                    <w:t>环境风险防控</w:t>
                  </w:r>
                </w:p>
              </w:tc>
              <w:tc>
                <w:tcPr>
                  <w:tcW w:w="652" w:type="pct"/>
                  <w:vMerge w:val="restart"/>
                  <w:tcBorders>
                    <w:tl2br w:val="nil"/>
                    <w:tr2bl w:val="nil"/>
                  </w:tcBorders>
                  <w:tcMar>
                    <w:top w:w="0" w:type="dxa"/>
                    <w:left w:w="108" w:type="dxa"/>
                    <w:bottom w:w="0" w:type="dxa"/>
                    <w:right w:w="108" w:type="dxa"/>
                  </w:tcMar>
                  <w:vAlign w:val="center"/>
                </w:tcPr>
                <w:p w14:paraId="079508A5">
                  <w:pPr>
                    <w:pStyle w:val="83"/>
                    <w:spacing w:before="0" w:beforeAutospacing="0" w:after="0" w:afterAutospacing="0" w:line="240" w:lineRule="auto"/>
                    <w:ind w:left="0" w:leftChars="0" w:right="0" w:rightChars="0"/>
                    <w:rPr>
                      <w:color w:val="auto"/>
                    </w:rPr>
                  </w:pPr>
                  <w:r>
                    <w:rPr>
                      <w:color w:val="auto"/>
                    </w:rPr>
                    <w:t>联防联控要求</w:t>
                  </w:r>
                </w:p>
              </w:tc>
              <w:tc>
                <w:tcPr>
                  <w:tcW w:w="322" w:type="pct"/>
                  <w:vMerge w:val="restart"/>
                  <w:tcBorders>
                    <w:tl2br w:val="nil"/>
                    <w:tr2bl w:val="nil"/>
                  </w:tcBorders>
                  <w:tcMar>
                    <w:top w:w="0" w:type="dxa"/>
                    <w:left w:w="108" w:type="dxa"/>
                    <w:bottom w:w="0" w:type="dxa"/>
                    <w:right w:w="108" w:type="dxa"/>
                  </w:tcMar>
                  <w:vAlign w:val="center"/>
                </w:tcPr>
                <w:p w14:paraId="0C5ED648">
                  <w:pPr>
                    <w:pStyle w:val="83"/>
                    <w:spacing w:before="0" w:beforeAutospacing="0" w:after="0" w:afterAutospacing="0" w:line="240" w:lineRule="auto"/>
                    <w:ind w:left="0" w:leftChars="0" w:right="0" w:rightChars="0"/>
                    <w:rPr>
                      <w:color w:val="auto"/>
                    </w:rPr>
                  </w:pPr>
                  <w:r>
                    <w:rPr>
                      <w:rFonts w:hint="eastAsia"/>
                      <w:color w:val="auto"/>
                    </w:rPr>
                    <w:t>10</w:t>
                  </w:r>
                </w:p>
              </w:tc>
              <w:tc>
                <w:tcPr>
                  <w:tcW w:w="2983" w:type="pct"/>
                  <w:tcBorders>
                    <w:tl2br w:val="nil"/>
                    <w:tr2bl w:val="nil"/>
                  </w:tcBorders>
                  <w:tcMar>
                    <w:top w:w="0" w:type="dxa"/>
                    <w:left w:w="108" w:type="dxa"/>
                    <w:bottom w:w="0" w:type="dxa"/>
                    <w:right w:w="108" w:type="dxa"/>
                  </w:tcMar>
                  <w:vAlign w:val="center"/>
                </w:tcPr>
                <w:p w14:paraId="4A403C02">
                  <w:pPr>
                    <w:pStyle w:val="83"/>
                    <w:spacing w:before="0" w:beforeAutospacing="0" w:after="0" w:afterAutospacing="0" w:line="240" w:lineRule="auto"/>
                    <w:ind w:left="0" w:leftChars="0" w:right="0" w:rightChars="0"/>
                    <w:rPr>
                      <w:color w:val="auto"/>
                    </w:rPr>
                  </w:pPr>
                  <w:r>
                    <w:rPr>
                      <w:color w:val="auto"/>
                    </w:rPr>
                    <w:t>1、积极参与和龙岩市区域大气污染防治联防联控合作及和广东省跨界河流水污染联防联控协作工作，推动省界生态环境特征相似区域环境管控要求协调统一。</w:t>
                  </w:r>
                </w:p>
              </w:tc>
              <w:tc>
                <w:tcPr>
                  <w:tcW w:w="720" w:type="pct"/>
                  <w:tcBorders>
                    <w:tl2br w:val="nil"/>
                    <w:tr2bl w:val="nil"/>
                  </w:tcBorders>
                  <w:vAlign w:val="center"/>
                </w:tcPr>
                <w:p w14:paraId="11A68A2E">
                  <w:pPr>
                    <w:pStyle w:val="83"/>
                    <w:spacing w:before="0" w:beforeAutospacing="0" w:after="0" w:afterAutospacing="0" w:line="240" w:lineRule="auto"/>
                    <w:ind w:left="0" w:leftChars="0" w:right="0" w:rightChars="0"/>
                    <w:rPr>
                      <w:color w:val="auto"/>
                    </w:rPr>
                  </w:pPr>
                  <w:r>
                    <w:rPr>
                      <w:color w:val="auto"/>
                    </w:rPr>
                    <w:t>准入</w:t>
                  </w:r>
                </w:p>
              </w:tc>
            </w:tr>
            <w:tr w14:paraId="2EDE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09008D6B">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6E7EECB7">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53178195">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6DB27A65">
                  <w:pPr>
                    <w:pStyle w:val="83"/>
                    <w:spacing w:before="0" w:beforeAutospacing="0" w:after="0" w:afterAutospacing="0" w:line="240" w:lineRule="auto"/>
                    <w:ind w:left="0" w:leftChars="0" w:right="0" w:rightChars="0"/>
                    <w:rPr>
                      <w:color w:val="auto"/>
                    </w:rPr>
                  </w:pPr>
                  <w:r>
                    <w:rPr>
                      <w:color w:val="auto"/>
                    </w:rPr>
                    <w:t>2、严格管控农用地，不得在污染地块种植水稻等特地农产品。</w:t>
                  </w:r>
                </w:p>
              </w:tc>
              <w:tc>
                <w:tcPr>
                  <w:tcW w:w="720" w:type="pct"/>
                  <w:tcBorders>
                    <w:tl2br w:val="nil"/>
                    <w:tr2bl w:val="nil"/>
                  </w:tcBorders>
                  <w:vAlign w:val="center"/>
                </w:tcPr>
                <w:p w14:paraId="481E646C">
                  <w:pPr>
                    <w:pStyle w:val="83"/>
                    <w:spacing w:before="0" w:beforeAutospacing="0" w:after="0" w:afterAutospacing="0" w:line="240" w:lineRule="auto"/>
                    <w:ind w:left="0" w:leftChars="0" w:right="0" w:rightChars="0"/>
                    <w:rPr>
                      <w:color w:val="auto"/>
                    </w:rPr>
                  </w:pPr>
                  <w:r>
                    <w:rPr>
                      <w:color w:val="auto"/>
                    </w:rPr>
                    <w:t>准入</w:t>
                  </w:r>
                </w:p>
              </w:tc>
            </w:tr>
            <w:tr w14:paraId="2F17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0D2706F4">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1849B0E9">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2F9C8CBA">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40768171">
                  <w:pPr>
                    <w:pStyle w:val="83"/>
                    <w:spacing w:before="0" w:beforeAutospacing="0" w:after="0" w:afterAutospacing="0" w:line="240" w:lineRule="auto"/>
                    <w:ind w:left="0" w:leftChars="0" w:right="0" w:rightChars="0"/>
                    <w:rPr>
                      <w:color w:val="auto"/>
                    </w:rPr>
                  </w:pPr>
                  <w:r>
                    <w:rPr>
                      <w:color w:val="auto"/>
                    </w:rPr>
                    <w:t>3、纳入疑似污染地块的，应当依法开展土壤污染环境质量状况调查，确定为污染地块后，经治理与修复，并符合相应规划用地土壤环境质量标准要求后，方可进入用地程序。</w:t>
                  </w:r>
                </w:p>
              </w:tc>
              <w:tc>
                <w:tcPr>
                  <w:tcW w:w="720" w:type="pct"/>
                  <w:tcBorders>
                    <w:tl2br w:val="nil"/>
                    <w:tr2bl w:val="nil"/>
                  </w:tcBorders>
                  <w:vAlign w:val="center"/>
                </w:tcPr>
                <w:p w14:paraId="3A434C19">
                  <w:pPr>
                    <w:pStyle w:val="83"/>
                    <w:spacing w:before="0" w:beforeAutospacing="0" w:after="0" w:afterAutospacing="0" w:line="240" w:lineRule="auto"/>
                    <w:ind w:left="0" w:leftChars="0" w:right="0" w:rightChars="0"/>
                    <w:rPr>
                      <w:color w:val="auto"/>
                    </w:rPr>
                  </w:pPr>
                  <w:r>
                    <w:rPr>
                      <w:color w:val="auto"/>
                    </w:rPr>
                    <w:t>准入</w:t>
                  </w:r>
                </w:p>
              </w:tc>
            </w:tr>
            <w:tr w14:paraId="3872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tcMar>
                    <w:top w:w="0" w:type="dxa"/>
                    <w:left w:w="108" w:type="dxa"/>
                    <w:bottom w:w="0" w:type="dxa"/>
                    <w:right w:w="108" w:type="dxa"/>
                  </w:tcMar>
                  <w:vAlign w:val="center"/>
                </w:tcPr>
                <w:p w14:paraId="400CEB58">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tcMar>
                    <w:top w:w="0" w:type="dxa"/>
                    <w:left w:w="108" w:type="dxa"/>
                    <w:bottom w:w="0" w:type="dxa"/>
                    <w:right w:w="108" w:type="dxa"/>
                  </w:tcMar>
                  <w:vAlign w:val="center"/>
                </w:tcPr>
                <w:p w14:paraId="37D146D5">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tcMar>
                    <w:top w:w="0" w:type="dxa"/>
                    <w:left w:w="108" w:type="dxa"/>
                    <w:bottom w:w="0" w:type="dxa"/>
                    <w:right w:w="108" w:type="dxa"/>
                  </w:tcMar>
                  <w:vAlign w:val="center"/>
                </w:tcPr>
                <w:p w14:paraId="5E64B96A">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12B2F2B4">
                  <w:pPr>
                    <w:pStyle w:val="83"/>
                    <w:spacing w:before="0" w:beforeAutospacing="0" w:after="0" w:afterAutospacing="0" w:line="240" w:lineRule="auto"/>
                    <w:ind w:left="0" w:leftChars="0" w:right="0" w:rightChars="0"/>
                    <w:rPr>
                      <w:color w:val="auto"/>
                    </w:rPr>
                  </w:pPr>
                  <w:r>
                    <w:rPr>
                      <w:color w:val="auto"/>
                    </w:rPr>
                    <w:t>4、工业园区应建立三级环境风险防控体系。</w:t>
                  </w:r>
                </w:p>
              </w:tc>
              <w:tc>
                <w:tcPr>
                  <w:tcW w:w="720" w:type="pct"/>
                  <w:tcBorders>
                    <w:tl2br w:val="nil"/>
                    <w:tr2bl w:val="nil"/>
                  </w:tcBorders>
                  <w:vAlign w:val="center"/>
                </w:tcPr>
                <w:p w14:paraId="12A12A75">
                  <w:pPr>
                    <w:pStyle w:val="83"/>
                    <w:spacing w:before="0" w:beforeAutospacing="0" w:after="0" w:afterAutospacing="0" w:line="240" w:lineRule="auto"/>
                    <w:ind w:left="0" w:leftChars="0" w:right="0" w:rightChars="0"/>
                    <w:rPr>
                      <w:color w:val="auto"/>
                    </w:rPr>
                  </w:pPr>
                  <w:r>
                    <w:rPr>
                      <w:rFonts w:hint="eastAsia"/>
                      <w:color w:val="auto"/>
                    </w:rPr>
                    <w:t>/</w:t>
                  </w:r>
                </w:p>
              </w:tc>
            </w:tr>
            <w:tr w14:paraId="55D8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01EB3BFB">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34F38228">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358E4AD7">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4CAA062B">
                  <w:pPr>
                    <w:pStyle w:val="83"/>
                    <w:spacing w:before="0" w:beforeAutospacing="0" w:after="0" w:afterAutospacing="0" w:line="240" w:lineRule="auto"/>
                    <w:ind w:left="0" w:leftChars="0" w:right="0" w:rightChars="0"/>
                    <w:rPr>
                      <w:color w:val="auto"/>
                    </w:rPr>
                  </w:pPr>
                  <w:r>
                    <w:rPr>
                      <w:color w:val="auto"/>
                    </w:rPr>
                    <w:t>5、紧邻居住、科教、医院等环境敏感点的工业用地，禁止规划环境风险等级高的建设项目。</w:t>
                  </w:r>
                </w:p>
              </w:tc>
              <w:tc>
                <w:tcPr>
                  <w:tcW w:w="720" w:type="pct"/>
                  <w:tcBorders>
                    <w:tl2br w:val="nil"/>
                    <w:tr2bl w:val="nil"/>
                  </w:tcBorders>
                  <w:vAlign w:val="center"/>
                </w:tcPr>
                <w:p w14:paraId="27A91B1C">
                  <w:pPr>
                    <w:pStyle w:val="83"/>
                    <w:spacing w:before="0" w:beforeAutospacing="0" w:after="0" w:afterAutospacing="0" w:line="240" w:lineRule="auto"/>
                    <w:ind w:left="0" w:leftChars="0" w:right="0" w:rightChars="0"/>
                    <w:rPr>
                      <w:color w:val="auto"/>
                    </w:rPr>
                  </w:pPr>
                  <w:r>
                    <w:rPr>
                      <w:color w:val="auto"/>
                    </w:rPr>
                    <w:t>准入</w:t>
                  </w:r>
                </w:p>
              </w:tc>
            </w:tr>
            <w:tr w14:paraId="313A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22" w:type="pct"/>
                  <w:vMerge w:val="continue"/>
                  <w:tcBorders>
                    <w:tl2br w:val="nil"/>
                    <w:tr2bl w:val="nil"/>
                  </w:tcBorders>
                  <w:vAlign w:val="center"/>
                </w:tcPr>
                <w:p w14:paraId="1A674ED6">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5B78595A">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21B54720">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3D26DE1A">
                  <w:pPr>
                    <w:pStyle w:val="83"/>
                    <w:spacing w:before="0" w:beforeAutospacing="0" w:after="0" w:afterAutospacing="0" w:line="240" w:lineRule="auto"/>
                    <w:ind w:left="0" w:leftChars="0" w:right="0" w:rightChars="0"/>
                    <w:rPr>
                      <w:color w:val="auto"/>
                    </w:rPr>
                  </w:pPr>
                  <w:r>
                    <w:rPr>
                      <w:color w:val="auto"/>
                    </w:rPr>
                    <w:t>6、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720" w:type="pct"/>
                  <w:tcBorders>
                    <w:tl2br w:val="nil"/>
                    <w:tr2bl w:val="nil"/>
                  </w:tcBorders>
                  <w:vAlign w:val="center"/>
                </w:tcPr>
                <w:p w14:paraId="3E918908">
                  <w:pPr>
                    <w:pStyle w:val="83"/>
                    <w:spacing w:before="0" w:beforeAutospacing="0" w:after="0" w:afterAutospacing="0" w:line="240" w:lineRule="auto"/>
                    <w:ind w:left="0" w:leftChars="0" w:right="0" w:rightChars="0"/>
                    <w:rPr>
                      <w:color w:val="auto"/>
                    </w:rPr>
                  </w:pPr>
                  <w:r>
                    <w:rPr>
                      <w:color w:val="auto"/>
                    </w:rPr>
                    <w:t>准入</w:t>
                  </w:r>
                </w:p>
              </w:tc>
            </w:tr>
            <w:tr w14:paraId="1626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restart"/>
                  <w:tcBorders>
                    <w:tl2br w:val="nil"/>
                    <w:tr2bl w:val="nil"/>
                  </w:tcBorders>
                  <w:tcMar>
                    <w:top w:w="0" w:type="dxa"/>
                    <w:left w:w="108" w:type="dxa"/>
                    <w:bottom w:w="0" w:type="dxa"/>
                    <w:right w:w="108" w:type="dxa"/>
                  </w:tcMar>
                  <w:vAlign w:val="center"/>
                </w:tcPr>
                <w:p w14:paraId="5E793BD1">
                  <w:pPr>
                    <w:pStyle w:val="83"/>
                    <w:spacing w:before="0" w:beforeAutospacing="0" w:after="0" w:afterAutospacing="0" w:line="240" w:lineRule="auto"/>
                    <w:ind w:left="0" w:leftChars="0" w:right="0" w:rightChars="0"/>
                    <w:rPr>
                      <w:color w:val="auto"/>
                    </w:rPr>
                  </w:pPr>
                  <w:r>
                    <w:rPr>
                      <w:color w:val="auto"/>
                    </w:rPr>
                    <w:t>资源利用效率要求</w:t>
                  </w:r>
                </w:p>
              </w:tc>
              <w:tc>
                <w:tcPr>
                  <w:tcW w:w="652" w:type="pct"/>
                  <w:vMerge w:val="restart"/>
                  <w:tcBorders>
                    <w:tl2br w:val="nil"/>
                    <w:tr2bl w:val="nil"/>
                  </w:tcBorders>
                  <w:tcMar>
                    <w:top w:w="0" w:type="dxa"/>
                    <w:left w:w="108" w:type="dxa"/>
                    <w:bottom w:w="0" w:type="dxa"/>
                    <w:right w:w="108" w:type="dxa"/>
                  </w:tcMar>
                  <w:vAlign w:val="center"/>
                </w:tcPr>
                <w:p w14:paraId="078D397E">
                  <w:pPr>
                    <w:pStyle w:val="83"/>
                    <w:spacing w:before="0" w:beforeAutospacing="0" w:after="0" w:afterAutospacing="0" w:line="240" w:lineRule="auto"/>
                    <w:ind w:left="0" w:leftChars="0" w:right="0" w:rightChars="0"/>
                    <w:rPr>
                      <w:color w:val="auto"/>
                    </w:rPr>
                  </w:pPr>
                  <w:r>
                    <w:rPr>
                      <w:color w:val="auto"/>
                    </w:rPr>
                    <w:t>水资源利用总量要求</w:t>
                  </w:r>
                </w:p>
              </w:tc>
              <w:tc>
                <w:tcPr>
                  <w:tcW w:w="322" w:type="pct"/>
                  <w:vMerge w:val="restart"/>
                  <w:tcBorders>
                    <w:tl2br w:val="nil"/>
                    <w:tr2bl w:val="nil"/>
                  </w:tcBorders>
                  <w:tcMar>
                    <w:top w:w="0" w:type="dxa"/>
                    <w:left w:w="108" w:type="dxa"/>
                    <w:bottom w:w="0" w:type="dxa"/>
                    <w:right w:w="108" w:type="dxa"/>
                  </w:tcMar>
                  <w:vAlign w:val="center"/>
                </w:tcPr>
                <w:p w14:paraId="28A511E8">
                  <w:pPr>
                    <w:pStyle w:val="83"/>
                    <w:spacing w:before="0" w:beforeAutospacing="0" w:after="0" w:afterAutospacing="0" w:line="240" w:lineRule="auto"/>
                    <w:ind w:left="0" w:leftChars="0" w:right="0" w:rightChars="0"/>
                    <w:rPr>
                      <w:color w:val="auto"/>
                    </w:rPr>
                  </w:pPr>
                  <w:r>
                    <w:rPr>
                      <w:rFonts w:hint="eastAsia"/>
                      <w:color w:val="auto"/>
                    </w:rPr>
                    <w:t>11</w:t>
                  </w:r>
                </w:p>
              </w:tc>
              <w:tc>
                <w:tcPr>
                  <w:tcW w:w="2983" w:type="pct"/>
                  <w:tcBorders>
                    <w:tl2br w:val="nil"/>
                    <w:tr2bl w:val="nil"/>
                  </w:tcBorders>
                  <w:tcMar>
                    <w:top w:w="0" w:type="dxa"/>
                    <w:left w:w="108" w:type="dxa"/>
                    <w:bottom w:w="0" w:type="dxa"/>
                    <w:right w:w="108" w:type="dxa"/>
                  </w:tcMar>
                  <w:vAlign w:val="center"/>
                </w:tcPr>
                <w:p w14:paraId="2198B15D">
                  <w:pPr>
                    <w:pStyle w:val="83"/>
                    <w:spacing w:before="0" w:beforeAutospacing="0" w:after="0" w:afterAutospacing="0" w:line="240" w:lineRule="auto"/>
                    <w:ind w:left="0" w:leftChars="0" w:right="0" w:rightChars="0"/>
                    <w:rPr>
                      <w:color w:val="auto"/>
                    </w:rPr>
                  </w:pPr>
                  <w:r>
                    <w:rPr>
                      <w:color w:val="auto"/>
                    </w:rPr>
                    <w:t>1、</w:t>
                  </w:r>
                  <w:r>
                    <w:rPr>
                      <w:rFonts w:hint="eastAsia"/>
                      <w:color w:val="auto"/>
                    </w:rPr>
                    <w:t>到</w:t>
                  </w:r>
                  <w:r>
                    <w:rPr>
                      <w:color w:val="auto"/>
                    </w:rPr>
                    <w:t>2025</w:t>
                  </w:r>
                  <w:r>
                    <w:rPr>
                      <w:rFonts w:hint="eastAsia"/>
                      <w:color w:val="auto"/>
                    </w:rPr>
                    <w:t>年赣州市区域用水总量不得超过</w:t>
                  </w:r>
                  <w:r>
                    <w:rPr>
                      <w:color w:val="auto"/>
                    </w:rPr>
                    <w:t>35.97</w:t>
                  </w:r>
                  <w:r>
                    <w:rPr>
                      <w:rFonts w:hint="eastAsia"/>
                      <w:color w:val="auto"/>
                    </w:rPr>
                    <w:t>亿</w:t>
                  </w:r>
                  <w:r>
                    <w:rPr>
                      <w:color w:val="auto"/>
                    </w:rPr>
                    <w:t>m</w:t>
                  </w:r>
                  <w:r>
                    <w:rPr>
                      <w:color w:val="auto"/>
                      <w:vertAlign w:val="superscript"/>
                    </w:rPr>
                    <w:t>3</w:t>
                  </w:r>
                  <w:r>
                    <w:rPr>
                      <w:rFonts w:hint="eastAsia"/>
                      <w:color w:val="auto"/>
                    </w:rPr>
                    <w:t>。</w:t>
                  </w:r>
                </w:p>
              </w:tc>
              <w:tc>
                <w:tcPr>
                  <w:tcW w:w="720" w:type="pct"/>
                  <w:tcBorders>
                    <w:tl2br w:val="nil"/>
                    <w:tr2bl w:val="nil"/>
                  </w:tcBorders>
                  <w:vAlign w:val="center"/>
                </w:tcPr>
                <w:p w14:paraId="0C7A123A">
                  <w:pPr>
                    <w:pStyle w:val="83"/>
                    <w:spacing w:before="0" w:beforeAutospacing="0" w:after="0" w:afterAutospacing="0" w:line="240" w:lineRule="auto"/>
                    <w:ind w:left="0" w:leftChars="0" w:right="0" w:rightChars="0"/>
                    <w:rPr>
                      <w:color w:val="auto"/>
                    </w:rPr>
                  </w:pPr>
                  <w:r>
                    <w:rPr>
                      <w:color w:val="auto"/>
                    </w:rPr>
                    <w:t>准入</w:t>
                  </w:r>
                </w:p>
              </w:tc>
            </w:tr>
            <w:tr w14:paraId="2C3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203089A9">
                  <w:pPr>
                    <w:pStyle w:val="83"/>
                    <w:spacing w:before="0" w:beforeAutospacing="0" w:after="0" w:afterAutospacing="0" w:line="240" w:lineRule="auto"/>
                    <w:ind w:left="0" w:leftChars="0" w:right="0" w:rightChars="0"/>
                    <w:rPr>
                      <w:color w:val="auto"/>
                    </w:rPr>
                  </w:pPr>
                </w:p>
              </w:tc>
              <w:tc>
                <w:tcPr>
                  <w:tcW w:w="652" w:type="pct"/>
                  <w:vMerge w:val="continue"/>
                  <w:tcBorders>
                    <w:tl2br w:val="nil"/>
                    <w:tr2bl w:val="nil"/>
                  </w:tcBorders>
                  <w:vAlign w:val="center"/>
                </w:tcPr>
                <w:p w14:paraId="4A65606A">
                  <w:pPr>
                    <w:pStyle w:val="83"/>
                    <w:spacing w:before="0" w:beforeAutospacing="0" w:after="0" w:afterAutospacing="0" w:line="240" w:lineRule="auto"/>
                    <w:ind w:left="0" w:leftChars="0" w:right="0" w:rightChars="0"/>
                    <w:rPr>
                      <w:color w:val="auto"/>
                    </w:rPr>
                  </w:pPr>
                </w:p>
              </w:tc>
              <w:tc>
                <w:tcPr>
                  <w:tcW w:w="322" w:type="pct"/>
                  <w:vMerge w:val="continue"/>
                  <w:tcBorders>
                    <w:tl2br w:val="nil"/>
                    <w:tr2bl w:val="nil"/>
                  </w:tcBorders>
                  <w:vAlign w:val="center"/>
                </w:tcPr>
                <w:p w14:paraId="7F0F185F">
                  <w:pPr>
                    <w:pStyle w:val="83"/>
                    <w:spacing w:before="0" w:beforeAutospacing="0" w:after="0" w:afterAutospacing="0" w:line="240" w:lineRule="auto"/>
                    <w:ind w:left="0" w:leftChars="0" w:right="0" w:rightChars="0"/>
                    <w:rPr>
                      <w:color w:val="auto"/>
                    </w:rPr>
                  </w:pPr>
                </w:p>
              </w:tc>
              <w:tc>
                <w:tcPr>
                  <w:tcW w:w="2983" w:type="pct"/>
                  <w:tcBorders>
                    <w:tl2br w:val="nil"/>
                    <w:tr2bl w:val="nil"/>
                  </w:tcBorders>
                  <w:tcMar>
                    <w:top w:w="0" w:type="dxa"/>
                    <w:left w:w="108" w:type="dxa"/>
                    <w:bottom w:w="0" w:type="dxa"/>
                    <w:right w:w="108" w:type="dxa"/>
                  </w:tcMar>
                  <w:vAlign w:val="center"/>
                </w:tcPr>
                <w:p w14:paraId="2BD6C681">
                  <w:pPr>
                    <w:pStyle w:val="83"/>
                    <w:spacing w:before="0" w:beforeAutospacing="0" w:after="0" w:afterAutospacing="0" w:line="240" w:lineRule="auto"/>
                    <w:ind w:left="0" w:leftChars="0" w:right="0" w:rightChars="0"/>
                    <w:rPr>
                      <w:color w:val="auto"/>
                    </w:rPr>
                  </w:pPr>
                  <w:r>
                    <w:rPr>
                      <w:color w:val="auto"/>
                    </w:rPr>
                    <w:t>2、农业灌溉水有效利用效率不低于0.</w:t>
                  </w:r>
                  <w:r>
                    <w:rPr>
                      <w:rFonts w:hint="eastAsia"/>
                      <w:color w:val="auto"/>
                    </w:rPr>
                    <w:t>527</w:t>
                  </w:r>
                  <w:r>
                    <w:rPr>
                      <w:color w:val="auto"/>
                    </w:rPr>
                    <w:t>。</w:t>
                  </w:r>
                </w:p>
              </w:tc>
              <w:tc>
                <w:tcPr>
                  <w:tcW w:w="720" w:type="pct"/>
                  <w:tcBorders>
                    <w:tl2br w:val="nil"/>
                    <w:tr2bl w:val="nil"/>
                  </w:tcBorders>
                  <w:vAlign w:val="center"/>
                </w:tcPr>
                <w:p w14:paraId="07B5C4BD">
                  <w:pPr>
                    <w:pStyle w:val="83"/>
                    <w:spacing w:before="0" w:beforeAutospacing="0" w:after="0" w:afterAutospacing="0" w:line="240" w:lineRule="auto"/>
                    <w:ind w:left="0" w:leftChars="0" w:right="0" w:rightChars="0"/>
                    <w:rPr>
                      <w:color w:val="auto"/>
                    </w:rPr>
                  </w:pPr>
                  <w:r>
                    <w:rPr>
                      <w:color w:val="auto"/>
                    </w:rPr>
                    <w:t>准入</w:t>
                  </w:r>
                </w:p>
              </w:tc>
            </w:tr>
            <w:tr w14:paraId="6F8A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77C2116D">
                  <w:pPr>
                    <w:pStyle w:val="83"/>
                    <w:spacing w:before="0" w:beforeAutospacing="0" w:after="0" w:afterAutospacing="0" w:line="240" w:lineRule="auto"/>
                    <w:ind w:left="0" w:leftChars="0" w:right="0" w:rightChars="0"/>
                    <w:rPr>
                      <w:color w:val="auto"/>
                    </w:rPr>
                  </w:pPr>
                </w:p>
              </w:tc>
              <w:tc>
                <w:tcPr>
                  <w:tcW w:w="652" w:type="pct"/>
                  <w:tcBorders>
                    <w:tl2br w:val="nil"/>
                    <w:tr2bl w:val="nil"/>
                  </w:tcBorders>
                  <w:tcMar>
                    <w:top w:w="0" w:type="dxa"/>
                    <w:left w:w="108" w:type="dxa"/>
                    <w:bottom w:w="0" w:type="dxa"/>
                    <w:right w:w="108" w:type="dxa"/>
                  </w:tcMar>
                  <w:vAlign w:val="center"/>
                </w:tcPr>
                <w:p w14:paraId="6A0DAA00">
                  <w:pPr>
                    <w:pStyle w:val="83"/>
                    <w:spacing w:before="0" w:beforeAutospacing="0" w:after="0" w:afterAutospacing="0" w:line="240" w:lineRule="auto"/>
                    <w:ind w:left="0" w:leftChars="0" w:right="0" w:rightChars="0"/>
                    <w:rPr>
                      <w:color w:val="auto"/>
                    </w:rPr>
                  </w:pPr>
                  <w:r>
                    <w:rPr>
                      <w:color w:val="auto"/>
                    </w:rPr>
                    <w:t>地下水开采要求</w:t>
                  </w:r>
                </w:p>
              </w:tc>
              <w:tc>
                <w:tcPr>
                  <w:tcW w:w="322" w:type="pct"/>
                  <w:tcBorders>
                    <w:tl2br w:val="nil"/>
                    <w:tr2bl w:val="nil"/>
                  </w:tcBorders>
                  <w:tcMar>
                    <w:top w:w="0" w:type="dxa"/>
                    <w:left w:w="108" w:type="dxa"/>
                    <w:bottom w:w="0" w:type="dxa"/>
                    <w:right w:w="108" w:type="dxa"/>
                  </w:tcMar>
                  <w:vAlign w:val="center"/>
                </w:tcPr>
                <w:p w14:paraId="7B0260E9">
                  <w:pPr>
                    <w:pStyle w:val="83"/>
                    <w:spacing w:before="0" w:beforeAutospacing="0" w:after="0" w:afterAutospacing="0" w:line="240" w:lineRule="auto"/>
                    <w:ind w:left="0" w:leftChars="0" w:right="0" w:rightChars="0"/>
                    <w:rPr>
                      <w:color w:val="auto"/>
                    </w:rPr>
                  </w:pPr>
                  <w:r>
                    <w:rPr>
                      <w:color w:val="auto"/>
                    </w:rPr>
                    <w:t>1</w:t>
                  </w:r>
                  <w:r>
                    <w:rPr>
                      <w:rFonts w:hint="eastAsia"/>
                      <w:color w:val="auto"/>
                    </w:rPr>
                    <w:t>2</w:t>
                  </w:r>
                </w:p>
              </w:tc>
              <w:tc>
                <w:tcPr>
                  <w:tcW w:w="2983" w:type="pct"/>
                  <w:tcBorders>
                    <w:tl2br w:val="nil"/>
                    <w:tr2bl w:val="nil"/>
                  </w:tcBorders>
                  <w:tcMar>
                    <w:top w:w="0" w:type="dxa"/>
                    <w:left w:w="108" w:type="dxa"/>
                    <w:bottom w:w="0" w:type="dxa"/>
                    <w:right w:w="108" w:type="dxa"/>
                  </w:tcMar>
                  <w:vAlign w:val="center"/>
                </w:tcPr>
                <w:p w14:paraId="326FBDC0">
                  <w:pPr>
                    <w:pStyle w:val="83"/>
                    <w:spacing w:before="0" w:beforeAutospacing="0" w:after="0" w:afterAutospacing="0" w:line="240" w:lineRule="auto"/>
                    <w:ind w:left="0" w:leftChars="0" w:right="0" w:rightChars="0"/>
                    <w:rPr>
                      <w:color w:val="auto"/>
                    </w:rPr>
                  </w:pPr>
                  <w:r>
                    <w:rPr>
                      <w:color w:val="auto"/>
                    </w:rPr>
                    <w:t>禁止在赣州市中心城区新增取用地下水。</w:t>
                  </w:r>
                </w:p>
              </w:tc>
              <w:tc>
                <w:tcPr>
                  <w:tcW w:w="720" w:type="pct"/>
                  <w:tcBorders>
                    <w:tl2br w:val="nil"/>
                    <w:tr2bl w:val="nil"/>
                  </w:tcBorders>
                  <w:vAlign w:val="center"/>
                </w:tcPr>
                <w:p w14:paraId="408FF2F8">
                  <w:pPr>
                    <w:pStyle w:val="83"/>
                    <w:spacing w:before="0" w:beforeAutospacing="0" w:after="0" w:afterAutospacing="0" w:line="240" w:lineRule="auto"/>
                    <w:ind w:left="0" w:leftChars="0" w:right="0" w:rightChars="0"/>
                    <w:rPr>
                      <w:color w:val="auto"/>
                    </w:rPr>
                  </w:pPr>
                  <w:r>
                    <w:rPr>
                      <w:color w:val="auto"/>
                    </w:rPr>
                    <w:t>准入</w:t>
                  </w:r>
                </w:p>
              </w:tc>
            </w:tr>
            <w:tr w14:paraId="23C8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2192ABD6">
                  <w:pPr>
                    <w:pStyle w:val="83"/>
                    <w:spacing w:before="0" w:beforeAutospacing="0" w:after="0" w:afterAutospacing="0" w:line="240" w:lineRule="auto"/>
                    <w:ind w:left="0" w:leftChars="0" w:right="0" w:rightChars="0"/>
                    <w:rPr>
                      <w:color w:val="auto"/>
                    </w:rPr>
                  </w:pPr>
                </w:p>
              </w:tc>
              <w:tc>
                <w:tcPr>
                  <w:tcW w:w="652" w:type="pct"/>
                  <w:tcBorders>
                    <w:tl2br w:val="nil"/>
                    <w:tr2bl w:val="nil"/>
                  </w:tcBorders>
                  <w:tcMar>
                    <w:top w:w="0" w:type="dxa"/>
                    <w:left w:w="108" w:type="dxa"/>
                    <w:bottom w:w="0" w:type="dxa"/>
                    <w:right w:w="108" w:type="dxa"/>
                  </w:tcMar>
                  <w:vAlign w:val="center"/>
                </w:tcPr>
                <w:p w14:paraId="2927E6FA">
                  <w:pPr>
                    <w:pStyle w:val="83"/>
                    <w:spacing w:before="0" w:beforeAutospacing="0" w:after="0" w:afterAutospacing="0" w:line="240" w:lineRule="auto"/>
                    <w:ind w:left="0" w:leftChars="0" w:right="0" w:rightChars="0"/>
                    <w:rPr>
                      <w:color w:val="auto"/>
                    </w:rPr>
                  </w:pPr>
                  <w:r>
                    <w:rPr>
                      <w:color w:val="auto"/>
                    </w:rPr>
                    <w:t>能源利用总量及效率要求</w:t>
                  </w:r>
                </w:p>
              </w:tc>
              <w:tc>
                <w:tcPr>
                  <w:tcW w:w="322" w:type="pct"/>
                  <w:tcBorders>
                    <w:tl2br w:val="nil"/>
                    <w:tr2bl w:val="nil"/>
                  </w:tcBorders>
                  <w:tcMar>
                    <w:top w:w="0" w:type="dxa"/>
                    <w:left w:w="108" w:type="dxa"/>
                    <w:bottom w:w="0" w:type="dxa"/>
                    <w:right w:w="108" w:type="dxa"/>
                  </w:tcMar>
                  <w:vAlign w:val="center"/>
                </w:tcPr>
                <w:p w14:paraId="37F9D5C3">
                  <w:pPr>
                    <w:pStyle w:val="83"/>
                    <w:spacing w:before="0" w:beforeAutospacing="0" w:after="0" w:afterAutospacing="0" w:line="240" w:lineRule="auto"/>
                    <w:ind w:left="0" w:leftChars="0" w:right="0" w:rightChars="0"/>
                    <w:rPr>
                      <w:color w:val="auto"/>
                    </w:rPr>
                  </w:pPr>
                  <w:r>
                    <w:rPr>
                      <w:color w:val="auto"/>
                    </w:rPr>
                    <w:t>1</w:t>
                  </w:r>
                  <w:r>
                    <w:rPr>
                      <w:rFonts w:hint="eastAsia"/>
                      <w:color w:val="auto"/>
                    </w:rPr>
                    <w:t>3</w:t>
                  </w:r>
                </w:p>
              </w:tc>
              <w:tc>
                <w:tcPr>
                  <w:tcW w:w="2983" w:type="pct"/>
                  <w:tcBorders>
                    <w:tl2br w:val="nil"/>
                    <w:tr2bl w:val="nil"/>
                  </w:tcBorders>
                  <w:tcMar>
                    <w:top w:w="0" w:type="dxa"/>
                    <w:left w:w="108" w:type="dxa"/>
                    <w:bottom w:w="0" w:type="dxa"/>
                    <w:right w:w="108" w:type="dxa"/>
                  </w:tcMar>
                  <w:vAlign w:val="center"/>
                </w:tcPr>
                <w:p w14:paraId="1D0375C8">
                  <w:pPr>
                    <w:pStyle w:val="83"/>
                    <w:spacing w:before="0" w:beforeAutospacing="0" w:after="0" w:afterAutospacing="0" w:line="240" w:lineRule="auto"/>
                    <w:ind w:left="0" w:leftChars="0" w:right="0" w:rightChars="0"/>
                    <w:rPr>
                      <w:color w:val="auto"/>
                    </w:rPr>
                  </w:pPr>
                  <w:r>
                    <w:rPr>
                      <w:rFonts w:hint="eastAsia"/>
                      <w:color w:val="auto"/>
                    </w:rPr>
                    <w:t>到2025年，全市万元地区</w:t>
                  </w:r>
                  <w:r>
                    <w:rPr>
                      <w:rFonts w:hint="eastAsia"/>
                      <w:color w:val="auto"/>
                      <w:lang w:eastAsia="zh-CN"/>
                    </w:rPr>
                    <w:t>生产总值</w:t>
                  </w:r>
                  <w:r>
                    <w:rPr>
                      <w:rFonts w:hint="eastAsia"/>
                      <w:color w:val="auto"/>
                    </w:rPr>
                    <w:t>能耗比2020年基础目标下降12.5%，激励目标下降13%。</w:t>
                  </w:r>
                </w:p>
              </w:tc>
              <w:tc>
                <w:tcPr>
                  <w:tcW w:w="720" w:type="pct"/>
                  <w:tcBorders>
                    <w:tl2br w:val="nil"/>
                    <w:tr2bl w:val="nil"/>
                  </w:tcBorders>
                  <w:vAlign w:val="center"/>
                </w:tcPr>
                <w:p w14:paraId="7A591515">
                  <w:pPr>
                    <w:pStyle w:val="83"/>
                    <w:spacing w:before="0" w:beforeAutospacing="0" w:after="0" w:afterAutospacing="0" w:line="240" w:lineRule="auto"/>
                    <w:ind w:left="0" w:leftChars="0" w:right="0" w:rightChars="0"/>
                    <w:rPr>
                      <w:color w:val="auto"/>
                    </w:rPr>
                  </w:pPr>
                  <w:r>
                    <w:rPr>
                      <w:color w:val="auto"/>
                    </w:rPr>
                    <w:t>准入</w:t>
                  </w:r>
                </w:p>
              </w:tc>
            </w:tr>
            <w:tr w14:paraId="2F16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2" w:type="pct"/>
                  <w:vMerge w:val="continue"/>
                  <w:tcBorders>
                    <w:tl2br w:val="nil"/>
                    <w:tr2bl w:val="nil"/>
                  </w:tcBorders>
                  <w:vAlign w:val="center"/>
                </w:tcPr>
                <w:p w14:paraId="443BC1AC">
                  <w:pPr>
                    <w:pStyle w:val="83"/>
                    <w:spacing w:before="0" w:beforeAutospacing="0" w:after="0" w:afterAutospacing="0" w:line="240" w:lineRule="auto"/>
                    <w:ind w:left="0" w:leftChars="0" w:right="0" w:rightChars="0"/>
                    <w:rPr>
                      <w:color w:val="auto"/>
                    </w:rPr>
                  </w:pPr>
                </w:p>
              </w:tc>
              <w:tc>
                <w:tcPr>
                  <w:tcW w:w="652" w:type="pct"/>
                  <w:tcBorders>
                    <w:tl2br w:val="nil"/>
                    <w:tr2bl w:val="nil"/>
                  </w:tcBorders>
                  <w:tcMar>
                    <w:top w:w="0" w:type="dxa"/>
                    <w:left w:w="108" w:type="dxa"/>
                    <w:bottom w:w="0" w:type="dxa"/>
                    <w:right w:w="108" w:type="dxa"/>
                  </w:tcMar>
                  <w:vAlign w:val="center"/>
                </w:tcPr>
                <w:p w14:paraId="76E015AB">
                  <w:pPr>
                    <w:pStyle w:val="83"/>
                    <w:spacing w:before="0" w:beforeAutospacing="0" w:after="0" w:afterAutospacing="0" w:line="240" w:lineRule="auto"/>
                    <w:ind w:left="0" w:leftChars="0" w:right="0" w:rightChars="0"/>
                    <w:rPr>
                      <w:color w:val="auto"/>
                    </w:rPr>
                  </w:pPr>
                  <w:r>
                    <w:rPr>
                      <w:color w:val="auto"/>
                    </w:rPr>
                    <w:t>禁燃区要求</w:t>
                  </w:r>
                </w:p>
              </w:tc>
              <w:tc>
                <w:tcPr>
                  <w:tcW w:w="322" w:type="pct"/>
                  <w:tcBorders>
                    <w:tl2br w:val="nil"/>
                    <w:tr2bl w:val="nil"/>
                  </w:tcBorders>
                  <w:tcMar>
                    <w:top w:w="0" w:type="dxa"/>
                    <w:left w:w="108" w:type="dxa"/>
                    <w:bottom w:w="0" w:type="dxa"/>
                    <w:right w:w="108" w:type="dxa"/>
                  </w:tcMar>
                  <w:vAlign w:val="center"/>
                </w:tcPr>
                <w:p w14:paraId="7B4E4DCB">
                  <w:pPr>
                    <w:pStyle w:val="83"/>
                    <w:spacing w:before="0" w:beforeAutospacing="0" w:after="0" w:afterAutospacing="0" w:line="240" w:lineRule="auto"/>
                    <w:ind w:left="0" w:leftChars="0" w:right="0" w:rightChars="0"/>
                    <w:rPr>
                      <w:color w:val="auto"/>
                    </w:rPr>
                  </w:pPr>
                  <w:r>
                    <w:rPr>
                      <w:color w:val="auto"/>
                    </w:rPr>
                    <w:t>13</w:t>
                  </w:r>
                </w:p>
              </w:tc>
              <w:tc>
                <w:tcPr>
                  <w:tcW w:w="2983" w:type="pct"/>
                  <w:tcBorders>
                    <w:tl2br w:val="nil"/>
                    <w:tr2bl w:val="nil"/>
                  </w:tcBorders>
                  <w:tcMar>
                    <w:top w:w="0" w:type="dxa"/>
                    <w:left w:w="108" w:type="dxa"/>
                    <w:bottom w:w="0" w:type="dxa"/>
                    <w:right w:w="108" w:type="dxa"/>
                  </w:tcMar>
                  <w:vAlign w:val="center"/>
                </w:tcPr>
                <w:p w14:paraId="0D2CB75A">
                  <w:pPr>
                    <w:pStyle w:val="83"/>
                    <w:spacing w:before="0" w:beforeAutospacing="0" w:after="0" w:afterAutospacing="0" w:line="240" w:lineRule="auto"/>
                    <w:ind w:left="0" w:leftChars="0" w:right="0" w:rightChars="0"/>
                    <w:rPr>
                      <w:color w:val="auto"/>
                    </w:rPr>
                  </w:pPr>
                  <w:r>
                    <w:rPr>
                      <w:color w:val="auto"/>
                    </w:rPr>
                    <w:t>1、禁止在赣州市划定的高污染燃料禁燃区燃用高污染燃料，及新建、扩建燃用高污染燃料的项目和设施。</w:t>
                  </w:r>
                </w:p>
                <w:p w14:paraId="0B147698">
                  <w:pPr>
                    <w:pStyle w:val="83"/>
                    <w:spacing w:before="0" w:beforeAutospacing="0" w:after="0" w:afterAutospacing="0" w:line="240" w:lineRule="auto"/>
                    <w:ind w:left="0" w:leftChars="0" w:right="0" w:rightChars="0"/>
                    <w:rPr>
                      <w:color w:val="auto"/>
                    </w:rPr>
                  </w:pPr>
                  <w:r>
                    <w:rPr>
                      <w:color w:val="auto"/>
                    </w:rPr>
                    <w:t>2、禁燃区内现有使用高污染燃料的区域应分期分批次淘汰或实施清洁能源改造。</w:t>
                  </w:r>
                </w:p>
              </w:tc>
              <w:tc>
                <w:tcPr>
                  <w:tcW w:w="720" w:type="pct"/>
                  <w:tcBorders>
                    <w:tl2br w:val="nil"/>
                    <w:tr2bl w:val="nil"/>
                  </w:tcBorders>
                  <w:vAlign w:val="center"/>
                </w:tcPr>
                <w:p w14:paraId="67F8FA6B">
                  <w:pPr>
                    <w:pStyle w:val="83"/>
                    <w:spacing w:before="0" w:beforeAutospacing="0" w:after="0" w:afterAutospacing="0" w:line="240" w:lineRule="auto"/>
                    <w:ind w:left="0" w:leftChars="0" w:right="0" w:rightChars="0"/>
                    <w:rPr>
                      <w:color w:val="auto"/>
                    </w:rPr>
                  </w:pPr>
                  <w:r>
                    <w:rPr>
                      <w:color w:val="auto"/>
                    </w:rPr>
                    <w:t>准入</w:t>
                  </w:r>
                </w:p>
              </w:tc>
            </w:tr>
          </w:tbl>
          <w:p w14:paraId="0FCCA455">
            <w:pPr>
              <w:autoSpaceDE w:val="0"/>
              <w:autoSpaceDN w:val="0"/>
              <w:adjustRightInd w:val="0"/>
              <w:snapToGrid w:val="0"/>
              <w:jc w:val="center"/>
              <w:rPr>
                <w:rFonts w:hint="default" w:eastAsia="宋体"/>
                <w:b/>
                <w:bCs/>
                <w:color w:val="auto"/>
                <w:kern w:val="0"/>
                <w:sz w:val="24"/>
                <w:lang w:val="en-US" w:eastAsia="zh-CN"/>
              </w:rPr>
            </w:pPr>
            <w:r>
              <w:rPr>
                <w:rFonts w:hint="eastAsia"/>
                <w:b/>
                <w:bCs/>
                <w:color w:val="auto"/>
                <w:kern w:val="0"/>
                <w:sz w:val="24"/>
              </w:rPr>
              <w:t>表1-6</w:t>
            </w:r>
            <w:r>
              <w:rPr>
                <w:rFonts w:hint="eastAsia"/>
                <w:b/>
                <w:bCs/>
                <w:color w:val="auto"/>
                <w:kern w:val="0"/>
                <w:sz w:val="24"/>
                <w:lang w:val="en-US" w:eastAsia="zh-CN"/>
              </w:rPr>
              <w:t xml:space="preserve"> </w:t>
            </w:r>
            <w:r>
              <w:rPr>
                <w:rFonts w:hint="eastAsia"/>
                <w:b/>
                <w:bCs/>
                <w:color w:val="auto"/>
                <w:kern w:val="0"/>
                <w:sz w:val="24"/>
              </w:rPr>
              <w:t>与</w:t>
            </w:r>
            <w:r>
              <w:rPr>
                <w:rFonts w:hint="eastAsia"/>
                <w:b/>
                <w:bCs/>
                <w:color w:val="auto"/>
                <w:kern w:val="0"/>
                <w:sz w:val="24"/>
                <w:lang w:val="en-US" w:eastAsia="zh-CN"/>
              </w:rPr>
              <w:t>环境管控单元准入清单相符性分析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02"/>
              <w:gridCol w:w="484"/>
              <w:gridCol w:w="678"/>
              <w:gridCol w:w="1441"/>
              <w:gridCol w:w="1811"/>
              <w:gridCol w:w="608"/>
            </w:tblGrid>
            <w:tr w14:paraId="4572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Align w:val="center"/>
                </w:tcPr>
                <w:p w14:paraId="6431B008">
                  <w:pPr>
                    <w:pStyle w:val="58"/>
                    <w:widowControl w:val="0"/>
                    <w:autoSpaceDE w:val="0"/>
                    <w:autoSpaceDN w:val="0"/>
                    <w:adjustRightInd w:val="0"/>
                    <w:snapToGrid w:val="0"/>
                    <w:rPr>
                      <w:b/>
                      <w:snapToGrid w:val="0"/>
                      <w:color w:val="auto"/>
                      <w:szCs w:val="21"/>
                    </w:rPr>
                  </w:pPr>
                  <w:r>
                    <w:rPr>
                      <w:b/>
                      <w:snapToGrid w:val="0"/>
                      <w:color w:val="auto"/>
                      <w:szCs w:val="21"/>
                    </w:rPr>
                    <w:t>名称</w:t>
                  </w:r>
                </w:p>
              </w:tc>
              <w:tc>
                <w:tcPr>
                  <w:tcW w:w="2603" w:type="dxa"/>
                  <w:gridSpan w:val="3"/>
                  <w:vAlign w:val="center"/>
                </w:tcPr>
                <w:p w14:paraId="6B994508">
                  <w:pPr>
                    <w:pStyle w:val="58"/>
                    <w:widowControl w:val="0"/>
                    <w:autoSpaceDE w:val="0"/>
                    <w:autoSpaceDN w:val="0"/>
                    <w:adjustRightInd w:val="0"/>
                    <w:snapToGrid w:val="0"/>
                    <w:rPr>
                      <w:b/>
                      <w:snapToGrid w:val="0"/>
                      <w:color w:val="auto"/>
                      <w:szCs w:val="21"/>
                    </w:rPr>
                  </w:pPr>
                  <w:r>
                    <w:rPr>
                      <w:b/>
                      <w:snapToGrid w:val="0"/>
                      <w:color w:val="auto"/>
                      <w:szCs w:val="21"/>
                    </w:rPr>
                    <w:t>文件要求</w:t>
                  </w:r>
                </w:p>
              </w:tc>
              <w:tc>
                <w:tcPr>
                  <w:tcW w:w="1811" w:type="dxa"/>
                  <w:vAlign w:val="center"/>
                </w:tcPr>
                <w:p w14:paraId="360694C9">
                  <w:pPr>
                    <w:pStyle w:val="58"/>
                    <w:widowControl w:val="0"/>
                    <w:autoSpaceDE w:val="0"/>
                    <w:autoSpaceDN w:val="0"/>
                    <w:adjustRightInd w:val="0"/>
                    <w:snapToGrid w:val="0"/>
                    <w:rPr>
                      <w:b/>
                      <w:snapToGrid w:val="0"/>
                      <w:color w:val="auto"/>
                      <w:szCs w:val="21"/>
                    </w:rPr>
                  </w:pPr>
                  <w:r>
                    <w:rPr>
                      <w:b/>
                      <w:snapToGrid w:val="0"/>
                      <w:color w:val="auto"/>
                      <w:szCs w:val="21"/>
                    </w:rPr>
                    <w:t>本项目情况</w:t>
                  </w:r>
                </w:p>
              </w:tc>
              <w:tc>
                <w:tcPr>
                  <w:tcW w:w="608" w:type="dxa"/>
                  <w:vAlign w:val="center"/>
                </w:tcPr>
                <w:p w14:paraId="5B6D2D0B">
                  <w:pPr>
                    <w:pStyle w:val="58"/>
                    <w:widowControl w:val="0"/>
                    <w:autoSpaceDE w:val="0"/>
                    <w:autoSpaceDN w:val="0"/>
                    <w:adjustRightInd w:val="0"/>
                    <w:snapToGrid w:val="0"/>
                    <w:rPr>
                      <w:b/>
                      <w:snapToGrid w:val="0"/>
                      <w:color w:val="auto"/>
                      <w:szCs w:val="21"/>
                    </w:rPr>
                  </w:pPr>
                  <w:r>
                    <w:rPr>
                      <w:b/>
                      <w:snapToGrid w:val="0"/>
                      <w:color w:val="auto"/>
                      <w:szCs w:val="21"/>
                    </w:rPr>
                    <w:t>相符性</w:t>
                  </w:r>
                </w:p>
              </w:tc>
            </w:tr>
            <w:tr w14:paraId="7F2C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restart"/>
                  <w:vAlign w:val="center"/>
                </w:tcPr>
                <w:p w14:paraId="71765373">
                  <w:pPr>
                    <w:pStyle w:val="58"/>
                    <w:widowControl w:val="0"/>
                    <w:autoSpaceDE w:val="0"/>
                    <w:autoSpaceDN w:val="0"/>
                    <w:adjustRightInd w:val="0"/>
                    <w:snapToGrid w:val="0"/>
                    <w:rPr>
                      <w:snapToGrid w:val="0"/>
                      <w:color w:val="auto"/>
                      <w:szCs w:val="21"/>
                    </w:rPr>
                  </w:pPr>
                  <w:r>
                    <w:rPr>
                      <w:rFonts w:hint="eastAsia"/>
                      <w:snapToGrid w:val="0"/>
                      <w:color w:val="auto"/>
                      <w:szCs w:val="21"/>
                    </w:rPr>
                    <w:t>江西省赣州市赣州经济技术开发区重点管控单元46</w:t>
                  </w:r>
                </w:p>
              </w:tc>
              <w:tc>
                <w:tcPr>
                  <w:tcW w:w="484" w:type="dxa"/>
                  <w:vMerge w:val="restart"/>
                  <w:vAlign w:val="center"/>
                </w:tcPr>
                <w:p w14:paraId="7B4094A6">
                  <w:pPr>
                    <w:pStyle w:val="58"/>
                    <w:widowControl w:val="0"/>
                    <w:autoSpaceDE w:val="0"/>
                    <w:autoSpaceDN w:val="0"/>
                    <w:adjustRightInd w:val="0"/>
                    <w:snapToGrid w:val="0"/>
                    <w:rPr>
                      <w:snapToGrid w:val="0"/>
                      <w:color w:val="auto"/>
                      <w:szCs w:val="21"/>
                    </w:rPr>
                  </w:pPr>
                  <w:r>
                    <w:rPr>
                      <w:snapToGrid w:val="0"/>
                      <w:color w:val="auto"/>
                      <w:szCs w:val="21"/>
                    </w:rPr>
                    <w:t>空间布局约束</w:t>
                  </w:r>
                </w:p>
              </w:tc>
              <w:tc>
                <w:tcPr>
                  <w:tcW w:w="678" w:type="dxa"/>
                  <w:vAlign w:val="center"/>
                </w:tcPr>
                <w:p w14:paraId="46E50AA8">
                  <w:pPr>
                    <w:pStyle w:val="58"/>
                    <w:widowControl w:val="0"/>
                    <w:autoSpaceDE w:val="0"/>
                    <w:autoSpaceDN w:val="0"/>
                    <w:adjustRightInd w:val="0"/>
                    <w:snapToGrid w:val="0"/>
                    <w:rPr>
                      <w:snapToGrid w:val="0"/>
                      <w:color w:val="auto"/>
                      <w:szCs w:val="21"/>
                    </w:rPr>
                  </w:pPr>
                  <w:r>
                    <w:rPr>
                      <w:snapToGrid w:val="0"/>
                      <w:color w:val="auto"/>
                      <w:szCs w:val="21"/>
                    </w:rPr>
                    <w:t>禁止开发建设活动的要求</w:t>
                  </w:r>
                </w:p>
              </w:tc>
              <w:tc>
                <w:tcPr>
                  <w:tcW w:w="1441" w:type="dxa"/>
                  <w:vAlign w:val="center"/>
                </w:tcPr>
                <w:p w14:paraId="01536353">
                  <w:pPr>
                    <w:pStyle w:val="58"/>
                    <w:widowControl w:val="0"/>
                    <w:autoSpaceDE w:val="0"/>
                    <w:autoSpaceDN w:val="0"/>
                    <w:adjustRightInd w:val="0"/>
                    <w:snapToGrid w:val="0"/>
                    <w:rPr>
                      <w:snapToGrid w:val="0"/>
                      <w:color w:val="auto"/>
                      <w:szCs w:val="21"/>
                    </w:rPr>
                  </w:pPr>
                  <w:r>
                    <w:rPr>
                      <w:snapToGrid w:val="0"/>
                      <w:color w:val="auto"/>
                      <w:szCs w:val="21"/>
                    </w:rPr>
                    <w:t>不得引进产业规划禁止类项目进入园区。</w:t>
                  </w:r>
                </w:p>
              </w:tc>
              <w:tc>
                <w:tcPr>
                  <w:tcW w:w="1811" w:type="dxa"/>
                  <w:vMerge w:val="restart"/>
                  <w:vAlign w:val="center"/>
                </w:tcPr>
                <w:p w14:paraId="1130A26C">
                  <w:pPr>
                    <w:pStyle w:val="58"/>
                    <w:widowControl w:val="0"/>
                    <w:autoSpaceDE w:val="0"/>
                    <w:autoSpaceDN w:val="0"/>
                    <w:adjustRightInd w:val="0"/>
                    <w:snapToGrid w:val="0"/>
                    <w:rPr>
                      <w:snapToGrid w:val="0"/>
                      <w:color w:val="auto"/>
                      <w:szCs w:val="21"/>
                    </w:rPr>
                  </w:pPr>
                  <w:r>
                    <w:rPr>
                      <w:snapToGrid w:val="0"/>
                      <w:color w:val="auto"/>
                      <w:szCs w:val="21"/>
                    </w:rPr>
                    <w:t>本项目</w:t>
                  </w:r>
                  <w:r>
                    <w:rPr>
                      <w:rFonts w:hint="eastAsia"/>
                      <w:snapToGrid w:val="0"/>
                      <w:color w:val="auto"/>
                      <w:szCs w:val="21"/>
                    </w:rPr>
                    <w:t>不属于禁止类项目</w:t>
                  </w:r>
                </w:p>
              </w:tc>
              <w:tc>
                <w:tcPr>
                  <w:tcW w:w="608" w:type="dxa"/>
                  <w:vAlign w:val="center"/>
                </w:tcPr>
                <w:p w14:paraId="74EF3419">
                  <w:pPr>
                    <w:pStyle w:val="58"/>
                    <w:widowControl w:val="0"/>
                    <w:autoSpaceDE w:val="0"/>
                    <w:autoSpaceDN w:val="0"/>
                    <w:adjustRightInd w:val="0"/>
                    <w:snapToGrid w:val="0"/>
                    <w:rPr>
                      <w:snapToGrid w:val="0"/>
                      <w:color w:val="auto"/>
                      <w:szCs w:val="21"/>
                    </w:rPr>
                  </w:pPr>
                  <w:r>
                    <w:rPr>
                      <w:snapToGrid w:val="0"/>
                      <w:color w:val="auto"/>
                      <w:szCs w:val="21"/>
                    </w:rPr>
                    <w:t>符合</w:t>
                  </w:r>
                </w:p>
              </w:tc>
            </w:tr>
            <w:tr w14:paraId="0332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369F2D6F">
                  <w:pPr>
                    <w:pStyle w:val="58"/>
                    <w:widowControl w:val="0"/>
                    <w:autoSpaceDE w:val="0"/>
                    <w:autoSpaceDN w:val="0"/>
                    <w:adjustRightInd w:val="0"/>
                    <w:snapToGrid w:val="0"/>
                    <w:rPr>
                      <w:snapToGrid w:val="0"/>
                      <w:color w:val="auto"/>
                      <w:szCs w:val="21"/>
                    </w:rPr>
                  </w:pPr>
                </w:p>
              </w:tc>
              <w:tc>
                <w:tcPr>
                  <w:tcW w:w="484" w:type="dxa"/>
                  <w:vMerge w:val="continue"/>
                  <w:vAlign w:val="center"/>
                </w:tcPr>
                <w:p w14:paraId="10F244F5">
                  <w:pPr>
                    <w:pStyle w:val="58"/>
                    <w:widowControl w:val="0"/>
                    <w:autoSpaceDE w:val="0"/>
                    <w:autoSpaceDN w:val="0"/>
                    <w:adjustRightInd w:val="0"/>
                    <w:snapToGrid w:val="0"/>
                    <w:rPr>
                      <w:snapToGrid w:val="0"/>
                      <w:color w:val="auto"/>
                      <w:szCs w:val="21"/>
                    </w:rPr>
                  </w:pPr>
                </w:p>
              </w:tc>
              <w:tc>
                <w:tcPr>
                  <w:tcW w:w="678" w:type="dxa"/>
                  <w:vAlign w:val="center"/>
                </w:tcPr>
                <w:p w14:paraId="12460F61">
                  <w:pPr>
                    <w:pStyle w:val="58"/>
                    <w:widowControl w:val="0"/>
                    <w:autoSpaceDE w:val="0"/>
                    <w:autoSpaceDN w:val="0"/>
                    <w:adjustRightInd w:val="0"/>
                    <w:snapToGrid w:val="0"/>
                    <w:rPr>
                      <w:snapToGrid w:val="0"/>
                      <w:color w:val="auto"/>
                      <w:szCs w:val="21"/>
                    </w:rPr>
                  </w:pPr>
                  <w:r>
                    <w:rPr>
                      <w:snapToGrid w:val="0"/>
                      <w:color w:val="auto"/>
                      <w:szCs w:val="21"/>
                    </w:rPr>
                    <w:t>不符合空间布局要求活动的退出要求</w:t>
                  </w:r>
                </w:p>
              </w:tc>
              <w:tc>
                <w:tcPr>
                  <w:tcW w:w="1441" w:type="dxa"/>
                  <w:vAlign w:val="center"/>
                </w:tcPr>
                <w:p w14:paraId="7500FD47">
                  <w:pPr>
                    <w:pStyle w:val="58"/>
                    <w:widowControl w:val="0"/>
                    <w:autoSpaceDE w:val="0"/>
                    <w:autoSpaceDN w:val="0"/>
                    <w:adjustRightInd w:val="0"/>
                    <w:snapToGrid w:val="0"/>
                    <w:rPr>
                      <w:snapToGrid w:val="0"/>
                      <w:color w:val="auto"/>
                      <w:szCs w:val="21"/>
                    </w:rPr>
                  </w:pPr>
                  <w:r>
                    <w:rPr>
                      <w:snapToGrid w:val="0"/>
                      <w:color w:val="auto"/>
                      <w:szCs w:val="21"/>
                    </w:rPr>
                    <w:t>现有园区产业规划禁止类的企业逐步停产或关停</w:t>
                  </w:r>
                </w:p>
              </w:tc>
              <w:tc>
                <w:tcPr>
                  <w:tcW w:w="1811" w:type="dxa"/>
                  <w:vMerge w:val="continue"/>
                  <w:vAlign w:val="center"/>
                </w:tcPr>
                <w:p w14:paraId="06A46493">
                  <w:pPr>
                    <w:pStyle w:val="58"/>
                    <w:widowControl w:val="0"/>
                    <w:autoSpaceDE w:val="0"/>
                    <w:autoSpaceDN w:val="0"/>
                    <w:adjustRightInd w:val="0"/>
                    <w:snapToGrid w:val="0"/>
                    <w:rPr>
                      <w:snapToGrid w:val="0"/>
                      <w:color w:val="auto"/>
                      <w:szCs w:val="21"/>
                    </w:rPr>
                  </w:pPr>
                </w:p>
              </w:tc>
              <w:tc>
                <w:tcPr>
                  <w:tcW w:w="608" w:type="dxa"/>
                  <w:vAlign w:val="center"/>
                </w:tcPr>
                <w:p w14:paraId="766EDF2D">
                  <w:pPr>
                    <w:pStyle w:val="58"/>
                    <w:widowControl w:val="0"/>
                    <w:autoSpaceDE w:val="0"/>
                    <w:autoSpaceDN w:val="0"/>
                    <w:adjustRightInd w:val="0"/>
                    <w:snapToGrid w:val="0"/>
                    <w:rPr>
                      <w:snapToGrid w:val="0"/>
                      <w:color w:val="auto"/>
                      <w:szCs w:val="21"/>
                    </w:rPr>
                  </w:pPr>
                  <w:r>
                    <w:rPr>
                      <w:snapToGrid w:val="0"/>
                      <w:color w:val="auto"/>
                      <w:szCs w:val="21"/>
                    </w:rPr>
                    <w:t>符合</w:t>
                  </w:r>
                </w:p>
              </w:tc>
            </w:tr>
            <w:tr w14:paraId="15CB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4EFFD45C">
                  <w:pPr>
                    <w:pStyle w:val="58"/>
                    <w:widowControl w:val="0"/>
                    <w:autoSpaceDE w:val="0"/>
                    <w:autoSpaceDN w:val="0"/>
                    <w:adjustRightInd w:val="0"/>
                    <w:snapToGrid w:val="0"/>
                    <w:rPr>
                      <w:snapToGrid w:val="0"/>
                      <w:color w:val="auto"/>
                      <w:szCs w:val="21"/>
                    </w:rPr>
                  </w:pPr>
                </w:p>
              </w:tc>
              <w:tc>
                <w:tcPr>
                  <w:tcW w:w="484" w:type="dxa"/>
                  <w:vMerge w:val="continue"/>
                  <w:vAlign w:val="center"/>
                </w:tcPr>
                <w:p w14:paraId="72D79527">
                  <w:pPr>
                    <w:pStyle w:val="58"/>
                    <w:widowControl w:val="0"/>
                    <w:autoSpaceDE w:val="0"/>
                    <w:autoSpaceDN w:val="0"/>
                    <w:adjustRightInd w:val="0"/>
                    <w:snapToGrid w:val="0"/>
                    <w:rPr>
                      <w:snapToGrid w:val="0"/>
                      <w:color w:val="auto"/>
                      <w:szCs w:val="21"/>
                    </w:rPr>
                  </w:pPr>
                </w:p>
              </w:tc>
              <w:tc>
                <w:tcPr>
                  <w:tcW w:w="678" w:type="dxa"/>
                  <w:vAlign w:val="center"/>
                </w:tcPr>
                <w:p w14:paraId="31675665">
                  <w:pPr>
                    <w:pStyle w:val="58"/>
                    <w:widowControl w:val="0"/>
                    <w:autoSpaceDE w:val="0"/>
                    <w:autoSpaceDN w:val="0"/>
                    <w:adjustRightInd w:val="0"/>
                    <w:snapToGrid w:val="0"/>
                    <w:rPr>
                      <w:snapToGrid w:val="0"/>
                      <w:color w:val="auto"/>
                      <w:szCs w:val="21"/>
                    </w:rPr>
                  </w:pPr>
                  <w:r>
                    <w:rPr>
                      <w:rFonts w:hint="eastAsia"/>
                      <w:snapToGrid w:val="0"/>
                      <w:color w:val="auto"/>
                      <w:szCs w:val="21"/>
                      <w:lang w:val="en-US" w:eastAsia="zh-CN"/>
                    </w:rPr>
                    <w:t>其</w:t>
                  </w:r>
                  <w:r>
                    <w:rPr>
                      <w:rFonts w:hint="eastAsia"/>
                      <w:snapToGrid w:val="0"/>
                      <w:color w:val="auto"/>
                      <w:szCs w:val="21"/>
                    </w:rPr>
                    <w:t>他空间布局约束要求</w:t>
                  </w:r>
                </w:p>
              </w:tc>
              <w:tc>
                <w:tcPr>
                  <w:tcW w:w="1441" w:type="dxa"/>
                  <w:vAlign w:val="center"/>
                </w:tcPr>
                <w:p w14:paraId="7DD67E4C">
                  <w:pPr>
                    <w:pStyle w:val="58"/>
                    <w:widowControl w:val="0"/>
                    <w:autoSpaceDE w:val="0"/>
                    <w:autoSpaceDN w:val="0"/>
                    <w:adjustRightInd w:val="0"/>
                    <w:snapToGrid w:val="0"/>
                    <w:rPr>
                      <w:snapToGrid w:val="0"/>
                      <w:color w:val="auto"/>
                      <w:szCs w:val="21"/>
                    </w:rPr>
                  </w:pPr>
                  <w:r>
                    <w:rPr>
                      <w:rFonts w:hint="eastAsia"/>
                      <w:snapToGrid w:val="0"/>
                      <w:color w:val="auto"/>
                      <w:szCs w:val="21"/>
                    </w:rPr>
                    <w:t>加强‘两高’项目源头防控。</w:t>
                  </w:r>
                </w:p>
              </w:tc>
              <w:tc>
                <w:tcPr>
                  <w:tcW w:w="1811" w:type="dxa"/>
                  <w:vAlign w:val="center"/>
                </w:tcPr>
                <w:p w14:paraId="56724AF2">
                  <w:pPr>
                    <w:pStyle w:val="58"/>
                    <w:widowControl w:val="0"/>
                    <w:autoSpaceDE w:val="0"/>
                    <w:autoSpaceDN w:val="0"/>
                    <w:adjustRightInd w:val="0"/>
                    <w:snapToGrid w:val="0"/>
                    <w:rPr>
                      <w:snapToGrid w:val="0"/>
                      <w:color w:val="auto"/>
                      <w:szCs w:val="21"/>
                    </w:rPr>
                  </w:pPr>
                  <w:r>
                    <w:rPr>
                      <w:snapToGrid w:val="0"/>
                      <w:color w:val="auto"/>
                      <w:szCs w:val="21"/>
                    </w:rPr>
                    <w:t>本项目</w:t>
                  </w:r>
                  <w:r>
                    <w:rPr>
                      <w:rFonts w:hint="eastAsia"/>
                      <w:snapToGrid w:val="0"/>
                      <w:color w:val="auto"/>
                      <w:szCs w:val="21"/>
                    </w:rPr>
                    <w:t>不属于‘两高’项目</w:t>
                  </w:r>
                </w:p>
              </w:tc>
              <w:tc>
                <w:tcPr>
                  <w:tcW w:w="608" w:type="dxa"/>
                  <w:shd w:val="clear" w:color="auto" w:fill="auto"/>
                  <w:vAlign w:val="center"/>
                </w:tcPr>
                <w:p w14:paraId="70B93E95">
                  <w:pPr>
                    <w:pStyle w:val="58"/>
                    <w:widowControl w:val="0"/>
                    <w:autoSpaceDE w:val="0"/>
                    <w:autoSpaceDN w:val="0"/>
                    <w:adjustRightInd w:val="0"/>
                    <w:snapToGrid w:val="0"/>
                    <w:rPr>
                      <w:rFonts w:ascii="Times New Roman" w:hAnsi="Times New Roman" w:eastAsia="宋体" w:cs="Times New Roman"/>
                      <w:snapToGrid w:val="0"/>
                      <w:color w:val="auto"/>
                      <w:sz w:val="21"/>
                      <w:szCs w:val="21"/>
                      <w:lang w:val="en-US" w:eastAsia="zh-CN" w:bidi="ar-SA"/>
                    </w:rPr>
                  </w:pPr>
                  <w:r>
                    <w:rPr>
                      <w:snapToGrid w:val="0"/>
                      <w:color w:val="auto"/>
                      <w:szCs w:val="21"/>
                    </w:rPr>
                    <w:t>符合</w:t>
                  </w:r>
                </w:p>
              </w:tc>
            </w:tr>
            <w:tr w14:paraId="6E8E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6C7BD9E3">
                  <w:pPr>
                    <w:pStyle w:val="58"/>
                    <w:widowControl w:val="0"/>
                    <w:autoSpaceDE w:val="0"/>
                    <w:autoSpaceDN w:val="0"/>
                    <w:adjustRightInd w:val="0"/>
                    <w:snapToGrid w:val="0"/>
                    <w:rPr>
                      <w:snapToGrid w:val="0"/>
                      <w:color w:val="auto"/>
                      <w:szCs w:val="21"/>
                    </w:rPr>
                  </w:pPr>
                </w:p>
              </w:tc>
              <w:tc>
                <w:tcPr>
                  <w:tcW w:w="484" w:type="dxa"/>
                  <w:vMerge w:val="restart"/>
                  <w:vAlign w:val="center"/>
                </w:tcPr>
                <w:p w14:paraId="70D3CCF0">
                  <w:pPr>
                    <w:pStyle w:val="58"/>
                    <w:widowControl w:val="0"/>
                    <w:autoSpaceDE w:val="0"/>
                    <w:autoSpaceDN w:val="0"/>
                    <w:adjustRightInd w:val="0"/>
                    <w:snapToGrid w:val="0"/>
                    <w:rPr>
                      <w:snapToGrid w:val="0"/>
                      <w:color w:val="auto"/>
                      <w:szCs w:val="21"/>
                    </w:rPr>
                  </w:pPr>
                  <w:r>
                    <w:rPr>
                      <w:snapToGrid w:val="0"/>
                      <w:color w:val="auto"/>
                      <w:szCs w:val="21"/>
                    </w:rPr>
                    <w:t>污染物排放管控</w:t>
                  </w:r>
                </w:p>
              </w:tc>
              <w:tc>
                <w:tcPr>
                  <w:tcW w:w="678" w:type="dxa"/>
                  <w:vAlign w:val="center"/>
                </w:tcPr>
                <w:p w14:paraId="326F5047">
                  <w:pPr>
                    <w:pStyle w:val="58"/>
                    <w:widowControl w:val="0"/>
                    <w:autoSpaceDE w:val="0"/>
                    <w:autoSpaceDN w:val="0"/>
                    <w:adjustRightInd w:val="0"/>
                    <w:snapToGrid w:val="0"/>
                    <w:rPr>
                      <w:snapToGrid w:val="0"/>
                      <w:color w:val="auto"/>
                      <w:szCs w:val="21"/>
                    </w:rPr>
                  </w:pPr>
                  <w:r>
                    <w:rPr>
                      <w:snapToGrid w:val="0"/>
                      <w:color w:val="auto"/>
                      <w:szCs w:val="21"/>
                    </w:rPr>
                    <w:t>现有源提标升级改造</w:t>
                  </w:r>
                </w:p>
              </w:tc>
              <w:tc>
                <w:tcPr>
                  <w:tcW w:w="1441" w:type="dxa"/>
                  <w:vAlign w:val="center"/>
                </w:tcPr>
                <w:p w14:paraId="4DD6F4DA">
                  <w:pPr>
                    <w:pStyle w:val="58"/>
                    <w:widowControl w:val="0"/>
                    <w:autoSpaceDE w:val="0"/>
                    <w:autoSpaceDN w:val="0"/>
                    <w:adjustRightInd w:val="0"/>
                    <w:snapToGrid w:val="0"/>
                    <w:rPr>
                      <w:snapToGrid w:val="0"/>
                      <w:color w:val="auto"/>
                      <w:szCs w:val="21"/>
                    </w:rPr>
                  </w:pPr>
                  <w:r>
                    <w:rPr>
                      <w:rFonts w:hint="eastAsia"/>
                      <w:snapToGrid w:val="0"/>
                      <w:color w:val="auto"/>
                      <w:szCs w:val="21"/>
                    </w:rPr>
                    <w:t>园区内现有企业需预处理达到污水集中处理设施接管标准。</w:t>
                  </w:r>
                </w:p>
              </w:tc>
              <w:tc>
                <w:tcPr>
                  <w:tcW w:w="1811" w:type="dxa"/>
                  <w:vAlign w:val="center"/>
                </w:tcPr>
                <w:p w14:paraId="16F71E00">
                  <w:pPr>
                    <w:pStyle w:val="58"/>
                    <w:widowControl w:val="0"/>
                    <w:autoSpaceDE w:val="0"/>
                    <w:autoSpaceDN w:val="0"/>
                    <w:adjustRightInd w:val="0"/>
                    <w:snapToGrid w:val="0"/>
                    <w:rPr>
                      <w:snapToGrid w:val="0"/>
                      <w:color w:val="auto"/>
                      <w:szCs w:val="21"/>
                    </w:rPr>
                  </w:pPr>
                  <w:r>
                    <w:rPr>
                      <w:rFonts w:hint="eastAsia"/>
                      <w:snapToGrid w:val="0"/>
                      <w:color w:val="auto"/>
                      <w:szCs w:val="21"/>
                    </w:rPr>
                    <w:t>本项目生活污水和清洗废水经一期污水处理站预处理后可达到赣州新能源汽车科技城污水处理厂接管标准</w:t>
                  </w:r>
                </w:p>
              </w:tc>
              <w:tc>
                <w:tcPr>
                  <w:tcW w:w="608" w:type="dxa"/>
                  <w:vAlign w:val="center"/>
                </w:tcPr>
                <w:p w14:paraId="67700921">
                  <w:pPr>
                    <w:pStyle w:val="58"/>
                    <w:widowControl w:val="0"/>
                    <w:autoSpaceDE w:val="0"/>
                    <w:autoSpaceDN w:val="0"/>
                    <w:adjustRightInd w:val="0"/>
                    <w:snapToGrid w:val="0"/>
                    <w:rPr>
                      <w:snapToGrid w:val="0"/>
                      <w:color w:val="auto"/>
                      <w:szCs w:val="21"/>
                    </w:rPr>
                  </w:pPr>
                  <w:r>
                    <w:rPr>
                      <w:snapToGrid w:val="0"/>
                      <w:color w:val="auto"/>
                      <w:szCs w:val="21"/>
                    </w:rPr>
                    <w:t>符合</w:t>
                  </w:r>
                </w:p>
              </w:tc>
            </w:tr>
            <w:tr w14:paraId="14AF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3CBADF2C">
                  <w:pPr>
                    <w:pStyle w:val="58"/>
                    <w:widowControl w:val="0"/>
                    <w:autoSpaceDE w:val="0"/>
                    <w:autoSpaceDN w:val="0"/>
                    <w:adjustRightInd w:val="0"/>
                    <w:snapToGrid w:val="0"/>
                    <w:rPr>
                      <w:snapToGrid w:val="0"/>
                      <w:color w:val="auto"/>
                      <w:szCs w:val="21"/>
                    </w:rPr>
                  </w:pPr>
                </w:p>
              </w:tc>
              <w:tc>
                <w:tcPr>
                  <w:tcW w:w="484" w:type="dxa"/>
                  <w:vMerge w:val="continue"/>
                  <w:vAlign w:val="center"/>
                </w:tcPr>
                <w:p w14:paraId="395D6E5F">
                  <w:pPr>
                    <w:pStyle w:val="58"/>
                    <w:widowControl w:val="0"/>
                    <w:autoSpaceDE w:val="0"/>
                    <w:autoSpaceDN w:val="0"/>
                    <w:adjustRightInd w:val="0"/>
                    <w:snapToGrid w:val="0"/>
                    <w:rPr>
                      <w:snapToGrid w:val="0"/>
                      <w:color w:val="auto"/>
                      <w:szCs w:val="21"/>
                    </w:rPr>
                  </w:pPr>
                </w:p>
              </w:tc>
              <w:tc>
                <w:tcPr>
                  <w:tcW w:w="678" w:type="dxa"/>
                  <w:vAlign w:val="center"/>
                </w:tcPr>
                <w:p w14:paraId="3EEEA1ED">
                  <w:pPr>
                    <w:pStyle w:val="58"/>
                    <w:widowControl w:val="0"/>
                    <w:autoSpaceDE w:val="0"/>
                    <w:autoSpaceDN w:val="0"/>
                    <w:adjustRightInd w:val="0"/>
                    <w:snapToGrid w:val="0"/>
                    <w:rPr>
                      <w:snapToGrid w:val="0"/>
                      <w:color w:val="auto"/>
                      <w:szCs w:val="21"/>
                    </w:rPr>
                  </w:pPr>
                  <w:r>
                    <w:rPr>
                      <w:snapToGrid w:val="0"/>
                      <w:color w:val="auto"/>
                      <w:szCs w:val="21"/>
                    </w:rPr>
                    <w:t>新增源等量或倍量替代</w:t>
                  </w:r>
                </w:p>
              </w:tc>
              <w:tc>
                <w:tcPr>
                  <w:tcW w:w="1441" w:type="dxa"/>
                  <w:vAlign w:val="center"/>
                </w:tcPr>
                <w:p w14:paraId="5B320412">
                  <w:pPr>
                    <w:pStyle w:val="58"/>
                    <w:widowControl w:val="0"/>
                    <w:autoSpaceDE w:val="0"/>
                    <w:autoSpaceDN w:val="0"/>
                    <w:adjustRightInd w:val="0"/>
                    <w:snapToGrid w:val="0"/>
                    <w:rPr>
                      <w:snapToGrid w:val="0"/>
                      <w:color w:val="auto"/>
                      <w:szCs w:val="21"/>
                    </w:rPr>
                  </w:pPr>
                  <w:r>
                    <w:rPr>
                      <w:snapToGrid w:val="0"/>
                      <w:color w:val="auto"/>
                      <w:szCs w:val="21"/>
                    </w:rPr>
                    <w:t>新建项目污染物排放量应实施县（市）平衡，区域污染物排放总量不增加。</w:t>
                  </w:r>
                </w:p>
              </w:tc>
              <w:tc>
                <w:tcPr>
                  <w:tcW w:w="1811" w:type="dxa"/>
                  <w:vAlign w:val="center"/>
                </w:tcPr>
                <w:p w14:paraId="64BDD162">
                  <w:pPr>
                    <w:widowControl/>
                    <w:jc w:val="center"/>
                    <w:rPr>
                      <w:snapToGrid w:val="0"/>
                      <w:color w:val="auto"/>
                      <w:szCs w:val="21"/>
                    </w:rPr>
                  </w:pPr>
                  <w:r>
                    <w:rPr>
                      <w:rFonts w:ascii="瀹嬩綋" w:hAnsi="瀹嬩綋" w:eastAsia="瀹嬩綋" w:cs="瀹嬩綋"/>
                      <w:color w:val="auto"/>
                      <w:kern w:val="0"/>
                      <w:szCs w:val="21"/>
                      <w:lang w:bidi="ar"/>
                    </w:rPr>
                    <w:t>本项目排放总量已取得生态环境部门的确认，整体区域的污染物不增加。</w:t>
                  </w:r>
                </w:p>
              </w:tc>
              <w:tc>
                <w:tcPr>
                  <w:tcW w:w="608" w:type="dxa"/>
                  <w:vAlign w:val="center"/>
                </w:tcPr>
                <w:p w14:paraId="60C57E82">
                  <w:pPr>
                    <w:pStyle w:val="58"/>
                    <w:widowControl w:val="0"/>
                    <w:autoSpaceDE w:val="0"/>
                    <w:autoSpaceDN w:val="0"/>
                    <w:adjustRightInd w:val="0"/>
                    <w:snapToGrid w:val="0"/>
                    <w:rPr>
                      <w:snapToGrid w:val="0"/>
                      <w:color w:val="auto"/>
                      <w:szCs w:val="21"/>
                    </w:rPr>
                  </w:pPr>
                  <w:r>
                    <w:rPr>
                      <w:rFonts w:hint="eastAsia"/>
                      <w:snapToGrid w:val="0"/>
                      <w:color w:val="auto"/>
                      <w:szCs w:val="21"/>
                    </w:rPr>
                    <w:t>符合</w:t>
                  </w:r>
                </w:p>
              </w:tc>
            </w:tr>
            <w:tr w14:paraId="150A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2277526A">
                  <w:pPr>
                    <w:pStyle w:val="58"/>
                    <w:widowControl w:val="0"/>
                    <w:autoSpaceDE w:val="0"/>
                    <w:autoSpaceDN w:val="0"/>
                    <w:adjustRightInd w:val="0"/>
                    <w:snapToGrid w:val="0"/>
                    <w:rPr>
                      <w:snapToGrid w:val="0"/>
                      <w:color w:val="auto"/>
                      <w:szCs w:val="21"/>
                    </w:rPr>
                  </w:pPr>
                </w:p>
              </w:tc>
              <w:tc>
                <w:tcPr>
                  <w:tcW w:w="484" w:type="dxa"/>
                  <w:vMerge w:val="continue"/>
                  <w:vAlign w:val="center"/>
                </w:tcPr>
                <w:p w14:paraId="475F8B6A">
                  <w:pPr>
                    <w:pStyle w:val="58"/>
                    <w:widowControl w:val="0"/>
                    <w:autoSpaceDE w:val="0"/>
                    <w:autoSpaceDN w:val="0"/>
                    <w:adjustRightInd w:val="0"/>
                    <w:snapToGrid w:val="0"/>
                    <w:rPr>
                      <w:snapToGrid w:val="0"/>
                      <w:color w:val="auto"/>
                      <w:szCs w:val="21"/>
                    </w:rPr>
                  </w:pPr>
                </w:p>
              </w:tc>
              <w:tc>
                <w:tcPr>
                  <w:tcW w:w="678" w:type="dxa"/>
                  <w:vAlign w:val="center"/>
                </w:tcPr>
                <w:p w14:paraId="4DAF449E">
                  <w:pPr>
                    <w:pStyle w:val="58"/>
                    <w:widowControl w:val="0"/>
                    <w:autoSpaceDE w:val="0"/>
                    <w:autoSpaceDN w:val="0"/>
                    <w:adjustRightInd w:val="0"/>
                    <w:snapToGrid w:val="0"/>
                    <w:rPr>
                      <w:snapToGrid w:val="0"/>
                      <w:color w:val="auto"/>
                      <w:szCs w:val="21"/>
                    </w:rPr>
                  </w:pPr>
                  <w:r>
                    <w:rPr>
                      <w:snapToGrid w:val="0"/>
                      <w:color w:val="auto"/>
                      <w:szCs w:val="21"/>
                    </w:rPr>
                    <w:t>污染物排放绩效水平准入要求</w:t>
                  </w:r>
                </w:p>
              </w:tc>
              <w:tc>
                <w:tcPr>
                  <w:tcW w:w="1441" w:type="dxa"/>
                  <w:vAlign w:val="center"/>
                </w:tcPr>
                <w:p w14:paraId="49C79B2C">
                  <w:pPr>
                    <w:pStyle w:val="58"/>
                    <w:widowControl w:val="0"/>
                    <w:autoSpaceDE w:val="0"/>
                    <w:autoSpaceDN w:val="0"/>
                    <w:adjustRightInd w:val="0"/>
                    <w:snapToGrid w:val="0"/>
                    <w:rPr>
                      <w:snapToGrid w:val="0"/>
                      <w:color w:val="auto"/>
                      <w:szCs w:val="21"/>
                    </w:rPr>
                  </w:pPr>
                  <w:r>
                    <w:rPr>
                      <w:snapToGrid w:val="0"/>
                      <w:color w:val="auto"/>
                      <w:szCs w:val="21"/>
                    </w:rPr>
                    <w:t>鼓励企业加大工业用水重复利用率，特定行业工业用水重复利用率应满足该行业清洁生产要求。</w:t>
                  </w:r>
                </w:p>
              </w:tc>
              <w:tc>
                <w:tcPr>
                  <w:tcW w:w="1811" w:type="dxa"/>
                  <w:vAlign w:val="center"/>
                </w:tcPr>
                <w:p w14:paraId="02A79D53">
                  <w:pPr>
                    <w:pStyle w:val="58"/>
                    <w:widowControl w:val="0"/>
                    <w:autoSpaceDE w:val="0"/>
                    <w:autoSpaceDN w:val="0"/>
                    <w:adjustRightInd w:val="0"/>
                    <w:snapToGrid w:val="0"/>
                    <w:rPr>
                      <w:snapToGrid w:val="0"/>
                      <w:color w:val="auto"/>
                      <w:szCs w:val="21"/>
                    </w:rPr>
                  </w:pPr>
                  <w:r>
                    <w:rPr>
                      <w:rFonts w:hint="eastAsia"/>
                      <w:snapToGrid w:val="0"/>
                      <w:color w:val="auto"/>
                      <w:szCs w:val="21"/>
                    </w:rPr>
                    <w:t>本项目粗磨、切割、精磨、成型用水为循环使用不外排。</w:t>
                  </w:r>
                </w:p>
              </w:tc>
              <w:tc>
                <w:tcPr>
                  <w:tcW w:w="608" w:type="dxa"/>
                  <w:vAlign w:val="center"/>
                </w:tcPr>
                <w:p w14:paraId="4CC43EB1">
                  <w:pPr>
                    <w:pStyle w:val="58"/>
                    <w:widowControl w:val="0"/>
                    <w:autoSpaceDE w:val="0"/>
                    <w:autoSpaceDN w:val="0"/>
                    <w:adjustRightInd w:val="0"/>
                    <w:snapToGrid w:val="0"/>
                    <w:rPr>
                      <w:snapToGrid w:val="0"/>
                      <w:color w:val="auto"/>
                      <w:szCs w:val="21"/>
                    </w:rPr>
                  </w:pPr>
                  <w:r>
                    <w:rPr>
                      <w:rFonts w:hint="eastAsia"/>
                      <w:snapToGrid w:val="0"/>
                      <w:color w:val="auto"/>
                      <w:szCs w:val="21"/>
                    </w:rPr>
                    <w:t>符合</w:t>
                  </w:r>
                </w:p>
              </w:tc>
            </w:tr>
            <w:tr w14:paraId="6419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1F5F7842">
                  <w:pPr>
                    <w:pStyle w:val="58"/>
                    <w:widowControl w:val="0"/>
                    <w:autoSpaceDE w:val="0"/>
                    <w:autoSpaceDN w:val="0"/>
                    <w:adjustRightInd w:val="0"/>
                    <w:snapToGrid w:val="0"/>
                    <w:rPr>
                      <w:snapToGrid w:val="0"/>
                      <w:color w:val="auto"/>
                      <w:szCs w:val="21"/>
                    </w:rPr>
                  </w:pPr>
                </w:p>
              </w:tc>
              <w:tc>
                <w:tcPr>
                  <w:tcW w:w="484" w:type="dxa"/>
                  <w:vMerge w:val="continue"/>
                  <w:vAlign w:val="center"/>
                </w:tcPr>
                <w:p w14:paraId="416611AC">
                  <w:pPr>
                    <w:pStyle w:val="58"/>
                    <w:widowControl w:val="0"/>
                    <w:autoSpaceDE w:val="0"/>
                    <w:autoSpaceDN w:val="0"/>
                    <w:adjustRightInd w:val="0"/>
                    <w:snapToGrid w:val="0"/>
                    <w:rPr>
                      <w:snapToGrid w:val="0"/>
                      <w:color w:val="auto"/>
                      <w:szCs w:val="21"/>
                    </w:rPr>
                  </w:pPr>
                </w:p>
              </w:tc>
              <w:tc>
                <w:tcPr>
                  <w:tcW w:w="678" w:type="dxa"/>
                  <w:vAlign w:val="center"/>
                </w:tcPr>
                <w:p w14:paraId="2B3F028F">
                  <w:pPr>
                    <w:pStyle w:val="58"/>
                    <w:widowControl w:val="0"/>
                    <w:autoSpaceDE w:val="0"/>
                    <w:autoSpaceDN w:val="0"/>
                    <w:adjustRightInd w:val="0"/>
                    <w:snapToGrid w:val="0"/>
                    <w:rPr>
                      <w:snapToGrid w:val="0"/>
                      <w:color w:val="auto"/>
                      <w:szCs w:val="21"/>
                    </w:rPr>
                  </w:pPr>
                  <w:r>
                    <w:rPr>
                      <w:rFonts w:hint="eastAsia"/>
                      <w:snapToGrid w:val="0"/>
                      <w:color w:val="auto"/>
                      <w:szCs w:val="21"/>
                    </w:rPr>
                    <w:t>其他污染物排放管控要求</w:t>
                  </w:r>
                </w:p>
              </w:tc>
              <w:tc>
                <w:tcPr>
                  <w:tcW w:w="1441" w:type="dxa"/>
                  <w:vAlign w:val="center"/>
                </w:tcPr>
                <w:p w14:paraId="7E674B29">
                  <w:pPr>
                    <w:pStyle w:val="58"/>
                    <w:widowControl w:val="0"/>
                    <w:autoSpaceDE w:val="0"/>
                    <w:autoSpaceDN w:val="0"/>
                    <w:adjustRightInd w:val="0"/>
                    <w:snapToGrid w:val="0"/>
                    <w:jc w:val="center"/>
                    <w:rPr>
                      <w:snapToGrid w:val="0"/>
                      <w:color w:val="auto"/>
                      <w:szCs w:val="21"/>
                    </w:rPr>
                  </w:pPr>
                  <w:r>
                    <w:rPr>
                      <w:rFonts w:hint="eastAsia"/>
                      <w:snapToGrid w:val="0"/>
                      <w:color w:val="auto"/>
                      <w:szCs w:val="21"/>
                    </w:rPr>
                    <w:t>综合条件较好的重点行业率先开展节能降碳技术改造。</w:t>
                  </w:r>
                </w:p>
              </w:tc>
              <w:tc>
                <w:tcPr>
                  <w:tcW w:w="1811" w:type="dxa"/>
                  <w:vAlign w:val="center"/>
                </w:tcPr>
                <w:p w14:paraId="13DB1B06">
                  <w:pPr>
                    <w:pStyle w:val="58"/>
                    <w:widowControl w:val="0"/>
                    <w:autoSpaceDE w:val="0"/>
                    <w:autoSpaceDN w:val="0"/>
                    <w:adjustRightInd w:val="0"/>
                    <w:snapToGrid w:val="0"/>
                    <w:rPr>
                      <w:rFonts w:hint="default" w:eastAsia="宋体"/>
                      <w:snapToGrid w:val="0"/>
                      <w:color w:val="auto"/>
                      <w:szCs w:val="21"/>
                      <w:lang w:val="en-US" w:eastAsia="zh-CN"/>
                    </w:rPr>
                  </w:pPr>
                  <w:r>
                    <w:rPr>
                      <w:rFonts w:hint="eastAsia"/>
                      <w:snapToGrid w:val="0"/>
                      <w:color w:val="auto"/>
                      <w:szCs w:val="21"/>
                      <w:lang w:val="en-US" w:eastAsia="zh-CN"/>
                    </w:rPr>
                    <w:t>本项目</w:t>
                  </w:r>
                  <w:r>
                    <w:rPr>
                      <w:rFonts w:hint="eastAsia"/>
                      <w:snapToGrid w:val="0"/>
                      <w:color w:val="auto"/>
                      <w:szCs w:val="21"/>
                    </w:rPr>
                    <w:t>强化日常维护保养</w:t>
                  </w:r>
                  <w:r>
                    <w:rPr>
                      <w:rFonts w:hint="eastAsia"/>
                      <w:snapToGrid w:val="0"/>
                      <w:color w:val="auto"/>
                      <w:szCs w:val="21"/>
                      <w:lang w:eastAsia="zh-CN"/>
                    </w:rPr>
                    <w:t>，</w:t>
                  </w:r>
                  <w:r>
                    <w:rPr>
                      <w:rFonts w:hint="eastAsia"/>
                      <w:snapToGrid w:val="0"/>
                      <w:color w:val="auto"/>
                      <w:szCs w:val="21"/>
                      <w:lang w:val="en-US" w:eastAsia="zh-CN"/>
                    </w:rPr>
                    <w:t>使用先进设备</w:t>
                  </w:r>
                </w:p>
              </w:tc>
              <w:tc>
                <w:tcPr>
                  <w:tcW w:w="608" w:type="dxa"/>
                  <w:vAlign w:val="center"/>
                </w:tcPr>
                <w:p w14:paraId="467CD3AA">
                  <w:pPr>
                    <w:pStyle w:val="58"/>
                    <w:widowControl w:val="0"/>
                    <w:autoSpaceDE w:val="0"/>
                    <w:autoSpaceDN w:val="0"/>
                    <w:adjustRightInd w:val="0"/>
                    <w:snapToGrid w:val="0"/>
                    <w:rPr>
                      <w:rFonts w:hint="eastAsia"/>
                      <w:snapToGrid w:val="0"/>
                      <w:color w:val="auto"/>
                      <w:szCs w:val="21"/>
                    </w:rPr>
                  </w:pPr>
                  <w:r>
                    <w:rPr>
                      <w:rFonts w:hint="eastAsia"/>
                      <w:snapToGrid w:val="0"/>
                      <w:color w:val="auto"/>
                      <w:szCs w:val="21"/>
                    </w:rPr>
                    <w:t>符合</w:t>
                  </w:r>
                </w:p>
              </w:tc>
            </w:tr>
            <w:tr w14:paraId="403E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1803956E">
                  <w:pPr>
                    <w:pStyle w:val="58"/>
                    <w:widowControl w:val="0"/>
                    <w:autoSpaceDE w:val="0"/>
                    <w:autoSpaceDN w:val="0"/>
                    <w:adjustRightInd w:val="0"/>
                    <w:snapToGrid w:val="0"/>
                    <w:rPr>
                      <w:snapToGrid w:val="0"/>
                      <w:color w:val="auto"/>
                      <w:szCs w:val="21"/>
                    </w:rPr>
                  </w:pPr>
                </w:p>
              </w:tc>
              <w:tc>
                <w:tcPr>
                  <w:tcW w:w="484" w:type="dxa"/>
                  <w:vMerge w:val="restart"/>
                  <w:vAlign w:val="center"/>
                </w:tcPr>
                <w:p w14:paraId="1318D546">
                  <w:pPr>
                    <w:pStyle w:val="58"/>
                    <w:widowControl w:val="0"/>
                    <w:autoSpaceDE w:val="0"/>
                    <w:autoSpaceDN w:val="0"/>
                    <w:adjustRightInd w:val="0"/>
                    <w:snapToGrid w:val="0"/>
                    <w:rPr>
                      <w:snapToGrid w:val="0"/>
                      <w:color w:val="auto"/>
                      <w:szCs w:val="21"/>
                    </w:rPr>
                  </w:pPr>
                  <w:r>
                    <w:rPr>
                      <w:snapToGrid w:val="0"/>
                      <w:color w:val="auto"/>
                      <w:szCs w:val="21"/>
                    </w:rPr>
                    <w:t>环境风险防控</w:t>
                  </w:r>
                </w:p>
              </w:tc>
              <w:tc>
                <w:tcPr>
                  <w:tcW w:w="678" w:type="dxa"/>
                  <w:vMerge w:val="restart"/>
                  <w:vAlign w:val="center"/>
                </w:tcPr>
                <w:p w14:paraId="7C178B7F">
                  <w:pPr>
                    <w:pStyle w:val="58"/>
                    <w:widowControl w:val="0"/>
                    <w:autoSpaceDE w:val="0"/>
                    <w:autoSpaceDN w:val="0"/>
                    <w:adjustRightInd w:val="0"/>
                    <w:snapToGrid w:val="0"/>
                    <w:rPr>
                      <w:snapToGrid w:val="0"/>
                      <w:color w:val="auto"/>
                      <w:szCs w:val="21"/>
                    </w:rPr>
                  </w:pPr>
                  <w:r>
                    <w:rPr>
                      <w:snapToGrid w:val="0"/>
                      <w:color w:val="auto"/>
                      <w:szCs w:val="21"/>
                    </w:rPr>
                    <w:t>用地环境风险防控要求</w:t>
                  </w:r>
                </w:p>
              </w:tc>
              <w:tc>
                <w:tcPr>
                  <w:tcW w:w="1441" w:type="dxa"/>
                  <w:vAlign w:val="center"/>
                </w:tcPr>
                <w:p w14:paraId="00443C6A">
                  <w:pPr>
                    <w:pStyle w:val="58"/>
                    <w:autoSpaceDE w:val="0"/>
                    <w:autoSpaceDN w:val="0"/>
                    <w:adjustRightInd w:val="0"/>
                    <w:snapToGrid w:val="0"/>
                    <w:jc w:val="both"/>
                    <w:rPr>
                      <w:rFonts w:hint="eastAsia"/>
                      <w:snapToGrid w:val="0"/>
                      <w:color w:val="auto"/>
                      <w:szCs w:val="21"/>
                    </w:rPr>
                  </w:pPr>
                  <w:r>
                    <w:rPr>
                      <w:rFonts w:hint="eastAsia"/>
                      <w:snapToGrid w:val="0"/>
                      <w:color w:val="auto"/>
                      <w:szCs w:val="21"/>
                    </w:rPr>
                    <w:t>严格落实重度污染区风险管控要求，严格管控区内禁止种植食用农产品。</w:t>
                  </w:r>
                </w:p>
              </w:tc>
              <w:tc>
                <w:tcPr>
                  <w:tcW w:w="1811" w:type="dxa"/>
                  <w:vAlign w:val="center"/>
                </w:tcPr>
                <w:p w14:paraId="7FE11C89">
                  <w:pPr>
                    <w:pStyle w:val="58"/>
                    <w:widowControl w:val="0"/>
                    <w:autoSpaceDE w:val="0"/>
                    <w:autoSpaceDN w:val="0"/>
                    <w:adjustRightInd w:val="0"/>
                    <w:snapToGrid w:val="0"/>
                    <w:rPr>
                      <w:rFonts w:hint="default" w:eastAsia="宋体"/>
                      <w:snapToGrid w:val="0"/>
                      <w:color w:val="auto"/>
                      <w:szCs w:val="21"/>
                      <w:lang w:val="en-US" w:eastAsia="zh-CN"/>
                    </w:rPr>
                  </w:pPr>
                  <w:r>
                    <w:rPr>
                      <w:rFonts w:hint="eastAsia"/>
                      <w:snapToGrid w:val="0"/>
                      <w:color w:val="auto"/>
                      <w:szCs w:val="21"/>
                      <w:lang w:val="en-US" w:eastAsia="zh-CN"/>
                    </w:rPr>
                    <w:t>本项目不属于重度污染区，不在管控区内</w:t>
                  </w:r>
                  <w:r>
                    <w:rPr>
                      <w:rFonts w:hint="eastAsia"/>
                      <w:snapToGrid w:val="0"/>
                      <w:color w:val="auto"/>
                      <w:szCs w:val="21"/>
                    </w:rPr>
                    <w:t>种植食用农产品。</w:t>
                  </w:r>
                </w:p>
              </w:tc>
              <w:tc>
                <w:tcPr>
                  <w:tcW w:w="608" w:type="dxa"/>
                  <w:vAlign w:val="center"/>
                </w:tcPr>
                <w:p w14:paraId="1E035337">
                  <w:pPr>
                    <w:pStyle w:val="58"/>
                    <w:widowControl w:val="0"/>
                    <w:autoSpaceDE w:val="0"/>
                    <w:autoSpaceDN w:val="0"/>
                    <w:adjustRightInd w:val="0"/>
                    <w:snapToGrid w:val="0"/>
                    <w:rPr>
                      <w:rFonts w:hint="eastAsia" w:eastAsia="宋体"/>
                      <w:snapToGrid w:val="0"/>
                      <w:color w:val="auto"/>
                      <w:szCs w:val="21"/>
                      <w:lang w:val="en-US" w:eastAsia="zh-CN"/>
                    </w:rPr>
                  </w:pPr>
                  <w:r>
                    <w:rPr>
                      <w:rFonts w:hint="eastAsia"/>
                      <w:snapToGrid w:val="0"/>
                      <w:color w:val="auto"/>
                      <w:szCs w:val="21"/>
                      <w:lang w:val="en-US" w:eastAsia="zh-CN"/>
                    </w:rPr>
                    <w:t>符合</w:t>
                  </w:r>
                </w:p>
              </w:tc>
            </w:tr>
            <w:tr w14:paraId="2D45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3F527C89">
                  <w:pPr>
                    <w:pStyle w:val="58"/>
                    <w:widowControl w:val="0"/>
                    <w:autoSpaceDE w:val="0"/>
                    <w:autoSpaceDN w:val="0"/>
                    <w:adjustRightInd w:val="0"/>
                    <w:snapToGrid w:val="0"/>
                    <w:rPr>
                      <w:snapToGrid w:val="0"/>
                      <w:color w:val="auto"/>
                      <w:szCs w:val="21"/>
                    </w:rPr>
                  </w:pPr>
                </w:p>
              </w:tc>
              <w:tc>
                <w:tcPr>
                  <w:tcW w:w="484" w:type="dxa"/>
                  <w:vMerge w:val="continue"/>
                  <w:vAlign w:val="center"/>
                </w:tcPr>
                <w:p w14:paraId="240DD851">
                  <w:pPr>
                    <w:pStyle w:val="58"/>
                    <w:widowControl w:val="0"/>
                    <w:autoSpaceDE w:val="0"/>
                    <w:autoSpaceDN w:val="0"/>
                    <w:adjustRightInd w:val="0"/>
                    <w:snapToGrid w:val="0"/>
                    <w:rPr>
                      <w:snapToGrid w:val="0"/>
                      <w:color w:val="auto"/>
                      <w:szCs w:val="21"/>
                    </w:rPr>
                  </w:pPr>
                </w:p>
              </w:tc>
              <w:tc>
                <w:tcPr>
                  <w:tcW w:w="678" w:type="dxa"/>
                  <w:vMerge w:val="continue"/>
                  <w:vAlign w:val="center"/>
                </w:tcPr>
                <w:p w14:paraId="0836B26E">
                  <w:pPr>
                    <w:pStyle w:val="58"/>
                    <w:widowControl w:val="0"/>
                    <w:autoSpaceDE w:val="0"/>
                    <w:autoSpaceDN w:val="0"/>
                    <w:adjustRightInd w:val="0"/>
                    <w:snapToGrid w:val="0"/>
                    <w:rPr>
                      <w:snapToGrid w:val="0"/>
                      <w:color w:val="auto"/>
                      <w:szCs w:val="21"/>
                    </w:rPr>
                  </w:pPr>
                </w:p>
              </w:tc>
              <w:tc>
                <w:tcPr>
                  <w:tcW w:w="1441" w:type="dxa"/>
                  <w:vAlign w:val="center"/>
                </w:tcPr>
                <w:p w14:paraId="51C86E17">
                  <w:pPr>
                    <w:pStyle w:val="58"/>
                    <w:autoSpaceDE w:val="0"/>
                    <w:autoSpaceDN w:val="0"/>
                    <w:adjustRightInd w:val="0"/>
                    <w:snapToGrid w:val="0"/>
                    <w:rPr>
                      <w:snapToGrid w:val="0"/>
                      <w:color w:val="auto"/>
                      <w:szCs w:val="21"/>
                    </w:rPr>
                  </w:pPr>
                  <w:r>
                    <w:rPr>
                      <w:rFonts w:hint="eastAsia"/>
                      <w:snapToGrid w:val="0"/>
                      <w:color w:val="auto"/>
                      <w:szCs w:val="21"/>
                    </w:rPr>
                    <w:t>已污染地块，应当依法开展土壤污染状况调查、治理与修复，符合相应用地土壤环境质量要求后，方可进入用地程序。</w:t>
                  </w:r>
                </w:p>
              </w:tc>
              <w:tc>
                <w:tcPr>
                  <w:tcW w:w="1811" w:type="dxa"/>
                  <w:vAlign w:val="center"/>
                </w:tcPr>
                <w:p w14:paraId="011F789C">
                  <w:pPr>
                    <w:pStyle w:val="58"/>
                    <w:widowControl w:val="0"/>
                    <w:autoSpaceDE w:val="0"/>
                    <w:autoSpaceDN w:val="0"/>
                    <w:adjustRightInd w:val="0"/>
                    <w:snapToGrid w:val="0"/>
                    <w:rPr>
                      <w:snapToGrid w:val="0"/>
                      <w:color w:val="auto"/>
                      <w:szCs w:val="21"/>
                    </w:rPr>
                  </w:pPr>
                  <w:r>
                    <w:rPr>
                      <w:rFonts w:hint="eastAsia"/>
                      <w:snapToGrid w:val="0"/>
                      <w:color w:val="auto"/>
                      <w:szCs w:val="21"/>
                    </w:rPr>
                    <w:t>/</w:t>
                  </w:r>
                </w:p>
              </w:tc>
              <w:tc>
                <w:tcPr>
                  <w:tcW w:w="608" w:type="dxa"/>
                  <w:vAlign w:val="center"/>
                </w:tcPr>
                <w:p w14:paraId="53C28BC7">
                  <w:pPr>
                    <w:pStyle w:val="58"/>
                    <w:widowControl w:val="0"/>
                    <w:autoSpaceDE w:val="0"/>
                    <w:autoSpaceDN w:val="0"/>
                    <w:adjustRightInd w:val="0"/>
                    <w:snapToGrid w:val="0"/>
                    <w:rPr>
                      <w:snapToGrid w:val="0"/>
                      <w:color w:val="auto"/>
                      <w:szCs w:val="21"/>
                    </w:rPr>
                  </w:pPr>
                  <w:r>
                    <w:rPr>
                      <w:rFonts w:hint="eastAsia"/>
                      <w:snapToGrid w:val="0"/>
                      <w:color w:val="auto"/>
                      <w:szCs w:val="21"/>
                    </w:rPr>
                    <w:t>不涉及</w:t>
                  </w:r>
                </w:p>
              </w:tc>
            </w:tr>
            <w:tr w14:paraId="64B1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41DBBEF5">
                  <w:pPr>
                    <w:pStyle w:val="58"/>
                    <w:widowControl w:val="0"/>
                    <w:autoSpaceDE w:val="0"/>
                    <w:autoSpaceDN w:val="0"/>
                    <w:adjustRightInd w:val="0"/>
                    <w:snapToGrid w:val="0"/>
                    <w:rPr>
                      <w:snapToGrid w:val="0"/>
                      <w:color w:val="auto"/>
                      <w:szCs w:val="21"/>
                    </w:rPr>
                  </w:pPr>
                </w:p>
              </w:tc>
              <w:tc>
                <w:tcPr>
                  <w:tcW w:w="484" w:type="dxa"/>
                  <w:vMerge w:val="continue"/>
                  <w:vAlign w:val="center"/>
                </w:tcPr>
                <w:p w14:paraId="3D6A47BF">
                  <w:pPr>
                    <w:pStyle w:val="58"/>
                    <w:widowControl w:val="0"/>
                    <w:autoSpaceDE w:val="0"/>
                    <w:autoSpaceDN w:val="0"/>
                    <w:adjustRightInd w:val="0"/>
                    <w:snapToGrid w:val="0"/>
                    <w:rPr>
                      <w:snapToGrid w:val="0"/>
                      <w:color w:val="auto"/>
                      <w:szCs w:val="21"/>
                    </w:rPr>
                  </w:pPr>
                </w:p>
              </w:tc>
              <w:tc>
                <w:tcPr>
                  <w:tcW w:w="678" w:type="dxa"/>
                  <w:vAlign w:val="center"/>
                </w:tcPr>
                <w:p w14:paraId="51996710">
                  <w:pPr>
                    <w:pStyle w:val="58"/>
                    <w:widowControl w:val="0"/>
                    <w:autoSpaceDE w:val="0"/>
                    <w:autoSpaceDN w:val="0"/>
                    <w:adjustRightInd w:val="0"/>
                    <w:snapToGrid w:val="0"/>
                    <w:rPr>
                      <w:snapToGrid w:val="0"/>
                      <w:color w:val="auto"/>
                      <w:szCs w:val="21"/>
                    </w:rPr>
                  </w:pPr>
                  <w:r>
                    <w:rPr>
                      <w:rFonts w:hint="eastAsia"/>
                      <w:snapToGrid w:val="0"/>
                      <w:color w:val="auto"/>
                      <w:szCs w:val="21"/>
                    </w:rPr>
                    <w:t>园区环境风险防控要求</w:t>
                  </w:r>
                </w:p>
              </w:tc>
              <w:tc>
                <w:tcPr>
                  <w:tcW w:w="1441" w:type="dxa"/>
                  <w:vAlign w:val="center"/>
                </w:tcPr>
                <w:p w14:paraId="4F2B0706">
                  <w:pPr>
                    <w:pStyle w:val="58"/>
                    <w:widowControl w:val="0"/>
                    <w:autoSpaceDE w:val="0"/>
                    <w:autoSpaceDN w:val="0"/>
                    <w:adjustRightInd w:val="0"/>
                    <w:snapToGrid w:val="0"/>
                    <w:rPr>
                      <w:snapToGrid w:val="0"/>
                      <w:color w:val="auto"/>
                      <w:szCs w:val="21"/>
                    </w:rPr>
                  </w:pPr>
                  <w:r>
                    <w:rPr>
                      <w:rFonts w:hint="eastAsia"/>
                      <w:snapToGrid w:val="0"/>
                      <w:color w:val="auto"/>
                      <w:szCs w:val="21"/>
                    </w:rPr>
                    <w:t>涉及化工行业的园区应建立三级环境风险防控体系。</w:t>
                  </w:r>
                </w:p>
              </w:tc>
              <w:tc>
                <w:tcPr>
                  <w:tcW w:w="1811" w:type="dxa"/>
                  <w:vAlign w:val="center"/>
                </w:tcPr>
                <w:p w14:paraId="33760CEF">
                  <w:pPr>
                    <w:pStyle w:val="58"/>
                    <w:widowControl w:val="0"/>
                    <w:autoSpaceDE w:val="0"/>
                    <w:autoSpaceDN w:val="0"/>
                    <w:adjustRightInd w:val="0"/>
                    <w:snapToGrid w:val="0"/>
                    <w:rPr>
                      <w:rFonts w:hint="default" w:eastAsia="宋体"/>
                      <w:snapToGrid w:val="0"/>
                      <w:color w:val="auto"/>
                      <w:szCs w:val="21"/>
                      <w:lang w:val="en-US" w:eastAsia="zh-CN"/>
                    </w:rPr>
                  </w:pPr>
                  <w:r>
                    <w:rPr>
                      <w:rFonts w:hint="eastAsia"/>
                      <w:snapToGrid w:val="0"/>
                      <w:color w:val="auto"/>
                      <w:szCs w:val="21"/>
                      <w:lang w:val="en-US" w:eastAsia="zh-CN"/>
                    </w:rPr>
                    <w:t>本项目不属于化工行业</w:t>
                  </w:r>
                </w:p>
              </w:tc>
              <w:tc>
                <w:tcPr>
                  <w:tcW w:w="608" w:type="dxa"/>
                  <w:shd w:val="clear" w:color="auto" w:fill="auto"/>
                  <w:vAlign w:val="center"/>
                </w:tcPr>
                <w:p w14:paraId="14DBF5C4">
                  <w:pPr>
                    <w:pStyle w:val="58"/>
                    <w:widowControl w:val="0"/>
                    <w:autoSpaceDE w:val="0"/>
                    <w:autoSpaceDN w:val="0"/>
                    <w:adjustRightInd w:val="0"/>
                    <w:snapToGrid w:val="0"/>
                    <w:rPr>
                      <w:rFonts w:hint="eastAsia" w:ascii="Times New Roman" w:hAnsi="Times New Roman" w:eastAsia="宋体" w:cs="Times New Roman"/>
                      <w:snapToGrid w:val="0"/>
                      <w:color w:val="auto"/>
                      <w:sz w:val="21"/>
                      <w:szCs w:val="21"/>
                      <w:lang w:val="en-US" w:eastAsia="zh-CN" w:bidi="ar-SA"/>
                    </w:rPr>
                  </w:pPr>
                  <w:r>
                    <w:rPr>
                      <w:rFonts w:hint="eastAsia"/>
                      <w:snapToGrid w:val="0"/>
                      <w:color w:val="auto"/>
                      <w:szCs w:val="21"/>
                    </w:rPr>
                    <w:t>符合</w:t>
                  </w:r>
                </w:p>
              </w:tc>
            </w:tr>
            <w:tr w14:paraId="524F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5F172281">
                  <w:pPr>
                    <w:pStyle w:val="58"/>
                    <w:widowControl w:val="0"/>
                    <w:autoSpaceDE w:val="0"/>
                    <w:autoSpaceDN w:val="0"/>
                    <w:adjustRightInd w:val="0"/>
                    <w:snapToGrid w:val="0"/>
                    <w:rPr>
                      <w:snapToGrid w:val="0"/>
                      <w:color w:val="auto"/>
                      <w:szCs w:val="21"/>
                    </w:rPr>
                  </w:pPr>
                </w:p>
              </w:tc>
              <w:tc>
                <w:tcPr>
                  <w:tcW w:w="484" w:type="dxa"/>
                  <w:vMerge w:val="continue"/>
                  <w:vAlign w:val="center"/>
                </w:tcPr>
                <w:p w14:paraId="1EBBDA4E">
                  <w:pPr>
                    <w:pStyle w:val="58"/>
                    <w:widowControl w:val="0"/>
                    <w:autoSpaceDE w:val="0"/>
                    <w:autoSpaceDN w:val="0"/>
                    <w:adjustRightInd w:val="0"/>
                    <w:snapToGrid w:val="0"/>
                    <w:rPr>
                      <w:snapToGrid w:val="0"/>
                      <w:color w:val="auto"/>
                      <w:szCs w:val="21"/>
                    </w:rPr>
                  </w:pPr>
                </w:p>
              </w:tc>
              <w:tc>
                <w:tcPr>
                  <w:tcW w:w="678" w:type="dxa"/>
                  <w:vAlign w:val="center"/>
                </w:tcPr>
                <w:p w14:paraId="34BA1A2C">
                  <w:pPr>
                    <w:pStyle w:val="58"/>
                    <w:widowControl w:val="0"/>
                    <w:autoSpaceDE w:val="0"/>
                    <w:autoSpaceDN w:val="0"/>
                    <w:adjustRightInd w:val="0"/>
                    <w:snapToGrid w:val="0"/>
                    <w:rPr>
                      <w:snapToGrid w:val="0"/>
                      <w:color w:val="auto"/>
                      <w:szCs w:val="21"/>
                    </w:rPr>
                  </w:pPr>
                  <w:r>
                    <w:rPr>
                      <w:rFonts w:hint="eastAsia"/>
                      <w:snapToGrid w:val="0"/>
                      <w:color w:val="auto"/>
                      <w:szCs w:val="21"/>
                    </w:rPr>
                    <w:t>企业环境风险防控要求</w:t>
                  </w:r>
                </w:p>
              </w:tc>
              <w:tc>
                <w:tcPr>
                  <w:tcW w:w="1441" w:type="dxa"/>
                  <w:vAlign w:val="center"/>
                </w:tcPr>
                <w:p w14:paraId="310CDB1F">
                  <w:pPr>
                    <w:pStyle w:val="58"/>
                    <w:widowControl w:val="0"/>
                    <w:autoSpaceDE w:val="0"/>
                    <w:autoSpaceDN w:val="0"/>
                    <w:adjustRightInd w:val="0"/>
                    <w:snapToGrid w:val="0"/>
                    <w:rPr>
                      <w:snapToGrid w:val="0"/>
                      <w:color w:val="auto"/>
                      <w:szCs w:val="21"/>
                    </w:rPr>
                  </w:pPr>
                  <w:r>
                    <w:rPr>
                      <w:rFonts w:hint="eastAsia"/>
                      <w:snapToGrid w:val="0"/>
                      <w:color w:val="auto"/>
                      <w:szCs w:val="21"/>
                    </w:rPr>
                    <w:t>1、企业应按照《企业事业单位突发环境事件应急预案备案管理办法（试行）》中规定的要求编制环境风险应急预案，并加强应急演练。2、生产、存储危险化学品及产生大量废水的企业，应配套有效措施，防止因渗漏污染地下水、土壤，以及因事故废水直排污染地表水体。3、产生、利用或处置固体废物（含危险废物）的企业，在贮存、转移、利用、处置固体废物（含危险废物）过程中，应配套防扬散、防流失、防渗漏及其他防止污染环境的措施。</w:t>
                  </w:r>
                </w:p>
              </w:tc>
              <w:tc>
                <w:tcPr>
                  <w:tcW w:w="1811" w:type="dxa"/>
                  <w:vAlign w:val="center"/>
                </w:tcPr>
                <w:p w14:paraId="0499F9AF">
                  <w:pPr>
                    <w:pStyle w:val="58"/>
                    <w:widowControl w:val="0"/>
                    <w:autoSpaceDE w:val="0"/>
                    <w:autoSpaceDN w:val="0"/>
                    <w:adjustRightInd w:val="0"/>
                    <w:snapToGrid w:val="0"/>
                    <w:rPr>
                      <w:rFonts w:hint="default" w:eastAsia="宋体"/>
                      <w:snapToGrid w:val="0"/>
                      <w:color w:val="auto"/>
                      <w:szCs w:val="21"/>
                      <w:lang w:val="en-US" w:eastAsia="zh-CN"/>
                    </w:rPr>
                  </w:pPr>
                  <w:r>
                    <w:rPr>
                      <w:rFonts w:hint="eastAsia"/>
                      <w:snapToGrid w:val="0"/>
                      <w:color w:val="auto"/>
                      <w:szCs w:val="21"/>
                      <w:lang w:val="en-US" w:eastAsia="zh-CN"/>
                    </w:rPr>
                    <w:t>1、企业在投产后履行编制环境风险应急预案。2、本项目按要求采取了分区防控措施，其他风险防范措施，配套了固体废物贮存场所。3、本项目严格按照《危险废物贮存污染控制标准》（GB18597-2023）中标准建设危险废物暂存间。</w:t>
                  </w:r>
                </w:p>
              </w:tc>
              <w:tc>
                <w:tcPr>
                  <w:tcW w:w="608" w:type="dxa"/>
                  <w:vAlign w:val="center"/>
                </w:tcPr>
                <w:p w14:paraId="3D8B0D07">
                  <w:pPr>
                    <w:pStyle w:val="58"/>
                    <w:widowControl w:val="0"/>
                    <w:autoSpaceDE w:val="0"/>
                    <w:autoSpaceDN w:val="0"/>
                    <w:adjustRightInd w:val="0"/>
                    <w:snapToGrid w:val="0"/>
                    <w:rPr>
                      <w:rFonts w:hint="eastAsia" w:eastAsia="宋体"/>
                      <w:snapToGrid w:val="0"/>
                      <w:color w:val="auto"/>
                      <w:szCs w:val="21"/>
                      <w:lang w:val="en-US" w:eastAsia="zh-CN"/>
                    </w:rPr>
                  </w:pPr>
                  <w:r>
                    <w:rPr>
                      <w:rFonts w:hint="eastAsia"/>
                      <w:snapToGrid w:val="0"/>
                      <w:color w:val="auto"/>
                      <w:szCs w:val="21"/>
                      <w:lang w:val="en-US" w:eastAsia="zh-CN"/>
                    </w:rPr>
                    <w:t>符合</w:t>
                  </w:r>
                </w:p>
              </w:tc>
            </w:tr>
            <w:tr w14:paraId="721A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01C3F4F8">
                  <w:pPr>
                    <w:pStyle w:val="58"/>
                    <w:widowControl w:val="0"/>
                    <w:autoSpaceDE w:val="0"/>
                    <w:autoSpaceDN w:val="0"/>
                    <w:adjustRightInd w:val="0"/>
                    <w:snapToGrid w:val="0"/>
                    <w:rPr>
                      <w:snapToGrid w:val="0"/>
                      <w:color w:val="auto"/>
                      <w:szCs w:val="21"/>
                    </w:rPr>
                  </w:pPr>
                </w:p>
              </w:tc>
              <w:tc>
                <w:tcPr>
                  <w:tcW w:w="484" w:type="dxa"/>
                  <w:vMerge w:val="continue"/>
                  <w:vAlign w:val="center"/>
                </w:tcPr>
                <w:p w14:paraId="133CEAD6">
                  <w:pPr>
                    <w:pStyle w:val="58"/>
                    <w:widowControl w:val="0"/>
                    <w:autoSpaceDE w:val="0"/>
                    <w:autoSpaceDN w:val="0"/>
                    <w:adjustRightInd w:val="0"/>
                    <w:snapToGrid w:val="0"/>
                    <w:rPr>
                      <w:snapToGrid w:val="0"/>
                      <w:color w:val="auto"/>
                      <w:szCs w:val="21"/>
                    </w:rPr>
                  </w:pPr>
                </w:p>
              </w:tc>
              <w:tc>
                <w:tcPr>
                  <w:tcW w:w="678" w:type="dxa"/>
                  <w:vAlign w:val="center"/>
                </w:tcPr>
                <w:p w14:paraId="00827C9B">
                  <w:pPr>
                    <w:pStyle w:val="58"/>
                    <w:widowControl w:val="0"/>
                    <w:autoSpaceDE w:val="0"/>
                    <w:autoSpaceDN w:val="0"/>
                    <w:adjustRightInd w:val="0"/>
                    <w:snapToGrid w:val="0"/>
                    <w:rPr>
                      <w:snapToGrid w:val="0"/>
                      <w:color w:val="auto"/>
                      <w:szCs w:val="21"/>
                    </w:rPr>
                  </w:pPr>
                  <w:r>
                    <w:rPr>
                      <w:rFonts w:hint="eastAsia"/>
                      <w:snapToGrid w:val="0"/>
                      <w:color w:val="auto"/>
                      <w:szCs w:val="21"/>
                    </w:rPr>
                    <w:t>其他环境风险防控要求</w:t>
                  </w:r>
                </w:p>
              </w:tc>
              <w:tc>
                <w:tcPr>
                  <w:tcW w:w="1441" w:type="dxa"/>
                  <w:vAlign w:val="center"/>
                </w:tcPr>
                <w:p w14:paraId="70D27793">
                  <w:pPr>
                    <w:pStyle w:val="58"/>
                    <w:widowControl w:val="0"/>
                    <w:autoSpaceDE w:val="0"/>
                    <w:autoSpaceDN w:val="0"/>
                    <w:adjustRightInd w:val="0"/>
                    <w:snapToGrid w:val="0"/>
                    <w:rPr>
                      <w:snapToGrid w:val="0"/>
                      <w:color w:val="auto"/>
                      <w:szCs w:val="21"/>
                    </w:rPr>
                  </w:pPr>
                  <w:r>
                    <w:rPr>
                      <w:rFonts w:hint="eastAsia"/>
                      <w:snapToGrid w:val="0"/>
                      <w:color w:val="auto"/>
                      <w:szCs w:val="21"/>
                    </w:rPr>
                    <w:t>重点管控新污染物环境风险。紧邻居住、科教、医院等环境敏感点的工业用地，禁止新建环境风险等级高的建设项目。</w:t>
                  </w:r>
                  <w:r>
                    <w:rPr>
                      <w:snapToGrid w:val="0"/>
                      <w:color w:val="auto"/>
                      <w:szCs w:val="21"/>
                    </w:rPr>
                    <w:t>。</w:t>
                  </w:r>
                </w:p>
              </w:tc>
              <w:tc>
                <w:tcPr>
                  <w:tcW w:w="1811" w:type="dxa"/>
                  <w:vAlign w:val="center"/>
                </w:tcPr>
                <w:p w14:paraId="7BAC3FCA">
                  <w:pPr>
                    <w:pStyle w:val="58"/>
                    <w:widowControl w:val="0"/>
                    <w:autoSpaceDE w:val="0"/>
                    <w:autoSpaceDN w:val="0"/>
                    <w:adjustRightInd w:val="0"/>
                    <w:snapToGrid w:val="0"/>
                    <w:rPr>
                      <w:snapToGrid w:val="0"/>
                      <w:color w:val="auto"/>
                      <w:szCs w:val="21"/>
                    </w:rPr>
                  </w:pPr>
                  <w:r>
                    <w:rPr>
                      <w:rFonts w:hint="eastAsia"/>
                      <w:snapToGrid w:val="0"/>
                      <w:color w:val="auto"/>
                      <w:szCs w:val="21"/>
                    </w:rPr>
                    <w:t>本项目50m卫生防护距离无敏感点。项目Q</w:t>
                  </w:r>
                  <w:r>
                    <w:rPr>
                      <w:rFonts w:hint="eastAsia" w:ascii="宋体" w:hAnsi="宋体" w:eastAsia="宋体" w:cs="宋体"/>
                      <w:snapToGrid w:val="0"/>
                      <w:color w:val="auto"/>
                      <w:szCs w:val="21"/>
                    </w:rPr>
                    <w:t>＞</w:t>
                  </w:r>
                  <w:r>
                    <w:rPr>
                      <w:rFonts w:hint="eastAsia"/>
                      <w:snapToGrid w:val="0"/>
                      <w:color w:val="auto"/>
                      <w:szCs w:val="21"/>
                    </w:rPr>
                    <w:t>1，</w:t>
                  </w:r>
                  <w:r>
                    <w:rPr>
                      <w:rFonts w:hint="eastAsia"/>
                      <w:color w:val="auto"/>
                      <w:lang w:val="en-US" w:eastAsia="zh-CN"/>
                    </w:rPr>
                    <w:t>已设置环境风险专章，环境风险程度属于可接受水平</w:t>
                  </w:r>
                  <w:r>
                    <w:rPr>
                      <w:rFonts w:hint="eastAsia"/>
                      <w:snapToGrid w:val="0"/>
                      <w:color w:val="auto"/>
                      <w:szCs w:val="21"/>
                    </w:rPr>
                    <w:t>。</w:t>
                  </w:r>
                </w:p>
              </w:tc>
              <w:tc>
                <w:tcPr>
                  <w:tcW w:w="608" w:type="dxa"/>
                  <w:vAlign w:val="center"/>
                </w:tcPr>
                <w:p w14:paraId="52306EDA">
                  <w:pPr>
                    <w:pStyle w:val="58"/>
                    <w:widowControl w:val="0"/>
                    <w:autoSpaceDE w:val="0"/>
                    <w:autoSpaceDN w:val="0"/>
                    <w:adjustRightInd w:val="0"/>
                    <w:snapToGrid w:val="0"/>
                    <w:rPr>
                      <w:snapToGrid w:val="0"/>
                      <w:color w:val="auto"/>
                      <w:szCs w:val="21"/>
                    </w:rPr>
                  </w:pPr>
                  <w:r>
                    <w:rPr>
                      <w:rFonts w:hint="eastAsia"/>
                      <w:snapToGrid w:val="0"/>
                      <w:color w:val="auto"/>
                      <w:szCs w:val="21"/>
                    </w:rPr>
                    <w:t>符合</w:t>
                  </w:r>
                </w:p>
              </w:tc>
            </w:tr>
            <w:tr w14:paraId="2E21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2" w:type="dxa"/>
                  <w:vMerge w:val="continue"/>
                  <w:vAlign w:val="center"/>
                </w:tcPr>
                <w:p w14:paraId="56D3541B">
                  <w:pPr>
                    <w:pStyle w:val="58"/>
                    <w:widowControl w:val="0"/>
                    <w:autoSpaceDE w:val="0"/>
                    <w:autoSpaceDN w:val="0"/>
                    <w:adjustRightInd w:val="0"/>
                    <w:snapToGrid w:val="0"/>
                    <w:rPr>
                      <w:snapToGrid w:val="0"/>
                      <w:color w:val="auto"/>
                      <w:szCs w:val="21"/>
                    </w:rPr>
                  </w:pPr>
                </w:p>
              </w:tc>
              <w:tc>
                <w:tcPr>
                  <w:tcW w:w="484" w:type="dxa"/>
                  <w:vMerge w:val="continue"/>
                  <w:vAlign w:val="center"/>
                </w:tcPr>
                <w:p w14:paraId="4B6866D0">
                  <w:pPr>
                    <w:pStyle w:val="58"/>
                    <w:widowControl w:val="0"/>
                    <w:autoSpaceDE w:val="0"/>
                    <w:autoSpaceDN w:val="0"/>
                    <w:adjustRightInd w:val="0"/>
                    <w:snapToGrid w:val="0"/>
                    <w:rPr>
                      <w:snapToGrid w:val="0"/>
                      <w:color w:val="auto"/>
                      <w:szCs w:val="21"/>
                    </w:rPr>
                  </w:pPr>
                </w:p>
              </w:tc>
              <w:tc>
                <w:tcPr>
                  <w:tcW w:w="678" w:type="dxa"/>
                  <w:vAlign w:val="center"/>
                </w:tcPr>
                <w:p w14:paraId="6BBD147B">
                  <w:pPr>
                    <w:pStyle w:val="58"/>
                    <w:widowControl w:val="0"/>
                    <w:autoSpaceDE w:val="0"/>
                    <w:autoSpaceDN w:val="0"/>
                    <w:adjustRightInd w:val="0"/>
                    <w:snapToGrid w:val="0"/>
                    <w:rPr>
                      <w:snapToGrid w:val="0"/>
                      <w:color w:val="auto"/>
                      <w:szCs w:val="21"/>
                    </w:rPr>
                  </w:pPr>
                  <w:r>
                    <w:rPr>
                      <w:snapToGrid w:val="0"/>
                      <w:color w:val="auto"/>
                      <w:szCs w:val="21"/>
                    </w:rPr>
                    <w:t>资源利用效率要求</w:t>
                  </w:r>
                </w:p>
              </w:tc>
              <w:tc>
                <w:tcPr>
                  <w:tcW w:w="1441" w:type="dxa"/>
                  <w:vAlign w:val="center"/>
                </w:tcPr>
                <w:p w14:paraId="616373E9">
                  <w:pPr>
                    <w:pStyle w:val="58"/>
                    <w:widowControl w:val="0"/>
                    <w:autoSpaceDE w:val="0"/>
                    <w:autoSpaceDN w:val="0"/>
                    <w:adjustRightInd w:val="0"/>
                    <w:snapToGrid w:val="0"/>
                    <w:rPr>
                      <w:snapToGrid w:val="0"/>
                      <w:color w:val="auto"/>
                      <w:szCs w:val="21"/>
                    </w:rPr>
                  </w:pPr>
                  <w:r>
                    <w:rPr>
                      <w:snapToGrid w:val="0"/>
                      <w:color w:val="auto"/>
                      <w:szCs w:val="21"/>
                    </w:rPr>
                    <w:t>企业工业用水重复率执行行业标准要求。</w:t>
                  </w:r>
                </w:p>
              </w:tc>
              <w:tc>
                <w:tcPr>
                  <w:tcW w:w="1811" w:type="dxa"/>
                  <w:vAlign w:val="center"/>
                </w:tcPr>
                <w:p w14:paraId="62215320">
                  <w:pPr>
                    <w:pStyle w:val="58"/>
                    <w:widowControl w:val="0"/>
                    <w:autoSpaceDE w:val="0"/>
                    <w:autoSpaceDN w:val="0"/>
                    <w:adjustRightInd w:val="0"/>
                    <w:snapToGrid w:val="0"/>
                    <w:rPr>
                      <w:snapToGrid w:val="0"/>
                      <w:color w:val="auto"/>
                      <w:szCs w:val="21"/>
                    </w:rPr>
                  </w:pPr>
                  <w:r>
                    <w:rPr>
                      <w:rFonts w:hint="eastAsia"/>
                      <w:snapToGrid w:val="0"/>
                      <w:color w:val="auto"/>
                      <w:szCs w:val="21"/>
                    </w:rPr>
                    <w:t>/</w:t>
                  </w:r>
                </w:p>
              </w:tc>
              <w:tc>
                <w:tcPr>
                  <w:tcW w:w="608" w:type="dxa"/>
                  <w:vAlign w:val="center"/>
                </w:tcPr>
                <w:p w14:paraId="60C98153">
                  <w:pPr>
                    <w:pStyle w:val="58"/>
                    <w:widowControl w:val="0"/>
                    <w:autoSpaceDE w:val="0"/>
                    <w:autoSpaceDN w:val="0"/>
                    <w:adjustRightInd w:val="0"/>
                    <w:snapToGrid w:val="0"/>
                    <w:rPr>
                      <w:snapToGrid w:val="0"/>
                      <w:color w:val="auto"/>
                      <w:szCs w:val="21"/>
                    </w:rPr>
                  </w:pPr>
                  <w:r>
                    <w:rPr>
                      <w:rFonts w:hint="eastAsia"/>
                      <w:snapToGrid w:val="0"/>
                      <w:color w:val="auto"/>
                      <w:szCs w:val="21"/>
                    </w:rPr>
                    <w:t>不涉及</w:t>
                  </w:r>
                </w:p>
              </w:tc>
            </w:tr>
          </w:tbl>
          <w:p w14:paraId="09A5869F">
            <w:pPr>
              <w:autoSpaceDE w:val="0"/>
              <w:autoSpaceDN w:val="0"/>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综上，本项目与《赣市环委办字〔2021〕5号关于印发赣州市生态环境总体准入要求及环境管控单元生态环境准入清单的通知》相符。</w:t>
            </w:r>
          </w:p>
          <w:p w14:paraId="67B84104">
            <w:pPr>
              <w:autoSpaceDE w:val="0"/>
              <w:autoSpaceDN w:val="0"/>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综上，本项目建设符合赣州市三线一单的要求。</w:t>
            </w:r>
          </w:p>
          <w:p w14:paraId="1E778022">
            <w:pPr>
              <w:spacing w:line="360" w:lineRule="auto"/>
              <w:ind w:firstLine="482" w:firstLineChars="200"/>
              <w:rPr>
                <w:b/>
                <w:bCs/>
                <w:color w:val="auto"/>
                <w:sz w:val="24"/>
              </w:rPr>
            </w:pPr>
            <w:r>
              <w:rPr>
                <w:rFonts w:hint="eastAsia"/>
                <w:b/>
                <w:bCs/>
                <w:color w:val="auto"/>
                <w:sz w:val="24"/>
              </w:rPr>
              <w:t>3、环境负面清单相符性分析</w:t>
            </w:r>
          </w:p>
          <w:p w14:paraId="4133F350">
            <w:pPr>
              <w:spacing w:line="360" w:lineRule="auto"/>
              <w:ind w:firstLine="480" w:firstLineChars="200"/>
              <w:rPr>
                <w:rFonts w:hint="eastAsia"/>
                <w:color w:val="auto"/>
                <w:sz w:val="24"/>
              </w:rPr>
            </w:pPr>
            <w:r>
              <w:rPr>
                <w:rFonts w:hint="eastAsia"/>
                <w:color w:val="auto"/>
                <w:sz w:val="24"/>
              </w:rPr>
              <w:t>通过对照江西省发展和改革委员会关于印发《江西省第一批国家重点生态功能区产业准入负面清单》（赣发改规划〔2017〕448号）的通知，以及《江西省第二批国家重点生态功能区产业准入负面清单》（赣发改规划〔2018〕112号）的通知，经开区不属于国家重点生态功能区，不在该文件的划定范围内，因此本项目不违反环境负面清单要求。</w:t>
            </w:r>
          </w:p>
          <w:p w14:paraId="0290801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auto"/>
                <w:sz w:val="24"/>
                <w:szCs w:val="28"/>
              </w:rPr>
            </w:pPr>
            <w:r>
              <w:rPr>
                <w:rFonts w:hint="eastAsia"/>
                <w:b/>
                <w:bCs/>
                <w:color w:val="auto"/>
                <w:sz w:val="24"/>
                <w:lang w:val="en-US" w:eastAsia="zh-CN"/>
              </w:rPr>
              <w:t>4、</w:t>
            </w:r>
            <w:r>
              <w:rPr>
                <w:rFonts w:hint="eastAsia"/>
                <w:b/>
                <w:bCs/>
                <w:color w:val="auto"/>
                <w:sz w:val="24"/>
                <w:szCs w:val="28"/>
              </w:rPr>
              <w:t>与《江西省长江经济带发展负面清单实施细则（试行，2022年版）》的相符性分析</w:t>
            </w:r>
          </w:p>
          <w:p w14:paraId="11782352">
            <w:pPr>
              <w:widowControl w:val="0"/>
              <w:spacing w:line="360" w:lineRule="auto"/>
              <w:ind w:firstLine="480" w:firstLineChars="200"/>
              <w:jc w:val="both"/>
              <w:rPr>
                <w:snapToGrid w:val="0"/>
                <w:color w:val="auto"/>
                <w:kern w:val="0"/>
                <w:sz w:val="24"/>
              </w:rPr>
            </w:pPr>
            <w:r>
              <w:rPr>
                <w:rFonts w:hint="eastAsia"/>
                <w:snapToGrid w:val="0"/>
                <w:color w:val="auto"/>
                <w:kern w:val="0"/>
                <w:sz w:val="24"/>
              </w:rPr>
              <w:t>根据《江西省长江经济带发展负面清单实施细则（试行，2022年版）》中的要求，本项目位于江西省赣州市赣州经济技术开发区东至科技大道、南至湘江路、西至青云山路、北至旭日大道，行业类别属于</w:t>
            </w:r>
            <w:r>
              <w:rPr>
                <w:rFonts w:hint="eastAsia"/>
                <w:snapToGrid w:val="0"/>
                <w:color w:val="auto"/>
                <w:kern w:val="0"/>
                <w:sz w:val="24"/>
                <w:lang w:eastAsia="zh-CN"/>
              </w:rPr>
              <w:t>C3985电子专用材料制造</w:t>
            </w:r>
            <w:r>
              <w:rPr>
                <w:rFonts w:hint="eastAsia"/>
                <w:snapToGrid w:val="0"/>
                <w:color w:val="auto"/>
                <w:kern w:val="0"/>
                <w:sz w:val="24"/>
              </w:rPr>
              <w:t>，不在长江经济带发展负面清单指南提出的禁止范畴内，因此，符合环境准入条件。项目与该文件的相符性分析详见表1-</w:t>
            </w:r>
            <w:r>
              <w:rPr>
                <w:rFonts w:hint="eastAsia"/>
                <w:snapToGrid w:val="0"/>
                <w:color w:val="auto"/>
                <w:kern w:val="0"/>
                <w:sz w:val="24"/>
                <w:lang w:val="en-US" w:eastAsia="zh-CN"/>
              </w:rPr>
              <w:t>7</w:t>
            </w:r>
            <w:r>
              <w:rPr>
                <w:rFonts w:hint="eastAsia"/>
                <w:snapToGrid w:val="0"/>
                <w:color w:val="auto"/>
                <w:kern w:val="0"/>
                <w:sz w:val="24"/>
              </w:rPr>
              <w:t>。</w:t>
            </w:r>
          </w:p>
          <w:p w14:paraId="2C48F824">
            <w:pPr>
              <w:pStyle w:val="42"/>
              <w:adjustRightInd/>
              <w:snapToGrid w:val="0"/>
              <w:jc w:val="center"/>
              <w:rPr>
                <w:rFonts w:hint="default"/>
                <w:b/>
                <w:bCs/>
                <w:color w:val="auto"/>
                <w:sz w:val="24"/>
                <w:szCs w:val="24"/>
              </w:rPr>
            </w:pPr>
            <w:r>
              <w:rPr>
                <w:rFonts w:ascii="Times New Roman" w:hAnsi="Times New Roman" w:eastAsia="宋体"/>
                <w:b/>
                <w:bCs/>
                <w:snapToGrid w:val="0"/>
                <w:color w:val="auto"/>
                <w:kern w:val="0"/>
                <w:sz w:val="24"/>
                <w:szCs w:val="24"/>
              </w:rPr>
              <w:t>表1-</w:t>
            </w:r>
            <w:r>
              <w:rPr>
                <w:rFonts w:hint="eastAsia" w:ascii="Times New Roman" w:hAnsi="Times New Roman" w:eastAsia="宋体"/>
                <w:b/>
                <w:bCs/>
                <w:snapToGrid w:val="0"/>
                <w:color w:val="auto"/>
                <w:kern w:val="0"/>
                <w:sz w:val="24"/>
                <w:szCs w:val="24"/>
                <w:lang w:val="en-US" w:eastAsia="zh-CN"/>
              </w:rPr>
              <w:t>7</w:t>
            </w:r>
            <w:r>
              <w:rPr>
                <w:rFonts w:ascii="Times New Roman" w:hAnsi="Times New Roman" w:eastAsia="宋体"/>
                <w:b/>
                <w:bCs/>
                <w:snapToGrid w:val="0"/>
                <w:color w:val="auto"/>
                <w:kern w:val="0"/>
                <w:sz w:val="24"/>
                <w:szCs w:val="24"/>
              </w:rPr>
              <w:t>与江西省长江经济带发展负面清单相符性分析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491"/>
              <w:gridCol w:w="1252"/>
              <w:gridCol w:w="1002"/>
            </w:tblGrid>
            <w:tr w14:paraId="01BB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3297" w:type="pct"/>
                  <w:gridSpan w:val="2"/>
                  <w:vAlign w:val="center"/>
                </w:tcPr>
                <w:p w14:paraId="003E19C5">
                  <w:pPr>
                    <w:pStyle w:val="42"/>
                    <w:jc w:val="center"/>
                    <w:rPr>
                      <w:rFonts w:hint="default" w:ascii="Times New Roman" w:hAnsi="Times New Roman" w:eastAsia="宋体"/>
                      <w:b/>
                      <w:bCs/>
                      <w:color w:val="auto"/>
                      <w:sz w:val="21"/>
                      <w:szCs w:val="21"/>
                    </w:rPr>
                  </w:pPr>
                  <w:r>
                    <w:rPr>
                      <w:rFonts w:ascii="Times New Roman" w:hAnsi="Times New Roman" w:eastAsia="宋体"/>
                      <w:b/>
                      <w:bCs/>
                      <w:color w:val="auto"/>
                      <w:sz w:val="21"/>
                      <w:szCs w:val="21"/>
                    </w:rPr>
                    <w:t>文件要求</w:t>
                  </w:r>
                </w:p>
              </w:tc>
              <w:tc>
                <w:tcPr>
                  <w:tcW w:w="945" w:type="pct"/>
                  <w:vAlign w:val="center"/>
                </w:tcPr>
                <w:p w14:paraId="57E236CB">
                  <w:pPr>
                    <w:pStyle w:val="42"/>
                    <w:jc w:val="center"/>
                    <w:rPr>
                      <w:rFonts w:hint="default" w:ascii="Times New Roman" w:hAnsi="Times New Roman" w:eastAsia="宋体"/>
                      <w:b/>
                      <w:bCs/>
                      <w:color w:val="auto"/>
                      <w:sz w:val="21"/>
                      <w:szCs w:val="21"/>
                    </w:rPr>
                  </w:pPr>
                  <w:r>
                    <w:rPr>
                      <w:rFonts w:ascii="Times New Roman" w:hAnsi="Times New Roman" w:eastAsia="宋体"/>
                      <w:b/>
                      <w:bCs/>
                      <w:color w:val="auto"/>
                      <w:sz w:val="21"/>
                      <w:szCs w:val="21"/>
                    </w:rPr>
                    <w:t>本项目情况</w:t>
                  </w:r>
                </w:p>
              </w:tc>
              <w:tc>
                <w:tcPr>
                  <w:tcW w:w="756" w:type="pct"/>
                  <w:vAlign w:val="center"/>
                </w:tcPr>
                <w:p w14:paraId="173D805F">
                  <w:pPr>
                    <w:pStyle w:val="42"/>
                    <w:jc w:val="center"/>
                    <w:rPr>
                      <w:rFonts w:hint="default" w:ascii="Times New Roman" w:hAnsi="Times New Roman" w:eastAsia="宋体"/>
                      <w:b/>
                      <w:bCs/>
                      <w:color w:val="auto"/>
                      <w:sz w:val="21"/>
                      <w:szCs w:val="21"/>
                    </w:rPr>
                  </w:pPr>
                  <w:r>
                    <w:rPr>
                      <w:rFonts w:ascii="Times New Roman" w:hAnsi="Times New Roman" w:eastAsia="宋体"/>
                      <w:b/>
                      <w:bCs/>
                      <w:color w:val="auto"/>
                      <w:sz w:val="21"/>
                      <w:szCs w:val="21"/>
                    </w:rPr>
                    <w:t>相符性</w:t>
                  </w:r>
                </w:p>
              </w:tc>
            </w:tr>
            <w:tr w14:paraId="1975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restart"/>
                  <w:vAlign w:val="center"/>
                </w:tcPr>
                <w:p w14:paraId="3C52A134">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严格岸线河段管控</w:t>
                  </w:r>
                </w:p>
              </w:tc>
              <w:tc>
                <w:tcPr>
                  <w:tcW w:w="2635" w:type="pct"/>
                  <w:vAlign w:val="center"/>
                </w:tcPr>
                <w:p w14:paraId="5369CC0E">
                  <w:pPr>
                    <w:pStyle w:val="42"/>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禁止建设不符合国家和省级港口布局规划以及港口总体规划的码头项目。禁止建设不符合《长江干线过江通道布局规划》的过长江通道项目。</w:t>
                  </w:r>
                </w:p>
              </w:tc>
              <w:tc>
                <w:tcPr>
                  <w:tcW w:w="945" w:type="pct"/>
                  <w:vAlign w:val="center"/>
                </w:tcPr>
                <w:p w14:paraId="7D966B03">
                  <w:pPr>
                    <w:pStyle w:val="42"/>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本项目</w:t>
                  </w:r>
                  <w:r>
                    <w:rPr>
                      <w:rFonts w:hint="eastAsia" w:ascii="Times New Roman" w:hAnsi="Times New Roman"/>
                      <w:color w:val="auto"/>
                      <w:sz w:val="21"/>
                      <w:szCs w:val="21"/>
                      <w:lang w:eastAsia="zh-CN"/>
                    </w:rPr>
                    <w:t>电子专用材料制造</w:t>
                  </w:r>
                </w:p>
              </w:tc>
              <w:tc>
                <w:tcPr>
                  <w:tcW w:w="756" w:type="pct"/>
                  <w:vAlign w:val="center"/>
                </w:tcPr>
                <w:p w14:paraId="5891D78B">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4BB1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52DD56C6">
                  <w:pPr>
                    <w:pStyle w:val="42"/>
                    <w:jc w:val="center"/>
                    <w:rPr>
                      <w:rFonts w:hint="default" w:ascii="Times New Roman" w:hAnsi="Times New Roman" w:eastAsia="宋体"/>
                      <w:color w:val="auto"/>
                      <w:sz w:val="21"/>
                      <w:szCs w:val="21"/>
                    </w:rPr>
                  </w:pPr>
                </w:p>
              </w:tc>
              <w:tc>
                <w:tcPr>
                  <w:tcW w:w="2635" w:type="pct"/>
                  <w:vAlign w:val="center"/>
                </w:tcPr>
                <w:p w14:paraId="67DC947E">
                  <w:pPr>
                    <w:widowControl w:val="0"/>
                    <w:autoSpaceDE w:val="0"/>
                    <w:autoSpaceDN w:val="0"/>
                    <w:adjustRightInd w:val="0"/>
                    <w:jc w:val="center"/>
                    <w:rPr>
                      <w:color w:val="auto"/>
                      <w:szCs w:val="21"/>
                    </w:rPr>
                  </w:pPr>
                  <w:r>
                    <w:rPr>
                      <w:rFonts w:hint="eastAsia"/>
                      <w:color w:val="auto"/>
                    </w:rPr>
                    <w:t>禁止在自然保护区核心区、缓冲区的岸线和河段范围内投资建设旅游和生产经营项目。</w:t>
                  </w:r>
                </w:p>
              </w:tc>
              <w:tc>
                <w:tcPr>
                  <w:tcW w:w="945" w:type="pct"/>
                  <w:vAlign w:val="center"/>
                </w:tcPr>
                <w:p w14:paraId="7FE77685">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本项目不涉及自然保护区</w:t>
                  </w:r>
                </w:p>
              </w:tc>
              <w:tc>
                <w:tcPr>
                  <w:tcW w:w="756" w:type="pct"/>
                  <w:vAlign w:val="center"/>
                </w:tcPr>
                <w:p w14:paraId="6001B239">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087F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C6E4A92">
                  <w:pPr>
                    <w:pStyle w:val="42"/>
                    <w:jc w:val="center"/>
                    <w:rPr>
                      <w:rFonts w:hint="default" w:ascii="Times New Roman" w:hAnsi="Times New Roman" w:eastAsia="宋体"/>
                      <w:color w:val="auto"/>
                      <w:sz w:val="21"/>
                      <w:szCs w:val="21"/>
                    </w:rPr>
                  </w:pPr>
                </w:p>
              </w:tc>
              <w:tc>
                <w:tcPr>
                  <w:tcW w:w="2635" w:type="pct"/>
                  <w:vAlign w:val="center"/>
                </w:tcPr>
                <w:p w14:paraId="0369285D">
                  <w:pPr>
                    <w:widowControl w:val="0"/>
                    <w:autoSpaceDE w:val="0"/>
                    <w:autoSpaceDN w:val="0"/>
                    <w:adjustRightInd w:val="0"/>
                    <w:jc w:val="center"/>
                    <w:rPr>
                      <w:color w:val="auto"/>
                      <w:szCs w:val="21"/>
                    </w:rPr>
                  </w:pPr>
                  <w:r>
                    <w:rPr>
                      <w:rFonts w:hint="eastAsia"/>
                      <w:color w:val="auto"/>
                    </w:rPr>
                    <w:t>禁止在风景名胜区核心景区的岸线和河段范围内开展以下行为：（一）开山、采石、开矿、开荒、修坟立碑等破坏景观、植被和地形地貌的活动。（二）修建储存爆炸性、易燃性、放射性、毒害性、腐蚀性物品的设施。（三）违反风景名胜区规划，建设与风景名</w:t>
                  </w:r>
                  <w:r>
                    <w:rPr>
                      <w:rFonts w:hint="eastAsia"/>
                      <w:color w:val="auto"/>
                      <w:lang w:eastAsia="zh-CN"/>
                    </w:rPr>
                    <w:t>胜区</w:t>
                  </w:r>
                  <w:r>
                    <w:rPr>
                      <w:rFonts w:hint="eastAsia"/>
                      <w:color w:val="auto"/>
                    </w:rPr>
                    <w:t>资源保护无关的设施。</w:t>
                  </w:r>
                </w:p>
              </w:tc>
              <w:tc>
                <w:tcPr>
                  <w:tcW w:w="945" w:type="pct"/>
                  <w:vAlign w:val="center"/>
                </w:tcPr>
                <w:p w14:paraId="293F42C3">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本项目不涉及风景名胜区</w:t>
                  </w:r>
                </w:p>
              </w:tc>
              <w:tc>
                <w:tcPr>
                  <w:tcW w:w="756" w:type="pct"/>
                  <w:vAlign w:val="center"/>
                </w:tcPr>
                <w:p w14:paraId="509B5E5E">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03AD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491E4AFE">
                  <w:pPr>
                    <w:pStyle w:val="42"/>
                    <w:jc w:val="center"/>
                    <w:rPr>
                      <w:rFonts w:hint="default" w:ascii="Times New Roman" w:hAnsi="Times New Roman" w:eastAsia="宋体"/>
                      <w:color w:val="auto"/>
                      <w:sz w:val="21"/>
                      <w:szCs w:val="21"/>
                    </w:rPr>
                  </w:pPr>
                </w:p>
              </w:tc>
              <w:tc>
                <w:tcPr>
                  <w:tcW w:w="2635" w:type="pct"/>
                  <w:vAlign w:val="center"/>
                </w:tcPr>
                <w:p w14:paraId="73DA895A">
                  <w:pPr>
                    <w:widowControl w:val="0"/>
                    <w:autoSpaceDE w:val="0"/>
                    <w:autoSpaceDN w:val="0"/>
                    <w:adjustRightInd w:val="0"/>
                    <w:jc w:val="center"/>
                    <w:rPr>
                      <w:color w:val="auto"/>
                      <w:szCs w:val="21"/>
                    </w:rPr>
                  </w:pPr>
                  <w:r>
                    <w:rPr>
                      <w:rFonts w:hint="eastAsia"/>
                      <w:color w:val="auto"/>
                    </w:rPr>
                    <w:t>禁止在饮用水水源一级保护区的岸线和河段范围内开展下列行为：（一）新建、改建、扩建与供水设施和保护水源无关的建设项目；已建成的与供水设施和保护水源无关的建设项目，由县级以上人民政府责令拆除或者关闭。（二）禁止在饮用水水源一级保护区内从事网箱养殖、旅游、游泳、垂钓或者其他可能污染饮用水水体的活动。</w:t>
                  </w:r>
                </w:p>
              </w:tc>
              <w:tc>
                <w:tcPr>
                  <w:tcW w:w="945" w:type="pct"/>
                  <w:vAlign w:val="center"/>
                </w:tcPr>
                <w:p w14:paraId="246D12C3">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本项目不涉及饮用水水源保护区</w:t>
                  </w:r>
                </w:p>
              </w:tc>
              <w:tc>
                <w:tcPr>
                  <w:tcW w:w="756" w:type="pct"/>
                  <w:vAlign w:val="center"/>
                </w:tcPr>
                <w:p w14:paraId="60C4B182">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1ED9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506A0EBD">
                  <w:pPr>
                    <w:pStyle w:val="42"/>
                    <w:jc w:val="center"/>
                    <w:rPr>
                      <w:rFonts w:hint="default" w:ascii="Times New Roman" w:hAnsi="Times New Roman" w:eastAsia="宋体"/>
                      <w:color w:val="auto"/>
                      <w:sz w:val="21"/>
                      <w:szCs w:val="21"/>
                    </w:rPr>
                  </w:pPr>
                </w:p>
              </w:tc>
              <w:tc>
                <w:tcPr>
                  <w:tcW w:w="2635" w:type="pct"/>
                  <w:vAlign w:val="center"/>
                </w:tcPr>
                <w:p w14:paraId="3E79F111">
                  <w:pPr>
                    <w:pStyle w:val="42"/>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禁止在饮用水水源二级保护区的岸线和河段范围内开展下列行为：</w:t>
                  </w:r>
                </w:p>
                <w:p w14:paraId="021CDD61">
                  <w:pPr>
                    <w:pStyle w:val="42"/>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（一）新建、改建、扩建排放污染物的建设项目；已建成的排放污染物的建设项目，由县级以上人民政府责令拆除或者关闭。</w:t>
                  </w:r>
                </w:p>
                <w:p w14:paraId="4B25FDF9">
                  <w:pPr>
                    <w:pStyle w:val="42"/>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（二）在饮用水水源二级保护区内从事网箱养殖、旅游等活动的，应当按照规定采取措施，防止污染饮用水水体。</w:t>
                  </w:r>
                </w:p>
              </w:tc>
              <w:tc>
                <w:tcPr>
                  <w:tcW w:w="945" w:type="pct"/>
                  <w:vAlign w:val="center"/>
                </w:tcPr>
                <w:p w14:paraId="2E6EE02B">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本项目不涉及饮用水水源保护区</w:t>
                  </w:r>
                </w:p>
              </w:tc>
              <w:tc>
                <w:tcPr>
                  <w:tcW w:w="756" w:type="pct"/>
                  <w:vAlign w:val="center"/>
                </w:tcPr>
                <w:p w14:paraId="2A2B9FB9">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42E8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863B8FA">
                  <w:pPr>
                    <w:pStyle w:val="42"/>
                    <w:jc w:val="center"/>
                    <w:rPr>
                      <w:rFonts w:hint="default" w:ascii="Times New Roman" w:hAnsi="Times New Roman" w:eastAsia="宋体"/>
                      <w:color w:val="auto"/>
                      <w:sz w:val="21"/>
                      <w:szCs w:val="21"/>
                    </w:rPr>
                  </w:pPr>
                </w:p>
              </w:tc>
              <w:tc>
                <w:tcPr>
                  <w:tcW w:w="2635" w:type="pct"/>
                  <w:vAlign w:val="center"/>
                </w:tcPr>
                <w:p w14:paraId="78ABEE22">
                  <w:pPr>
                    <w:widowControl w:val="0"/>
                    <w:autoSpaceDE w:val="0"/>
                    <w:autoSpaceDN w:val="0"/>
                    <w:adjustRightInd w:val="0"/>
                    <w:jc w:val="center"/>
                    <w:rPr>
                      <w:color w:val="auto"/>
                      <w:szCs w:val="21"/>
                    </w:rPr>
                  </w:pPr>
                  <w:r>
                    <w:rPr>
                      <w:rFonts w:hint="eastAsia"/>
                      <w:color w:val="auto"/>
                    </w:rPr>
                    <w:t>禁止在水产种质资源保护区的岸线和河段范围内新建围湖（河）造田（地）等投资建设项目。单位和个人在水产种质资源保护区内从事水生生物资源调查、科学研究、教学实习、参观游览、影视拍摄等活动，应当遵守有关法律法规和保护区管理制度，不得损害水产种质资源及其生存环境。</w:t>
                  </w:r>
                </w:p>
              </w:tc>
              <w:tc>
                <w:tcPr>
                  <w:tcW w:w="945" w:type="pct"/>
                  <w:vAlign w:val="center"/>
                </w:tcPr>
                <w:p w14:paraId="18A4009F">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本项目不涉及水产种质资源保护区</w:t>
                  </w:r>
                </w:p>
              </w:tc>
              <w:tc>
                <w:tcPr>
                  <w:tcW w:w="756" w:type="pct"/>
                  <w:vAlign w:val="center"/>
                </w:tcPr>
                <w:p w14:paraId="622D82AC">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177A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15C0193">
                  <w:pPr>
                    <w:pStyle w:val="42"/>
                    <w:jc w:val="center"/>
                    <w:rPr>
                      <w:rFonts w:hint="default" w:ascii="Times New Roman" w:hAnsi="Times New Roman" w:eastAsia="宋体"/>
                      <w:color w:val="auto"/>
                      <w:sz w:val="21"/>
                      <w:szCs w:val="21"/>
                    </w:rPr>
                  </w:pPr>
                </w:p>
              </w:tc>
              <w:tc>
                <w:tcPr>
                  <w:tcW w:w="2635" w:type="pct"/>
                  <w:vAlign w:val="center"/>
                </w:tcPr>
                <w:p w14:paraId="32ED3C63">
                  <w:pPr>
                    <w:widowControl w:val="0"/>
                    <w:autoSpaceDE w:val="0"/>
                    <w:autoSpaceDN w:val="0"/>
                    <w:adjustRightInd w:val="0"/>
                    <w:jc w:val="center"/>
                    <w:rPr>
                      <w:color w:val="auto"/>
                      <w:szCs w:val="21"/>
                    </w:rPr>
                  </w:pPr>
                  <w:r>
                    <w:rPr>
                      <w:rFonts w:hint="eastAsia"/>
                      <w:color w:val="auto"/>
                    </w:rPr>
                    <w:t>除国家规定的外，禁止在国家湿地公园的岸线和河段范围内挖沙、采矿以及任何不符合主体功能定位的投资建设项目</w:t>
                  </w:r>
                </w:p>
              </w:tc>
              <w:tc>
                <w:tcPr>
                  <w:tcW w:w="945" w:type="pct"/>
                  <w:vAlign w:val="center"/>
                </w:tcPr>
                <w:p w14:paraId="0ECA3FC3">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本项目不涉及国家湿地公园</w:t>
                  </w:r>
                </w:p>
              </w:tc>
              <w:tc>
                <w:tcPr>
                  <w:tcW w:w="756" w:type="pct"/>
                  <w:vAlign w:val="center"/>
                </w:tcPr>
                <w:p w14:paraId="2704E180">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6959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330BB4F4">
                  <w:pPr>
                    <w:pStyle w:val="42"/>
                    <w:jc w:val="center"/>
                    <w:rPr>
                      <w:rFonts w:hint="default" w:ascii="Times New Roman" w:hAnsi="Times New Roman" w:eastAsia="宋体"/>
                      <w:color w:val="auto"/>
                      <w:sz w:val="21"/>
                      <w:szCs w:val="21"/>
                    </w:rPr>
                  </w:pPr>
                </w:p>
              </w:tc>
              <w:tc>
                <w:tcPr>
                  <w:tcW w:w="2635" w:type="pct"/>
                  <w:vAlign w:val="center"/>
                </w:tcPr>
                <w:p w14:paraId="7518B6DE">
                  <w:pPr>
                    <w:widowControl w:val="0"/>
                    <w:autoSpaceDE w:val="0"/>
                    <w:autoSpaceDN w:val="0"/>
                    <w:adjustRightInd w:val="0"/>
                    <w:jc w:val="center"/>
                    <w:rPr>
                      <w:color w:val="auto"/>
                      <w:szCs w:val="21"/>
                    </w:rPr>
                  </w:pPr>
                  <w:r>
                    <w:rPr>
                      <w:rFonts w:hint="eastAsia"/>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945" w:type="pct"/>
                  <w:vAlign w:val="center"/>
                </w:tcPr>
                <w:p w14:paraId="0635C67F">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本项目不涉及长江流域河湖岸线</w:t>
                  </w:r>
                </w:p>
              </w:tc>
              <w:tc>
                <w:tcPr>
                  <w:tcW w:w="756" w:type="pct"/>
                  <w:vAlign w:val="center"/>
                </w:tcPr>
                <w:p w14:paraId="66E09AF5">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0506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188CEC60">
                  <w:pPr>
                    <w:pStyle w:val="42"/>
                    <w:jc w:val="center"/>
                    <w:rPr>
                      <w:rFonts w:hint="default" w:ascii="Times New Roman" w:hAnsi="Times New Roman" w:eastAsia="宋体"/>
                      <w:color w:val="auto"/>
                      <w:sz w:val="21"/>
                      <w:szCs w:val="21"/>
                    </w:rPr>
                  </w:pPr>
                </w:p>
              </w:tc>
              <w:tc>
                <w:tcPr>
                  <w:tcW w:w="2635" w:type="pct"/>
                  <w:vAlign w:val="center"/>
                </w:tcPr>
                <w:p w14:paraId="64B91FC6">
                  <w:pPr>
                    <w:widowControl w:val="0"/>
                    <w:autoSpaceDE w:val="0"/>
                    <w:autoSpaceDN w:val="0"/>
                    <w:adjustRightInd w:val="0"/>
                    <w:jc w:val="center"/>
                    <w:rPr>
                      <w:color w:val="auto"/>
                      <w:szCs w:val="21"/>
                    </w:rPr>
                  </w:pPr>
                  <w:r>
                    <w:rPr>
                      <w:rFonts w:hint="eastAsia"/>
                      <w:color w:val="auto"/>
                    </w:rPr>
                    <w:t>禁止在《全国重要江河湖泊水功能区划》划定的河段及湖泊保护区、保留区内投资建设不利于水资源及自然生态保护的项目。</w:t>
                  </w:r>
                </w:p>
              </w:tc>
              <w:tc>
                <w:tcPr>
                  <w:tcW w:w="945" w:type="pct"/>
                  <w:vAlign w:val="center"/>
                </w:tcPr>
                <w:p w14:paraId="10C0A0A4">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本项目不涉及河段及湖泊保护区、保留区</w:t>
                  </w:r>
                </w:p>
              </w:tc>
              <w:tc>
                <w:tcPr>
                  <w:tcW w:w="756" w:type="pct"/>
                  <w:vAlign w:val="center"/>
                </w:tcPr>
                <w:p w14:paraId="668C635C">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0348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restart"/>
                  <w:vAlign w:val="center"/>
                </w:tcPr>
                <w:p w14:paraId="220E099E">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严格区域管控</w:t>
                  </w:r>
                </w:p>
              </w:tc>
              <w:tc>
                <w:tcPr>
                  <w:tcW w:w="2635" w:type="pct"/>
                  <w:vAlign w:val="center"/>
                </w:tcPr>
                <w:p w14:paraId="6B29A133">
                  <w:pPr>
                    <w:widowControl w:val="0"/>
                    <w:autoSpaceDE w:val="0"/>
                    <w:autoSpaceDN w:val="0"/>
                    <w:adjustRightInd w:val="0"/>
                    <w:jc w:val="center"/>
                    <w:rPr>
                      <w:color w:val="auto"/>
                    </w:rPr>
                  </w:pPr>
                  <w:r>
                    <w:rPr>
                      <w:rFonts w:hint="eastAsia"/>
                      <w:color w:val="auto"/>
                    </w:rPr>
                    <w:t>禁止未经许可在长江干支流及湖泊新设、改设或扩大排污口。</w:t>
                  </w:r>
                </w:p>
              </w:tc>
              <w:tc>
                <w:tcPr>
                  <w:tcW w:w="1252" w:type="dxa"/>
                  <w:vAlign w:val="center"/>
                </w:tcPr>
                <w:p w14:paraId="60D1806B">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本项目废水</w:t>
                  </w:r>
                  <w:r>
                    <w:rPr>
                      <w:rFonts w:hint="eastAsia" w:ascii="Times New Roman" w:hAnsi="Times New Roman"/>
                      <w:color w:val="auto"/>
                      <w:sz w:val="21"/>
                      <w:szCs w:val="21"/>
                      <w:lang w:eastAsia="zh-CN"/>
                    </w:rPr>
                    <w:t>排入</w:t>
                  </w:r>
                  <w:r>
                    <w:rPr>
                      <w:rFonts w:hint="eastAsia" w:ascii="Times New Roman" w:hAnsi="Times New Roman"/>
                      <w:color w:val="auto"/>
                      <w:sz w:val="21"/>
                      <w:szCs w:val="21"/>
                      <w:lang w:val="en-US" w:eastAsia="zh-CN"/>
                    </w:rPr>
                    <w:t>一期污水处理厂，由一期污水处理厂</w:t>
                  </w:r>
                  <w:r>
                    <w:rPr>
                      <w:rFonts w:ascii="Times New Roman" w:hAnsi="Times New Roman" w:eastAsia="宋体"/>
                      <w:color w:val="auto"/>
                      <w:sz w:val="21"/>
                      <w:szCs w:val="21"/>
                    </w:rPr>
                    <w:t>市政管网进入污水处理厂处理</w:t>
                  </w:r>
                </w:p>
              </w:tc>
              <w:tc>
                <w:tcPr>
                  <w:tcW w:w="756" w:type="pct"/>
                  <w:vAlign w:val="center"/>
                </w:tcPr>
                <w:p w14:paraId="0214264C">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530E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280247E">
                  <w:pPr>
                    <w:pStyle w:val="42"/>
                    <w:jc w:val="center"/>
                    <w:rPr>
                      <w:rFonts w:hint="default" w:ascii="Times New Roman" w:hAnsi="Times New Roman" w:eastAsia="宋体"/>
                      <w:color w:val="auto"/>
                      <w:sz w:val="21"/>
                      <w:szCs w:val="21"/>
                    </w:rPr>
                  </w:pPr>
                </w:p>
              </w:tc>
              <w:tc>
                <w:tcPr>
                  <w:tcW w:w="2635" w:type="pct"/>
                  <w:vAlign w:val="center"/>
                </w:tcPr>
                <w:p w14:paraId="697F1559">
                  <w:pPr>
                    <w:widowControl w:val="0"/>
                    <w:autoSpaceDE w:val="0"/>
                    <w:autoSpaceDN w:val="0"/>
                    <w:adjustRightInd w:val="0"/>
                    <w:jc w:val="center"/>
                    <w:rPr>
                      <w:color w:val="auto"/>
                    </w:rPr>
                  </w:pPr>
                  <w:r>
                    <w:rPr>
                      <w:rFonts w:hint="eastAsia"/>
                      <w:color w:val="auto"/>
                    </w:rPr>
                    <w:t>禁止在长江干流江西段、鄱阳湖和《率先全面禁捕的长江流域水生生物保护区名录》中的水生生物保护区开展生产性捕捞。</w:t>
                  </w:r>
                </w:p>
              </w:tc>
              <w:tc>
                <w:tcPr>
                  <w:tcW w:w="1252" w:type="dxa"/>
                  <w:vAlign w:val="center"/>
                </w:tcPr>
                <w:p w14:paraId="3533046C">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w:t>
                  </w:r>
                  <w:r>
                    <w:rPr>
                      <w:rFonts w:hint="eastAsia" w:ascii="Times New Roman" w:hAnsi="Times New Roman"/>
                      <w:color w:val="auto"/>
                      <w:sz w:val="21"/>
                      <w:szCs w:val="21"/>
                      <w:lang w:eastAsia="zh-CN"/>
                    </w:rPr>
                    <w:t>电子专用材料制造</w:t>
                  </w:r>
                  <w:r>
                    <w:rPr>
                      <w:rFonts w:ascii="Times New Roman" w:hAnsi="Times New Roman" w:eastAsia="宋体"/>
                      <w:color w:val="auto"/>
                      <w:sz w:val="21"/>
                      <w:szCs w:val="21"/>
                    </w:rPr>
                    <w:t>，且不在长江干流江西段、鄱阳湖范围内</w:t>
                  </w:r>
                </w:p>
              </w:tc>
              <w:tc>
                <w:tcPr>
                  <w:tcW w:w="756" w:type="pct"/>
                  <w:vAlign w:val="center"/>
                </w:tcPr>
                <w:p w14:paraId="0812A908">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4B2D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70E1783">
                  <w:pPr>
                    <w:pStyle w:val="42"/>
                    <w:jc w:val="center"/>
                    <w:rPr>
                      <w:rFonts w:hint="default" w:ascii="Times New Roman" w:hAnsi="Times New Roman" w:eastAsia="宋体"/>
                      <w:color w:val="auto"/>
                      <w:sz w:val="21"/>
                      <w:szCs w:val="21"/>
                    </w:rPr>
                  </w:pPr>
                </w:p>
              </w:tc>
              <w:tc>
                <w:tcPr>
                  <w:tcW w:w="2635" w:type="pct"/>
                  <w:vAlign w:val="center"/>
                </w:tcPr>
                <w:p w14:paraId="731CC1EE">
                  <w:pPr>
                    <w:widowControl w:val="0"/>
                    <w:autoSpaceDE w:val="0"/>
                    <w:autoSpaceDN w:val="0"/>
                    <w:adjustRightInd w:val="0"/>
                    <w:jc w:val="center"/>
                    <w:rPr>
                      <w:color w:val="auto"/>
                    </w:rPr>
                  </w:pPr>
                  <w:r>
                    <w:rPr>
                      <w:rFonts w:hint="eastAsia"/>
                      <w:color w:val="auto"/>
                    </w:rPr>
                    <w:t>禁止在长江干支流、重要湖泊岸线一公里范围内新建、扩建化工园区和化工项目。</w:t>
                  </w:r>
                </w:p>
              </w:tc>
              <w:tc>
                <w:tcPr>
                  <w:tcW w:w="1252" w:type="dxa"/>
                  <w:vAlign w:val="center"/>
                </w:tcPr>
                <w:p w14:paraId="036A9F53">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本项目不涉及长江干支流、重要湖泊岸线</w:t>
                  </w:r>
                </w:p>
              </w:tc>
              <w:tc>
                <w:tcPr>
                  <w:tcW w:w="756" w:type="pct"/>
                  <w:vAlign w:val="center"/>
                </w:tcPr>
                <w:p w14:paraId="7A148262">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1160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2F0684CD">
                  <w:pPr>
                    <w:pStyle w:val="42"/>
                    <w:jc w:val="center"/>
                    <w:rPr>
                      <w:rFonts w:hint="default" w:ascii="Times New Roman" w:hAnsi="Times New Roman" w:eastAsia="宋体"/>
                      <w:color w:val="auto"/>
                      <w:sz w:val="21"/>
                      <w:szCs w:val="21"/>
                    </w:rPr>
                  </w:pPr>
                </w:p>
              </w:tc>
              <w:tc>
                <w:tcPr>
                  <w:tcW w:w="2635" w:type="pct"/>
                  <w:vAlign w:val="center"/>
                </w:tcPr>
                <w:p w14:paraId="2EF50799">
                  <w:pPr>
                    <w:widowControl w:val="0"/>
                    <w:autoSpaceDE w:val="0"/>
                    <w:autoSpaceDN w:val="0"/>
                    <w:adjustRightInd w:val="0"/>
                    <w:jc w:val="center"/>
                    <w:rPr>
                      <w:color w:val="auto"/>
                    </w:rPr>
                  </w:pPr>
                  <w:r>
                    <w:rPr>
                      <w:rFonts w:hint="eastAsia"/>
                      <w:color w:val="auto"/>
                    </w:rPr>
                    <w:t>禁止在长江干流岸线三公里范围内和重要支流岸线一公里范围内新建、改建、扩建尾矿库、冶炼渣库和磷石膏库，以提升安全、生态环境保护水平为目的的改建除外。</w:t>
                  </w:r>
                </w:p>
              </w:tc>
              <w:tc>
                <w:tcPr>
                  <w:tcW w:w="1252" w:type="dxa"/>
                  <w:vAlign w:val="center"/>
                </w:tcPr>
                <w:p w14:paraId="0A49E5FA">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本项目不涉及长江干流岸线和重要支流岸线</w:t>
                  </w:r>
                </w:p>
              </w:tc>
              <w:tc>
                <w:tcPr>
                  <w:tcW w:w="756" w:type="pct"/>
                  <w:vAlign w:val="center"/>
                </w:tcPr>
                <w:p w14:paraId="40CBB3DB">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40DA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19027D0A">
                  <w:pPr>
                    <w:pStyle w:val="42"/>
                    <w:jc w:val="center"/>
                    <w:rPr>
                      <w:rFonts w:hint="default" w:ascii="Times New Roman" w:hAnsi="Times New Roman" w:eastAsia="宋体"/>
                      <w:color w:val="auto"/>
                      <w:sz w:val="21"/>
                      <w:szCs w:val="21"/>
                    </w:rPr>
                  </w:pPr>
                </w:p>
              </w:tc>
              <w:tc>
                <w:tcPr>
                  <w:tcW w:w="2635" w:type="pct"/>
                  <w:vAlign w:val="center"/>
                </w:tcPr>
                <w:p w14:paraId="0883269F">
                  <w:pPr>
                    <w:widowControl w:val="0"/>
                    <w:autoSpaceDE w:val="0"/>
                    <w:autoSpaceDN w:val="0"/>
                    <w:adjustRightInd w:val="0"/>
                    <w:jc w:val="center"/>
                    <w:rPr>
                      <w:color w:val="auto"/>
                    </w:rPr>
                  </w:pPr>
                  <w:r>
                    <w:rPr>
                      <w:rFonts w:hint="eastAsia"/>
                      <w:color w:val="auto"/>
                    </w:rPr>
                    <w:t>禁止在合规园区外新建、扩建钢铁、石化、化工、焦化、建材、有色、制浆造纸等高污染项目。</w:t>
                  </w:r>
                </w:p>
              </w:tc>
              <w:tc>
                <w:tcPr>
                  <w:tcW w:w="1252" w:type="dxa"/>
                  <w:vAlign w:val="center"/>
                </w:tcPr>
                <w:p w14:paraId="117AC270">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w:t>
                  </w:r>
                  <w:r>
                    <w:rPr>
                      <w:rFonts w:hint="eastAsia" w:ascii="Times New Roman" w:hAnsi="Times New Roman"/>
                      <w:color w:val="auto"/>
                      <w:sz w:val="21"/>
                      <w:szCs w:val="21"/>
                      <w:lang w:eastAsia="zh-CN"/>
                    </w:rPr>
                    <w:t>目为电子专用材料制造</w:t>
                  </w:r>
                  <w:r>
                    <w:rPr>
                      <w:rFonts w:ascii="Times New Roman" w:hAnsi="Times New Roman" w:eastAsia="宋体"/>
                      <w:color w:val="auto"/>
                      <w:sz w:val="21"/>
                      <w:szCs w:val="21"/>
                    </w:rPr>
                    <w:t>，不属于高污染项目</w:t>
                  </w:r>
                </w:p>
              </w:tc>
              <w:tc>
                <w:tcPr>
                  <w:tcW w:w="756" w:type="pct"/>
                  <w:vAlign w:val="center"/>
                </w:tcPr>
                <w:p w14:paraId="6A928FB9">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441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restart"/>
                  <w:vAlign w:val="center"/>
                </w:tcPr>
                <w:p w14:paraId="4C250EFD">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严格产业准入</w:t>
                  </w:r>
                </w:p>
              </w:tc>
              <w:tc>
                <w:tcPr>
                  <w:tcW w:w="2635" w:type="pct"/>
                  <w:vAlign w:val="center"/>
                </w:tcPr>
                <w:p w14:paraId="0E793BC2">
                  <w:pPr>
                    <w:widowControl w:val="0"/>
                    <w:autoSpaceDE w:val="0"/>
                    <w:autoSpaceDN w:val="0"/>
                    <w:adjustRightInd w:val="0"/>
                    <w:jc w:val="center"/>
                    <w:rPr>
                      <w:color w:val="auto"/>
                    </w:rPr>
                  </w:pPr>
                  <w:r>
                    <w:rPr>
                      <w:rFonts w:hint="eastAsia"/>
                      <w:color w:val="auto"/>
                    </w:rPr>
                    <w:t>禁止新建、扩建不符合国家石化、现代煤化工等产业布局规划的项目。</w:t>
                  </w:r>
                </w:p>
              </w:tc>
              <w:tc>
                <w:tcPr>
                  <w:tcW w:w="1252" w:type="dxa"/>
                  <w:vAlign w:val="center"/>
                </w:tcPr>
                <w:p w14:paraId="2A1A75B9">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w:t>
                  </w:r>
                  <w:r>
                    <w:rPr>
                      <w:rFonts w:hint="eastAsia" w:ascii="Times New Roman" w:hAnsi="Times New Roman"/>
                      <w:color w:val="auto"/>
                      <w:sz w:val="21"/>
                      <w:szCs w:val="21"/>
                      <w:lang w:eastAsia="zh-CN"/>
                    </w:rPr>
                    <w:t>电子专用材料制造</w:t>
                  </w:r>
                  <w:r>
                    <w:rPr>
                      <w:rFonts w:ascii="Times New Roman" w:hAnsi="Times New Roman" w:eastAsia="宋体"/>
                      <w:color w:val="auto"/>
                      <w:sz w:val="21"/>
                      <w:szCs w:val="21"/>
                    </w:rPr>
                    <w:t>，不属于国家石化、现代煤业化工等产业布局规划的项目</w:t>
                  </w:r>
                </w:p>
              </w:tc>
              <w:tc>
                <w:tcPr>
                  <w:tcW w:w="756" w:type="pct"/>
                  <w:vAlign w:val="center"/>
                </w:tcPr>
                <w:p w14:paraId="7AAA2192">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20FF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5A31B411">
                  <w:pPr>
                    <w:pStyle w:val="42"/>
                    <w:jc w:val="center"/>
                    <w:rPr>
                      <w:rFonts w:hint="default" w:ascii="Times New Roman" w:hAnsi="Times New Roman" w:eastAsia="宋体"/>
                      <w:color w:val="auto"/>
                      <w:sz w:val="21"/>
                      <w:szCs w:val="21"/>
                    </w:rPr>
                  </w:pPr>
                </w:p>
              </w:tc>
              <w:tc>
                <w:tcPr>
                  <w:tcW w:w="2635" w:type="pct"/>
                  <w:vAlign w:val="center"/>
                </w:tcPr>
                <w:p w14:paraId="7D98DD49">
                  <w:pPr>
                    <w:widowControl w:val="0"/>
                    <w:autoSpaceDE w:val="0"/>
                    <w:autoSpaceDN w:val="0"/>
                    <w:adjustRightInd w:val="0"/>
                    <w:jc w:val="center"/>
                    <w:rPr>
                      <w:color w:val="auto"/>
                    </w:rPr>
                  </w:pPr>
                  <w:r>
                    <w:rPr>
                      <w:rFonts w:hint="eastAsia"/>
                      <w:color w:val="auto"/>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52" w:type="dxa"/>
                  <w:vAlign w:val="center"/>
                </w:tcPr>
                <w:p w14:paraId="79ACE944">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行业类别</w:t>
                  </w:r>
                  <w:r>
                    <w:rPr>
                      <w:rFonts w:hint="eastAsia" w:ascii="Times New Roman" w:hAnsi="Times New Roman"/>
                      <w:color w:val="auto"/>
                      <w:sz w:val="21"/>
                      <w:szCs w:val="21"/>
                      <w:lang w:eastAsia="zh-CN"/>
                    </w:rPr>
                    <w:t>电子专用材料制造</w:t>
                  </w:r>
                  <w:r>
                    <w:rPr>
                      <w:rFonts w:ascii="Times New Roman" w:hAnsi="Times New Roman" w:eastAsia="宋体"/>
                      <w:color w:val="auto"/>
                      <w:sz w:val="21"/>
                      <w:szCs w:val="21"/>
                    </w:rPr>
                    <w:t>，</w:t>
                  </w:r>
                  <w:r>
                    <w:rPr>
                      <w:rFonts w:hint="eastAsia" w:ascii="Times New Roman" w:hAnsi="Times New Roman" w:eastAsia="宋体"/>
                      <w:color w:val="auto"/>
                      <w:sz w:val="21"/>
                      <w:szCs w:val="21"/>
                    </w:rPr>
                    <w:t>所生产的产品主要用于钕铁硼磁钢所需要的元器件，最终形成钕铁硼磁钢成品可按《产业结构调整指导目录（2024年本）》中第一类鼓励类中的九、有色金属-4．新材料，故本项目属于鼓励类。</w:t>
                  </w:r>
                </w:p>
              </w:tc>
              <w:tc>
                <w:tcPr>
                  <w:tcW w:w="756" w:type="pct"/>
                  <w:vAlign w:val="center"/>
                </w:tcPr>
                <w:p w14:paraId="775D180F">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228E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62" w:type="pct"/>
                  <w:vMerge w:val="continue"/>
                  <w:vAlign w:val="center"/>
                </w:tcPr>
                <w:p w14:paraId="46B718CC">
                  <w:pPr>
                    <w:pStyle w:val="42"/>
                    <w:jc w:val="center"/>
                    <w:rPr>
                      <w:rFonts w:hint="default" w:ascii="Times New Roman" w:hAnsi="Times New Roman" w:eastAsia="宋体"/>
                      <w:color w:val="auto"/>
                      <w:sz w:val="21"/>
                      <w:szCs w:val="21"/>
                    </w:rPr>
                  </w:pPr>
                </w:p>
              </w:tc>
              <w:tc>
                <w:tcPr>
                  <w:tcW w:w="2635" w:type="pct"/>
                  <w:vAlign w:val="center"/>
                </w:tcPr>
                <w:p w14:paraId="64A963BA">
                  <w:pPr>
                    <w:widowControl w:val="0"/>
                    <w:autoSpaceDE w:val="0"/>
                    <w:autoSpaceDN w:val="0"/>
                    <w:adjustRightInd w:val="0"/>
                    <w:jc w:val="center"/>
                    <w:rPr>
                      <w:color w:val="auto"/>
                    </w:rPr>
                  </w:pPr>
                  <w:r>
                    <w:rPr>
                      <w:rFonts w:hint="eastAsia"/>
                      <w:color w:val="auto"/>
                    </w:rPr>
                    <w:t>禁止新建、扩建不符合国家产能置换要求的钢铁、电解铝、水泥熟料、平板玻璃、船舶等严重过剩产能行业的项目。严格执行《国务院关于化解产能严重过剩矛盾的指导意见》，各地各部门不得以任何名义、任何方式新增</w:t>
                  </w:r>
                  <w:r>
                    <w:rPr>
                      <w:rFonts w:hint="eastAsia"/>
                      <w:color w:val="auto"/>
                      <w:lang w:eastAsia="zh-CN"/>
                    </w:rPr>
                    <w:t>产能</w:t>
                  </w:r>
                  <w:r>
                    <w:rPr>
                      <w:rFonts w:hint="eastAsia"/>
                      <w:color w:val="auto"/>
                    </w:rPr>
                    <w:t>；对确有必要建设的，必须严格执行产能置换实施办法，实施减量或等量置换，依法依规办理有关手续。</w:t>
                  </w:r>
                </w:p>
              </w:tc>
              <w:tc>
                <w:tcPr>
                  <w:tcW w:w="1252" w:type="dxa"/>
                  <w:vAlign w:val="center"/>
                </w:tcPr>
                <w:p w14:paraId="5E21920B">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本项目</w:t>
                  </w:r>
                  <w:r>
                    <w:rPr>
                      <w:rFonts w:hint="eastAsia" w:ascii="Times New Roman" w:hAnsi="Times New Roman"/>
                      <w:color w:val="auto"/>
                      <w:sz w:val="21"/>
                      <w:szCs w:val="21"/>
                      <w:lang w:eastAsia="zh-CN"/>
                    </w:rPr>
                    <w:t>电子专用材料制造</w:t>
                  </w:r>
                  <w:r>
                    <w:rPr>
                      <w:rFonts w:ascii="Times New Roman" w:hAnsi="Times New Roman" w:eastAsia="宋体"/>
                      <w:color w:val="auto"/>
                      <w:sz w:val="21"/>
                      <w:szCs w:val="21"/>
                    </w:rPr>
                    <w:t>，不属于严重过剩产能行业</w:t>
                  </w:r>
                </w:p>
              </w:tc>
              <w:tc>
                <w:tcPr>
                  <w:tcW w:w="756" w:type="pct"/>
                  <w:vAlign w:val="center"/>
                </w:tcPr>
                <w:p w14:paraId="7AA37BC7">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r w14:paraId="7F17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62" w:type="pct"/>
                  <w:vMerge w:val="continue"/>
                  <w:vAlign w:val="center"/>
                </w:tcPr>
                <w:p w14:paraId="434797DB">
                  <w:pPr>
                    <w:pStyle w:val="42"/>
                    <w:jc w:val="center"/>
                    <w:rPr>
                      <w:rFonts w:hint="default" w:ascii="Times New Roman" w:hAnsi="Times New Roman" w:eastAsia="宋体"/>
                      <w:color w:val="auto"/>
                      <w:sz w:val="21"/>
                      <w:szCs w:val="21"/>
                    </w:rPr>
                  </w:pPr>
                </w:p>
              </w:tc>
              <w:tc>
                <w:tcPr>
                  <w:tcW w:w="2635" w:type="pct"/>
                  <w:vAlign w:val="center"/>
                </w:tcPr>
                <w:p w14:paraId="0E9E4322">
                  <w:pPr>
                    <w:widowControl w:val="0"/>
                    <w:autoSpaceDE w:val="0"/>
                    <w:autoSpaceDN w:val="0"/>
                    <w:adjustRightInd w:val="0"/>
                    <w:jc w:val="center"/>
                    <w:rPr>
                      <w:color w:val="auto"/>
                    </w:rPr>
                  </w:pPr>
                  <w:r>
                    <w:rPr>
                      <w:rFonts w:hint="eastAsia"/>
                      <w:color w:val="auto"/>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52" w:type="dxa"/>
                  <w:vAlign w:val="center"/>
                </w:tcPr>
                <w:p w14:paraId="1DD6BA1F">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本项</w:t>
                  </w:r>
                  <w:r>
                    <w:rPr>
                      <w:rFonts w:hint="eastAsia" w:ascii="Times New Roman" w:hAnsi="Times New Roman"/>
                      <w:color w:val="auto"/>
                      <w:sz w:val="21"/>
                      <w:szCs w:val="21"/>
                      <w:lang w:eastAsia="zh-CN"/>
                    </w:rPr>
                    <w:t>目为电子专用材料制造</w:t>
                  </w:r>
                  <w:r>
                    <w:rPr>
                      <w:rFonts w:ascii="Times New Roman" w:hAnsi="Times New Roman" w:eastAsia="宋体"/>
                      <w:color w:val="auto"/>
                      <w:sz w:val="21"/>
                      <w:szCs w:val="21"/>
                    </w:rPr>
                    <w:t>，不属于高耗能高排放项目</w:t>
                  </w:r>
                </w:p>
              </w:tc>
              <w:tc>
                <w:tcPr>
                  <w:tcW w:w="756" w:type="pct"/>
                  <w:vAlign w:val="center"/>
                </w:tcPr>
                <w:p w14:paraId="42DF2C4F">
                  <w:pPr>
                    <w:pStyle w:val="42"/>
                    <w:jc w:val="center"/>
                    <w:rPr>
                      <w:rFonts w:hint="default" w:ascii="Times New Roman" w:hAnsi="Times New Roman" w:eastAsia="宋体"/>
                      <w:color w:val="auto"/>
                      <w:sz w:val="21"/>
                      <w:szCs w:val="21"/>
                    </w:rPr>
                  </w:pPr>
                  <w:r>
                    <w:rPr>
                      <w:rFonts w:ascii="Times New Roman" w:hAnsi="Times New Roman" w:eastAsia="宋体"/>
                      <w:color w:val="auto"/>
                      <w:sz w:val="21"/>
                      <w:szCs w:val="21"/>
                    </w:rPr>
                    <w:t>不涉及</w:t>
                  </w:r>
                </w:p>
              </w:tc>
            </w:tr>
          </w:tbl>
          <w:p w14:paraId="78B4F02D">
            <w:pPr>
              <w:autoSpaceDE w:val="0"/>
              <w:autoSpaceDN w:val="0"/>
              <w:adjustRightInd w:val="0"/>
              <w:snapToGrid w:val="0"/>
              <w:spacing w:line="360" w:lineRule="auto"/>
              <w:ind w:firstLine="480" w:firstLineChars="200"/>
              <w:jc w:val="left"/>
              <w:rPr>
                <w:rFonts w:hint="eastAsia" w:cs="宋体"/>
                <w:b/>
                <w:bCs/>
                <w:color w:val="auto"/>
                <w:kern w:val="0"/>
                <w:sz w:val="24"/>
                <w:szCs w:val="24"/>
                <w:lang w:val="en-US" w:eastAsia="zh-CN"/>
              </w:rPr>
            </w:pPr>
            <w:r>
              <w:rPr>
                <w:rFonts w:hint="eastAsia"/>
                <w:color w:val="auto"/>
                <w:sz w:val="24"/>
                <w:lang w:val="en-US" w:eastAsia="zh-CN"/>
              </w:rPr>
              <w:t>5、</w:t>
            </w:r>
            <w:r>
              <w:rPr>
                <w:rFonts w:ascii="宋体" w:hAnsi="宋体" w:eastAsia="宋体" w:cs="宋体"/>
                <w:b/>
                <w:bCs/>
                <w:color w:val="auto"/>
                <w:sz w:val="24"/>
                <w:szCs w:val="24"/>
              </w:rPr>
              <w:t>与《挥发性有机物（VOCs）污染防治技术政策》相关要求</w:t>
            </w:r>
          </w:p>
          <w:p w14:paraId="600E9C45">
            <w:pPr>
              <w:autoSpaceDE w:val="0"/>
              <w:autoSpaceDN w:val="0"/>
              <w:adjustRightInd w:val="0"/>
              <w:snapToGrid w:val="0"/>
              <w:spacing w:line="360" w:lineRule="auto"/>
              <w:ind w:firstLine="480" w:firstLineChars="200"/>
              <w:jc w:val="left"/>
              <w:rPr>
                <w:rFonts w:hint="eastAsia" w:cs="宋体"/>
                <w:color w:val="auto"/>
                <w:kern w:val="0"/>
                <w:sz w:val="24"/>
                <w:szCs w:val="24"/>
                <w:lang w:val="en-US" w:eastAsia="zh-CN"/>
              </w:rPr>
            </w:pPr>
            <w:r>
              <w:rPr>
                <w:rFonts w:hint="eastAsia" w:cs="宋体"/>
                <w:color w:val="auto"/>
                <w:kern w:val="0"/>
                <w:sz w:val="24"/>
                <w:szCs w:val="24"/>
                <w:lang w:val="en-US" w:eastAsia="zh-CN"/>
              </w:rPr>
              <w:t>本项目与《挥发性有机物（VOCs）污染防治技术政策》相关要求见下表：</w:t>
            </w:r>
          </w:p>
          <w:p w14:paraId="4735654B">
            <w:pPr>
              <w:autoSpaceDE w:val="0"/>
              <w:autoSpaceDN w:val="0"/>
              <w:adjustRightInd w:val="0"/>
              <w:snapToGrid w:val="0"/>
              <w:spacing w:line="240" w:lineRule="auto"/>
              <w:jc w:val="center"/>
              <w:rPr>
                <w:rFonts w:hint="eastAsia" w:cs="宋体"/>
                <w:b/>
                <w:bCs/>
                <w:color w:val="auto"/>
                <w:kern w:val="0"/>
                <w:sz w:val="24"/>
                <w:szCs w:val="24"/>
                <w:lang w:val="en-US" w:eastAsia="zh-CN"/>
              </w:rPr>
            </w:pPr>
            <w:r>
              <w:rPr>
                <w:rFonts w:hint="eastAsia" w:cs="宋体"/>
                <w:b/>
                <w:bCs/>
                <w:color w:val="auto"/>
                <w:kern w:val="0"/>
                <w:sz w:val="24"/>
                <w:szCs w:val="24"/>
                <w:lang w:val="en-US" w:eastAsia="zh-CN"/>
              </w:rPr>
              <w:t>表1-8与《挥发性有机物（VOCs）污染防治技术政策》相符性分析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3383"/>
              <w:gridCol w:w="2075"/>
            </w:tblGrid>
            <w:tr w14:paraId="5506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noWrap w:val="0"/>
                  <w:vAlign w:val="center"/>
                </w:tcPr>
                <w:p w14:paraId="38C1E046">
                  <w:pPr>
                    <w:autoSpaceDE w:val="0"/>
                    <w:autoSpaceDN w:val="0"/>
                    <w:adjustRightInd w:val="0"/>
                    <w:snapToGrid w:val="0"/>
                    <w:spacing w:line="240" w:lineRule="auto"/>
                    <w:jc w:val="center"/>
                    <w:rPr>
                      <w:rFonts w:hint="eastAsia" w:ascii="Times New Roman" w:hAnsi="Times New Roman" w:eastAsia="宋体" w:cs="宋体"/>
                      <w:b/>
                      <w:bCs/>
                      <w:color w:val="auto"/>
                      <w:kern w:val="0"/>
                      <w:sz w:val="21"/>
                      <w:szCs w:val="21"/>
                      <w:vertAlign w:val="baseline"/>
                      <w:lang w:val="en-US" w:eastAsia="zh-CN"/>
                    </w:rPr>
                  </w:pPr>
                  <w:r>
                    <w:rPr>
                      <w:rFonts w:hint="eastAsia" w:ascii="Times New Roman" w:hAnsi="Times New Roman" w:eastAsia="宋体" w:cs="宋体"/>
                      <w:b/>
                      <w:bCs/>
                      <w:color w:val="auto"/>
                      <w:kern w:val="0"/>
                      <w:sz w:val="21"/>
                      <w:szCs w:val="21"/>
                      <w:vertAlign w:val="baseline"/>
                      <w:lang w:val="en-US" w:eastAsia="zh-CN"/>
                    </w:rPr>
                    <w:t>相关政策要求</w:t>
                  </w:r>
                </w:p>
              </w:tc>
              <w:tc>
                <w:tcPr>
                  <w:tcW w:w="2656" w:type="pct"/>
                  <w:noWrap w:val="0"/>
                  <w:vAlign w:val="center"/>
                </w:tcPr>
                <w:p w14:paraId="775638A7">
                  <w:pPr>
                    <w:autoSpaceDE w:val="0"/>
                    <w:autoSpaceDN w:val="0"/>
                    <w:adjustRightInd w:val="0"/>
                    <w:snapToGrid w:val="0"/>
                    <w:spacing w:line="240" w:lineRule="auto"/>
                    <w:jc w:val="center"/>
                    <w:rPr>
                      <w:rFonts w:hint="eastAsia" w:ascii="Times New Roman" w:hAnsi="Times New Roman" w:eastAsia="宋体" w:cs="宋体"/>
                      <w:b/>
                      <w:bCs/>
                      <w:color w:val="auto"/>
                      <w:kern w:val="0"/>
                      <w:sz w:val="21"/>
                      <w:szCs w:val="21"/>
                      <w:vertAlign w:val="baseline"/>
                      <w:lang w:val="en-US" w:eastAsia="zh-CN"/>
                    </w:rPr>
                  </w:pPr>
                  <w:r>
                    <w:rPr>
                      <w:rFonts w:ascii="Times New Roman" w:hAnsi="Times New Roman" w:eastAsia="宋体" w:cs="宋体"/>
                      <w:b/>
                      <w:bCs/>
                      <w:color w:val="auto"/>
                      <w:sz w:val="21"/>
                      <w:szCs w:val="21"/>
                    </w:rPr>
                    <w:t>相关规定</w:t>
                  </w:r>
                </w:p>
              </w:tc>
              <w:tc>
                <w:tcPr>
                  <w:tcW w:w="1668" w:type="pct"/>
                  <w:noWrap w:val="0"/>
                  <w:vAlign w:val="center"/>
                </w:tcPr>
                <w:p w14:paraId="5B538870">
                  <w:pPr>
                    <w:autoSpaceDE w:val="0"/>
                    <w:autoSpaceDN w:val="0"/>
                    <w:adjustRightInd w:val="0"/>
                    <w:snapToGrid w:val="0"/>
                    <w:spacing w:line="240" w:lineRule="auto"/>
                    <w:jc w:val="center"/>
                    <w:rPr>
                      <w:rFonts w:hint="eastAsia" w:ascii="Times New Roman" w:hAnsi="Times New Roman" w:eastAsia="宋体" w:cs="宋体"/>
                      <w:b/>
                      <w:bCs/>
                      <w:color w:val="auto"/>
                      <w:kern w:val="0"/>
                      <w:sz w:val="21"/>
                      <w:szCs w:val="21"/>
                      <w:vertAlign w:val="baseline"/>
                      <w:lang w:val="en-US" w:eastAsia="zh-CN"/>
                    </w:rPr>
                  </w:pPr>
                  <w:r>
                    <w:rPr>
                      <w:rFonts w:hint="eastAsia" w:ascii="Times New Roman" w:hAnsi="Times New Roman" w:eastAsia="宋体" w:cs="宋体"/>
                      <w:b/>
                      <w:bCs/>
                      <w:color w:val="auto"/>
                      <w:kern w:val="0"/>
                      <w:sz w:val="21"/>
                      <w:szCs w:val="21"/>
                      <w:vertAlign w:val="baseline"/>
                      <w:lang w:val="en-US" w:eastAsia="zh-CN"/>
                    </w:rPr>
                    <w:t>本项目已采取的措施及改进建议</w:t>
                  </w:r>
                </w:p>
              </w:tc>
            </w:tr>
            <w:tr w14:paraId="33EF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noWrap w:val="0"/>
                  <w:vAlign w:val="center"/>
                </w:tcPr>
                <w:p w14:paraId="1C2ADA5D">
                  <w:pPr>
                    <w:autoSpaceDE w:val="0"/>
                    <w:autoSpaceDN w:val="0"/>
                    <w:adjustRightInd w:val="0"/>
                    <w:snapToGrid w:val="0"/>
                    <w:spacing w:line="240" w:lineRule="auto"/>
                    <w:jc w:val="center"/>
                    <w:rPr>
                      <w:rFonts w:hint="eastAsia"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挥发性有机物（VOCs）污染防治政策</w:t>
                  </w:r>
                </w:p>
              </w:tc>
              <w:tc>
                <w:tcPr>
                  <w:tcW w:w="2656" w:type="pct"/>
                  <w:noWrap w:val="0"/>
                  <w:vAlign w:val="center"/>
                </w:tcPr>
                <w:p w14:paraId="3E601534">
                  <w:pPr>
                    <w:autoSpaceDE w:val="0"/>
                    <w:autoSpaceDN w:val="0"/>
                    <w:adjustRightInd w:val="0"/>
                    <w:snapToGrid w:val="0"/>
                    <w:spacing w:line="240" w:lineRule="auto"/>
                    <w:jc w:val="center"/>
                    <w:rPr>
                      <w:rFonts w:hint="eastAsia"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鼓励采用先进的清洁生产技术，提高转化和利用效率；对泵、压缩机、阀门、法兰等易发生泄漏的设备与管线组件，制定泄漏检测与修复(LDAR)计划，定期检测、及时修复，防止或减少跑、冒、滴、漏现象；对生产装置排放的含VOCs工艺排气宜优先回收利用，不能（或不能完全）回收利用的经处理后达标排放。</w:t>
                  </w:r>
                </w:p>
              </w:tc>
              <w:tc>
                <w:tcPr>
                  <w:tcW w:w="1668" w:type="pct"/>
                  <w:noWrap w:val="0"/>
                  <w:vAlign w:val="center"/>
                </w:tcPr>
                <w:p w14:paraId="64BCC120">
                  <w:pPr>
                    <w:autoSpaceDE w:val="0"/>
                    <w:autoSpaceDN w:val="0"/>
                    <w:adjustRightInd w:val="0"/>
                    <w:snapToGrid w:val="0"/>
                    <w:spacing w:line="240" w:lineRule="auto"/>
                    <w:jc w:val="center"/>
                    <w:rPr>
                      <w:rFonts w:hint="eastAsia"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项目工艺较为先进，满足清洁生产要求；项目拟按要求定期检测、及时修复，防止或减少跑、冒、滴、漏现象；项目对生产中</w:t>
                  </w:r>
                  <w:r>
                    <w:rPr>
                      <w:rFonts w:hint="eastAsia" w:ascii="Times New Roman" w:hAnsi="Times New Roman" w:cs="宋体"/>
                      <w:color w:val="auto"/>
                      <w:kern w:val="0"/>
                      <w:sz w:val="21"/>
                      <w:szCs w:val="21"/>
                      <w:vertAlign w:val="baseline"/>
                      <w:lang w:val="en-US" w:eastAsia="zh-CN"/>
                    </w:rPr>
                    <w:t>产生的油雾和组装废气，因产生极小，故以无组织形式排放</w:t>
                  </w:r>
                  <w:r>
                    <w:rPr>
                      <w:rFonts w:hint="eastAsia" w:ascii="Times New Roman" w:hAnsi="Times New Roman" w:eastAsia="宋体" w:cs="宋体"/>
                      <w:color w:val="auto"/>
                      <w:kern w:val="0"/>
                      <w:sz w:val="21"/>
                      <w:szCs w:val="21"/>
                      <w:vertAlign w:val="baseline"/>
                      <w:lang w:val="en-US" w:eastAsia="zh-CN"/>
                    </w:rPr>
                    <w:t>。</w:t>
                  </w:r>
                </w:p>
              </w:tc>
            </w:tr>
          </w:tbl>
          <w:p w14:paraId="16B7FE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宋体"/>
                <w:color w:val="auto"/>
                <w:kern w:val="0"/>
                <w:sz w:val="24"/>
                <w:szCs w:val="24"/>
                <w:lang w:val="en-US" w:eastAsia="zh-CN"/>
              </w:rPr>
            </w:pPr>
            <w:r>
              <w:rPr>
                <w:rFonts w:ascii="Times New Roman" w:hAnsi="Times New Roman" w:eastAsia="宋体" w:cs="宋体"/>
                <w:color w:val="auto"/>
                <w:sz w:val="24"/>
                <w:szCs w:val="24"/>
              </w:rPr>
              <w:t>通过上表分析，项目基本符合《挥发性有机物（VOCs）污染防治技术政策》相关要求</w:t>
            </w:r>
            <w:r>
              <w:rPr>
                <w:rFonts w:hint="eastAsia" w:ascii="Times New Roman" w:hAnsi="Times New Roman" w:eastAsia="宋体" w:cs="宋体"/>
                <w:color w:val="auto"/>
                <w:sz w:val="24"/>
                <w:szCs w:val="24"/>
                <w:lang w:eastAsia="zh-CN"/>
              </w:rPr>
              <w:t>。</w:t>
            </w:r>
          </w:p>
          <w:p w14:paraId="18C35784">
            <w:pPr>
              <w:spacing w:before="120" w:beforeLines="50" w:line="360" w:lineRule="auto"/>
              <w:ind w:firstLine="482" w:firstLineChars="200"/>
              <w:rPr>
                <w:rFonts w:hint="eastAsia"/>
                <w:b/>
                <w:bCs/>
                <w:color w:val="auto"/>
                <w:sz w:val="24"/>
                <w:szCs w:val="24"/>
              </w:rPr>
            </w:pPr>
            <w:r>
              <w:rPr>
                <w:rFonts w:hint="eastAsia"/>
                <w:b/>
                <w:bCs/>
                <w:color w:val="auto"/>
                <w:sz w:val="24"/>
                <w:lang w:val="en-US" w:eastAsia="zh-CN"/>
              </w:rPr>
              <w:t>6、</w:t>
            </w:r>
            <w:r>
              <w:rPr>
                <w:rFonts w:hint="eastAsia"/>
                <w:b/>
                <w:bCs/>
                <w:color w:val="auto"/>
                <w:sz w:val="24"/>
                <w:szCs w:val="24"/>
              </w:rPr>
              <w:t>项目与《挥发性有机物无组织排放控制标准》相符性分析</w:t>
            </w:r>
          </w:p>
          <w:p w14:paraId="0C8F07B7">
            <w:pPr>
              <w:jc w:val="center"/>
              <w:rPr>
                <w:rFonts w:hint="eastAsia"/>
                <w:b/>
                <w:bCs/>
                <w:color w:val="auto"/>
                <w:sz w:val="24"/>
                <w:szCs w:val="24"/>
              </w:rPr>
            </w:pPr>
            <w:r>
              <w:rPr>
                <w:rFonts w:hint="eastAsia"/>
                <w:b/>
                <w:bCs/>
                <w:color w:val="auto"/>
                <w:sz w:val="24"/>
                <w:szCs w:val="24"/>
              </w:rPr>
              <w:t>表1-</w:t>
            </w:r>
            <w:r>
              <w:rPr>
                <w:rFonts w:hint="eastAsia"/>
                <w:b/>
                <w:bCs/>
                <w:color w:val="auto"/>
                <w:sz w:val="24"/>
                <w:szCs w:val="24"/>
                <w:lang w:val="en-US" w:eastAsia="zh-CN"/>
              </w:rPr>
              <w:t>9</w:t>
            </w:r>
            <w:r>
              <w:rPr>
                <w:rFonts w:hint="eastAsia"/>
                <w:b/>
                <w:bCs/>
                <w:color w:val="auto"/>
                <w:sz w:val="24"/>
                <w:szCs w:val="24"/>
              </w:rPr>
              <w:t>与《挥发性有机物无组织排放控制标准》相符性分析</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8"/>
              <w:gridCol w:w="2859"/>
              <w:gridCol w:w="2214"/>
              <w:gridCol w:w="758"/>
            </w:tblGrid>
            <w:tr w14:paraId="2D46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noWrap w:val="0"/>
                  <w:vAlign w:val="center"/>
                </w:tcPr>
                <w:p w14:paraId="69410FF3">
                  <w:pPr>
                    <w:jc w:val="center"/>
                    <w:rPr>
                      <w:rFonts w:hint="eastAsia"/>
                      <w:color w:val="auto"/>
                      <w:sz w:val="21"/>
                      <w:szCs w:val="21"/>
                    </w:rPr>
                  </w:pPr>
                  <w:r>
                    <w:rPr>
                      <w:rFonts w:hint="eastAsia"/>
                      <w:color w:val="auto"/>
                      <w:sz w:val="21"/>
                      <w:szCs w:val="21"/>
                    </w:rPr>
                    <w:t>序号</w:t>
                  </w:r>
                </w:p>
              </w:tc>
              <w:tc>
                <w:tcPr>
                  <w:tcW w:w="2159" w:type="pct"/>
                  <w:noWrap w:val="0"/>
                  <w:vAlign w:val="center"/>
                </w:tcPr>
                <w:p w14:paraId="2F894AFA">
                  <w:pPr>
                    <w:jc w:val="center"/>
                    <w:rPr>
                      <w:rFonts w:hint="eastAsia"/>
                      <w:color w:val="auto"/>
                      <w:sz w:val="21"/>
                      <w:szCs w:val="21"/>
                    </w:rPr>
                  </w:pPr>
                  <w:r>
                    <w:rPr>
                      <w:rFonts w:hint="eastAsia"/>
                      <w:color w:val="auto"/>
                      <w:sz w:val="21"/>
                      <w:szCs w:val="21"/>
                    </w:rPr>
                    <w:t>要求（摘录）</w:t>
                  </w:r>
                </w:p>
              </w:tc>
              <w:tc>
                <w:tcPr>
                  <w:tcW w:w="1672" w:type="pct"/>
                  <w:noWrap w:val="0"/>
                  <w:vAlign w:val="center"/>
                </w:tcPr>
                <w:p w14:paraId="794AEBF5">
                  <w:pPr>
                    <w:jc w:val="center"/>
                    <w:rPr>
                      <w:rFonts w:hint="eastAsia"/>
                      <w:color w:val="auto"/>
                      <w:sz w:val="21"/>
                      <w:szCs w:val="21"/>
                    </w:rPr>
                  </w:pPr>
                  <w:r>
                    <w:rPr>
                      <w:rFonts w:hint="eastAsia"/>
                      <w:color w:val="auto"/>
                      <w:sz w:val="21"/>
                      <w:szCs w:val="21"/>
                    </w:rPr>
                    <w:t>本项目情况</w:t>
                  </w:r>
                </w:p>
              </w:tc>
              <w:tc>
                <w:tcPr>
                  <w:tcW w:w="572" w:type="pct"/>
                  <w:noWrap w:val="0"/>
                  <w:vAlign w:val="center"/>
                </w:tcPr>
                <w:p w14:paraId="5097C6B4">
                  <w:pPr>
                    <w:jc w:val="center"/>
                    <w:rPr>
                      <w:rFonts w:hint="eastAsia"/>
                      <w:color w:val="auto"/>
                      <w:sz w:val="21"/>
                      <w:szCs w:val="21"/>
                    </w:rPr>
                  </w:pPr>
                  <w:r>
                    <w:rPr>
                      <w:rFonts w:hint="eastAsia"/>
                      <w:color w:val="auto"/>
                      <w:sz w:val="21"/>
                      <w:szCs w:val="21"/>
                    </w:rPr>
                    <w:t>符合性</w:t>
                  </w:r>
                </w:p>
              </w:tc>
            </w:tr>
            <w:tr w14:paraId="1E53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noWrap w:val="0"/>
                  <w:vAlign w:val="center"/>
                </w:tcPr>
                <w:p w14:paraId="6C471B7D">
                  <w:pPr>
                    <w:jc w:val="center"/>
                    <w:rPr>
                      <w:rFonts w:hint="eastAsia"/>
                      <w:color w:val="auto"/>
                      <w:sz w:val="21"/>
                      <w:szCs w:val="21"/>
                    </w:rPr>
                  </w:pPr>
                  <w:r>
                    <w:rPr>
                      <w:rFonts w:hint="eastAsia"/>
                      <w:color w:val="auto"/>
                      <w:sz w:val="21"/>
                      <w:szCs w:val="21"/>
                    </w:rPr>
                    <w:t>VOCs物料储存</w:t>
                  </w:r>
                </w:p>
              </w:tc>
              <w:tc>
                <w:tcPr>
                  <w:tcW w:w="2159" w:type="pct"/>
                  <w:noWrap w:val="0"/>
                  <w:vAlign w:val="center"/>
                </w:tcPr>
                <w:p w14:paraId="66C54A0A">
                  <w:pPr>
                    <w:jc w:val="center"/>
                    <w:rPr>
                      <w:rFonts w:hint="eastAsia"/>
                      <w:color w:val="auto"/>
                      <w:sz w:val="21"/>
                      <w:szCs w:val="21"/>
                    </w:rPr>
                  </w:pPr>
                  <w:r>
                    <w:rPr>
                      <w:rFonts w:hint="eastAsia"/>
                      <w:color w:val="auto"/>
                      <w:sz w:val="21"/>
                      <w:szCs w:val="21"/>
                    </w:rPr>
                    <w:t>VOCs物料应储存于密闭的容器、包装袋、储罐、储库、料仓中。盛装VOCs物料的容器或包装袋应存放于室内，或存放于设置有雨棚、遮阳和防渗设施的专用场地。盛装VOCs物料的容器或装袋在非取用状态时应加盖、封口，保持密闭。VOCs物料储库料仓应满足密闭空间的要求。</w:t>
                  </w:r>
                </w:p>
              </w:tc>
              <w:tc>
                <w:tcPr>
                  <w:tcW w:w="1672" w:type="pct"/>
                  <w:noWrap w:val="0"/>
                  <w:vAlign w:val="center"/>
                </w:tcPr>
                <w:p w14:paraId="6ADC9DD5">
                  <w:pPr>
                    <w:jc w:val="center"/>
                    <w:rPr>
                      <w:rFonts w:hint="eastAsia"/>
                      <w:color w:val="auto"/>
                      <w:sz w:val="21"/>
                      <w:szCs w:val="21"/>
                    </w:rPr>
                  </w:pPr>
                  <w:r>
                    <w:rPr>
                      <w:rFonts w:hint="eastAsia"/>
                      <w:color w:val="auto"/>
                      <w:sz w:val="21"/>
                      <w:szCs w:val="21"/>
                    </w:rPr>
                    <w:t>1、本项目涉及的VOCs物料，储存在密闭的桶内。</w:t>
                  </w:r>
                </w:p>
                <w:p w14:paraId="2811BE90">
                  <w:pPr>
                    <w:jc w:val="center"/>
                    <w:rPr>
                      <w:rFonts w:hint="eastAsia"/>
                      <w:color w:val="auto"/>
                      <w:sz w:val="21"/>
                      <w:szCs w:val="21"/>
                    </w:rPr>
                  </w:pPr>
                  <w:r>
                    <w:rPr>
                      <w:rFonts w:hint="eastAsia"/>
                      <w:color w:val="auto"/>
                      <w:sz w:val="21"/>
                      <w:szCs w:val="21"/>
                    </w:rPr>
                    <w:t>2、盛装</w:t>
                  </w:r>
                  <w:r>
                    <w:rPr>
                      <w:rFonts w:hint="eastAsia"/>
                      <w:color w:val="auto"/>
                      <w:sz w:val="21"/>
                      <w:szCs w:val="21"/>
                      <w:lang w:val="en-US" w:eastAsia="zh-CN"/>
                    </w:rPr>
                    <w:t>物料</w:t>
                  </w:r>
                  <w:r>
                    <w:rPr>
                      <w:rFonts w:hint="eastAsia"/>
                      <w:color w:val="auto"/>
                      <w:sz w:val="21"/>
                      <w:szCs w:val="21"/>
                    </w:rPr>
                    <w:t>的容器存放于专门的仓库中。</w:t>
                  </w:r>
                </w:p>
                <w:p w14:paraId="48CB269E">
                  <w:pPr>
                    <w:jc w:val="center"/>
                    <w:rPr>
                      <w:rFonts w:hint="eastAsia"/>
                      <w:color w:val="auto"/>
                      <w:sz w:val="21"/>
                      <w:szCs w:val="21"/>
                    </w:rPr>
                  </w:pPr>
                  <w:r>
                    <w:rPr>
                      <w:rFonts w:hint="eastAsia"/>
                      <w:color w:val="auto"/>
                      <w:sz w:val="21"/>
                      <w:szCs w:val="21"/>
                    </w:rPr>
                    <w:t>3、</w:t>
                  </w:r>
                  <w:r>
                    <w:rPr>
                      <w:rFonts w:hint="eastAsia"/>
                      <w:color w:val="auto"/>
                      <w:sz w:val="21"/>
                      <w:szCs w:val="21"/>
                      <w:lang w:val="en-US" w:eastAsia="zh-CN"/>
                    </w:rPr>
                    <w:t>物料</w:t>
                  </w:r>
                  <w:r>
                    <w:rPr>
                      <w:rFonts w:hint="eastAsia"/>
                      <w:color w:val="auto"/>
                      <w:sz w:val="21"/>
                      <w:szCs w:val="21"/>
                    </w:rPr>
                    <w:t>即取即用，非取用状态时桶为加盖密闭状态。</w:t>
                  </w:r>
                </w:p>
                <w:p w14:paraId="3D128706">
                  <w:pPr>
                    <w:jc w:val="center"/>
                    <w:rPr>
                      <w:color w:val="auto"/>
                      <w:sz w:val="21"/>
                      <w:szCs w:val="21"/>
                    </w:rPr>
                  </w:pPr>
                  <w:r>
                    <w:rPr>
                      <w:rFonts w:hint="eastAsia"/>
                      <w:color w:val="auto"/>
                      <w:sz w:val="21"/>
                      <w:szCs w:val="21"/>
                    </w:rPr>
                    <w:t>4、仓库为密闭状态。</w:t>
                  </w:r>
                </w:p>
              </w:tc>
              <w:tc>
                <w:tcPr>
                  <w:tcW w:w="572" w:type="pct"/>
                  <w:noWrap w:val="0"/>
                  <w:vAlign w:val="center"/>
                </w:tcPr>
                <w:p w14:paraId="51C5CAB4">
                  <w:pPr>
                    <w:jc w:val="center"/>
                    <w:rPr>
                      <w:rFonts w:hint="eastAsia"/>
                      <w:color w:val="auto"/>
                      <w:sz w:val="21"/>
                      <w:szCs w:val="21"/>
                    </w:rPr>
                  </w:pPr>
                  <w:r>
                    <w:rPr>
                      <w:rFonts w:hint="eastAsia"/>
                      <w:color w:val="auto"/>
                      <w:sz w:val="21"/>
                      <w:szCs w:val="21"/>
                    </w:rPr>
                    <w:t>符合</w:t>
                  </w:r>
                </w:p>
              </w:tc>
            </w:tr>
            <w:tr w14:paraId="6D4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noWrap w:val="0"/>
                  <w:vAlign w:val="center"/>
                </w:tcPr>
                <w:p w14:paraId="4FD5883B">
                  <w:pPr>
                    <w:jc w:val="center"/>
                    <w:rPr>
                      <w:rFonts w:hint="eastAsia"/>
                      <w:color w:val="auto"/>
                      <w:sz w:val="21"/>
                      <w:szCs w:val="21"/>
                    </w:rPr>
                  </w:pPr>
                  <w:r>
                    <w:rPr>
                      <w:rFonts w:hint="eastAsia"/>
                      <w:color w:val="auto"/>
                      <w:sz w:val="21"/>
                      <w:szCs w:val="21"/>
                    </w:rPr>
                    <w:t>VOCs物料转移和输送控制要求</w:t>
                  </w:r>
                </w:p>
              </w:tc>
              <w:tc>
                <w:tcPr>
                  <w:tcW w:w="2159" w:type="pct"/>
                  <w:noWrap w:val="0"/>
                  <w:vAlign w:val="center"/>
                </w:tcPr>
                <w:p w14:paraId="66DC5C9A">
                  <w:pPr>
                    <w:jc w:val="center"/>
                    <w:rPr>
                      <w:rFonts w:hint="eastAsia"/>
                      <w:color w:val="auto"/>
                      <w:sz w:val="21"/>
                      <w:szCs w:val="21"/>
                    </w:rPr>
                  </w:pPr>
                  <w:r>
                    <w:rPr>
                      <w:rFonts w:hint="eastAsia"/>
                      <w:color w:val="auto"/>
                      <w:sz w:val="21"/>
                      <w:szCs w:val="21"/>
                    </w:rPr>
                    <w:t>液态VOCs物料应采用密闭管道输送。采用非管道输送方式转移液态VOCs物料时，应采用密闭容器、罐车。</w:t>
                  </w:r>
                </w:p>
              </w:tc>
              <w:tc>
                <w:tcPr>
                  <w:tcW w:w="1672" w:type="pct"/>
                  <w:noWrap w:val="0"/>
                  <w:vAlign w:val="center"/>
                </w:tcPr>
                <w:p w14:paraId="5805DD4A">
                  <w:pPr>
                    <w:jc w:val="center"/>
                    <w:rPr>
                      <w:rFonts w:hint="eastAsia"/>
                      <w:color w:val="auto"/>
                      <w:sz w:val="21"/>
                      <w:szCs w:val="21"/>
                    </w:rPr>
                  </w:pPr>
                  <w:r>
                    <w:rPr>
                      <w:rFonts w:hint="eastAsia"/>
                      <w:color w:val="auto"/>
                      <w:sz w:val="21"/>
                      <w:szCs w:val="21"/>
                    </w:rPr>
                    <w:t>1、本项目液态VOCs物料采用密闭容器进行转移</w:t>
                  </w:r>
                </w:p>
              </w:tc>
              <w:tc>
                <w:tcPr>
                  <w:tcW w:w="572" w:type="pct"/>
                  <w:noWrap w:val="0"/>
                  <w:vAlign w:val="center"/>
                </w:tcPr>
                <w:p w14:paraId="49A88CF3">
                  <w:pPr>
                    <w:jc w:val="center"/>
                    <w:rPr>
                      <w:rFonts w:hint="eastAsia"/>
                      <w:color w:val="auto"/>
                      <w:sz w:val="21"/>
                      <w:szCs w:val="21"/>
                    </w:rPr>
                  </w:pPr>
                  <w:r>
                    <w:rPr>
                      <w:rFonts w:hint="eastAsia"/>
                      <w:color w:val="auto"/>
                      <w:sz w:val="21"/>
                      <w:szCs w:val="21"/>
                    </w:rPr>
                    <w:t>符合</w:t>
                  </w:r>
                </w:p>
              </w:tc>
            </w:tr>
            <w:tr w14:paraId="5A39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restart"/>
                  <w:noWrap w:val="0"/>
                  <w:vAlign w:val="center"/>
                </w:tcPr>
                <w:p w14:paraId="32E41C86">
                  <w:pPr>
                    <w:jc w:val="center"/>
                    <w:rPr>
                      <w:rFonts w:hint="eastAsia"/>
                      <w:color w:val="auto"/>
                      <w:sz w:val="21"/>
                      <w:szCs w:val="21"/>
                    </w:rPr>
                  </w:pPr>
                  <w:r>
                    <w:rPr>
                      <w:rFonts w:hint="eastAsia"/>
                      <w:color w:val="auto"/>
                      <w:sz w:val="21"/>
                      <w:szCs w:val="21"/>
                    </w:rPr>
                    <w:t>工艺过程VOCs控制要求</w:t>
                  </w:r>
                </w:p>
              </w:tc>
              <w:tc>
                <w:tcPr>
                  <w:tcW w:w="2159" w:type="pct"/>
                  <w:noWrap w:val="0"/>
                  <w:vAlign w:val="center"/>
                </w:tcPr>
                <w:p w14:paraId="3B515F47">
                  <w:pPr>
                    <w:jc w:val="center"/>
                    <w:rPr>
                      <w:rFonts w:hint="eastAsia"/>
                      <w:color w:val="auto"/>
                      <w:sz w:val="21"/>
                      <w:szCs w:val="21"/>
                    </w:rPr>
                  </w:pPr>
                  <w:r>
                    <w:rPr>
                      <w:rFonts w:hint="eastAsia"/>
                      <w:color w:val="auto"/>
                      <w:sz w:val="21"/>
                      <w:szCs w:val="21"/>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672" w:type="pct"/>
                  <w:noWrap w:val="0"/>
                  <w:vAlign w:val="center"/>
                </w:tcPr>
                <w:p w14:paraId="4C2B03A7">
                  <w:pPr>
                    <w:jc w:val="center"/>
                    <w:rPr>
                      <w:rFonts w:hint="default" w:eastAsia="宋体"/>
                      <w:color w:val="auto"/>
                      <w:sz w:val="21"/>
                      <w:szCs w:val="21"/>
                      <w:lang w:val="en-US" w:eastAsia="zh-CN"/>
                    </w:rPr>
                  </w:pPr>
                  <w:r>
                    <w:rPr>
                      <w:rFonts w:hint="eastAsia"/>
                      <w:color w:val="auto"/>
                      <w:sz w:val="21"/>
                      <w:szCs w:val="21"/>
                    </w:rPr>
                    <w:t>1、本项目VOCs质量占比大于10%的含VOCs</w:t>
                  </w:r>
                  <w:r>
                    <w:rPr>
                      <w:rFonts w:hint="eastAsia"/>
                      <w:color w:val="auto"/>
                      <w:sz w:val="21"/>
                      <w:szCs w:val="21"/>
                      <w:lang w:val="en-US" w:eastAsia="zh-CN"/>
                    </w:rPr>
                    <w:t>原辅料</w:t>
                  </w:r>
                  <w:r>
                    <w:rPr>
                      <w:rFonts w:hint="eastAsia"/>
                      <w:color w:val="auto"/>
                      <w:sz w:val="21"/>
                      <w:szCs w:val="21"/>
                    </w:rPr>
                    <w:t>为M型单组份环氧胶粘剂</w:t>
                  </w:r>
                  <w:r>
                    <w:rPr>
                      <w:rFonts w:hint="eastAsia"/>
                      <w:color w:val="auto"/>
                      <w:sz w:val="21"/>
                      <w:szCs w:val="21"/>
                      <w:lang w:val="en-US" w:eastAsia="zh-CN"/>
                    </w:rPr>
                    <w:t>，</w:t>
                  </w:r>
                  <w:r>
                    <w:rPr>
                      <w:rFonts w:hint="eastAsia"/>
                      <w:color w:val="auto"/>
                      <w:sz w:val="21"/>
                      <w:szCs w:val="21"/>
                    </w:rPr>
                    <w:t>使用</w:t>
                  </w:r>
                  <w:r>
                    <w:rPr>
                      <w:rFonts w:hint="eastAsia"/>
                      <w:color w:val="auto"/>
                      <w:sz w:val="21"/>
                      <w:szCs w:val="21"/>
                      <w:lang w:val="en-US" w:eastAsia="zh-CN"/>
                    </w:rPr>
                    <w:t>量较小，产生量极小，无组织排放满足《挥发性有机物无组织排放控制标准》（GB37822-2019）标准</w:t>
                  </w:r>
                </w:p>
              </w:tc>
              <w:tc>
                <w:tcPr>
                  <w:tcW w:w="572" w:type="pct"/>
                  <w:noWrap w:val="0"/>
                  <w:vAlign w:val="center"/>
                </w:tcPr>
                <w:p w14:paraId="616FA253">
                  <w:pPr>
                    <w:jc w:val="center"/>
                    <w:rPr>
                      <w:rFonts w:hint="eastAsia"/>
                      <w:color w:val="auto"/>
                      <w:sz w:val="21"/>
                      <w:szCs w:val="21"/>
                    </w:rPr>
                  </w:pPr>
                  <w:r>
                    <w:rPr>
                      <w:rFonts w:hint="eastAsia"/>
                      <w:color w:val="auto"/>
                      <w:sz w:val="21"/>
                      <w:szCs w:val="21"/>
                    </w:rPr>
                    <w:t>符合</w:t>
                  </w:r>
                </w:p>
              </w:tc>
            </w:tr>
            <w:tr w14:paraId="4E35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continue"/>
                  <w:noWrap w:val="0"/>
                  <w:vAlign w:val="center"/>
                </w:tcPr>
                <w:p w14:paraId="54001FD5">
                  <w:pPr>
                    <w:jc w:val="center"/>
                    <w:rPr>
                      <w:rFonts w:hint="eastAsia"/>
                      <w:color w:val="auto"/>
                      <w:sz w:val="21"/>
                      <w:szCs w:val="21"/>
                    </w:rPr>
                  </w:pPr>
                </w:p>
              </w:tc>
              <w:tc>
                <w:tcPr>
                  <w:tcW w:w="2159" w:type="pct"/>
                  <w:noWrap w:val="0"/>
                  <w:vAlign w:val="center"/>
                </w:tcPr>
                <w:p w14:paraId="63E22B56">
                  <w:pPr>
                    <w:jc w:val="center"/>
                    <w:rPr>
                      <w:rFonts w:hint="eastAsia"/>
                      <w:color w:val="auto"/>
                      <w:sz w:val="21"/>
                      <w:szCs w:val="21"/>
                    </w:rPr>
                  </w:pPr>
                  <w:r>
                    <w:rPr>
                      <w:rFonts w:hint="eastAsia"/>
                      <w:color w:val="auto"/>
                      <w:sz w:val="21"/>
                      <w:szCs w:val="21"/>
                    </w:rPr>
                    <w:t>企业应建立台账，记录含VOCs原辅材料和含VOCs产品的名称、使用量、回收量、废弃量、去向以及VOCs含量等信息。台账保存期限不少于3年。</w:t>
                  </w:r>
                </w:p>
              </w:tc>
              <w:tc>
                <w:tcPr>
                  <w:tcW w:w="1672" w:type="pct"/>
                  <w:noWrap w:val="0"/>
                  <w:vAlign w:val="center"/>
                </w:tcPr>
                <w:p w14:paraId="4640487B">
                  <w:pPr>
                    <w:jc w:val="center"/>
                    <w:rPr>
                      <w:color w:val="auto"/>
                      <w:sz w:val="21"/>
                      <w:szCs w:val="21"/>
                    </w:rPr>
                  </w:pPr>
                  <w:r>
                    <w:rPr>
                      <w:rFonts w:hint="eastAsia"/>
                      <w:color w:val="auto"/>
                      <w:sz w:val="21"/>
                      <w:szCs w:val="21"/>
                    </w:rPr>
                    <w:t>1、本项目</w:t>
                  </w:r>
                  <w:r>
                    <w:rPr>
                      <w:rFonts w:hint="eastAsia"/>
                      <w:color w:val="auto"/>
                      <w:sz w:val="21"/>
                      <w:szCs w:val="21"/>
                      <w:lang w:val="en-US" w:eastAsia="zh-CN"/>
                    </w:rPr>
                    <w:t>投产后建立</w:t>
                  </w:r>
                  <w:r>
                    <w:rPr>
                      <w:rFonts w:hint="eastAsia"/>
                      <w:color w:val="auto"/>
                      <w:sz w:val="21"/>
                      <w:szCs w:val="21"/>
                    </w:rPr>
                    <w:t>台账，记录含VOCs原辅料材料的名称、使用量、回收量、废弃量、去向及VOCs含量等信息，台账保存期限为</w:t>
                  </w:r>
                  <w:r>
                    <w:rPr>
                      <w:rFonts w:hint="eastAsia"/>
                      <w:color w:val="auto"/>
                      <w:sz w:val="21"/>
                      <w:szCs w:val="21"/>
                      <w:lang w:val="en-US" w:eastAsia="zh-CN"/>
                    </w:rPr>
                    <w:t>五</w:t>
                  </w:r>
                  <w:r>
                    <w:rPr>
                      <w:rFonts w:hint="eastAsia"/>
                      <w:color w:val="auto"/>
                      <w:sz w:val="21"/>
                      <w:szCs w:val="21"/>
                    </w:rPr>
                    <w:t>年</w:t>
                  </w:r>
                </w:p>
              </w:tc>
              <w:tc>
                <w:tcPr>
                  <w:tcW w:w="572" w:type="pct"/>
                  <w:noWrap w:val="0"/>
                  <w:vAlign w:val="center"/>
                </w:tcPr>
                <w:p w14:paraId="3F4523AA">
                  <w:pPr>
                    <w:jc w:val="center"/>
                    <w:rPr>
                      <w:rFonts w:hint="eastAsia"/>
                      <w:color w:val="auto"/>
                      <w:sz w:val="21"/>
                      <w:szCs w:val="21"/>
                    </w:rPr>
                  </w:pPr>
                  <w:r>
                    <w:rPr>
                      <w:rFonts w:hint="eastAsia"/>
                      <w:color w:val="auto"/>
                      <w:sz w:val="21"/>
                      <w:szCs w:val="21"/>
                    </w:rPr>
                    <w:t>符合</w:t>
                  </w:r>
                </w:p>
              </w:tc>
            </w:tr>
            <w:tr w14:paraId="16CD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continue"/>
                  <w:noWrap w:val="0"/>
                  <w:vAlign w:val="center"/>
                </w:tcPr>
                <w:p w14:paraId="10715E89">
                  <w:pPr>
                    <w:jc w:val="center"/>
                    <w:rPr>
                      <w:rFonts w:hint="eastAsia"/>
                      <w:color w:val="auto"/>
                      <w:sz w:val="21"/>
                      <w:szCs w:val="21"/>
                    </w:rPr>
                  </w:pPr>
                </w:p>
              </w:tc>
              <w:tc>
                <w:tcPr>
                  <w:tcW w:w="2159" w:type="pct"/>
                  <w:noWrap w:val="0"/>
                  <w:vAlign w:val="center"/>
                </w:tcPr>
                <w:p w14:paraId="149CBA89">
                  <w:pPr>
                    <w:jc w:val="center"/>
                    <w:rPr>
                      <w:rFonts w:hint="eastAsia"/>
                      <w:color w:val="auto"/>
                      <w:sz w:val="21"/>
                      <w:szCs w:val="21"/>
                    </w:rPr>
                  </w:pPr>
                  <w:r>
                    <w:rPr>
                      <w:rFonts w:hint="eastAsia"/>
                      <w:color w:val="auto"/>
                      <w:sz w:val="21"/>
                      <w:szCs w:val="21"/>
                    </w:rPr>
                    <w:t>工艺过程产生的含VOCs废料（渣、液）应按要求进行储存、转移和输送。盛装过VOCs物料的废包装容器应加盖密闭。</w:t>
                  </w:r>
                </w:p>
              </w:tc>
              <w:tc>
                <w:tcPr>
                  <w:tcW w:w="1672" w:type="pct"/>
                  <w:noWrap w:val="0"/>
                  <w:vAlign w:val="center"/>
                </w:tcPr>
                <w:p w14:paraId="79F5F298">
                  <w:pPr>
                    <w:numPr>
                      <w:ilvl w:val="0"/>
                      <w:numId w:val="2"/>
                    </w:numPr>
                    <w:jc w:val="center"/>
                    <w:rPr>
                      <w:color w:val="auto"/>
                      <w:sz w:val="21"/>
                      <w:szCs w:val="21"/>
                    </w:rPr>
                  </w:pPr>
                  <w:r>
                    <w:rPr>
                      <w:rFonts w:hint="eastAsia"/>
                      <w:color w:val="auto"/>
                      <w:sz w:val="21"/>
                      <w:szCs w:val="21"/>
                    </w:rPr>
                    <w:t>本项目</w:t>
                  </w:r>
                  <w:r>
                    <w:rPr>
                      <w:rFonts w:hint="eastAsia"/>
                      <w:color w:val="auto"/>
                      <w:sz w:val="21"/>
                      <w:szCs w:val="21"/>
                      <w:lang w:val="en-US" w:eastAsia="zh-CN"/>
                    </w:rPr>
                    <w:t>不产生</w:t>
                  </w:r>
                  <w:r>
                    <w:rPr>
                      <w:rFonts w:hint="eastAsia"/>
                      <w:color w:val="auto"/>
                      <w:sz w:val="21"/>
                      <w:szCs w:val="21"/>
                    </w:rPr>
                    <w:t>含VOCs废液。</w:t>
                  </w:r>
                </w:p>
                <w:p w14:paraId="1C85DE77">
                  <w:pPr>
                    <w:jc w:val="center"/>
                    <w:rPr>
                      <w:color w:val="auto"/>
                      <w:sz w:val="21"/>
                      <w:szCs w:val="21"/>
                    </w:rPr>
                  </w:pPr>
                  <w:r>
                    <w:rPr>
                      <w:rFonts w:hint="eastAsia"/>
                      <w:color w:val="auto"/>
                      <w:sz w:val="21"/>
                      <w:szCs w:val="21"/>
                    </w:rPr>
                    <w:t>2、对盛装过</w:t>
                  </w:r>
                  <w:r>
                    <w:rPr>
                      <w:rFonts w:hint="eastAsia"/>
                      <w:color w:val="auto"/>
                      <w:sz w:val="21"/>
                      <w:szCs w:val="21"/>
                      <w:lang w:val="en-US" w:eastAsia="zh-CN"/>
                    </w:rPr>
                    <w:t>物料</w:t>
                  </w:r>
                  <w:r>
                    <w:rPr>
                      <w:rFonts w:hint="eastAsia"/>
                      <w:color w:val="auto"/>
                      <w:sz w:val="21"/>
                      <w:szCs w:val="21"/>
                    </w:rPr>
                    <w:t>的废</w:t>
                  </w:r>
                  <w:r>
                    <w:rPr>
                      <w:rFonts w:hint="eastAsia"/>
                      <w:color w:val="auto"/>
                      <w:sz w:val="21"/>
                      <w:szCs w:val="21"/>
                      <w:lang w:val="en-US" w:eastAsia="zh-CN"/>
                    </w:rPr>
                    <w:t>包装</w:t>
                  </w:r>
                  <w:r>
                    <w:rPr>
                      <w:rFonts w:hint="eastAsia"/>
                      <w:color w:val="auto"/>
                      <w:sz w:val="21"/>
                      <w:szCs w:val="21"/>
                    </w:rPr>
                    <w:t>桶加盖密闭处理，完好的返还</w:t>
                  </w:r>
                  <w:r>
                    <w:rPr>
                      <w:rFonts w:hint="eastAsia"/>
                      <w:color w:val="auto"/>
                      <w:sz w:val="21"/>
                      <w:szCs w:val="21"/>
                      <w:lang w:eastAsia="zh-CN"/>
                    </w:rPr>
                    <w:t>、</w:t>
                  </w:r>
                  <w:r>
                    <w:rPr>
                      <w:rFonts w:hint="eastAsia"/>
                      <w:color w:val="auto"/>
                      <w:sz w:val="21"/>
                      <w:szCs w:val="21"/>
                    </w:rPr>
                    <w:t>供应商，破损的交由危废处置单位处置</w:t>
                  </w:r>
                </w:p>
              </w:tc>
              <w:tc>
                <w:tcPr>
                  <w:tcW w:w="572" w:type="pct"/>
                  <w:noWrap w:val="0"/>
                  <w:vAlign w:val="center"/>
                </w:tcPr>
                <w:p w14:paraId="336F3846">
                  <w:pPr>
                    <w:jc w:val="center"/>
                    <w:rPr>
                      <w:rFonts w:hint="eastAsia"/>
                      <w:color w:val="auto"/>
                      <w:sz w:val="21"/>
                      <w:szCs w:val="21"/>
                    </w:rPr>
                  </w:pPr>
                  <w:r>
                    <w:rPr>
                      <w:rFonts w:hint="eastAsia"/>
                      <w:color w:val="auto"/>
                      <w:sz w:val="21"/>
                      <w:szCs w:val="21"/>
                    </w:rPr>
                    <w:t>符合</w:t>
                  </w:r>
                </w:p>
              </w:tc>
            </w:tr>
            <w:tr w14:paraId="1D84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restart"/>
                  <w:noWrap w:val="0"/>
                  <w:vAlign w:val="center"/>
                </w:tcPr>
                <w:p w14:paraId="063145BB">
                  <w:pPr>
                    <w:jc w:val="center"/>
                    <w:rPr>
                      <w:rFonts w:hint="eastAsia"/>
                      <w:color w:val="auto"/>
                      <w:sz w:val="21"/>
                      <w:szCs w:val="21"/>
                    </w:rPr>
                  </w:pPr>
                  <w:r>
                    <w:rPr>
                      <w:rFonts w:hint="eastAsia"/>
                      <w:color w:val="auto"/>
                      <w:sz w:val="21"/>
                      <w:szCs w:val="21"/>
                    </w:rPr>
                    <w:t>VOCs废气收集处理系统要求</w:t>
                  </w:r>
                </w:p>
              </w:tc>
              <w:tc>
                <w:tcPr>
                  <w:tcW w:w="2159" w:type="pct"/>
                  <w:noWrap w:val="0"/>
                  <w:vAlign w:val="center"/>
                </w:tcPr>
                <w:p w14:paraId="2DE4582F">
                  <w:pPr>
                    <w:jc w:val="center"/>
                    <w:rPr>
                      <w:rFonts w:hint="eastAsia"/>
                      <w:color w:val="auto"/>
                      <w:sz w:val="21"/>
                      <w:szCs w:val="21"/>
                    </w:rPr>
                  </w:pPr>
                  <w:r>
                    <w:rPr>
                      <w:rFonts w:hint="eastAsia"/>
                      <w:color w:val="auto"/>
                      <w:sz w:val="21"/>
                      <w:szCs w:val="21"/>
                    </w:rPr>
                    <w:t>VOCs废气收集处理系统应和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72" w:type="pct"/>
                  <w:noWrap w:val="0"/>
                  <w:vAlign w:val="center"/>
                </w:tcPr>
                <w:p w14:paraId="5B6FEB36">
                  <w:pPr>
                    <w:jc w:val="center"/>
                    <w:rPr>
                      <w:rFonts w:hint="default" w:eastAsia="宋体"/>
                      <w:color w:val="auto"/>
                      <w:sz w:val="21"/>
                      <w:szCs w:val="21"/>
                      <w:lang w:val="en-US" w:eastAsia="zh-CN"/>
                    </w:rPr>
                  </w:pPr>
                  <w:r>
                    <w:rPr>
                      <w:rFonts w:hint="eastAsia"/>
                      <w:color w:val="auto"/>
                      <w:sz w:val="21"/>
                      <w:szCs w:val="21"/>
                      <w:lang w:val="en-US" w:eastAsia="zh-CN"/>
                    </w:rPr>
                    <w:t>本项目涉及</w:t>
                  </w:r>
                  <w:r>
                    <w:rPr>
                      <w:rFonts w:hint="eastAsia"/>
                      <w:color w:val="auto"/>
                      <w:sz w:val="21"/>
                      <w:szCs w:val="21"/>
                    </w:rPr>
                    <w:t>VOCs废气</w:t>
                  </w:r>
                  <w:r>
                    <w:rPr>
                      <w:rFonts w:hint="eastAsia"/>
                      <w:color w:val="auto"/>
                      <w:sz w:val="21"/>
                      <w:szCs w:val="21"/>
                      <w:lang w:val="en-US" w:eastAsia="zh-CN"/>
                    </w:rPr>
                    <w:t>产生量极小，以无组织形式排放，不涉及废气收集处理系统开启及停止</w:t>
                  </w:r>
                </w:p>
              </w:tc>
              <w:tc>
                <w:tcPr>
                  <w:tcW w:w="572" w:type="pct"/>
                  <w:noWrap w:val="0"/>
                  <w:vAlign w:val="center"/>
                </w:tcPr>
                <w:p w14:paraId="00E113C0">
                  <w:pPr>
                    <w:jc w:val="center"/>
                    <w:rPr>
                      <w:rFonts w:hint="eastAsia"/>
                      <w:color w:val="auto"/>
                      <w:sz w:val="21"/>
                      <w:szCs w:val="21"/>
                    </w:rPr>
                  </w:pPr>
                  <w:r>
                    <w:rPr>
                      <w:rFonts w:hint="eastAsia"/>
                      <w:color w:val="auto"/>
                      <w:sz w:val="21"/>
                      <w:szCs w:val="21"/>
                    </w:rPr>
                    <w:t>符合</w:t>
                  </w:r>
                </w:p>
              </w:tc>
            </w:tr>
            <w:tr w14:paraId="6A54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continue"/>
                  <w:noWrap w:val="0"/>
                  <w:vAlign w:val="center"/>
                </w:tcPr>
                <w:p w14:paraId="477AF1C8">
                  <w:pPr>
                    <w:jc w:val="center"/>
                    <w:rPr>
                      <w:rFonts w:hint="eastAsia"/>
                      <w:color w:val="auto"/>
                      <w:sz w:val="21"/>
                      <w:szCs w:val="21"/>
                    </w:rPr>
                  </w:pPr>
                </w:p>
              </w:tc>
              <w:tc>
                <w:tcPr>
                  <w:tcW w:w="2159" w:type="pct"/>
                  <w:noWrap w:val="0"/>
                  <w:vAlign w:val="center"/>
                </w:tcPr>
                <w:p w14:paraId="3C513C63">
                  <w:pPr>
                    <w:jc w:val="center"/>
                    <w:rPr>
                      <w:rFonts w:hint="eastAsia"/>
                      <w:color w:val="auto"/>
                      <w:sz w:val="21"/>
                      <w:szCs w:val="21"/>
                    </w:rPr>
                  </w:pPr>
                  <w:r>
                    <w:rPr>
                      <w:rFonts w:hint="eastAsia"/>
                      <w:color w:val="auto"/>
                      <w:sz w:val="21"/>
                      <w:szCs w:val="21"/>
                    </w:rPr>
                    <w:t>收集的废气中NMHC初始排放速率≥3kg/h时，应配置VOCs处理设施，处理效率不应低于80%；采用的原辅材料符合国家有关低VOCs含量产品规定的除外。</w:t>
                  </w:r>
                </w:p>
              </w:tc>
              <w:tc>
                <w:tcPr>
                  <w:tcW w:w="1672" w:type="pct"/>
                  <w:noWrap w:val="0"/>
                  <w:vAlign w:val="center"/>
                </w:tcPr>
                <w:p w14:paraId="5021E64C">
                  <w:pPr>
                    <w:jc w:val="center"/>
                    <w:rPr>
                      <w:rFonts w:hint="eastAsia"/>
                      <w:color w:val="auto"/>
                      <w:sz w:val="21"/>
                      <w:szCs w:val="21"/>
                    </w:rPr>
                  </w:pPr>
                  <w:r>
                    <w:rPr>
                      <w:rFonts w:hint="eastAsia"/>
                      <w:color w:val="auto"/>
                      <w:sz w:val="21"/>
                      <w:szCs w:val="21"/>
                    </w:rPr>
                    <w:t>本项目位于江西省赣州市赣州经济技术开发区东至科技大道、南至湘江路、西至青云山路、北至旭日大道，</w:t>
                  </w:r>
                  <w:r>
                    <w:rPr>
                      <w:rFonts w:hint="eastAsia"/>
                      <w:color w:val="auto"/>
                      <w:sz w:val="21"/>
                      <w:szCs w:val="21"/>
                      <w:lang w:val="en-US" w:eastAsia="zh-CN"/>
                    </w:rPr>
                    <w:t>涉及</w:t>
                  </w:r>
                  <w:r>
                    <w:rPr>
                      <w:rFonts w:hint="eastAsia"/>
                      <w:color w:val="auto"/>
                      <w:sz w:val="21"/>
                      <w:szCs w:val="21"/>
                    </w:rPr>
                    <w:t>VOCs废气</w:t>
                  </w:r>
                  <w:r>
                    <w:rPr>
                      <w:rFonts w:hint="eastAsia"/>
                      <w:color w:val="auto"/>
                      <w:sz w:val="21"/>
                      <w:szCs w:val="21"/>
                      <w:lang w:val="en-US" w:eastAsia="zh-CN"/>
                    </w:rPr>
                    <w:t>产生量极小，以无组织形式排放，无组织排放满足《挥发性有机物无组织排放控制标准》（GB37822-2019）标准</w:t>
                  </w:r>
                </w:p>
              </w:tc>
              <w:tc>
                <w:tcPr>
                  <w:tcW w:w="572" w:type="pct"/>
                  <w:noWrap w:val="0"/>
                  <w:vAlign w:val="center"/>
                </w:tcPr>
                <w:p w14:paraId="11D3E274">
                  <w:pPr>
                    <w:jc w:val="center"/>
                    <w:rPr>
                      <w:rFonts w:hint="eastAsia"/>
                      <w:color w:val="auto"/>
                      <w:sz w:val="21"/>
                      <w:szCs w:val="21"/>
                    </w:rPr>
                  </w:pPr>
                  <w:r>
                    <w:rPr>
                      <w:rFonts w:hint="eastAsia"/>
                      <w:color w:val="auto"/>
                      <w:sz w:val="21"/>
                      <w:szCs w:val="21"/>
                    </w:rPr>
                    <w:t>符合</w:t>
                  </w:r>
                </w:p>
              </w:tc>
            </w:tr>
            <w:tr w14:paraId="5D61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vMerge w:val="continue"/>
                  <w:noWrap w:val="0"/>
                  <w:vAlign w:val="center"/>
                </w:tcPr>
                <w:p w14:paraId="7CE097EC">
                  <w:pPr>
                    <w:jc w:val="center"/>
                    <w:rPr>
                      <w:rFonts w:hint="eastAsia"/>
                      <w:color w:val="auto"/>
                      <w:sz w:val="21"/>
                      <w:szCs w:val="21"/>
                    </w:rPr>
                  </w:pPr>
                </w:p>
              </w:tc>
              <w:tc>
                <w:tcPr>
                  <w:tcW w:w="2159" w:type="pct"/>
                  <w:noWrap w:val="0"/>
                  <w:vAlign w:val="center"/>
                </w:tcPr>
                <w:p w14:paraId="3AF6ED39">
                  <w:pPr>
                    <w:jc w:val="center"/>
                    <w:rPr>
                      <w:rFonts w:hint="eastAsia"/>
                      <w:color w:val="auto"/>
                      <w:sz w:val="21"/>
                      <w:szCs w:val="21"/>
                    </w:rPr>
                  </w:pPr>
                  <w:r>
                    <w:rPr>
                      <w:rFonts w:hint="eastAsia"/>
                      <w:color w:val="auto"/>
                      <w:sz w:val="21"/>
                      <w:szCs w:val="21"/>
                    </w:rPr>
                    <w:t>企业应建立台账，记录废气收集系统、VOCs处理设施的主要运行和维护信息。台账保存期限不少于3年。</w:t>
                  </w:r>
                </w:p>
              </w:tc>
              <w:tc>
                <w:tcPr>
                  <w:tcW w:w="1672" w:type="pct"/>
                  <w:noWrap w:val="0"/>
                  <w:vAlign w:val="center"/>
                </w:tcPr>
                <w:p w14:paraId="0C6ECA1F">
                  <w:pPr>
                    <w:jc w:val="center"/>
                    <w:rPr>
                      <w:rFonts w:hint="eastAsia" w:eastAsia="宋体"/>
                      <w:color w:val="auto"/>
                      <w:sz w:val="21"/>
                      <w:szCs w:val="21"/>
                      <w:lang w:eastAsia="zh-CN"/>
                    </w:rPr>
                  </w:pPr>
                  <w:r>
                    <w:rPr>
                      <w:rFonts w:hint="eastAsia"/>
                      <w:color w:val="auto"/>
                      <w:sz w:val="21"/>
                      <w:szCs w:val="21"/>
                    </w:rPr>
                    <w:t>涉及VOCs废气产生量极小，以无组织形式排放，无组织排放满足《挥发性有机物无组织排放控制标准》（GB37822-2019）标准</w:t>
                  </w:r>
                  <w:r>
                    <w:rPr>
                      <w:rFonts w:hint="eastAsia"/>
                      <w:color w:val="auto"/>
                      <w:sz w:val="21"/>
                      <w:szCs w:val="21"/>
                      <w:lang w:eastAsia="zh-CN"/>
                    </w:rPr>
                    <w:t>，</w:t>
                  </w:r>
                  <w:r>
                    <w:rPr>
                      <w:rFonts w:hint="eastAsia"/>
                      <w:color w:val="auto"/>
                      <w:sz w:val="21"/>
                      <w:szCs w:val="21"/>
                      <w:lang w:val="en-US" w:eastAsia="zh-CN"/>
                    </w:rPr>
                    <w:t>不涉及废气收集处理系统</w:t>
                  </w:r>
                </w:p>
              </w:tc>
              <w:tc>
                <w:tcPr>
                  <w:tcW w:w="572" w:type="pct"/>
                  <w:noWrap w:val="0"/>
                  <w:vAlign w:val="center"/>
                </w:tcPr>
                <w:p w14:paraId="72011F5F">
                  <w:pPr>
                    <w:jc w:val="center"/>
                    <w:rPr>
                      <w:rFonts w:hint="eastAsia"/>
                      <w:color w:val="auto"/>
                      <w:sz w:val="21"/>
                      <w:szCs w:val="21"/>
                    </w:rPr>
                  </w:pPr>
                  <w:r>
                    <w:rPr>
                      <w:rFonts w:hint="eastAsia"/>
                      <w:color w:val="auto"/>
                      <w:sz w:val="21"/>
                      <w:szCs w:val="21"/>
                    </w:rPr>
                    <w:t>符合</w:t>
                  </w:r>
                </w:p>
              </w:tc>
            </w:tr>
            <w:tr w14:paraId="2998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95" w:type="pct"/>
                  <w:noWrap w:val="0"/>
                  <w:vAlign w:val="center"/>
                </w:tcPr>
                <w:p w14:paraId="2AC0255E">
                  <w:pPr>
                    <w:jc w:val="center"/>
                    <w:rPr>
                      <w:rFonts w:hint="eastAsia"/>
                      <w:color w:val="auto"/>
                      <w:sz w:val="21"/>
                      <w:szCs w:val="21"/>
                    </w:rPr>
                  </w:pPr>
                  <w:r>
                    <w:rPr>
                      <w:rFonts w:hint="eastAsia"/>
                      <w:color w:val="auto"/>
                      <w:sz w:val="21"/>
                      <w:szCs w:val="21"/>
                    </w:rPr>
                    <w:t>VOCs物料储存无组织排放控制要求</w:t>
                  </w:r>
                </w:p>
              </w:tc>
              <w:tc>
                <w:tcPr>
                  <w:tcW w:w="2159" w:type="pct"/>
                  <w:noWrap w:val="0"/>
                  <w:vAlign w:val="center"/>
                </w:tcPr>
                <w:p w14:paraId="6E3326FD">
                  <w:pPr>
                    <w:jc w:val="center"/>
                    <w:rPr>
                      <w:rFonts w:hint="eastAsia"/>
                      <w:color w:val="auto"/>
                      <w:sz w:val="21"/>
                      <w:szCs w:val="21"/>
                    </w:rPr>
                  </w:pPr>
                  <w:r>
                    <w:rPr>
                      <w:rFonts w:hint="eastAsia"/>
                      <w:color w:val="auto"/>
                      <w:sz w:val="21"/>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VOCs物料储罐应密封良好。VOCs物料储库、料仓应满足对密闭空间的要求。</w:t>
                  </w:r>
                </w:p>
              </w:tc>
              <w:tc>
                <w:tcPr>
                  <w:tcW w:w="1672" w:type="pct"/>
                  <w:noWrap w:val="0"/>
                  <w:vAlign w:val="center"/>
                </w:tcPr>
                <w:p w14:paraId="440338CD">
                  <w:pPr>
                    <w:numPr>
                      <w:ilvl w:val="0"/>
                      <w:numId w:val="3"/>
                    </w:numPr>
                    <w:jc w:val="center"/>
                    <w:rPr>
                      <w:rFonts w:hint="eastAsia"/>
                      <w:color w:val="auto"/>
                      <w:sz w:val="21"/>
                      <w:szCs w:val="21"/>
                    </w:rPr>
                  </w:pPr>
                  <w:r>
                    <w:rPr>
                      <w:rFonts w:hint="eastAsia"/>
                      <w:color w:val="auto"/>
                      <w:sz w:val="21"/>
                      <w:szCs w:val="21"/>
                    </w:rPr>
                    <w:t>本项目使用的VOCs物料均储存于密闭容器内，放置在密闭的仓库中；</w:t>
                  </w:r>
                </w:p>
                <w:p w14:paraId="16BCE971">
                  <w:pPr>
                    <w:numPr>
                      <w:ilvl w:val="0"/>
                      <w:numId w:val="3"/>
                    </w:numPr>
                    <w:jc w:val="center"/>
                    <w:rPr>
                      <w:rFonts w:hint="eastAsia"/>
                      <w:color w:val="auto"/>
                      <w:sz w:val="21"/>
                      <w:szCs w:val="21"/>
                    </w:rPr>
                  </w:pPr>
                  <w:r>
                    <w:rPr>
                      <w:rFonts w:hint="eastAsia"/>
                      <w:color w:val="auto"/>
                      <w:sz w:val="21"/>
                      <w:szCs w:val="21"/>
                    </w:rPr>
                    <w:t>盛装VOCs物料的容器或包装袋在非取用状态时进行加盖、封口，保持密闭；</w:t>
                  </w:r>
                </w:p>
                <w:p w14:paraId="6E02ED82">
                  <w:pPr>
                    <w:numPr>
                      <w:ilvl w:val="0"/>
                      <w:numId w:val="3"/>
                    </w:numPr>
                    <w:jc w:val="center"/>
                    <w:rPr>
                      <w:rFonts w:hint="eastAsia"/>
                      <w:color w:val="auto"/>
                      <w:sz w:val="21"/>
                      <w:szCs w:val="21"/>
                    </w:rPr>
                  </w:pPr>
                  <w:r>
                    <w:rPr>
                      <w:rFonts w:hint="eastAsia"/>
                      <w:color w:val="auto"/>
                      <w:sz w:val="21"/>
                      <w:szCs w:val="21"/>
                    </w:rPr>
                    <w:t>VOCs物料容器均密封良好；</w:t>
                  </w:r>
                </w:p>
                <w:p w14:paraId="746B0C7A">
                  <w:pPr>
                    <w:jc w:val="center"/>
                    <w:rPr>
                      <w:color w:val="auto"/>
                      <w:sz w:val="21"/>
                      <w:szCs w:val="21"/>
                    </w:rPr>
                  </w:pPr>
                  <w:r>
                    <w:rPr>
                      <w:rFonts w:hint="eastAsia"/>
                      <w:color w:val="auto"/>
                      <w:sz w:val="21"/>
                      <w:szCs w:val="21"/>
                    </w:rPr>
                    <w:t>4、VOCs物料容器放置在密闭的仓库中。</w:t>
                  </w:r>
                </w:p>
              </w:tc>
              <w:tc>
                <w:tcPr>
                  <w:tcW w:w="572" w:type="pct"/>
                  <w:noWrap w:val="0"/>
                  <w:vAlign w:val="center"/>
                </w:tcPr>
                <w:p w14:paraId="5787589E">
                  <w:pPr>
                    <w:jc w:val="center"/>
                    <w:rPr>
                      <w:rFonts w:hint="eastAsia"/>
                      <w:color w:val="auto"/>
                      <w:sz w:val="21"/>
                      <w:szCs w:val="21"/>
                    </w:rPr>
                  </w:pPr>
                  <w:r>
                    <w:rPr>
                      <w:rFonts w:hint="eastAsia"/>
                      <w:color w:val="auto"/>
                      <w:sz w:val="21"/>
                      <w:szCs w:val="21"/>
                    </w:rPr>
                    <w:t>符合</w:t>
                  </w:r>
                </w:p>
              </w:tc>
            </w:tr>
          </w:tbl>
          <w:p w14:paraId="42D6B2E1">
            <w:pPr>
              <w:spacing w:line="360" w:lineRule="auto"/>
              <w:ind w:firstLine="480" w:firstLineChars="200"/>
              <w:rPr>
                <w:rFonts w:hint="default" w:eastAsia="宋体"/>
                <w:b/>
                <w:bCs/>
                <w:color w:val="auto"/>
                <w:sz w:val="24"/>
                <w:lang w:val="en-US" w:eastAsia="zh-CN"/>
              </w:rPr>
            </w:pPr>
            <w:r>
              <w:rPr>
                <w:rFonts w:hint="eastAsia"/>
                <w:color w:val="auto"/>
                <w:sz w:val="24"/>
                <w:szCs w:val="24"/>
              </w:rPr>
              <w:t>综上，项目与《挥发性有机物无组织排放控制标准》相符。</w:t>
            </w:r>
          </w:p>
          <w:p w14:paraId="388634A8">
            <w:pPr>
              <w:pStyle w:val="91"/>
              <w:widowControl w:val="0"/>
              <w:spacing w:before="145" w:beforeLines="50"/>
              <w:ind w:firstLine="48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7、与《关于加快解决当前挥发性有机物治理突出问题的通知》（环大气〔2021〕65号）相符性分析</w:t>
            </w:r>
          </w:p>
          <w:p w14:paraId="6C404DD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本项目与《关于加快解决当前挥发性有机物治理突出问题的通知》（环大气〔2021〕65号）相符性分析见表1-1</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rPr>
              <w:t>。</w:t>
            </w:r>
          </w:p>
          <w:p w14:paraId="54E18DCC">
            <w:pPr>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表1-1</w:t>
            </w:r>
            <w:r>
              <w:rPr>
                <w:rFonts w:hint="eastAsia" w:cs="Times New Roman"/>
                <w:b/>
                <w:color w:val="auto"/>
                <w:sz w:val="24"/>
                <w:szCs w:val="24"/>
                <w:lang w:val="en-US" w:eastAsia="zh-CN"/>
              </w:rPr>
              <w:t>0</w:t>
            </w:r>
            <w:r>
              <w:rPr>
                <w:rFonts w:hint="eastAsia" w:ascii="Times New Roman" w:hAnsi="Times New Roman" w:eastAsia="宋体" w:cs="Times New Roman"/>
                <w:b/>
                <w:color w:val="auto"/>
                <w:sz w:val="24"/>
                <w:szCs w:val="24"/>
              </w:rPr>
              <w:t>本项目</w:t>
            </w:r>
            <w:r>
              <w:rPr>
                <w:rFonts w:ascii="Times New Roman" w:hAnsi="Times New Roman" w:eastAsia="宋体" w:cs="Times New Roman"/>
                <w:b/>
                <w:color w:val="auto"/>
                <w:sz w:val="24"/>
                <w:szCs w:val="24"/>
              </w:rPr>
              <w:t>与</w:t>
            </w:r>
            <w:r>
              <w:rPr>
                <w:rFonts w:hint="eastAsia" w:ascii="Times New Roman" w:hAnsi="Times New Roman" w:eastAsia="宋体" w:cs="Times New Roman"/>
                <w:b/>
                <w:color w:val="auto"/>
                <w:sz w:val="24"/>
                <w:szCs w:val="24"/>
              </w:rPr>
              <w:t>环大气〔2021〕65号文相符性分析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3189"/>
              <w:gridCol w:w="2272"/>
              <w:gridCol w:w="736"/>
            </w:tblGrid>
            <w:tr w14:paraId="251D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22" w:type="pct"/>
                  <w:shd w:val="clear" w:color="auto" w:fill="auto"/>
                  <w:vAlign w:val="center"/>
                </w:tcPr>
                <w:p w14:paraId="59665F73">
                  <w:pPr>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序号</w:t>
                  </w:r>
                </w:p>
              </w:tc>
              <w:tc>
                <w:tcPr>
                  <w:tcW w:w="2407" w:type="pct"/>
                  <w:shd w:val="clear" w:color="auto" w:fill="auto"/>
                  <w:vAlign w:val="center"/>
                </w:tcPr>
                <w:p w14:paraId="3C138765">
                  <w:pPr>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具体要求</w:t>
                  </w:r>
                </w:p>
              </w:tc>
              <w:tc>
                <w:tcPr>
                  <w:tcW w:w="1714" w:type="pct"/>
                  <w:shd w:val="clear" w:color="auto" w:fill="auto"/>
                  <w:vAlign w:val="center"/>
                </w:tcPr>
                <w:p w14:paraId="4026FEAE">
                  <w:pPr>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本项目</w:t>
                  </w:r>
                </w:p>
              </w:tc>
              <w:tc>
                <w:tcPr>
                  <w:tcW w:w="555" w:type="pct"/>
                  <w:shd w:val="clear" w:color="auto" w:fill="auto"/>
                  <w:vAlign w:val="center"/>
                </w:tcPr>
                <w:p w14:paraId="32F7F811">
                  <w:pPr>
                    <w:adjustRightInd w:val="0"/>
                    <w:snapToGrid w:val="0"/>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符合性</w:t>
                  </w:r>
                </w:p>
              </w:tc>
            </w:tr>
            <w:tr w14:paraId="5694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shd w:val="clear" w:color="auto" w:fill="auto"/>
                  <w:vAlign w:val="center"/>
                </w:tcPr>
                <w:p w14:paraId="6E194370">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2407" w:type="pct"/>
                  <w:shd w:val="clear" w:color="auto" w:fill="auto"/>
                  <w:vAlign w:val="center"/>
                </w:tcPr>
                <w:p w14:paraId="561A3C88">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鼓励使用低泄露的储罐呼吸阀、紧急泄压阀；固定顶管或建设有机废气治理设施的内浮顶罐宜配备压力监测设备，罐内压力低于50%设计开启压力时，呼吸阀、紧急泄压阀</w:t>
                  </w:r>
                  <w:r>
                    <w:rPr>
                      <w:rFonts w:hint="eastAsia" w:cs="Times New Roman"/>
                      <w:color w:val="auto"/>
                      <w:kern w:val="0"/>
                      <w:sz w:val="21"/>
                      <w:szCs w:val="21"/>
                      <w:lang w:eastAsia="zh-CN"/>
                    </w:rPr>
                    <w:t>泄漏检测值</w:t>
                  </w:r>
                  <w:r>
                    <w:rPr>
                      <w:rFonts w:hint="eastAsia" w:ascii="Times New Roman" w:hAnsi="Times New Roman" w:eastAsia="宋体" w:cs="Times New Roman"/>
                      <w:color w:val="auto"/>
                      <w:kern w:val="0"/>
                      <w:sz w:val="21"/>
                      <w:szCs w:val="21"/>
                    </w:rPr>
                    <w:t>不宜超过2000umol/mol。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714" w:type="pct"/>
                  <w:shd w:val="clear" w:color="auto" w:fill="auto"/>
                  <w:vAlign w:val="center"/>
                </w:tcPr>
                <w:p w14:paraId="740F1796">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项目不设储罐</w:t>
                  </w:r>
                </w:p>
              </w:tc>
              <w:tc>
                <w:tcPr>
                  <w:tcW w:w="555" w:type="pct"/>
                  <w:shd w:val="clear" w:color="auto" w:fill="auto"/>
                  <w:vAlign w:val="center"/>
                </w:tcPr>
                <w:p w14:paraId="635252DA">
                  <w:pPr>
                    <w:adjustRightInd w:val="0"/>
                    <w:snapToGrid w:val="0"/>
                    <w:jc w:val="center"/>
                    <w:rPr>
                      <w:rFonts w:hint="eastAsia" w:ascii="Times New Roman" w:hAnsi="Times New Roman" w:eastAsia="宋体" w:cs="Times New Roman"/>
                      <w:color w:val="auto"/>
                      <w:kern w:val="0"/>
                      <w:sz w:val="21"/>
                      <w:szCs w:val="21"/>
                      <w:lang w:eastAsia="zh-CN"/>
                    </w:rPr>
                  </w:pPr>
                  <w:r>
                    <w:rPr>
                      <w:rFonts w:hint="eastAsia" w:eastAsia="宋体" w:cs="Times New Roman"/>
                      <w:color w:val="auto"/>
                      <w:kern w:val="0"/>
                      <w:sz w:val="21"/>
                      <w:szCs w:val="21"/>
                      <w:lang w:val="en-US" w:eastAsia="zh-CN"/>
                    </w:rPr>
                    <w:t>不涉及</w:t>
                  </w:r>
                </w:p>
              </w:tc>
            </w:tr>
            <w:tr w14:paraId="1737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22" w:type="pct"/>
                  <w:shd w:val="clear" w:color="auto" w:fill="auto"/>
                  <w:vAlign w:val="center"/>
                </w:tcPr>
                <w:p w14:paraId="4E835027">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p>
              </w:tc>
              <w:tc>
                <w:tcPr>
                  <w:tcW w:w="2407" w:type="pct"/>
                  <w:shd w:val="clear" w:color="auto" w:fill="auto"/>
                  <w:vAlign w:val="center"/>
                </w:tcPr>
                <w:p w14:paraId="602AC602">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汽车罐车按照标准采用适宜的装载方式，推广采用密封式快速接头等</w:t>
                  </w:r>
                </w:p>
              </w:tc>
              <w:tc>
                <w:tcPr>
                  <w:tcW w:w="1714" w:type="pct"/>
                  <w:shd w:val="clear" w:color="auto" w:fill="auto"/>
                  <w:vAlign w:val="center"/>
                </w:tcPr>
                <w:p w14:paraId="55BEC6F8">
                  <w:pPr>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555" w:type="pct"/>
                  <w:shd w:val="clear" w:color="auto" w:fill="auto"/>
                  <w:vAlign w:val="center"/>
                </w:tcPr>
                <w:p w14:paraId="71FB4BF9">
                  <w:pPr>
                    <w:adjustRightInd w:val="0"/>
                    <w:snapToGrid w:val="0"/>
                    <w:jc w:val="center"/>
                    <w:rPr>
                      <w:rFonts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不涉及</w:t>
                  </w:r>
                </w:p>
              </w:tc>
            </w:tr>
            <w:tr w14:paraId="45B4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22" w:type="pct"/>
                  <w:shd w:val="clear" w:color="auto" w:fill="auto"/>
                  <w:vAlign w:val="center"/>
                </w:tcPr>
                <w:p w14:paraId="05D976DC">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p>
              </w:tc>
              <w:tc>
                <w:tcPr>
                  <w:tcW w:w="2407" w:type="pct"/>
                  <w:shd w:val="clear" w:color="auto" w:fill="auto"/>
                  <w:vAlign w:val="center"/>
                </w:tcPr>
                <w:p w14:paraId="51667147">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产生VOCs的生产环节优先采用密闭设备、在密闭空间中操作或采用全密闭集气罩收集方式，并保持负压运行....对采用局部收集方式的企业，距废气收集系统排气罩开口面最远处的VOCs无组织排放位置控制风速不低于0.3m/s；推广以生产线或设备为单位设置隔间，收集风量应确保隔间保持微负压.....</w:t>
                  </w:r>
                </w:p>
              </w:tc>
              <w:tc>
                <w:tcPr>
                  <w:tcW w:w="1714" w:type="pct"/>
                  <w:shd w:val="clear" w:color="auto" w:fill="auto"/>
                  <w:vAlign w:val="center"/>
                </w:tcPr>
                <w:p w14:paraId="4A935B98">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项目在粘胶组件工艺组装过程中产生VOCs，因使用较小，产生量极小，设备为密闭设备，以无组织形式排放</w:t>
                  </w:r>
                </w:p>
              </w:tc>
              <w:tc>
                <w:tcPr>
                  <w:tcW w:w="555" w:type="pct"/>
                  <w:shd w:val="clear" w:color="auto" w:fill="auto"/>
                  <w:vAlign w:val="center"/>
                </w:tcPr>
                <w:p w14:paraId="335CACA7">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符合</w:t>
                  </w:r>
                </w:p>
              </w:tc>
            </w:tr>
            <w:tr w14:paraId="42C4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22" w:type="pct"/>
                  <w:shd w:val="clear" w:color="auto" w:fill="auto"/>
                  <w:vAlign w:val="center"/>
                </w:tcPr>
                <w:p w14:paraId="20B6F7EC">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p>
              </w:tc>
              <w:tc>
                <w:tcPr>
                  <w:tcW w:w="2407" w:type="pct"/>
                  <w:shd w:val="clear" w:color="auto" w:fill="auto"/>
                  <w:vAlign w:val="center"/>
                </w:tcPr>
                <w:p w14:paraId="5E53A01E">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....新建治理设施或对现有治理设施实施改造，应依据排放废气特征、VOCs组分及浓度、生产工况等，合理</w:t>
                  </w:r>
                  <w:r>
                    <w:rPr>
                      <w:rFonts w:hint="eastAsia" w:cs="Times New Roman"/>
                      <w:color w:val="auto"/>
                      <w:kern w:val="0"/>
                      <w:sz w:val="21"/>
                      <w:szCs w:val="21"/>
                      <w:lang w:eastAsia="zh-CN"/>
                    </w:rPr>
                    <w:t>选用</w:t>
                  </w:r>
                  <w:r>
                    <w:rPr>
                      <w:rFonts w:hint="eastAsia" w:ascii="Times New Roman" w:hAnsi="Times New Roman" w:eastAsia="宋体" w:cs="Times New Roman"/>
                      <w:color w:val="auto"/>
                      <w:kern w:val="0"/>
                      <w:sz w:val="21"/>
                      <w:szCs w:val="21"/>
                    </w:rPr>
                    <w:t>多种技术的组合工艺；除恶臭异味治理外，一般不使用低温等离子、光催化、光氧化等技术.......</w:t>
                  </w:r>
                </w:p>
              </w:tc>
              <w:tc>
                <w:tcPr>
                  <w:tcW w:w="1714" w:type="pct"/>
                  <w:shd w:val="clear" w:color="auto" w:fill="auto"/>
                  <w:vAlign w:val="center"/>
                </w:tcPr>
                <w:p w14:paraId="157EC760">
                  <w:pPr>
                    <w:adjustRightInd w:val="0"/>
                    <w:snapToGrid w:val="0"/>
                    <w:jc w:val="center"/>
                    <w:rPr>
                      <w:rFonts w:hint="default" w:ascii="Times New Roman" w:hAnsi="Times New Roman" w:eastAsia="宋体" w:cs="Times New Roman"/>
                      <w:color w:val="auto"/>
                      <w:kern w:val="0"/>
                      <w:sz w:val="21"/>
                      <w:szCs w:val="21"/>
                      <w:lang w:val="en-US"/>
                    </w:rPr>
                  </w:pPr>
                  <w:r>
                    <w:rPr>
                      <w:rFonts w:hint="eastAsia" w:eastAsia="宋体" w:cs="Times New Roman"/>
                      <w:color w:val="auto"/>
                      <w:kern w:val="0"/>
                      <w:sz w:val="21"/>
                      <w:szCs w:val="21"/>
                      <w:lang w:val="en-US" w:eastAsia="zh-CN"/>
                    </w:rPr>
                    <w:t>项目在粘胶组件工艺组装过程中产生VOCs，因使用较小，产生量极小，设备为密闭设备，以无组织形式排放，未进行末端治理</w:t>
                  </w:r>
                </w:p>
              </w:tc>
              <w:tc>
                <w:tcPr>
                  <w:tcW w:w="555" w:type="pct"/>
                  <w:shd w:val="clear" w:color="auto" w:fill="auto"/>
                  <w:vAlign w:val="center"/>
                </w:tcPr>
                <w:p w14:paraId="5AF986F9">
                  <w:pPr>
                    <w:adjustRightInd w:val="0"/>
                    <w:snapToGrid w:val="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符合</w:t>
                  </w:r>
                </w:p>
              </w:tc>
            </w:tr>
          </w:tbl>
          <w:p w14:paraId="17FF6A86">
            <w:pPr>
              <w:pStyle w:val="91"/>
              <w:widowControl w:val="0"/>
              <w:spacing w:before="145" w:beforeLines="50"/>
              <w:ind w:firstLine="480"/>
              <w:jc w:val="both"/>
              <w:rPr>
                <w:snapToGrid w:val="0"/>
                <w:color w:val="auto"/>
                <w:kern w:val="0"/>
              </w:rPr>
            </w:pPr>
            <w:r>
              <w:rPr>
                <w:rFonts w:hint="eastAsia"/>
                <w:color w:val="auto"/>
                <w:sz w:val="24"/>
                <w:lang w:val="en-US" w:eastAsia="zh-CN"/>
              </w:rPr>
              <w:t>8、</w:t>
            </w:r>
            <w:r>
              <w:rPr>
                <w:rFonts w:hint="eastAsia"/>
                <w:snapToGrid w:val="0"/>
                <w:color w:val="auto"/>
                <w:kern w:val="0"/>
              </w:rPr>
              <w:t>项目与《江西省重点行业挥发性有机物综合治理方案》（赣环大气〔2019〕20号）相符性分析</w:t>
            </w:r>
          </w:p>
          <w:p w14:paraId="671ED4BC">
            <w:pPr>
              <w:jc w:val="center"/>
              <w:rPr>
                <w:rFonts w:hint="eastAsia"/>
                <w:b/>
                <w:bCs/>
                <w:color w:val="auto"/>
                <w:sz w:val="24"/>
                <w:szCs w:val="24"/>
              </w:rPr>
            </w:pPr>
            <w:r>
              <w:rPr>
                <w:rFonts w:hint="eastAsia"/>
                <w:b/>
                <w:bCs/>
                <w:color w:val="auto"/>
                <w:sz w:val="24"/>
                <w:szCs w:val="24"/>
              </w:rPr>
              <w:t>表1-</w:t>
            </w:r>
            <w:r>
              <w:rPr>
                <w:rFonts w:hint="eastAsia"/>
                <w:b/>
                <w:bCs/>
                <w:color w:val="auto"/>
                <w:sz w:val="24"/>
                <w:szCs w:val="24"/>
                <w:lang w:val="en-US" w:eastAsia="zh-CN"/>
              </w:rPr>
              <w:t>11</w:t>
            </w:r>
            <w:r>
              <w:rPr>
                <w:rFonts w:hint="eastAsia"/>
                <w:b/>
                <w:bCs/>
                <w:color w:val="auto"/>
                <w:sz w:val="24"/>
                <w:szCs w:val="24"/>
              </w:rPr>
              <w:t>与《江西省重点行业挥发性有机物综合治理方案》（赣环大气〔2019〕20号）相符性分析</w:t>
            </w:r>
          </w:p>
          <w:tbl>
            <w:tblPr>
              <w:tblStyle w:val="24"/>
              <w:tblpPr w:leftFromText="180" w:rightFromText="180" w:vertAnchor="text"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5"/>
              <w:gridCol w:w="2147"/>
              <w:gridCol w:w="701"/>
            </w:tblGrid>
            <w:tr w14:paraId="3F2E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849" w:type="pct"/>
                  <w:noWrap w:val="0"/>
                  <w:vAlign w:val="center"/>
                </w:tcPr>
                <w:p w14:paraId="4A9E8780">
                  <w:pPr>
                    <w:jc w:val="center"/>
                    <w:rPr>
                      <w:rFonts w:hint="eastAsia"/>
                      <w:color w:val="auto"/>
                      <w:sz w:val="21"/>
                      <w:szCs w:val="21"/>
                    </w:rPr>
                  </w:pPr>
                  <w:r>
                    <w:rPr>
                      <w:rFonts w:hint="eastAsia"/>
                      <w:color w:val="auto"/>
                      <w:sz w:val="21"/>
                      <w:szCs w:val="21"/>
                    </w:rPr>
                    <w:t>与项目相关的要求</w:t>
                  </w:r>
                </w:p>
              </w:tc>
              <w:tc>
                <w:tcPr>
                  <w:tcW w:w="1620" w:type="pct"/>
                  <w:noWrap w:val="0"/>
                  <w:vAlign w:val="center"/>
                </w:tcPr>
                <w:p w14:paraId="4CEB298E">
                  <w:pPr>
                    <w:jc w:val="center"/>
                    <w:rPr>
                      <w:rFonts w:hint="eastAsia"/>
                      <w:color w:val="auto"/>
                      <w:sz w:val="21"/>
                      <w:szCs w:val="21"/>
                    </w:rPr>
                  </w:pPr>
                  <w:r>
                    <w:rPr>
                      <w:rFonts w:hint="eastAsia"/>
                      <w:color w:val="auto"/>
                      <w:sz w:val="21"/>
                      <w:szCs w:val="21"/>
                    </w:rPr>
                    <w:t>项目情况</w:t>
                  </w:r>
                </w:p>
              </w:tc>
              <w:tc>
                <w:tcPr>
                  <w:tcW w:w="529" w:type="pct"/>
                  <w:noWrap w:val="0"/>
                  <w:vAlign w:val="center"/>
                </w:tcPr>
                <w:p w14:paraId="569BE795">
                  <w:pPr>
                    <w:jc w:val="center"/>
                    <w:rPr>
                      <w:rFonts w:hint="eastAsia"/>
                      <w:color w:val="auto"/>
                      <w:sz w:val="21"/>
                      <w:szCs w:val="21"/>
                    </w:rPr>
                  </w:pPr>
                  <w:r>
                    <w:rPr>
                      <w:rFonts w:hint="eastAsia"/>
                      <w:color w:val="auto"/>
                      <w:sz w:val="21"/>
                      <w:szCs w:val="21"/>
                    </w:rPr>
                    <w:t>符合性</w:t>
                  </w:r>
                </w:p>
              </w:tc>
            </w:tr>
            <w:tr w14:paraId="348A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9" w:type="pct"/>
                  <w:noWrap w:val="0"/>
                  <w:vAlign w:val="center"/>
                </w:tcPr>
                <w:p w14:paraId="23ACC5A0">
                  <w:pPr>
                    <w:jc w:val="center"/>
                    <w:rPr>
                      <w:rFonts w:hint="eastAsia"/>
                      <w:color w:val="auto"/>
                      <w:sz w:val="21"/>
                      <w:szCs w:val="21"/>
                    </w:rPr>
                  </w:pPr>
                  <w:r>
                    <w:rPr>
                      <w:rFonts w:hint="eastAsia"/>
                      <w:color w:val="auto"/>
                      <w:sz w:val="21"/>
                      <w:szCs w:val="21"/>
                    </w:rPr>
                    <w:t>大力推进源头控制……表面涂装行业应加快使用粉末、水性、高固体分、辐射固化等低</w:t>
                  </w:r>
                  <w:r>
                    <w:rPr>
                      <w:rFonts w:hint="eastAsia"/>
                      <w:color w:val="auto"/>
                      <w:sz w:val="21"/>
                      <w:szCs w:val="21"/>
                      <w:lang w:eastAsia="zh-CN"/>
                    </w:rPr>
                    <w:t>VOCs</w:t>
                  </w:r>
                  <w:r>
                    <w:rPr>
                      <w:rFonts w:hint="eastAsia"/>
                      <w:color w:val="auto"/>
                      <w:sz w:val="21"/>
                      <w:szCs w:val="21"/>
                    </w:rPr>
                    <w:t>含量的涂料替代溶剂型涂料，木质家具制造行业应大力推广使用水性、辐射固化、粉末等涂料和水性胶粘剂。……，表面涂装企业低</w:t>
                  </w:r>
                  <w:r>
                    <w:rPr>
                      <w:rFonts w:hint="eastAsia"/>
                      <w:color w:val="auto"/>
                      <w:sz w:val="21"/>
                      <w:szCs w:val="21"/>
                      <w:lang w:eastAsia="zh-CN"/>
                    </w:rPr>
                    <w:t>VOCs</w:t>
                  </w:r>
                  <w:r>
                    <w:rPr>
                      <w:rFonts w:hint="eastAsia"/>
                      <w:color w:val="auto"/>
                      <w:sz w:val="21"/>
                      <w:szCs w:val="21"/>
                    </w:rPr>
                    <w:t>原辅料替代应达到20%以上各地根据减排情况，进一步增加低</w:t>
                  </w:r>
                  <w:r>
                    <w:rPr>
                      <w:rFonts w:hint="eastAsia"/>
                      <w:color w:val="auto"/>
                      <w:sz w:val="21"/>
                      <w:szCs w:val="21"/>
                      <w:lang w:eastAsia="zh-CN"/>
                    </w:rPr>
                    <w:t>VOCs</w:t>
                  </w:r>
                  <w:r>
                    <w:rPr>
                      <w:rFonts w:hint="eastAsia"/>
                      <w:color w:val="auto"/>
                      <w:sz w:val="21"/>
                      <w:szCs w:val="21"/>
                    </w:rPr>
                    <w:t>原辅料替代减排的表面涂装企业数量，扩大示范作用。各行业在满足</w:t>
                  </w:r>
                  <w:r>
                    <w:rPr>
                      <w:rFonts w:hint="eastAsia"/>
                      <w:color w:val="auto"/>
                      <w:sz w:val="21"/>
                      <w:szCs w:val="21"/>
                      <w:lang w:eastAsia="zh-CN"/>
                    </w:rPr>
                    <w:t>VOCs</w:t>
                  </w:r>
                  <w:r>
                    <w:rPr>
                      <w:rFonts w:hint="eastAsia"/>
                      <w:color w:val="auto"/>
                      <w:sz w:val="21"/>
                      <w:szCs w:val="21"/>
                    </w:rPr>
                    <w:t>排放标准前提下，企业采用符合国家有关低</w:t>
                  </w:r>
                  <w:r>
                    <w:rPr>
                      <w:rFonts w:hint="eastAsia"/>
                      <w:color w:val="auto"/>
                      <w:sz w:val="21"/>
                      <w:szCs w:val="21"/>
                      <w:lang w:eastAsia="zh-CN"/>
                    </w:rPr>
                    <w:t>VOCs</w:t>
                  </w:r>
                  <w:r>
                    <w:rPr>
                      <w:rFonts w:hint="eastAsia"/>
                      <w:color w:val="auto"/>
                      <w:sz w:val="21"/>
                      <w:szCs w:val="21"/>
                    </w:rPr>
                    <w:t>含量产品规定的涂料、油墨、胶粘剂等，排放浓度稳定达标且排放速率、处理效率等满足相关规定的，相应生产工序可不要求建设末端治理设施；企业使用的原辅材料</w:t>
                  </w:r>
                  <w:r>
                    <w:rPr>
                      <w:rFonts w:hint="eastAsia"/>
                      <w:color w:val="auto"/>
                      <w:sz w:val="21"/>
                      <w:szCs w:val="21"/>
                      <w:lang w:eastAsia="zh-CN"/>
                    </w:rPr>
                    <w:t>VOCs</w:t>
                  </w:r>
                  <w:r>
                    <w:rPr>
                      <w:rFonts w:hint="eastAsia"/>
                      <w:color w:val="auto"/>
                      <w:sz w:val="21"/>
                      <w:szCs w:val="21"/>
                    </w:rPr>
                    <w:t>含量（质量比）低于10%的工序，可不要求采取无组织排放收集措施。</w:t>
                  </w:r>
                </w:p>
              </w:tc>
              <w:tc>
                <w:tcPr>
                  <w:tcW w:w="1620" w:type="pct"/>
                  <w:noWrap w:val="0"/>
                  <w:vAlign w:val="center"/>
                </w:tcPr>
                <w:p w14:paraId="49C53446">
                  <w:pPr>
                    <w:jc w:val="center"/>
                    <w:rPr>
                      <w:rFonts w:hint="default"/>
                      <w:color w:val="auto"/>
                      <w:sz w:val="21"/>
                      <w:szCs w:val="21"/>
                      <w:lang w:val="en-US"/>
                    </w:rPr>
                  </w:pPr>
                  <w:r>
                    <w:rPr>
                      <w:color w:val="auto"/>
                      <w:sz w:val="21"/>
                      <w:szCs w:val="21"/>
                    </w:rPr>
                    <w:t>本项目</w:t>
                  </w:r>
                  <w:r>
                    <w:rPr>
                      <w:rFonts w:hint="eastAsia"/>
                      <w:color w:val="auto"/>
                      <w:sz w:val="21"/>
                      <w:szCs w:val="21"/>
                      <w:lang w:val="en-US" w:eastAsia="zh-CN"/>
                    </w:rPr>
                    <w:t>为C3985电子专用材料制造，不涉及表面涂装行业，不涉及木质家具制造。</w:t>
                  </w:r>
                  <w:r>
                    <w:rPr>
                      <w:rFonts w:hint="eastAsia" w:ascii="Times New Roman" w:hAnsi="Times New Roman" w:eastAsia="宋体" w:cs="Times New Roman"/>
                      <w:color w:val="auto"/>
                      <w:sz w:val="21"/>
                      <w:szCs w:val="21"/>
                      <w:lang w:val="en-US" w:eastAsia="zh-CN"/>
                    </w:rPr>
                    <w:t>项目组装废气满足《大气污染物综合排放标准》（GB16297-1996）表2无组织排放监控浓度限值；</w:t>
                  </w:r>
                </w:p>
              </w:tc>
              <w:tc>
                <w:tcPr>
                  <w:tcW w:w="529" w:type="pct"/>
                  <w:noWrap w:val="0"/>
                  <w:vAlign w:val="center"/>
                </w:tcPr>
                <w:p w14:paraId="13A35F80">
                  <w:pPr>
                    <w:jc w:val="center"/>
                    <w:rPr>
                      <w:color w:val="auto"/>
                      <w:sz w:val="21"/>
                      <w:szCs w:val="21"/>
                    </w:rPr>
                  </w:pPr>
                  <w:r>
                    <w:rPr>
                      <w:rFonts w:hint="eastAsia"/>
                      <w:color w:val="auto"/>
                      <w:sz w:val="21"/>
                      <w:szCs w:val="21"/>
                    </w:rPr>
                    <w:t>符合</w:t>
                  </w:r>
                </w:p>
              </w:tc>
            </w:tr>
            <w:tr w14:paraId="4B0B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9" w:type="pct"/>
                  <w:noWrap w:val="0"/>
                  <w:vAlign w:val="center"/>
                </w:tcPr>
                <w:p w14:paraId="6867DCE3">
                  <w:pPr>
                    <w:jc w:val="center"/>
                    <w:rPr>
                      <w:rFonts w:hint="eastAsia"/>
                      <w:color w:val="auto"/>
                      <w:sz w:val="21"/>
                      <w:szCs w:val="21"/>
                    </w:rPr>
                  </w:pPr>
                  <w:r>
                    <w:rPr>
                      <w:rFonts w:hint="eastAsia"/>
                      <w:color w:val="auto"/>
                      <w:sz w:val="21"/>
                      <w:szCs w:val="21"/>
                    </w:rPr>
                    <w:t>（二）全面加强无组织排放控制。重点对含</w:t>
                  </w:r>
                  <w:r>
                    <w:rPr>
                      <w:rFonts w:hint="eastAsia"/>
                      <w:color w:val="auto"/>
                      <w:sz w:val="21"/>
                      <w:szCs w:val="21"/>
                      <w:lang w:eastAsia="zh-CN"/>
                    </w:rPr>
                    <w:t>VOCs</w:t>
                  </w:r>
                  <w:r>
                    <w:rPr>
                      <w:rFonts w:hint="eastAsia"/>
                      <w:color w:val="auto"/>
                      <w:sz w:val="21"/>
                      <w:szCs w:val="21"/>
                    </w:rPr>
                    <w:t>物料……储存、转移和输送、设备与管线组件泄漏、敞开液面逸散以及工艺过程等五类排放源实施管控，通过采取设备与场所密闭、工艺改进、废气有效收集等措施，削减</w:t>
                  </w:r>
                  <w:r>
                    <w:rPr>
                      <w:rFonts w:hint="eastAsia"/>
                      <w:color w:val="auto"/>
                      <w:sz w:val="21"/>
                      <w:szCs w:val="21"/>
                      <w:lang w:eastAsia="zh-CN"/>
                    </w:rPr>
                    <w:t>VOCs</w:t>
                  </w:r>
                  <w:r>
                    <w:rPr>
                      <w:rFonts w:hint="eastAsia"/>
                      <w:color w:val="auto"/>
                      <w:sz w:val="21"/>
                      <w:szCs w:val="21"/>
                    </w:rPr>
                    <w:t>无组织排放。以物料衡算等方法计</w:t>
                  </w:r>
                  <w:r>
                    <w:rPr>
                      <w:rFonts w:hint="eastAsia"/>
                      <w:color w:val="auto"/>
                      <w:sz w:val="21"/>
                      <w:szCs w:val="21"/>
                      <w:lang w:eastAsia="zh-CN"/>
                    </w:rPr>
                    <w:t>VOCs</w:t>
                  </w:r>
                  <w:r>
                    <w:rPr>
                      <w:rFonts w:hint="eastAsia"/>
                      <w:color w:val="auto"/>
                      <w:sz w:val="21"/>
                      <w:szCs w:val="21"/>
                    </w:rPr>
                    <w:t>收集率不低于75%。……应加盖密闭或采用等效处理，确保废气达标排放。表面涂装行业重点推进使用</w:t>
                  </w:r>
                  <w:r>
                    <w:rPr>
                      <w:rFonts w:hint="eastAsia"/>
                      <w:color w:val="auto"/>
                      <w:sz w:val="21"/>
                      <w:szCs w:val="21"/>
                      <w:lang w:eastAsia="zh-CN"/>
                    </w:rPr>
                    <w:t>机械</w:t>
                  </w:r>
                  <w:r>
                    <w:rPr>
                      <w:rFonts w:hint="eastAsia"/>
                      <w:color w:val="auto"/>
                      <w:sz w:val="21"/>
                      <w:szCs w:val="21"/>
                    </w:rPr>
                    <w:t>式涂装工艺，推广采用辊涂、静电喷涂、高压无气喷涂、空气辅助无气喷涂、热喷涂等涂装技术，鼓励企业采用自动化、智能化喷涂设备替代人工喷涂，减少使用空气喷涂技术。涂料、稀释剂、清洗剂等原辅料应密闭储存，调配、使用、回收等过程应采用密闭设备或在密闭空间内操作，采用密闭管道或密闭容器等输送。除大型工件外，禁止敞开式喷涂、晾（风）干作业。除工艺限制外，原则上实行集中调配。调配、喷涂和干燥等</w:t>
                  </w:r>
                  <w:r>
                    <w:rPr>
                      <w:rFonts w:hint="eastAsia"/>
                      <w:color w:val="auto"/>
                      <w:sz w:val="21"/>
                      <w:szCs w:val="21"/>
                      <w:lang w:eastAsia="zh-CN"/>
                    </w:rPr>
                    <w:t>VOCs</w:t>
                  </w:r>
                  <w:r>
                    <w:rPr>
                      <w:rFonts w:hint="eastAsia"/>
                      <w:color w:val="auto"/>
                      <w:sz w:val="21"/>
                      <w:szCs w:val="21"/>
                    </w:rPr>
                    <w:t>排放工序应配备有效的废气收集系统。</w:t>
                  </w:r>
                </w:p>
              </w:tc>
              <w:tc>
                <w:tcPr>
                  <w:tcW w:w="1620" w:type="pct"/>
                  <w:noWrap w:val="0"/>
                  <w:vAlign w:val="center"/>
                </w:tcPr>
                <w:p w14:paraId="49869048">
                  <w:pPr>
                    <w:rPr>
                      <w:rFonts w:hint="eastAsia"/>
                      <w:color w:val="auto"/>
                      <w:sz w:val="21"/>
                      <w:szCs w:val="21"/>
                    </w:rPr>
                  </w:pPr>
                  <w:r>
                    <w:rPr>
                      <w:rFonts w:hint="eastAsia"/>
                      <w:color w:val="auto"/>
                      <w:sz w:val="21"/>
                      <w:szCs w:val="21"/>
                    </w:rPr>
                    <w:t>1、原料均储存于密封桶中，随取随开；</w:t>
                  </w:r>
                </w:p>
                <w:p w14:paraId="7EB6DBAE">
                  <w:pPr>
                    <w:pStyle w:val="72"/>
                    <w:tabs>
                      <w:tab w:val="left" w:pos="2310"/>
                    </w:tabs>
                    <w:spacing w:line="240" w:lineRule="auto"/>
                    <w:ind w:right="43" w:firstLine="0" w:firstLineChars="0"/>
                    <w:rPr>
                      <w:color w:val="auto"/>
                      <w:sz w:val="21"/>
                      <w:szCs w:val="21"/>
                    </w:rPr>
                  </w:pPr>
                  <w:r>
                    <w:rPr>
                      <w:rFonts w:hint="eastAsia"/>
                      <w:color w:val="auto"/>
                      <w:sz w:val="21"/>
                      <w:szCs w:val="21"/>
                    </w:rPr>
                    <w:t>2、本项目M型单组份环氧胶粘剂</w:t>
                  </w:r>
                  <w:r>
                    <w:rPr>
                      <w:rFonts w:hint="eastAsia"/>
                      <w:color w:val="auto"/>
                      <w:sz w:val="21"/>
                      <w:szCs w:val="21"/>
                      <w:lang w:val="en-US" w:eastAsia="zh-CN"/>
                    </w:rPr>
                    <w:t>密闭存放在</w:t>
                  </w:r>
                  <w:r>
                    <w:rPr>
                      <w:rFonts w:hint="eastAsia"/>
                      <w:color w:val="auto"/>
                      <w:sz w:val="21"/>
                      <w:szCs w:val="21"/>
                    </w:rPr>
                    <w:t>仓库中，采用密闭容器输送，随用随开。</w:t>
                  </w:r>
                </w:p>
              </w:tc>
              <w:tc>
                <w:tcPr>
                  <w:tcW w:w="529" w:type="pct"/>
                  <w:noWrap w:val="0"/>
                  <w:vAlign w:val="center"/>
                </w:tcPr>
                <w:p w14:paraId="1F7DE6E7">
                  <w:pPr>
                    <w:jc w:val="center"/>
                    <w:rPr>
                      <w:rFonts w:hint="eastAsia"/>
                      <w:color w:val="auto"/>
                      <w:sz w:val="21"/>
                      <w:szCs w:val="21"/>
                    </w:rPr>
                  </w:pPr>
                  <w:r>
                    <w:rPr>
                      <w:rFonts w:hint="eastAsia"/>
                      <w:color w:val="auto"/>
                      <w:sz w:val="21"/>
                      <w:szCs w:val="21"/>
                    </w:rPr>
                    <w:t>符合</w:t>
                  </w:r>
                </w:p>
              </w:tc>
            </w:tr>
            <w:tr w14:paraId="7B58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49" w:type="pct"/>
                  <w:noWrap w:val="0"/>
                  <w:vAlign w:val="center"/>
                </w:tcPr>
                <w:p w14:paraId="1A99468C">
                  <w:pPr>
                    <w:jc w:val="center"/>
                    <w:rPr>
                      <w:rFonts w:hint="eastAsia"/>
                      <w:color w:val="auto"/>
                      <w:sz w:val="21"/>
                      <w:szCs w:val="21"/>
                    </w:rPr>
                  </w:pPr>
                  <w:r>
                    <w:rPr>
                      <w:rFonts w:hint="eastAsia"/>
                      <w:color w:val="auto"/>
                      <w:sz w:val="21"/>
                      <w:szCs w:val="21"/>
                    </w:rPr>
                    <w:t>推进建设适宜高效的治污设施。表面涂装行业应对喷涂废气设置高效漆雾处理装置，喷涂、晾（风）干废气宜采用吸附浓缩+燃烧处理技术，小风量的可采用一次性活性炭吸附等工艺；调配、流平等废气可与喷涂、晾（风）</w:t>
                  </w:r>
                  <w:r>
                    <w:rPr>
                      <w:rFonts w:hint="eastAsia"/>
                      <w:color w:val="auto"/>
                      <w:sz w:val="21"/>
                      <w:szCs w:val="21"/>
                      <w:lang w:eastAsia="zh-CN"/>
                    </w:rPr>
                    <w:t>干</w:t>
                  </w:r>
                  <w:r>
                    <w:rPr>
                      <w:rFonts w:hint="eastAsia"/>
                      <w:color w:val="auto"/>
                      <w:sz w:val="21"/>
                      <w:szCs w:val="21"/>
                    </w:rPr>
                    <w:t>废气一并处理；使用溶剂型涂料的生产线，烘干废气宜采用燃烧方式单独处理。采用吸附处理工艺的，应满足《吸附法工业有机废气治理工程技术规范》（HJ-2026）要求；采用一次性活性炭吸附技术的，要定期更换活性炭，废旧活性炭应再生或处理处置。</w:t>
                  </w:r>
                </w:p>
              </w:tc>
              <w:tc>
                <w:tcPr>
                  <w:tcW w:w="1620" w:type="pct"/>
                  <w:noWrap w:val="0"/>
                  <w:vAlign w:val="center"/>
                </w:tcPr>
                <w:p w14:paraId="49F7F2CB">
                  <w:pPr>
                    <w:jc w:val="center"/>
                    <w:rPr>
                      <w:rFonts w:hint="default" w:eastAsia="宋体"/>
                      <w:color w:val="auto"/>
                      <w:sz w:val="21"/>
                      <w:szCs w:val="21"/>
                      <w:lang w:val="en-US" w:eastAsia="zh-CN"/>
                    </w:rPr>
                  </w:pPr>
                  <w:r>
                    <w:rPr>
                      <w:rFonts w:hint="eastAsia"/>
                      <w:color w:val="auto"/>
                      <w:lang w:val="en-US" w:eastAsia="zh-CN"/>
                    </w:rPr>
                    <w:t>本项目为电子专用材料制造，不涉及表面涂装和使用溶剂型涂料。</w:t>
                  </w:r>
                </w:p>
              </w:tc>
              <w:tc>
                <w:tcPr>
                  <w:tcW w:w="529" w:type="pct"/>
                  <w:noWrap w:val="0"/>
                  <w:vAlign w:val="center"/>
                </w:tcPr>
                <w:p w14:paraId="09A0C700">
                  <w:pPr>
                    <w:jc w:val="center"/>
                    <w:rPr>
                      <w:rFonts w:hint="eastAsia"/>
                      <w:color w:val="auto"/>
                      <w:sz w:val="21"/>
                      <w:szCs w:val="21"/>
                    </w:rPr>
                  </w:pPr>
                  <w:r>
                    <w:rPr>
                      <w:rFonts w:hint="eastAsia"/>
                      <w:color w:val="auto"/>
                      <w:sz w:val="21"/>
                      <w:szCs w:val="21"/>
                    </w:rPr>
                    <w:t>符合</w:t>
                  </w:r>
                </w:p>
              </w:tc>
            </w:tr>
          </w:tbl>
          <w:p w14:paraId="37E3CAE9">
            <w:pPr>
              <w:spacing w:line="360" w:lineRule="auto"/>
              <w:ind w:firstLine="480" w:firstLineChars="200"/>
              <w:rPr>
                <w:color w:val="auto"/>
              </w:rPr>
            </w:pPr>
            <w:r>
              <w:rPr>
                <w:rFonts w:hint="eastAsia"/>
                <w:color w:val="auto"/>
                <w:sz w:val="24"/>
                <w:szCs w:val="24"/>
              </w:rPr>
              <w:t>综上，项目与《江西省重点行业挥发性有机物综合治理方案》相符。</w:t>
            </w:r>
          </w:p>
          <w:p w14:paraId="26305CC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eastAsia="宋体" w:cs="宋体"/>
                <w:b/>
                <w:bCs/>
                <w:color w:val="auto"/>
                <w:kern w:val="0"/>
                <w:sz w:val="24"/>
                <w:szCs w:val="24"/>
                <w:lang w:val="en-US" w:eastAsia="zh-CN"/>
              </w:rPr>
            </w:pPr>
            <w:r>
              <w:rPr>
                <w:rFonts w:hint="eastAsia"/>
                <w:b/>
                <w:bCs/>
                <w:color w:val="auto"/>
                <w:sz w:val="24"/>
                <w:lang w:val="en-US" w:eastAsia="zh-CN"/>
              </w:rPr>
              <w:t>9、</w:t>
            </w:r>
            <w:r>
              <w:rPr>
                <w:rFonts w:hint="eastAsia" w:eastAsia="宋体" w:cs="宋体"/>
                <w:b/>
                <w:bCs/>
                <w:color w:val="auto"/>
                <w:kern w:val="0"/>
                <w:sz w:val="24"/>
                <w:szCs w:val="24"/>
                <w:lang w:val="en-US" w:eastAsia="zh-CN"/>
              </w:rPr>
              <w:t>与《江西省深入打好污染防治攻坚战挥发性有机物治理专项行动实施方案》相关要求</w:t>
            </w:r>
          </w:p>
          <w:p w14:paraId="2A4E4B0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eastAsia="宋体" w:cs="宋体"/>
                <w:color w:val="auto"/>
                <w:kern w:val="0"/>
                <w:sz w:val="24"/>
                <w:szCs w:val="24"/>
                <w:lang w:val="en-US" w:eastAsia="zh-CN"/>
              </w:rPr>
            </w:pPr>
            <w:r>
              <w:rPr>
                <w:rFonts w:hint="eastAsia" w:eastAsia="宋体" w:cs="宋体"/>
                <w:color w:val="auto"/>
                <w:kern w:val="0"/>
                <w:sz w:val="24"/>
                <w:szCs w:val="24"/>
                <w:lang w:val="en-US" w:eastAsia="zh-CN"/>
              </w:rPr>
              <w:t>本项目与《江西省深入打好污染防治攻坚战挥发性有机物治理专项行动实施方案》相关要求见下表：</w:t>
            </w:r>
          </w:p>
          <w:p w14:paraId="6AF7CC1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宋体" w:cs="宋体"/>
                <w:b/>
                <w:bCs/>
                <w:color w:val="auto"/>
                <w:kern w:val="0"/>
                <w:szCs w:val="21"/>
                <w:lang w:val="en-US" w:eastAsia="zh-CN"/>
              </w:rPr>
            </w:pPr>
            <w:r>
              <w:rPr>
                <w:rFonts w:hint="eastAsia" w:eastAsia="宋体" w:cs="宋体"/>
                <w:b/>
                <w:bCs/>
                <w:color w:val="auto"/>
                <w:kern w:val="0"/>
                <w:sz w:val="24"/>
                <w:szCs w:val="24"/>
                <w:lang w:val="en-US" w:eastAsia="zh-CN"/>
              </w:rPr>
              <w:t>表1-</w:t>
            </w:r>
            <w:r>
              <w:rPr>
                <w:rFonts w:hint="eastAsia" w:cs="宋体"/>
                <w:b/>
                <w:bCs/>
                <w:color w:val="auto"/>
                <w:kern w:val="0"/>
                <w:sz w:val="24"/>
                <w:szCs w:val="24"/>
                <w:lang w:val="en-US" w:eastAsia="zh-CN"/>
              </w:rPr>
              <w:t>12</w:t>
            </w:r>
            <w:r>
              <w:rPr>
                <w:rFonts w:hint="eastAsia" w:eastAsia="宋体" w:cs="宋体"/>
                <w:b/>
                <w:bCs/>
                <w:color w:val="auto"/>
                <w:kern w:val="0"/>
                <w:sz w:val="24"/>
                <w:szCs w:val="24"/>
                <w:lang w:val="en-US" w:eastAsia="zh-CN"/>
              </w:rPr>
              <w:t>与《江西省深入打好污染防治攻坚战挥发性有机物治理专项行动实施方案》相符性分析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3217"/>
              <w:gridCol w:w="2208"/>
            </w:tblGrid>
            <w:tr w14:paraId="7A87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noWrap w:val="0"/>
                  <w:vAlign w:val="center"/>
                </w:tcPr>
                <w:p w14:paraId="61E8290E">
                  <w:pPr>
                    <w:autoSpaceDE w:val="0"/>
                    <w:autoSpaceDN w:val="0"/>
                    <w:adjustRightInd w:val="0"/>
                    <w:snapToGrid w:val="0"/>
                    <w:spacing w:line="240" w:lineRule="auto"/>
                    <w:jc w:val="center"/>
                    <w:rPr>
                      <w:rFonts w:hint="eastAsia" w:eastAsia="宋体" w:cs="宋体"/>
                      <w:b/>
                      <w:bCs/>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相关政策要求</w:t>
                  </w:r>
                </w:p>
              </w:tc>
              <w:tc>
                <w:tcPr>
                  <w:tcW w:w="2429" w:type="pct"/>
                  <w:noWrap w:val="0"/>
                  <w:vAlign w:val="center"/>
                </w:tcPr>
                <w:p w14:paraId="4D631E3A">
                  <w:pPr>
                    <w:autoSpaceDE w:val="0"/>
                    <w:autoSpaceDN w:val="0"/>
                    <w:adjustRightInd w:val="0"/>
                    <w:snapToGrid w:val="0"/>
                    <w:spacing w:line="240" w:lineRule="auto"/>
                    <w:jc w:val="center"/>
                    <w:rPr>
                      <w:rFonts w:hint="eastAsia" w:eastAsia="宋体" w:cs="宋体"/>
                      <w:b/>
                      <w:bCs/>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重点任务</w:t>
                  </w:r>
                </w:p>
              </w:tc>
              <w:tc>
                <w:tcPr>
                  <w:tcW w:w="1667" w:type="pct"/>
                  <w:noWrap w:val="0"/>
                  <w:vAlign w:val="center"/>
                </w:tcPr>
                <w:p w14:paraId="1D0598DD">
                  <w:pPr>
                    <w:autoSpaceDE w:val="0"/>
                    <w:autoSpaceDN w:val="0"/>
                    <w:adjustRightInd w:val="0"/>
                    <w:snapToGrid w:val="0"/>
                    <w:spacing w:line="240" w:lineRule="auto"/>
                    <w:jc w:val="center"/>
                    <w:rPr>
                      <w:rFonts w:hint="eastAsia" w:eastAsia="宋体" w:cs="宋体"/>
                      <w:b/>
                      <w:bCs/>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本项目已采取的措施及改进建议</w:t>
                  </w:r>
                </w:p>
              </w:tc>
            </w:tr>
            <w:tr w14:paraId="76A4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restart"/>
                  <w:noWrap w:val="0"/>
                  <w:vAlign w:val="center"/>
                </w:tcPr>
                <w:p w14:paraId="034CF411">
                  <w:pPr>
                    <w:autoSpaceDE w:val="0"/>
                    <w:autoSpaceDN w:val="0"/>
                    <w:adjustRightInd w:val="0"/>
                    <w:snapToGrid w:val="0"/>
                    <w:spacing w:line="240" w:lineRule="auto"/>
                    <w:jc w:val="center"/>
                    <w:rPr>
                      <w:rFonts w:hint="eastAsia" w:eastAsia="宋体" w:cs="宋体"/>
                      <w:color w:val="auto"/>
                      <w:kern w:val="0"/>
                      <w:sz w:val="21"/>
                      <w:szCs w:val="21"/>
                      <w:vertAlign w:val="baseline"/>
                      <w:lang w:val="en-US" w:eastAsia="zh-CN"/>
                    </w:rPr>
                  </w:pPr>
                  <w:r>
                    <w:rPr>
                      <w:rFonts w:hint="eastAsia" w:eastAsia="宋体" w:cs="宋体"/>
                      <w:color w:val="auto"/>
                      <w:kern w:val="0"/>
                      <w:sz w:val="21"/>
                      <w:szCs w:val="21"/>
                      <w:vertAlign w:val="baseline"/>
                      <w:lang w:val="en-US" w:eastAsia="zh-CN"/>
                    </w:rPr>
                    <w:t>江西省深入打好污染防治攻坚战挥发性有机物治理专项行动实施方案</w:t>
                  </w:r>
                </w:p>
              </w:tc>
              <w:tc>
                <w:tcPr>
                  <w:tcW w:w="2429" w:type="pct"/>
                  <w:noWrap w:val="0"/>
                  <w:vAlign w:val="center"/>
                </w:tcPr>
                <w:p w14:paraId="29491CA2">
                  <w:pPr>
                    <w:autoSpaceDE w:val="0"/>
                    <w:autoSpaceDN w:val="0"/>
                    <w:adjustRightInd w:val="0"/>
                    <w:snapToGrid w:val="0"/>
                    <w:spacing w:line="240" w:lineRule="auto"/>
                    <w:jc w:val="center"/>
                    <w:rPr>
                      <w:rFonts w:hint="eastAsia" w:eastAsia="宋体" w:cs="宋体"/>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大力推进VOCs原辅材料源头替代。</w:t>
                  </w:r>
                  <w:r>
                    <w:rPr>
                      <w:rFonts w:hint="eastAsia" w:eastAsia="宋体" w:cs="宋体"/>
                      <w:color w:val="auto"/>
                      <w:kern w:val="0"/>
                      <w:sz w:val="21"/>
                      <w:szCs w:val="21"/>
                      <w:vertAlign w:val="baseline"/>
                      <w:lang w:val="en-US" w:eastAsia="zh-CN"/>
                    </w:rPr>
                    <w:t>严格落实国家和地方产品VOCs含量限制标准，对溶剂型涂料、油墨、胶粘剂、清洗剂使用企业制定低VOCs含量原辅材料替代计划。到2025年，溶剂型工业涂料、油墨、胶粘剂等使用量下降比例达到国家要求。推动建立多部门联合执法机制，组织开展含VOCs原辅材料达标情况联合检查，定期对生产企业、销售场所进行检查抽查，曝光不合格产品并追溯其生产、销售、进口、使用企业，依法追究责任。</w:t>
                  </w:r>
                </w:p>
              </w:tc>
              <w:tc>
                <w:tcPr>
                  <w:tcW w:w="1667" w:type="pct"/>
                  <w:noWrap w:val="0"/>
                  <w:vAlign w:val="center"/>
                </w:tcPr>
                <w:p w14:paraId="54186E60">
                  <w:pPr>
                    <w:autoSpaceDE w:val="0"/>
                    <w:autoSpaceDN w:val="0"/>
                    <w:adjustRightInd w:val="0"/>
                    <w:snapToGrid w:val="0"/>
                    <w:spacing w:line="240" w:lineRule="auto"/>
                    <w:jc w:val="center"/>
                    <w:rPr>
                      <w:rFonts w:hint="eastAsia" w:eastAsia="宋体" w:cs="宋体"/>
                      <w:color w:val="auto"/>
                      <w:kern w:val="0"/>
                      <w:sz w:val="21"/>
                      <w:szCs w:val="21"/>
                      <w:vertAlign w:val="baseline"/>
                      <w:lang w:val="en-US" w:eastAsia="zh-CN"/>
                    </w:rPr>
                  </w:pPr>
                  <w:r>
                    <w:rPr>
                      <w:rFonts w:hint="eastAsia" w:ascii="Times New Roman" w:hAnsi="Times New Roman" w:cs="宋体"/>
                      <w:color w:val="auto"/>
                      <w:sz w:val="21"/>
                      <w:szCs w:val="21"/>
                      <w:lang w:val="en-US" w:eastAsia="zh-CN"/>
                    </w:rPr>
                    <w:t>本项目胶黏剂使用量为12.041t/a主要使用磁材胶，12吨每年，根据检测报告挥发性有机物为未检出，仅少部分使用M型单组份环氧胶粘剂，0.041t</w:t>
                  </w:r>
                  <w:r>
                    <w:rPr>
                      <w:rFonts w:hint="eastAsia" w:cs="宋体"/>
                      <w:color w:val="auto"/>
                      <w:sz w:val="21"/>
                      <w:szCs w:val="21"/>
                      <w:lang w:val="en-US" w:eastAsia="zh-CN"/>
                    </w:rPr>
                    <w:t>/</w:t>
                  </w:r>
                  <w:r>
                    <w:rPr>
                      <w:rFonts w:hint="eastAsia" w:ascii="Times New Roman" w:hAnsi="Times New Roman" w:cs="宋体"/>
                      <w:color w:val="auto"/>
                      <w:sz w:val="21"/>
                      <w:szCs w:val="21"/>
                      <w:lang w:val="en-US" w:eastAsia="zh-CN"/>
                    </w:rPr>
                    <w:t>a，替代率占比为约99%，符合原辅材料源头替代</w:t>
                  </w:r>
                  <w:r>
                    <w:rPr>
                      <w:rFonts w:hint="eastAsia" w:ascii="Times New Roman" w:hAnsi="Times New Roman" w:eastAsia="宋体" w:cs="宋体"/>
                      <w:color w:val="auto"/>
                      <w:sz w:val="21"/>
                      <w:szCs w:val="21"/>
                      <w:lang w:val="en-US" w:eastAsia="zh-CN"/>
                    </w:rPr>
                    <w:t>。</w:t>
                  </w:r>
                </w:p>
              </w:tc>
            </w:tr>
            <w:tr w14:paraId="19AE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noWrap w:val="0"/>
                  <w:vAlign w:val="center"/>
                </w:tcPr>
                <w:p w14:paraId="0F20561B">
                  <w:pPr>
                    <w:autoSpaceDE w:val="0"/>
                    <w:autoSpaceDN w:val="0"/>
                    <w:adjustRightInd w:val="0"/>
                    <w:snapToGrid w:val="0"/>
                    <w:spacing w:line="240" w:lineRule="auto"/>
                    <w:jc w:val="center"/>
                    <w:rPr>
                      <w:rFonts w:hint="eastAsia" w:eastAsia="宋体" w:cs="宋体"/>
                      <w:color w:val="auto"/>
                      <w:kern w:val="0"/>
                      <w:sz w:val="21"/>
                      <w:szCs w:val="21"/>
                      <w:vertAlign w:val="baseline"/>
                      <w:lang w:val="en-US" w:eastAsia="zh-CN"/>
                    </w:rPr>
                  </w:pPr>
                </w:p>
              </w:tc>
              <w:tc>
                <w:tcPr>
                  <w:tcW w:w="2429" w:type="pct"/>
                  <w:noWrap w:val="0"/>
                  <w:vAlign w:val="center"/>
                </w:tcPr>
                <w:p w14:paraId="261EA704">
                  <w:pPr>
                    <w:autoSpaceDE w:val="0"/>
                    <w:autoSpaceDN w:val="0"/>
                    <w:adjustRightInd w:val="0"/>
                    <w:snapToGrid w:val="0"/>
                    <w:spacing w:line="240" w:lineRule="auto"/>
                    <w:jc w:val="center"/>
                    <w:rPr>
                      <w:rFonts w:hint="eastAsia" w:eastAsia="宋体" w:cs="宋体"/>
                      <w:b/>
                      <w:bCs/>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全面加强VOCs无组织排放控制。</w:t>
                  </w:r>
                  <w:r>
                    <w:rPr>
                      <w:rFonts w:hint="eastAsia" w:eastAsia="宋体" w:cs="宋体"/>
                      <w:b w:val="0"/>
                      <w:bCs w:val="0"/>
                      <w:color w:val="auto"/>
                      <w:kern w:val="0"/>
                      <w:sz w:val="21"/>
                      <w:szCs w:val="21"/>
                      <w:vertAlign w:val="baseline"/>
                      <w:lang w:val="en-US" w:eastAsia="zh-CN"/>
                    </w:rPr>
                    <w:t>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1667" w:type="pct"/>
                  <w:noWrap w:val="0"/>
                  <w:vAlign w:val="center"/>
                </w:tcPr>
                <w:p w14:paraId="4B71F763">
                  <w:pPr>
                    <w:autoSpaceDE w:val="0"/>
                    <w:autoSpaceDN w:val="0"/>
                    <w:adjustRightInd w:val="0"/>
                    <w:snapToGrid w:val="0"/>
                    <w:spacing w:line="240" w:lineRule="auto"/>
                    <w:jc w:val="center"/>
                    <w:rPr>
                      <w:rFonts w:ascii="宋体" w:hAnsi="宋体" w:eastAsia="宋体" w:cs="宋体"/>
                      <w:color w:val="auto"/>
                      <w:sz w:val="21"/>
                      <w:szCs w:val="21"/>
                    </w:rPr>
                  </w:pPr>
                  <w:r>
                    <w:rPr>
                      <w:rFonts w:hint="eastAsia" w:ascii="宋体" w:hAnsi="宋体" w:eastAsia="宋体" w:cs="宋体"/>
                      <w:color w:val="auto"/>
                      <w:sz w:val="21"/>
                      <w:szCs w:val="21"/>
                    </w:rPr>
                    <w:t>本项目</w:t>
                  </w:r>
                  <w:r>
                    <w:rPr>
                      <w:rFonts w:hint="eastAsia" w:ascii="宋体" w:hAnsi="宋体" w:cs="宋体"/>
                      <w:color w:val="auto"/>
                      <w:sz w:val="21"/>
                      <w:szCs w:val="21"/>
                      <w:lang w:val="en-US" w:eastAsia="zh-CN"/>
                    </w:rPr>
                    <w:t>主要挥发性有机物来源于切削液的使用，会产生少量的油雾，以非甲烷总烃表征，因产生量极小，为设置集气罩进行收集，故以无组织形式排放</w:t>
                  </w:r>
                  <w:r>
                    <w:rPr>
                      <w:rFonts w:hint="eastAsia" w:ascii="宋体" w:hAnsi="宋体" w:eastAsia="宋体" w:cs="宋体"/>
                      <w:color w:val="auto"/>
                      <w:sz w:val="21"/>
                      <w:szCs w:val="21"/>
                    </w:rPr>
                    <w:t>。</w:t>
                  </w:r>
                </w:p>
              </w:tc>
            </w:tr>
            <w:tr w14:paraId="76D1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noWrap w:val="0"/>
                  <w:vAlign w:val="center"/>
                </w:tcPr>
                <w:p w14:paraId="14F14B17">
                  <w:pPr>
                    <w:autoSpaceDE w:val="0"/>
                    <w:autoSpaceDN w:val="0"/>
                    <w:adjustRightInd w:val="0"/>
                    <w:snapToGrid w:val="0"/>
                    <w:spacing w:line="240" w:lineRule="auto"/>
                    <w:jc w:val="center"/>
                    <w:rPr>
                      <w:rFonts w:hint="eastAsia" w:eastAsia="宋体" w:cs="宋体"/>
                      <w:color w:val="auto"/>
                      <w:kern w:val="0"/>
                      <w:sz w:val="21"/>
                      <w:szCs w:val="21"/>
                      <w:vertAlign w:val="baseline"/>
                      <w:lang w:val="en-US" w:eastAsia="zh-CN"/>
                    </w:rPr>
                  </w:pPr>
                </w:p>
              </w:tc>
              <w:tc>
                <w:tcPr>
                  <w:tcW w:w="2429" w:type="pct"/>
                  <w:noWrap w:val="0"/>
                  <w:vAlign w:val="center"/>
                </w:tcPr>
                <w:p w14:paraId="4C0D46AA">
                  <w:pPr>
                    <w:autoSpaceDE w:val="0"/>
                    <w:autoSpaceDN w:val="0"/>
                    <w:adjustRightInd w:val="0"/>
                    <w:snapToGrid w:val="0"/>
                    <w:spacing w:line="240" w:lineRule="auto"/>
                    <w:jc w:val="center"/>
                    <w:rPr>
                      <w:rFonts w:hint="eastAsia" w:eastAsia="宋体" w:cs="宋体"/>
                      <w:b/>
                      <w:bCs/>
                      <w:color w:val="auto"/>
                      <w:kern w:val="0"/>
                      <w:sz w:val="21"/>
                      <w:szCs w:val="21"/>
                      <w:vertAlign w:val="baseline"/>
                      <w:lang w:val="en-US" w:eastAsia="zh-CN"/>
                    </w:rPr>
                  </w:pPr>
                  <w:r>
                    <w:rPr>
                      <w:rFonts w:hint="eastAsia" w:eastAsia="宋体" w:cs="宋体"/>
                      <w:b/>
                      <w:bCs/>
                      <w:color w:val="auto"/>
                      <w:kern w:val="0"/>
                      <w:sz w:val="21"/>
                      <w:szCs w:val="21"/>
                      <w:vertAlign w:val="baseline"/>
                      <w:lang w:val="en-US" w:eastAsia="zh-CN"/>
                    </w:rPr>
                    <w:t>持续提升治污设施“三率”。</w:t>
                  </w:r>
                  <w:r>
                    <w:rPr>
                      <w:rFonts w:hint="eastAsia" w:eastAsia="宋体" w:cs="宋体"/>
                      <w:b w:val="0"/>
                      <w:bCs w:val="0"/>
                      <w:color w:val="auto"/>
                      <w:kern w:val="0"/>
                      <w:sz w:val="21"/>
                      <w:szCs w:val="21"/>
                      <w:vertAlign w:val="baseline"/>
                      <w:lang w:val="en-US" w:eastAsia="zh-CN"/>
                    </w:rPr>
                    <w:t>组织开展现有VOCs废气收集率、治理设施同步运行率和去除率自查，对达不到要求的VOCs收集、治理设施进行更换或升级改造，实现达标排放。对单一采用光氧化、光催化、低温等离子、一次活性炭吸附、喷淋吸收、生物法等工艺设施的，要重点加强效果评估。行业排放标准中规定特别排放限值和控制要求的，应按相关规定执行；未制定行业标准的应执行《大气污染物综合排放标准》和《挥发性有机物无组织排放控</w:t>
                  </w:r>
                  <w:r>
                    <w:rPr>
                      <w:rFonts w:hint="eastAsia" w:cs="宋体"/>
                      <w:b w:val="0"/>
                      <w:bCs w:val="0"/>
                      <w:color w:val="auto"/>
                      <w:kern w:val="0"/>
                      <w:sz w:val="21"/>
                      <w:szCs w:val="21"/>
                      <w:vertAlign w:val="baseline"/>
                      <w:lang w:val="en-US" w:eastAsia="zh-CN"/>
                    </w:rPr>
                    <w:t>制标</w:t>
                  </w:r>
                  <w:r>
                    <w:rPr>
                      <w:rFonts w:hint="eastAsia" w:eastAsia="宋体" w:cs="宋体"/>
                      <w:b w:val="0"/>
                      <w:bCs w:val="0"/>
                      <w:color w:val="auto"/>
                      <w:kern w:val="0"/>
                      <w:sz w:val="21"/>
                      <w:szCs w:val="21"/>
                      <w:vertAlign w:val="baseline"/>
                      <w:lang w:val="en-US" w:eastAsia="zh-CN"/>
                    </w:rPr>
                    <w:t>准》</w:t>
                  </w:r>
                  <w:r>
                    <w:rPr>
                      <w:rFonts w:hint="eastAsia" w:cs="宋体"/>
                      <w:b w:val="0"/>
                      <w:bCs w:val="0"/>
                      <w:color w:val="auto"/>
                      <w:kern w:val="0"/>
                      <w:sz w:val="21"/>
                      <w:szCs w:val="21"/>
                      <w:vertAlign w:val="baseline"/>
                      <w:lang w:val="en-US" w:eastAsia="zh-CN"/>
                    </w:rPr>
                    <w:t>。</w:t>
                  </w:r>
                </w:p>
              </w:tc>
              <w:tc>
                <w:tcPr>
                  <w:tcW w:w="1667" w:type="pct"/>
                  <w:noWrap w:val="0"/>
                  <w:vAlign w:val="center"/>
                </w:tcPr>
                <w:p w14:paraId="5B3E50E8">
                  <w:pPr>
                    <w:autoSpaceDE w:val="0"/>
                    <w:autoSpaceDN w:val="0"/>
                    <w:adjustRightInd w:val="0"/>
                    <w:snapToGrid w:val="0"/>
                    <w:spacing w:line="240" w:lineRule="auto"/>
                    <w:jc w:val="center"/>
                    <w:rPr>
                      <w:rFonts w:hint="default" w:ascii="宋体" w:hAnsi="宋体" w:eastAsia="宋体" w:cs="宋体"/>
                      <w:color w:val="auto"/>
                      <w:sz w:val="21"/>
                      <w:szCs w:val="21"/>
                      <w:lang w:val="en-US" w:eastAsia="zh-CN"/>
                    </w:rPr>
                  </w:pPr>
                  <w:r>
                    <w:rPr>
                      <w:rFonts w:hint="eastAsia" w:ascii="Times New Roman" w:hAnsi="Times New Roman" w:eastAsia="宋体" w:cs="宋体"/>
                      <w:color w:val="auto"/>
                      <w:sz w:val="21"/>
                      <w:szCs w:val="21"/>
                    </w:rPr>
                    <w:t>本项目</w:t>
                  </w:r>
                  <w:r>
                    <w:rPr>
                      <w:rFonts w:hint="eastAsia" w:ascii="Times New Roman" w:hAnsi="Times New Roman" w:cs="宋体"/>
                      <w:color w:val="auto"/>
                      <w:sz w:val="21"/>
                      <w:szCs w:val="21"/>
                      <w:lang w:val="en-US" w:eastAsia="zh-CN"/>
                    </w:rPr>
                    <w:t>无组织满足《大气污染物综合排放标准》（GB16297-1996）表2无组织排放监控浓度排放限值和《挥发性有机物无组织排放控制标准》（GB37822-2019）要求</w:t>
                  </w:r>
                </w:p>
              </w:tc>
            </w:tr>
          </w:tbl>
          <w:p w14:paraId="09BEAA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ascii="宋体" w:hAnsi="宋体" w:eastAsia="宋体" w:cs="宋体"/>
                <w:color w:val="auto"/>
                <w:sz w:val="24"/>
                <w:szCs w:val="24"/>
              </w:rPr>
              <w:t>通过上表分析，项目基本符合《江西省深入打好污染防治攻坚战挥发性有机物治理专项行动实施方案》相关要求。</w:t>
            </w:r>
          </w:p>
        </w:tc>
      </w:tr>
    </w:tbl>
    <w:p w14:paraId="10D5CBFF">
      <w:pPr>
        <w:spacing w:line="360" w:lineRule="auto"/>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7710F1A">
      <w:pPr>
        <w:pStyle w:val="20"/>
        <w:spacing w:before="0" w:beforeAutospacing="0" w:after="0" w:afterAutospacing="0"/>
        <w:jc w:val="center"/>
        <w:outlineLvl w:val="0"/>
        <w:rPr>
          <w:rFonts w:ascii="黑体" w:hAnsi="黑体" w:eastAsia="黑体"/>
          <w:snapToGrid w:val="0"/>
          <w:color w:val="auto"/>
          <w:sz w:val="30"/>
          <w:szCs w:val="30"/>
        </w:rPr>
      </w:pPr>
      <w:bookmarkStart w:id="8" w:name="_Toc1560"/>
      <w:bookmarkStart w:id="9" w:name="_Toc2126"/>
      <w:r>
        <w:rPr>
          <w:rFonts w:hint="eastAsia" w:ascii="黑体" w:hAnsi="黑体" w:eastAsia="黑体"/>
          <w:snapToGrid w:val="0"/>
          <w:color w:val="auto"/>
          <w:sz w:val="30"/>
          <w:szCs w:val="30"/>
        </w:rPr>
        <w:t>二、建设项目工程分析</w:t>
      </w:r>
      <w:bookmarkEnd w:id="8"/>
      <w:bookmarkEnd w:id="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9527"/>
      </w:tblGrid>
      <w:tr w14:paraId="3DD5E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6FF4EA6F">
            <w:pPr>
              <w:pStyle w:val="20"/>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Cs w:val="24"/>
              </w:rPr>
              <w:t>建设内容</w:t>
            </w:r>
          </w:p>
        </w:tc>
        <w:tc>
          <w:tcPr>
            <w:tcW w:w="9504" w:type="dxa"/>
          </w:tcPr>
          <w:p w14:paraId="50D3C936">
            <w:pPr>
              <w:adjustRightInd w:val="0"/>
              <w:snapToGrid w:val="0"/>
              <w:spacing w:line="360" w:lineRule="auto"/>
              <w:ind w:firstLine="482" w:firstLineChars="200"/>
              <w:rPr>
                <w:b/>
                <w:bCs/>
                <w:color w:val="auto"/>
                <w:sz w:val="24"/>
              </w:rPr>
            </w:pPr>
            <w:r>
              <w:rPr>
                <w:rFonts w:hint="eastAsia"/>
                <w:b/>
                <w:bCs/>
                <w:color w:val="auto"/>
                <w:sz w:val="24"/>
              </w:rPr>
              <w:t>1、项目由来</w:t>
            </w:r>
          </w:p>
          <w:p w14:paraId="05FE81DE">
            <w:pPr>
              <w:adjustRightInd w:val="0"/>
              <w:snapToGrid w:val="0"/>
              <w:spacing w:line="360" w:lineRule="auto"/>
              <w:ind w:firstLine="480" w:firstLineChars="200"/>
              <w:rPr>
                <w:color w:val="auto"/>
                <w:sz w:val="24"/>
              </w:rPr>
            </w:pPr>
            <w:r>
              <w:rPr>
                <w:rFonts w:hint="eastAsia" w:cs="宋体"/>
                <w:color w:val="auto"/>
                <w:sz w:val="24"/>
              </w:rPr>
              <w:t>江西劲诚永磁新材料有限公司由江西金力永磁科技股份有限公司100%控股，江西劲诚永磁新材料有限公司新建机械加工及组件制造中心项目</w:t>
            </w:r>
            <w:r>
              <w:rPr>
                <w:bCs/>
                <w:color w:val="auto"/>
                <w:sz w:val="24"/>
              </w:rPr>
              <w:t>（以下简称“本项目”）位于</w:t>
            </w:r>
            <w:r>
              <w:rPr>
                <w:rFonts w:hint="eastAsia" w:cs="宋体"/>
                <w:color w:val="auto"/>
                <w:sz w:val="24"/>
              </w:rPr>
              <w:t>江西省赣州市赣州经济技术开发区东至科技大道、南至湘江路、西至青云山路、北至旭日大道</w:t>
            </w:r>
            <w:r>
              <w:rPr>
                <w:bCs/>
                <w:color w:val="auto"/>
                <w:sz w:val="24"/>
              </w:rPr>
              <w:t>（</w:t>
            </w:r>
            <w:r>
              <w:rPr>
                <w:rFonts w:hint="eastAsia"/>
                <w:color w:val="auto"/>
                <w:sz w:val="24"/>
              </w:rPr>
              <w:t>东经</w:t>
            </w:r>
            <w:r>
              <w:rPr>
                <w:color w:val="auto"/>
                <w:sz w:val="24"/>
              </w:rPr>
              <w:t>114°44′53.264″</w:t>
            </w:r>
            <w:r>
              <w:rPr>
                <w:rFonts w:hint="eastAsia"/>
                <w:color w:val="auto"/>
                <w:sz w:val="24"/>
              </w:rPr>
              <w:t>，北纬</w:t>
            </w:r>
            <w:r>
              <w:rPr>
                <w:color w:val="auto"/>
                <w:sz w:val="24"/>
              </w:rPr>
              <w:t>25°46′34.454″</w:t>
            </w:r>
            <w:r>
              <w:rPr>
                <w:bCs/>
                <w:color w:val="auto"/>
                <w:sz w:val="24"/>
              </w:rPr>
              <w:t>）（位置详见附图1）</w:t>
            </w:r>
            <w:r>
              <w:rPr>
                <w:rFonts w:hint="eastAsia"/>
                <w:bCs/>
                <w:color w:val="auto"/>
                <w:sz w:val="24"/>
              </w:rPr>
              <w:t>。本项目为二期项目，一期工程为</w:t>
            </w:r>
            <w:r>
              <w:rPr>
                <w:color w:val="auto"/>
                <w:sz w:val="24"/>
              </w:rPr>
              <w:t>江西劲诚永磁新材料有限公司高效节能电机用磁材基地项目</w:t>
            </w:r>
            <w:r>
              <w:rPr>
                <w:rFonts w:hint="eastAsia"/>
                <w:color w:val="auto"/>
                <w:sz w:val="24"/>
              </w:rPr>
              <w:t>，于</w:t>
            </w:r>
            <w:r>
              <w:rPr>
                <w:color w:val="auto"/>
                <w:sz w:val="24"/>
              </w:rPr>
              <w:t>20</w:t>
            </w:r>
            <w:r>
              <w:rPr>
                <w:rFonts w:hint="eastAsia"/>
                <w:color w:val="auto"/>
                <w:sz w:val="24"/>
              </w:rPr>
              <w:t>24</w:t>
            </w:r>
            <w:r>
              <w:rPr>
                <w:color w:val="auto"/>
                <w:sz w:val="24"/>
              </w:rPr>
              <w:t>年</w:t>
            </w:r>
            <w:r>
              <w:rPr>
                <w:rFonts w:hint="eastAsia"/>
                <w:color w:val="auto"/>
                <w:sz w:val="24"/>
              </w:rPr>
              <w:t>1</w:t>
            </w:r>
            <w:r>
              <w:rPr>
                <w:color w:val="auto"/>
                <w:sz w:val="24"/>
              </w:rPr>
              <w:t>月</w:t>
            </w:r>
            <w:r>
              <w:rPr>
                <w:rFonts w:hint="eastAsia"/>
                <w:color w:val="auto"/>
                <w:sz w:val="24"/>
              </w:rPr>
              <w:t>23</w:t>
            </w:r>
            <w:r>
              <w:rPr>
                <w:color w:val="auto"/>
                <w:sz w:val="24"/>
              </w:rPr>
              <w:t>日得到</w:t>
            </w:r>
            <w:r>
              <w:rPr>
                <w:rFonts w:hint="eastAsia"/>
                <w:color w:val="auto"/>
                <w:sz w:val="24"/>
              </w:rPr>
              <w:t>江西省生态环境厅</w:t>
            </w:r>
            <w:r>
              <w:rPr>
                <w:color w:val="auto"/>
                <w:sz w:val="24"/>
              </w:rPr>
              <w:t>《关于江西劲诚永磁新材料有限公司高效节能电机用磁材基地项目环境影响报告书的批复》（</w:t>
            </w:r>
            <w:r>
              <w:rPr>
                <w:rStyle w:val="31"/>
                <w:rFonts w:hint="eastAsia"/>
                <w:color w:val="auto"/>
                <w:sz w:val="24"/>
              </w:rPr>
              <w:t>赣环审〔2024〕6号</w:t>
            </w:r>
            <w:r>
              <w:rPr>
                <w:color w:val="auto"/>
                <w:sz w:val="24"/>
              </w:rPr>
              <w:t>）</w:t>
            </w:r>
            <w:r>
              <w:rPr>
                <w:rFonts w:hint="eastAsia"/>
                <w:color w:val="auto"/>
                <w:sz w:val="24"/>
              </w:rPr>
              <w:t>（</w:t>
            </w:r>
            <w:r>
              <w:rPr>
                <w:rStyle w:val="31"/>
                <w:rFonts w:hint="eastAsia"/>
                <w:color w:val="auto"/>
                <w:sz w:val="24"/>
              </w:rPr>
              <w:t>以下简称“一期工程”</w:t>
            </w:r>
            <w:r>
              <w:rPr>
                <w:rFonts w:hint="eastAsia"/>
                <w:color w:val="auto"/>
                <w:sz w:val="24"/>
              </w:rPr>
              <w:t>），一期工程主要产品方案为年产5000吨粘结磁（其中2000吨注射粘结磁、3000吨模压粘结磁）及2万吨磁材表面处理能力。一期工程主要建设内容为拟建5000t/a粘结磁生产线和磁材表面处理线96条（其中全自动挂镀镍铜镍线13条，全自动滚镀镍铜镍线12条，全自动滚镀镍铜镍+化学镀镍线10条，全自动挂镀锌线5条，全自动滚镀锌线6条，半自动3C滚镀锌线4条，半自动滚镀锌/锌镍合金线4条，全自动滚镀磷化线4条，全自动挂镀电泳线13条，全自动滚镀锡线3条，退镀线8条，自动喷涂线14条）。一期工程暂未完全投产，未进行验收。</w:t>
            </w:r>
          </w:p>
          <w:p w14:paraId="0DCAA7C6">
            <w:pPr>
              <w:adjustRightInd w:val="0"/>
              <w:snapToGrid w:val="0"/>
              <w:spacing w:line="360" w:lineRule="auto"/>
              <w:ind w:firstLine="480" w:firstLineChars="200"/>
              <w:rPr>
                <w:bCs/>
                <w:color w:val="auto"/>
                <w:sz w:val="24"/>
              </w:rPr>
            </w:pPr>
            <w:r>
              <w:rPr>
                <w:rFonts w:hint="eastAsia"/>
                <w:bCs/>
                <w:color w:val="auto"/>
                <w:sz w:val="24"/>
              </w:rPr>
              <w:t>按照《中华人民共和国环境保护法》、《中华人民共和国环境影响评价法》以及《建设项目环境保护管理条例》（国务院令第682号）的要求，该项目应进行环境影响评价。根据生态环境部第16号令《建设项目环境影响评价分类管理名录（</w:t>
            </w:r>
            <w:r>
              <w:rPr>
                <w:rFonts w:hint="eastAsia"/>
                <w:bCs/>
                <w:color w:val="auto"/>
                <w:sz w:val="24"/>
                <w:lang w:eastAsia="zh-CN"/>
              </w:rPr>
              <w:t>2025年版</w:t>
            </w:r>
            <w:r>
              <w:rPr>
                <w:rFonts w:hint="eastAsia"/>
                <w:bCs/>
                <w:color w:val="auto"/>
                <w:sz w:val="24"/>
              </w:rPr>
              <w:t>）》，本项目属于“三十六、计算机、通信和其他电子设备制造业”大类“</w:t>
            </w:r>
            <w:r>
              <w:rPr>
                <w:rFonts w:hint="eastAsia"/>
                <w:bCs/>
                <w:color w:val="auto"/>
                <w:sz w:val="24"/>
                <w:lang w:val="en-US" w:eastAsia="zh-CN"/>
              </w:rPr>
              <w:t>81.</w:t>
            </w:r>
            <w:r>
              <w:rPr>
                <w:rFonts w:hint="eastAsia"/>
                <w:bCs/>
                <w:color w:val="auto"/>
                <w:sz w:val="24"/>
              </w:rPr>
              <w:t>电子元件及电子专用材料制造398”小类中的“印刷电路板制造；电子专用材料制造（电子化工材料制造除外）；使用有机溶剂的；有酸洗的以上均不含仅分割、焊接、组装的”项，应编制环境影响报告表</w:t>
            </w:r>
            <w:r>
              <w:rPr>
                <w:rStyle w:val="31"/>
                <w:rFonts w:hint="eastAsia"/>
                <w:color w:val="auto"/>
                <w:kern w:val="0"/>
                <w:szCs w:val="20"/>
              </w:rPr>
              <w:t>。</w:t>
            </w:r>
          </w:p>
          <w:p w14:paraId="2FABA79F">
            <w:pPr>
              <w:adjustRightInd w:val="0"/>
              <w:snapToGrid w:val="0"/>
              <w:spacing w:line="360" w:lineRule="auto"/>
              <w:ind w:firstLine="480" w:firstLineChars="200"/>
              <w:rPr>
                <w:bCs/>
                <w:color w:val="auto"/>
                <w:sz w:val="24"/>
              </w:rPr>
            </w:pPr>
            <w:r>
              <w:rPr>
                <w:rFonts w:hint="eastAsia"/>
                <w:bCs/>
                <w:color w:val="auto"/>
                <w:sz w:val="24"/>
              </w:rPr>
              <w:t>受江西劲诚永磁新材料有限公司的委托，我单位进行该项目的环境影响评价工作。接受委托后，我单位技术人员对项目所在区域进行了现场踏勘，结合项目实际情况展开资料收集工作，并在征求当地生态环境行政主管部门意见的基础上，编制完成了本项目的环境影响报告表。</w:t>
            </w:r>
          </w:p>
          <w:p w14:paraId="433B1230">
            <w:pPr>
              <w:adjustRightInd w:val="0"/>
              <w:snapToGrid w:val="0"/>
              <w:spacing w:line="360" w:lineRule="auto"/>
              <w:ind w:firstLine="482" w:firstLineChars="200"/>
              <w:rPr>
                <w:b/>
                <w:bCs/>
                <w:color w:val="auto"/>
                <w:sz w:val="24"/>
              </w:rPr>
            </w:pPr>
            <w:r>
              <w:rPr>
                <w:rFonts w:hint="eastAsia"/>
                <w:b/>
                <w:bCs/>
                <w:color w:val="auto"/>
                <w:sz w:val="24"/>
              </w:rPr>
              <w:t>2、建设内容及规模</w:t>
            </w:r>
          </w:p>
          <w:p w14:paraId="010F8114">
            <w:pPr>
              <w:adjustRightInd w:val="0"/>
              <w:snapToGrid w:val="0"/>
              <w:spacing w:line="360" w:lineRule="auto"/>
              <w:ind w:firstLine="480" w:firstLineChars="200"/>
              <w:rPr>
                <w:color w:val="auto"/>
                <w:sz w:val="24"/>
              </w:rPr>
            </w:pPr>
            <w:r>
              <w:rPr>
                <w:rFonts w:hint="eastAsia"/>
                <w:color w:val="auto"/>
                <w:sz w:val="24"/>
              </w:rPr>
              <w:t>本项目选址于江西省赣州市赣州经济技术开发区东至科技大道、南至湘江路、西至青云山路、北至旭日大道，厂址中心地理坐标为东经</w:t>
            </w:r>
            <w:r>
              <w:rPr>
                <w:color w:val="auto"/>
                <w:sz w:val="24"/>
              </w:rPr>
              <w:t>114°44′53.264″</w:t>
            </w:r>
            <w:r>
              <w:rPr>
                <w:rFonts w:hint="eastAsia"/>
                <w:color w:val="auto"/>
                <w:sz w:val="24"/>
              </w:rPr>
              <w:t>，北纬</w:t>
            </w:r>
            <w:r>
              <w:rPr>
                <w:color w:val="auto"/>
                <w:sz w:val="24"/>
              </w:rPr>
              <w:t>25°46′34.454</w:t>
            </w:r>
            <w:r>
              <w:rPr>
                <w:rFonts w:hint="eastAsia"/>
                <w:color w:val="auto"/>
                <w:sz w:val="24"/>
              </w:rPr>
              <w:t>″。本项目总投资46368.65万元，</w:t>
            </w:r>
            <w:r>
              <w:rPr>
                <w:rFonts w:hint="eastAsia"/>
                <w:color w:val="auto"/>
                <w:sz w:val="24"/>
                <w:lang w:val="en-US" w:eastAsia="zh-CN"/>
              </w:rPr>
              <w:t>建筑面积</w:t>
            </w:r>
            <w:r>
              <w:rPr>
                <w:rFonts w:hint="eastAsia"/>
                <w:color w:val="auto"/>
                <w:sz w:val="24"/>
              </w:rPr>
              <w:t>约29655.82</w:t>
            </w:r>
            <w:r>
              <w:rPr>
                <w:color w:val="auto"/>
                <w:sz w:val="24"/>
              </w:rPr>
              <w:t>m</w:t>
            </w:r>
            <w:r>
              <w:rPr>
                <w:color w:val="auto"/>
                <w:sz w:val="24"/>
                <w:vertAlign w:val="superscript"/>
              </w:rPr>
              <w:t>2</w:t>
            </w:r>
            <w:r>
              <w:rPr>
                <w:rFonts w:hint="eastAsia"/>
                <w:color w:val="auto"/>
                <w:sz w:val="24"/>
              </w:rPr>
              <w:t>。主要新建2#危化品仓库、9#车间、7#车间及配套环保设施等，项目建设组成见表2-1。</w:t>
            </w:r>
          </w:p>
          <w:p w14:paraId="2A8430C4">
            <w:pPr>
              <w:adjustRightInd w:val="0"/>
              <w:snapToGrid w:val="0"/>
              <w:ind w:left="105" w:leftChars="50" w:right="105" w:rightChars="50" w:firstLine="482" w:firstLineChars="200"/>
              <w:jc w:val="center"/>
              <w:rPr>
                <w:b/>
                <w:bCs/>
                <w:color w:val="auto"/>
                <w:sz w:val="24"/>
              </w:rPr>
            </w:pPr>
            <w:r>
              <w:rPr>
                <w:rFonts w:hint="eastAsia"/>
                <w:b/>
                <w:bCs/>
                <w:color w:val="auto"/>
                <w:sz w:val="24"/>
              </w:rPr>
              <w:t>表</w:t>
            </w:r>
            <w:r>
              <w:rPr>
                <w:b/>
                <w:bCs/>
                <w:color w:val="auto"/>
                <w:sz w:val="24"/>
              </w:rPr>
              <w:t>2-1</w:t>
            </w:r>
            <w:r>
              <w:rPr>
                <w:rFonts w:hint="eastAsia"/>
                <w:b/>
                <w:bCs/>
                <w:color w:val="auto"/>
                <w:sz w:val="24"/>
              </w:rPr>
              <w:t>项目建设内容及规模一览表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0"/>
              <w:gridCol w:w="1183"/>
              <w:gridCol w:w="1240"/>
              <w:gridCol w:w="5199"/>
              <w:gridCol w:w="932"/>
            </w:tblGrid>
            <w:tr w14:paraId="4E5C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Align w:val="center"/>
                </w:tcPr>
                <w:p w14:paraId="4E45399E">
                  <w:pPr>
                    <w:adjustRightInd w:val="0"/>
                    <w:snapToGrid w:val="0"/>
                    <w:jc w:val="center"/>
                    <w:rPr>
                      <w:b/>
                      <w:color w:val="auto"/>
                      <w:kern w:val="0"/>
                      <w:szCs w:val="21"/>
                    </w:rPr>
                  </w:pPr>
                  <w:r>
                    <w:rPr>
                      <w:b/>
                      <w:color w:val="auto"/>
                      <w:kern w:val="0"/>
                      <w:szCs w:val="21"/>
                    </w:rPr>
                    <w:t>类别</w:t>
                  </w:r>
                </w:p>
              </w:tc>
              <w:tc>
                <w:tcPr>
                  <w:tcW w:w="636" w:type="pct"/>
                  <w:vAlign w:val="center"/>
                </w:tcPr>
                <w:p w14:paraId="18593947">
                  <w:pPr>
                    <w:adjustRightInd w:val="0"/>
                    <w:snapToGrid w:val="0"/>
                    <w:jc w:val="center"/>
                    <w:rPr>
                      <w:b/>
                      <w:color w:val="auto"/>
                      <w:kern w:val="0"/>
                      <w:szCs w:val="21"/>
                    </w:rPr>
                  </w:pPr>
                  <w:r>
                    <w:rPr>
                      <w:b/>
                      <w:color w:val="auto"/>
                      <w:kern w:val="0"/>
                      <w:szCs w:val="21"/>
                    </w:rPr>
                    <w:t>建设名称</w:t>
                  </w:r>
                </w:p>
              </w:tc>
              <w:tc>
                <w:tcPr>
                  <w:tcW w:w="3463" w:type="pct"/>
                  <w:gridSpan w:val="2"/>
                  <w:vAlign w:val="center"/>
                </w:tcPr>
                <w:p w14:paraId="4925B9FF">
                  <w:pPr>
                    <w:adjustRightInd w:val="0"/>
                    <w:snapToGrid w:val="0"/>
                    <w:jc w:val="center"/>
                    <w:rPr>
                      <w:b/>
                      <w:color w:val="auto"/>
                      <w:kern w:val="0"/>
                      <w:szCs w:val="21"/>
                    </w:rPr>
                  </w:pPr>
                  <w:r>
                    <w:rPr>
                      <w:b/>
                      <w:color w:val="auto"/>
                      <w:kern w:val="0"/>
                      <w:szCs w:val="21"/>
                    </w:rPr>
                    <w:t>建设内容</w:t>
                  </w:r>
                  <w:r>
                    <w:rPr>
                      <w:rFonts w:hint="eastAsia"/>
                      <w:b/>
                      <w:color w:val="auto"/>
                      <w:kern w:val="0"/>
                      <w:szCs w:val="21"/>
                    </w:rPr>
                    <w:t>及规模</w:t>
                  </w:r>
                </w:p>
              </w:tc>
              <w:tc>
                <w:tcPr>
                  <w:tcW w:w="501" w:type="pct"/>
                  <w:vAlign w:val="center"/>
                </w:tcPr>
                <w:p w14:paraId="17A8D114">
                  <w:pPr>
                    <w:adjustRightInd w:val="0"/>
                    <w:snapToGrid w:val="0"/>
                    <w:jc w:val="center"/>
                    <w:rPr>
                      <w:b/>
                      <w:color w:val="auto"/>
                      <w:kern w:val="0"/>
                      <w:szCs w:val="21"/>
                    </w:rPr>
                  </w:pPr>
                  <w:r>
                    <w:rPr>
                      <w:rFonts w:hint="eastAsia"/>
                      <w:b/>
                      <w:color w:val="auto"/>
                      <w:kern w:val="0"/>
                      <w:szCs w:val="21"/>
                    </w:rPr>
                    <w:t>备注</w:t>
                  </w:r>
                </w:p>
              </w:tc>
            </w:tr>
            <w:tr w14:paraId="2DEC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398" w:type="pct"/>
                  <w:vMerge w:val="restart"/>
                  <w:vAlign w:val="center"/>
                </w:tcPr>
                <w:p w14:paraId="34D7AC73">
                  <w:pPr>
                    <w:adjustRightInd w:val="0"/>
                    <w:snapToGrid w:val="0"/>
                    <w:jc w:val="center"/>
                    <w:rPr>
                      <w:color w:val="auto"/>
                      <w:kern w:val="0"/>
                      <w:szCs w:val="21"/>
                    </w:rPr>
                  </w:pPr>
                  <w:r>
                    <w:rPr>
                      <w:color w:val="auto"/>
                      <w:kern w:val="0"/>
                      <w:szCs w:val="21"/>
                    </w:rPr>
                    <w:t>主体工程</w:t>
                  </w:r>
                </w:p>
              </w:tc>
              <w:tc>
                <w:tcPr>
                  <w:tcW w:w="636" w:type="pct"/>
                  <w:vMerge w:val="restart"/>
                  <w:vAlign w:val="center"/>
                </w:tcPr>
                <w:p w14:paraId="7834EC82">
                  <w:pPr>
                    <w:pStyle w:val="6"/>
                    <w:jc w:val="center"/>
                    <w:rPr>
                      <w:color w:val="auto"/>
                    </w:rPr>
                  </w:pPr>
                  <w:r>
                    <w:rPr>
                      <w:color w:val="auto"/>
                      <w:sz w:val="21"/>
                      <w:szCs w:val="21"/>
                    </w:rPr>
                    <w:t>7#机加工车间</w:t>
                  </w:r>
                  <w:r>
                    <w:rPr>
                      <w:rFonts w:hint="eastAsia"/>
                      <w:color w:val="auto"/>
                      <w:sz w:val="21"/>
                      <w:szCs w:val="21"/>
                    </w:rPr>
                    <w:t>（共三层）</w:t>
                  </w:r>
                </w:p>
              </w:tc>
              <w:tc>
                <w:tcPr>
                  <w:tcW w:w="3463" w:type="pct"/>
                  <w:gridSpan w:val="2"/>
                  <w:vAlign w:val="center"/>
                </w:tcPr>
                <w:p w14:paraId="69392AD1">
                  <w:pPr>
                    <w:adjustRightInd w:val="0"/>
                    <w:snapToGrid w:val="0"/>
                    <w:jc w:val="center"/>
                    <w:rPr>
                      <w:color w:val="auto"/>
                      <w:szCs w:val="21"/>
                    </w:rPr>
                  </w:pPr>
                  <w:r>
                    <w:rPr>
                      <w:rFonts w:hint="eastAsia"/>
                      <w:color w:val="auto"/>
                      <w:szCs w:val="21"/>
                    </w:rPr>
                    <w:t>1F，层高7.5米，建筑面积为4017.1m</w:t>
                  </w:r>
                  <w:r>
                    <w:rPr>
                      <w:rFonts w:hint="eastAsia"/>
                      <w:color w:val="auto"/>
                      <w:szCs w:val="21"/>
                      <w:vertAlign w:val="superscript"/>
                    </w:rPr>
                    <w:t>2</w:t>
                  </w:r>
                  <w:r>
                    <w:rPr>
                      <w:rFonts w:hint="eastAsia"/>
                      <w:color w:val="auto"/>
                      <w:szCs w:val="21"/>
                    </w:rPr>
                    <w:t>，主要设置上料区、清洗区、烘干区、倒边区等</w:t>
                  </w:r>
                </w:p>
              </w:tc>
              <w:tc>
                <w:tcPr>
                  <w:tcW w:w="501" w:type="pct"/>
                  <w:vAlign w:val="center"/>
                </w:tcPr>
                <w:p w14:paraId="1E2D126E">
                  <w:pPr>
                    <w:adjustRightInd w:val="0"/>
                    <w:snapToGrid w:val="0"/>
                    <w:jc w:val="center"/>
                    <w:rPr>
                      <w:color w:val="auto"/>
                      <w:szCs w:val="21"/>
                    </w:rPr>
                  </w:pPr>
                  <w:r>
                    <w:rPr>
                      <w:rFonts w:hint="eastAsia"/>
                      <w:color w:val="auto"/>
                      <w:szCs w:val="21"/>
                    </w:rPr>
                    <w:t>待建</w:t>
                  </w:r>
                </w:p>
              </w:tc>
            </w:tr>
            <w:tr w14:paraId="2C78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6A4B161A">
                  <w:pPr>
                    <w:adjustRightInd w:val="0"/>
                    <w:snapToGrid w:val="0"/>
                    <w:jc w:val="center"/>
                    <w:rPr>
                      <w:color w:val="auto"/>
                      <w:kern w:val="0"/>
                      <w:szCs w:val="21"/>
                    </w:rPr>
                  </w:pPr>
                </w:p>
              </w:tc>
              <w:tc>
                <w:tcPr>
                  <w:tcW w:w="636" w:type="pct"/>
                  <w:vMerge w:val="continue"/>
                  <w:vAlign w:val="center"/>
                </w:tcPr>
                <w:p w14:paraId="24391507">
                  <w:pPr>
                    <w:adjustRightInd w:val="0"/>
                    <w:snapToGrid w:val="0"/>
                    <w:jc w:val="center"/>
                    <w:rPr>
                      <w:bCs/>
                      <w:color w:val="auto"/>
                      <w:kern w:val="0"/>
                      <w:szCs w:val="21"/>
                    </w:rPr>
                  </w:pPr>
                </w:p>
              </w:tc>
              <w:tc>
                <w:tcPr>
                  <w:tcW w:w="3463" w:type="pct"/>
                  <w:gridSpan w:val="2"/>
                  <w:vAlign w:val="center"/>
                </w:tcPr>
                <w:p w14:paraId="6C9225FD">
                  <w:pPr>
                    <w:adjustRightInd w:val="0"/>
                    <w:snapToGrid w:val="0"/>
                    <w:jc w:val="center"/>
                    <w:rPr>
                      <w:color w:val="auto"/>
                      <w:szCs w:val="21"/>
                    </w:rPr>
                  </w:pPr>
                  <w:r>
                    <w:rPr>
                      <w:rFonts w:hint="eastAsia"/>
                      <w:color w:val="auto"/>
                      <w:szCs w:val="21"/>
                    </w:rPr>
                    <w:t>2F，层高7.5米，建筑面积为3922.5m</w:t>
                  </w:r>
                  <w:r>
                    <w:rPr>
                      <w:rFonts w:hint="eastAsia"/>
                      <w:color w:val="auto"/>
                      <w:szCs w:val="21"/>
                      <w:vertAlign w:val="superscript"/>
                    </w:rPr>
                    <w:t>2</w:t>
                  </w:r>
                  <w:r>
                    <w:rPr>
                      <w:rFonts w:hint="eastAsia"/>
                      <w:color w:val="auto"/>
                      <w:szCs w:val="21"/>
                    </w:rPr>
                    <w:t>，主要设置清洗区、精磨区、检验区等</w:t>
                  </w:r>
                </w:p>
              </w:tc>
              <w:tc>
                <w:tcPr>
                  <w:tcW w:w="501" w:type="pct"/>
                  <w:vAlign w:val="center"/>
                </w:tcPr>
                <w:p w14:paraId="55231014">
                  <w:pPr>
                    <w:adjustRightInd w:val="0"/>
                    <w:snapToGrid w:val="0"/>
                    <w:jc w:val="center"/>
                    <w:rPr>
                      <w:color w:val="auto"/>
                      <w:szCs w:val="21"/>
                    </w:rPr>
                  </w:pPr>
                  <w:r>
                    <w:rPr>
                      <w:rFonts w:hint="eastAsia"/>
                      <w:color w:val="auto"/>
                      <w:szCs w:val="21"/>
                    </w:rPr>
                    <w:t>待建</w:t>
                  </w:r>
                </w:p>
              </w:tc>
            </w:tr>
            <w:tr w14:paraId="7821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0C19A2F6">
                  <w:pPr>
                    <w:adjustRightInd w:val="0"/>
                    <w:snapToGrid w:val="0"/>
                    <w:jc w:val="center"/>
                    <w:rPr>
                      <w:color w:val="auto"/>
                      <w:kern w:val="0"/>
                      <w:szCs w:val="21"/>
                    </w:rPr>
                  </w:pPr>
                </w:p>
              </w:tc>
              <w:tc>
                <w:tcPr>
                  <w:tcW w:w="636" w:type="pct"/>
                  <w:vMerge w:val="continue"/>
                  <w:vAlign w:val="center"/>
                </w:tcPr>
                <w:p w14:paraId="78172A2B">
                  <w:pPr>
                    <w:adjustRightInd w:val="0"/>
                    <w:snapToGrid w:val="0"/>
                    <w:jc w:val="center"/>
                    <w:rPr>
                      <w:bCs/>
                      <w:color w:val="auto"/>
                      <w:kern w:val="0"/>
                      <w:szCs w:val="21"/>
                    </w:rPr>
                  </w:pPr>
                </w:p>
              </w:tc>
              <w:tc>
                <w:tcPr>
                  <w:tcW w:w="3463" w:type="pct"/>
                  <w:gridSpan w:val="2"/>
                  <w:vAlign w:val="center"/>
                </w:tcPr>
                <w:p w14:paraId="5EE0F114">
                  <w:pPr>
                    <w:adjustRightInd w:val="0"/>
                    <w:snapToGrid w:val="0"/>
                    <w:jc w:val="center"/>
                    <w:rPr>
                      <w:snapToGrid w:val="0"/>
                      <w:color w:val="auto"/>
                      <w:kern w:val="0"/>
                      <w:szCs w:val="21"/>
                    </w:rPr>
                  </w:pPr>
                  <w:r>
                    <w:rPr>
                      <w:rFonts w:hint="eastAsia"/>
                      <w:snapToGrid w:val="0"/>
                      <w:color w:val="auto"/>
                      <w:kern w:val="0"/>
                      <w:szCs w:val="21"/>
                    </w:rPr>
                    <w:t>3F，</w:t>
                  </w:r>
                  <w:r>
                    <w:rPr>
                      <w:rFonts w:hint="eastAsia"/>
                      <w:color w:val="auto"/>
                      <w:szCs w:val="21"/>
                    </w:rPr>
                    <w:t>层高7.5米，建筑面积为3832.3m</w:t>
                  </w:r>
                  <w:r>
                    <w:rPr>
                      <w:rFonts w:hint="eastAsia"/>
                      <w:color w:val="auto"/>
                      <w:szCs w:val="21"/>
                      <w:vertAlign w:val="superscript"/>
                    </w:rPr>
                    <w:t>2</w:t>
                  </w:r>
                  <w:r>
                    <w:rPr>
                      <w:rFonts w:hint="eastAsia"/>
                      <w:color w:val="auto"/>
                      <w:szCs w:val="21"/>
                    </w:rPr>
                    <w:t>，主要设置上料区、清洗区、脱胶区等</w:t>
                  </w:r>
                </w:p>
              </w:tc>
              <w:tc>
                <w:tcPr>
                  <w:tcW w:w="501" w:type="pct"/>
                  <w:vAlign w:val="center"/>
                </w:tcPr>
                <w:p w14:paraId="0654CBA2">
                  <w:pPr>
                    <w:adjustRightInd w:val="0"/>
                    <w:snapToGrid w:val="0"/>
                    <w:jc w:val="center"/>
                    <w:rPr>
                      <w:snapToGrid w:val="0"/>
                      <w:color w:val="auto"/>
                      <w:kern w:val="0"/>
                      <w:szCs w:val="21"/>
                    </w:rPr>
                  </w:pPr>
                  <w:r>
                    <w:rPr>
                      <w:rFonts w:hint="eastAsia"/>
                      <w:color w:val="auto"/>
                      <w:szCs w:val="21"/>
                    </w:rPr>
                    <w:t>待建</w:t>
                  </w:r>
                </w:p>
              </w:tc>
            </w:tr>
            <w:tr w14:paraId="29A4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4E5F1085">
                  <w:pPr>
                    <w:adjustRightInd w:val="0"/>
                    <w:snapToGrid w:val="0"/>
                    <w:jc w:val="center"/>
                    <w:rPr>
                      <w:color w:val="auto"/>
                      <w:kern w:val="0"/>
                      <w:szCs w:val="21"/>
                    </w:rPr>
                  </w:pPr>
                </w:p>
              </w:tc>
              <w:tc>
                <w:tcPr>
                  <w:tcW w:w="636" w:type="pct"/>
                  <w:vMerge w:val="restart"/>
                  <w:vAlign w:val="center"/>
                </w:tcPr>
                <w:p w14:paraId="324ECB2D">
                  <w:pPr>
                    <w:adjustRightInd w:val="0"/>
                    <w:snapToGrid w:val="0"/>
                    <w:jc w:val="center"/>
                    <w:rPr>
                      <w:bCs/>
                      <w:color w:val="auto"/>
                      <w:kern w:val="0"/>
                      <w:szCs w:val="21"/>
                    </w:rPr>
                  </w:pPr>
                  <w:r>
                    <w:rPr>
                      <w:rFonts w:hint="eastAsia"/>
                      <w:bCs/>
                      <w:color w:val="auto"/>
                      <w:kern w:val="0"/>
                      <w:szCs w:val="21"/>
                    </w:rPr>
                    <w:t>9#组件制造车间</w:t>
                  </w:r>
                  <w:r>
                    <w:rPr>
                      <w:rFonts w:hint="eastAsia"/>
                      <w:color w:val="auto"/>
                      <w:szCs w:val="21"/>
                    </w:rPr>
                    <w:t>（共三层）</w:t>
                  </w:r>
                </w:p>
              </w:tc>
              <w:tc>
                <w:tcPr>
                  <w:tcW w:w="3463" w:type="pct"/>
                  <w:gridSpan w:val="2"/>
                  <w:vAlign w:val="center"/>
                </w:tcPr>
                <w:p w14:paraId="71E68C90">
                  <w:pPr>
                    <w:adjustRightInd w:val="0"/>
                    <w:snapToGrid w:val="0"/>
                    <w:jc w:val="center"/>
                    <w:rPr>
                      <w:snapToGrid w:val="0"/>
                      <w:color w:val="auto"/>
                      <w:kern w:val="0"/>
                      <w:szCs w:val="21"/>
                    </w:rPr>
                  </w:pPr>
                  <w:r>
                    <w:rPr>
                      <w:rFonts w:hint="eastAsia"/>
                      <w:snapToGrid w:val="0"/>
                      <w:color w:val="auto"/>
                      <w:kern w:val="0"/>
                      <w:szCs w:val="21"/>
                    </w:rPr>
                    <w:t>1F，</w:t>
                  </w:r>
                  <w:r>
                    <w:rPr>
                      <w:rFonts w:hint="eastAsia"/>
                      <w:color w:val="auto"/>
                      <w:szCs w:val="21"/>
                    </w:rPr>
                    <w:t>层高7.5米，建筑面积为5794.64m</w:t>
                  </w:r>
                  <w:r>
                    <w:rPr>
                      <w:rFonts w:hint="eastAsia"/>
                      <w:color w:val="auto"/>
                      <w:szCs w:val="21"/>
                      <w:vertAlign w:val="superscript"/>
                    </w:rPr>
                    <w:t>2</w:t>
                  </w:r>
                  <w:r>
                    <w:rPr>
                      <w:rFonts w:hint="eastAsia"/>
                      <w:color w:val="auto"/>
                      <w:szCs w:val="21"/>
                    </w:rPr>
                    <w:t>，主要设置检测室、车削中心等</w:t>
                  </w:r>
                </w:p>
              </w:tc>
              <w:tc>
                <w:tcPr>
                  <w:tcW w:w="501" w:type="pct"/>
                  <w:vAlign w:val="center"/>
                </w:tcPr>
                <w:p w14:paraId="6E8A20E9">
                  <w:pPr>
                    <w:adjustRightInd w:val="0"/>
                    <w:snapToGrid w:val="0"/>
                    <w:jc w:val="center"/>
                    <w:rPr>
                      <w:snapToGrid w:val="0"/>
                      <w:color w:val="auto"/>
                      <w:kern w:val="0"/>
                      <w:szCs w:val="21"/>
                    </w:rPr>
                  </w:pPr>
                  <w:r>
                    <w:rPr>
                      <w:rFonts w:hint="eastAsia"/>
                      <w:color w:val="auto"/>
                      <w:szCs w:val="21"/>
                    </w:rPr>
                    <w:t>待建</w:t>
                  </w:r>
                </w:p>
              </w:tc>
            </w:tr>
            <w:tr w14:paraId="3716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72AF4B59">
                  <w:pPr>
                    <w:adjustRightInd w:val="0"/>
                    <w:snapToGrid w:val="0"/>
                    <w:jc w:val="center"/>
                    <w:rPr>
                      <w:color w:val="auto"/>
                      <w:kern w:val="0"/>
                      <w:szCs w:val="21"/>
                    </w:rPr>
                  </w:pPr>
                </w:p>
              </w:tc>
              <w:tc>
                <w:tcPr>
                  <w:tcW w:w="636" w:type="pct"/>
                  <w:vMerge w:val="continue"/>
                  <w:vAlign w:val="center"/>
                </w:tcPr>
                <w:p w14:paraId="1442405D">
                  <w:pPr>
                    <w:adjustRightInd w:val="0"/>
                    <w:snapToGrid w:val="0"/>
                    <w:jc w:val="center"/>
                    <w:rPr>
                      <w:bCs/>
                      <w:color w:val="auto"/>
                      <w:kern w:val="0"/>
                      <w:szCs w:val="21"/>
                    </w:rPr>
                  </w:pPr>
                </w:p>
              </w:tc>
              <w:tc>
                <w:tcPr>
                  <w:tcW w:w="3463" w:type="pct"/>
                  <w:gridSpan w:val="2"/>
                  <w:vAlign w:val="center"/>
                </w:tcPr>
                <w:p w14:paraId="0FB5CA07">
                  <w:pPr>
                    <w:adjustRightInd w:val="0"/>
                    <w:snapToGrid w:val="0"/>
                    <w:jc w:val="center"/>
                    <w:rPr>
                      <w:snapToGrid w:val="0"/>
                      <w:color w:val="auto"/>
                      <w:kern w:val="0"/>
                      <w:szCs w:val="21"/>
                    </w:rPr>
                  </w:pPr>
                  <w:r>
                    <w:rPr>
                      <w:rFonts w:hint="eastAsia"/>
                      <w:color w:val="auto"/>
                      <w:szCs w:val="21"/>
                    </w:rPr>
                    <w:t>2F，层高6米，建筑面积为5794.64m</w:t>
                  </w:r>
                  <w:r>
                    <w:rPr>
                      <w:rFonts w:hint="eastAsia"/>
                      <w:color w:val="auto"/>
                      <w:szCs w:val="21"/>
                      <w:vertAlign w:val="superscript"/>
                    </w:rPr>
                    <w:t>2</w:t>
                  </w:r>
                  <w:r>
                    <w:rPr>
                      <w:rFonts w:hint="eastAsia"/>
                      <w:color w:val="auto"/>
                      <w:szCs w:val="21"/>
                    </w:rPr>
                    <w:t>，主要设置组装区、内外圆磨区、磁环磁瓦加工区；</w:t>
                  </w:r>
                </w:p>
              </w:tc>
              <w:tc>
                <w:tcPr>
                  <w:tcW w:w="501" w:type="pct"/>
                  <w:vAlign w:val="center"/>
                </w:tcPr>
                <w:p w14:paraId="623A95BE">
                  <w:pPr>
                    <w:adjustRightInd w:val="0"/>
                    <w:snapToGrid w:val="0"/>
                    <w:jc w:val="center"/>
                    <w:rPr>
                      <w:color w:val="auto"/>
                      <w:szCs w:val="21"/>
                    </w:rPr>
                  </w:pPr>
                  <w:r>
                    <w:rPr>
                      <w:rFonts w:hint="eastAsia"/>
                      <w:color w:val="auto"/>
                      <w:szCs w:val="21"/>
                    </w:rPr>
                    <w:t>待建</w:t>
                  </w:r>
                </w:p>
              </w:tc>
            </w:tr>
            <w:tr w14:paraId="52BA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398" w:type="pct"/>
                  <w:shd w:val="clear" w:color="auto" w:fill="auto"/>
                  <w:vAlign w:val="center"/>
                </w:tcPr>
                <w:p w14:paraId="073C1B85">
                  <w:pPr>
                    <w:adjustRightInd w:val="0"/>
                    <w:snapToGrid w:val="0"/>
                    <w:jc w:val="center"/>
                    <w:rPr>
                      <w:color w:val="auto"/>
                      <w:kern w:val="0"/>
                      <w:szCs w:val="21"/>
                    </w:rPr>
                  </w:pPr>
                  <w:r>
                    <w:rPr>
                      <w:rFonts w:hint="eastAsia"/>
                      <w:color w:val="auto"/>
                      <w:kern w:val="0"/>
                      <w:szCs w:val="21"/>
                    </w:rPr>
                    <w:t>储运工程</w:t>
                  </w:r>
                </w:p>
              </w:tc>
              <w:tc>
                <w:tcPr>
                  <w:tcW w:w="636" w:type="pct"/>
                  <w:shd w:val="clear" w:color="auto" w:fill="auto"/>
                  <w:vAlign w:val="center"/>
                </w:tcPr>
                <w:p w14:paraId="16388242">
                  <w:pPr>
                    <w:adjustRightInd w:val="0"/>
                    <w:snapToGrid w:val="0"/>
                    <w:jc w:val="center"/>
                    <w:rPr>
                      <w:color w:val="auto"/>
                      <w:szCs w:val="21"/>
                    </w:rPr>
                  </w:pPr>
                  <w:r>
                    <w:rPr>
                      <w:color w:val="auto"/>
                      <w:szCs w:val="21"/>
                    </w:rPr>
                    <w:t>2#危化品仓库</w:t>
                  </w:r>
                </w:p>
              </w:tc>
              <w:tc>
                <w:tcPr>
                  <w:tcW w:w="3463" w:type="pct"/>
                  <w:gridSpan w:val="2"/>
                  <w:shd w:val="clear" w:color="auto" w:fill="auto"/>
                  <w:vAlign w:val="center"/>
                </w:tcPr>
                <w:p w14:paraId="1851DD0C">
                  <w:pPr>
                    <w:adjustRightInd w:val="0"/>
                    <w:snapToGrid w:val="0"/>
                    <w:jc w:val="center"/>
                    <w:rPr>
                      <w:color w:val="auto"/>
                      <w:kern w:val="0"/>
                      <w:szCs w:val="21"/>
                    </w:rPr>
                  </w:pPr>
                  <w:r>
                    <w:rPr>
                      <w:rFonts w:hint="eastAsia"/>
                      <w:color w:val="auto"/>
                      <w:kern w:val="0"/>
                      <w:szCs w:val="21"/>
                    </w:rPr>
                    <w:t>位于厂区东南角，层高4.5米，</w:t>
                  </w:r>
                  <w:r>
                    <w:rPr>
                      <w:rFonts w:hint="eastAsia"/>
                      <w:color w:val="auto"/>
                      <w:szCs w:val="21"/>
                    </w:rPr>
                    <w:t>建筑面积为140m</w:t>
                  </w:r>
                  <w:r>
                    <w:rPr>
                      <w:rFonts w:hint="eastAsia"/>
                      <w:color w:val="auto"/>
                      <w:szCs w:val="21"/>
                      <w:vertAlign w:val="superscript"/>
                    </w:rPr>
                    <w:t>2</w:t>
                  </w:r>
                  <w:r>
                    <w:rPr>
                      <w:rFonts w:hint="eastAsia"/>
                      <w:color w:val="auto"/>
                      <w:szCs w:val="21"/>
                    </w:rPr>
                    <w:t>，主要用于一期和本项目危化品的放置，进行防腐、防渗处理，设300×300mm防渗导流沟和有效容积3m</w:t>
                  </w:r>
                  <w:r>
                    <w:rPr>
                      <w:rFonts w:hint="eastAsia"/>
                      <w:color w:val="auto"/>
                      <w:szCs w:val="21"/>
                      <w:vertAlign w:val="superscript"/>
                    </w:rPr>
                    <w:t>3</w:t>
                  </w:r>
                  <w:r>
                    <w:rPr>
                      <w:rFonts w:hint="eastAsia"/>
                      <w:color w:val="auto"/>
                      <w:szCs w:val="21"/>
                    </w:rPr>
                    <w:t>收集池</w:t>
                  </w:r>
                </w:p>
              </w:tc>
              <w:tc>
                <w:tcPr>
                  <w:tcW w:w="501" w:type="pct"/>
                  <w:shd w:val="clear" w:color="auto" w:fill="auto"/>
                  <w:vAlign w:val="center"/>
                </w:tcPr>
                <w:p w14:paraId="1D1F084A">
                  <w:pPr>
                    <w:adjustRightInd w:val="0"/>
                    <w:snapToGrid w:val="0"/>
                    <w:jc w:val="center"/>
                    <w:rPr>
                      <w:color w:val="auto"/>
                      <w:kern w:val="0"/>
                      <w:szCs w:val="21"/>
                    </w:rPr>
                  </w:pPr>
                  <w:r>
                    <w:rPr>
                      <w:rFonts w:hint="eastAsia"/>
                      <w:color w:val="auto"/>
                      <w:szCs w:val="21"/>
                    </w:rPr>
                    <w:t>待建</w:t>
                  </w:r>
                </w:p>
              </w:tc>
            </w:tr>
            <w:tr w14:paraId="273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398" w:type="pct"/>
                  <w:vMerge w:val="restart"/>
                  <w:shd w:val="clear" w:color="auto" w:fill="auto"/>
                  <w:vAlign w:val="center"/>
                </w:tcPr>
                <w:p w14:paraId="6487FF6F">
                  <w:pPr>
                    <w:adjustRightInd w:val="0"/>
                    <w:snapToGrid w:val="0"/>
                    <w:jc w:val="center"/>
                    <w:rPr>
                      <w:color w:val="auto"/>
                      <w:szCs w:val="21"/>
                    </w:rPr>
                  </w:pPr>
                  <w:r>
                    <w:rPr>
                      <w:rFonts w:hint="eastAsia"/>
                      <w:color w:val="auto"/>
                      <w:szCs w:val="21"/>
                    </w:rPr>
                    <w:t>依托工程</w:t>
                  </w:r>
                </w:p>
                <w:p w14:paraId="33D719AC">
                  <w:pPr>
                    <w:pStyle w:val="6"/>
                    <w:jc w:val="center"/>
                    <w:rPr>
                      <w:color w:val="auto"/>
                    </w:rPr>
                  </w:pPr>
                  <w:r>
                    <w:rPr>
                      <w:rFonts w:hint="eastAsia"/>
                      <w:color w:val="auto"/>
                      <w:kern w:val="2"/>
                      <w:sz w:val="21"/>
                      <w:szCs w:val="21"/>
                    </w:rPr>
                    <w:t>（依托一期）</w:t>
                  </w:r>
                </w:p>
              </w:tc>
              <w:tc>
                <w:tcPr>
                  <w:tcW w:w="636" w:type="pct"/>
                  <w:shd w:val="clear" w:color="auto" w:fill="auto"/>
                  <w:vAlign w:val="center"/>
                </w:tcPr>
                <w:p w14:paraId="470DA442">
                  <w:pPr>
                    <w:adjustRightInd w:val="0"/>
                    <w:snapToGrid w:val="0"/>
                    <w:jc w:val="center"/>
                    <w:rPr>
                      <w:color w:val="auto"/>
                      <w:kern w:val="0"/>
                      <w:szCs w:val="21"/>
                    </w:rPr>
                  </w:pPr>
                  <w:r>
                    <w:rPr>
                      <w:rFonts w:hint="eastAsia"/>
                      <w:color w:val="auto"/>
                      <w:kern w:val="0"/>
                      <w:szCs w:val="21"/>
                    </w:rPr>
                    <w:t>办公区</w:t>
                  </w:r>
                </w:p>
              </w:tc>
              <w:tc>
                <w:tcPr>
                  <w:tcW w:w="3463" w:type="pct"/>
                  <w:gridSpan w:val="2"/>
                  <w:shd w:val="clear" w:color="auto" w:fill="auto"/>
                  <w:vAlign w:val="center"/>
                </w:tcPr>
                <w:p w14:paraId="5E52FFF8">
                  <w:pPr>
                    <w:adjustRightInd w:val="0"/>
                    <w:snapToGrid w:val="0"/>
                    <w:jc w:val="center"/>
                    <w:rPr>
                      <w:color w:val="auto"/>
                      <w:szCs w:val="21"/>
                    </w:rPr>
                  </w:pPr>
                  <w:r>
                    <w:rPr>
                      <w:rFonts w:hint="eastAsia"/>
                      <w:color w:val="auto"/>
                      <w:szCs w:val="21"/>
                    </w:rPr>
                    <w:t>位于厂区西南角</w:t>
                  </w:r>
                </w:p>
              </w:tc>
              <w:tc>
                <w:tcPr>
                  <w:tcW w:w="501" w:type="pct"/>
                  <w:shd w:val="clear" w:color="auto" w:fill="auto"/>
                  <w:vAlign w:val="center"/>
                </w:tcPr>
                <w:p w14:paraId="36677CF6">
                  <w:pPr>
                    <w:adjustRightInd w:val="0"/>
                    <w:snapToGrid w:val="0"/>
                    <w:jc w:val="center"/>
                    <w:rPr>
                      <w:color w:val="auto"/>
                      <w:szCs w:val="21"/>
                    </w:rPr>
                  </w:pPr>
                  <w:r>
                    <w:rPr>
                      <w:rFonts w:hint="eastAsia"/>
                      <w:color w:val="auto"/>
                      <w:szCs w:val="21"/>
                    </w:rPr>
                    <w:t>已建</w:t>
                  </w:r>
                </w:p>
              </w:tc>
            </w:tr>
            <w:tr w14:paraId="4DFD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shd w:val="clear" w:color="auto" w:fill="auto"/>
                  <w:vAlign w:val="center"/>
                </w:tcPr>
                <w:p w14:paraId="05E4BEBF">
                  <w:pPr>
                    <w:adjustRightInd w:val="0"/>
                    <w:snapToGrid w:val="0"/>
                    <w:jc w:val="center"/>
                    <w:rPr>
                      <w:color w:val="auto"/>
                      <w:szCs w:val="21"/>
                    </w:rPr>
                  </w:pPr>
                </w:p>
              </w:tc>
              <w:tc>
                <w:tcPr>
                  <w:tcW w:w="636" w:type="pct"/>
                  <w:shd w:val="clear" w:color="auto" w:fill="auto"/>
                  <w:vAlign w:val="center"/>
                </w:tcPr>
                <w:p w14:paraId="2E8EEE51">
                  <w:pPr>
                    <w:adjustRightInd w:val="0"/>
                    <w:snapToGrid w:val="0"/>
                    <w:jc w:val="center"/>
                    <w:rPr>
                      <w:color w:val="auto"/>
                      <w:kern w:val="0"/>
                      <w:szCs w:val="21"/>
                    </w:rPr>
                  </w:pPr>
                  <w:r>
                    <w:rPr>
                      <w:color w:val="auto"/>
                      <w:kern w:val="0"/>
                      <w:szCs w:val="21"/>
                    </w:rPr>
                    <w:t>生活污水</w:t>
                  </w:r>
                </w:p>
              </w:tc>
              <w:tc>
                <w:tcPr>
                  <w:tcW w:w="3463" w:type="pct"/>
                  <w:gridSpan w:val="2"/>
                  <w:shd w:val="clear" w:color="auto" w:fill="auto"/>
                  <w:vAlign w:val="center"/>
                </w:tcPr>
                <w:p w14:paraId="160CD895">
                  <w:pPr>
                    <w:adjustRightInd w:val="0"/>
                    <w:snapToGrid w:val="0"/>
                    <w:jc w:val="center"/>
                    <w:rPr>
                      <w:color w:val="auto"/>
                      <w:szCs w:val="21"/>
                    </w:rPr>
                  </w:pPr>
                  <w:r>
                    <w:rPr>
                      <w:rFonts w:hint="eastAsia"/>
                      <w:color w:val="auto"/>
                      <w:szCs w:val="21"/>
                    </w:rPr>
                    <w:t>化粪池+混合废水处理系统（TW012）+中水回用系统（TW013）</w:t>
                  </w:r>
                </w:p>
              </w:tc>
              <w:tc>
                <w:tcPr>
                  <w:tcW w:w="501" w:type="pct"/>
                  <w:shd w:val="clear" w:color="auto" w:fill="auto"/>
                  <w:vAlign w:val="center"/>
                </w:tcPr>
                <w:p w14:paraId="099CBDA5">
                  <w:pPr>
                    <w:adjustRightInd w:val="0"/>
                    <w:snapToGrid w:val="0"/>
                    <w:jc w:val="center"/>
                    <w:rPr>
                      <w:color w:val="auto"/>
                      <w:szCs w:val="21"/>
                    </w:rPr>
                  </w:pPr>
                  <w:r>
                    <w:rPr>
                      <w:rFonts w:hint="eastAsia"/>
                      <w:color w:val="auto"/>
                      <w:szCs w:val="21"/>
                    </w:rPr>
                    <w:t>已建</w:t>
                  </w:r>
                </w:p>
              </w:tc>
            </w:tr>
            <w:tr w14:paraId="3922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shd w:val="clear" w:color="auto" w:fill="auto"/>
                  <w:vAlign w:val="center"/>
                </w:tcPr>
                <w:p w14:paraId="6E0276F5">
                  <w:pPr>
                    <w:adjustRightInd w:val="0"/>
                    <w:snapToGrid w:val="0"/>
                    <w:jc w:val="center"/>
                    <w:rPr>
                      <w:color w:val="auto"/>
                      <w:szCs w:val="21"/>
                    </w:rPr>
                  </w:pPr>
                </w:p>
              </w:tc>
              <w:tc>
                <w:tcPr>
                  <w:tcW w:w="636" w:type="pct"/>
                  <w:shd w:val="clear" w:color="auto" w:fill="auto"/>
                  <w:vAlign w:val="center"/>
                </w:tcPr>
                <w:p w14:paraId="445B63E7">
                  <w:pPr>
                    <w:adjustRightInd w:val="0"/>
                    <w:snapToGrid w:val="0"/>
                    <w:jc w:val="center"/>
                    <w:rPr>
                      <w:color w:val="auto"/>
                      <w:kern w:val="0"/>
                      <w:szCs w:val="21"/>
                    </w:rPr>
                  </w:pPr>
                  <w:r>
                    <w:rPr>
                      <w:color w:val="auto"/>
                      <w:kern w:val="0"/>
                      <w:szCs w:val="21"/>
                    </w:rPr>
                    <w:t>清洗废水</w:t>
                  </w:r>
                </w:p>
              </w:tc>
              <w:tc>
                <w:tcPr>
                  <w:tcW w:w="3463" w:type="pct"/>
                  <w:gridSpan w:val="2"/>
                  <w:shd w:val="clear" w:color="auto" w:fill="auto"/>
                  <w:vAlign w:val="center"/>
                </w:tcPr>
                <w:p w14:paraId="41AB7A72">
                  <w:pPr>
                    <w:adjustRightInd w:val="0"/>
                    <w:snapToGrid w:val="0"/>
                    <w:jc w:val="center"/>
                    <w:rPr>
                      <w:color w:val="auto"/>
                      <w:szCs w:val="21"/>
                    </w:rPr>
                  </w:pPr>
                  <w:r>
                    <w:rPr>
                      <w:rFonts w:hint="eastAsia"/>
                      <w:color w:val="auto"/>
                      <w:szCs w:val="21"/>
                    </w:rPr>
                    <w:t>前处理废水（TW001）+混合废水处理系统（TW012）+中水回用系统（TW013）+排水池</w:t>
                  </w:r>
                </w:p>
              </w:tc>
              <w:tc>
                <w:tcPr>
                  <w:tcW w:w="501" w:type="pct"/>
                  <w:shd w:val="clear" w:color="auto" w:fill="auto"/>
                  <w:vAlign w:val="center"/>
                </w:tcPr>
                <w:p w14:paraId="3B5DFBD9">
                  <w:pPr>
                    <w:adjustRightInd w:val="0"/>
                    <w:snapToGrid w:val="0"/>
                    <w:jc w:val="center"/>
                    <w:rPr>
                      <w:color w:val="auto"/>
                      <w:szCs w:val="21"/>
                    </w:rPr>
                  </w:pPr>
                  <w:r>
                    <w:rPr>
                      <w:rFonts w:hint="eastAsia"/>
                      <w:color w:val="auto"/>
                      <w:szCs w:val="21"/>
                    </w:rPr>
                    <w:t>已建</w:t>
                  </w:r>
                </w:p>
              </w:tc>
            </w:tr>
            <w:tr w14:paraId="32A2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shd w:val="clear" w:color="auto" w:fill="auto"/>
                  <w:vAlign w:val="center"/>
                </w:tcPr>
                <w:p w14:paraId="5A7E3A4D">
                  <w:pPr>
                    <w:adjustRightInd w:val="0"/>
                    <w:snapToGrid w:val="0"/>
                    <w:jc w:val="center"/>
                    <w:rPr>
                      <w:color w:val="auto"/>
                      <w:szCs w:val="21"/>
                    </w:rPr>
                  </w:pPr>
                </w:p>
              </w:tc>
              <w:tc>
                <w:tcPr>
                  <w:tcW w:w="636" w:type="pct"/>
                  <w:shd w:val="clear" w:color="auto" w:fill="auto"/>
                  <w:vAlign w:val="center"/>
                </w:tcPr>
                <w:p w14:paraId="0392D6F5">
                  <w:pPr>
                    <w:adjustRightInd w:val="0"/>
                    <w:snapToGrid w:val="0"/>
                    <w:jc w:val="center"/>
                    <w:rPr>
                      <w:color w:val="auto"/>
                      <w:kern w:val="0"/>
                      <w:szCs w:val="21"/>
                    </w:rPr>
                  </w:pPr>
                  <w:r>
                    <w:rPr>
                      <w:color w:val="auto"/>
                      <w:kern w:val="0"/>
                      <w:szCs w:val="21"/>
                    </w:rPr>
                    <w:t>一般固废间</w:t>
                  </w:r>
                </w:p>
              </w:tc>
              <w:tc>
                <w:tcPr>
                  <w:tcW w:w="3463" w:type="pct"/>
                  <w:gridSpan w:val="2"/>
                  <w:shd w:val="clear" w:color="auto" w:fill="auto"/>
                  <w:vAlign w:val="center"/>
                </w:tcPr>
                <w:p w14:paraId="22CF6035">
                  <w:pPr>
                    <w:adjustRightInd w:val="0"/>
                    <w:snapToGrid w:val="0"/>
                    <w:jc w:val="center"/>
                    <w:rPr>
                      <w:color w:val="auto"/>
                      <w:szCs w:val="21"/>
                    </w:rPr>
                  </w:pPr>
                  <w:r>
                    <w:rPr>
                      <w:rFonts w:hint="eastAsia"/>
                      <w:color w:val="auto"/>
                      <w:szCs w:val="21"/>
                    </w:rPr>
                    <w:t>位于厂区东北角，占地面积120m</w:t>
                  </w:r>
                  <w:r>
                    <w:rPr>
                      <w:rFonts w:hint="eastAsia"/>
                      <w:color w:val="auto"/>
                      <w:szCs w:val="21"/>
                      <w:vertAlign w:val="superscript"/>
                    </w:rPr>
                    <w:t>2</w:t>
                  </w:r>
                </w:p>
              </w:tc>
              <w:tc>
                <w:tcPr>
                  <w:tcW w:w="501" w:type="pct"/>
                  <w:shd w:val="clear" w:color="auto" w:fill="auto"/>
                  <w:vAlign w:val="center"/>
                </w:tcPr>
                <w:p w14:paraId="66E31768">
                  <w:pPr>
                    <w:adjustRightInd w:val="0"/>
                    <w:snapToGrid w:val="0"/>
                    <w:jc w:val="center"/>
                    <w:rPr>
                      <w:color w:val="auto"/>
                      <w:szCs w:val="21"/>
                    </w:rPr>
                  </w:pPr>
                  <w:r>
                    <w:rPr>
                      <w:rFonts w:hint="eastAsia"/>
                      <w:color w:val="auto"/>
                      <w:szCs w:val="21"/>
                    </w:rPr>
                    <w:t>已建</w:t>
                  </w:r>
                </w:p>
              </w:tc>
            </w:tr>
            <w:tr w14:paraId="008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shd w:val="clear" w:color="auto" w:fill="auto"/>
                  <w:vAlign w:val="center"/>
                </w:tcPr>
                <w:p w14:paraId="549C400A">
                  <w:pPr>
                    <w:adjustRightInd w:val="0"/>
                    <w:snapToGrid w:val="0"/>
                    <w:jc w:val="center"/>
                    <w:rPr>
                      <w:color w:val="auto"/>
                      <w:szCs w:val="21"/>
                    </w:rPr>
                  </w:pPr>
                </w:p>
              </w:tc>
              <w:tc>
                <w:tcPr>
                  <w:tcW w:w="636" w:type="pct"/>
                  <w:shd w:val="clear" w:color="auto" w:fill="auto"/>
                  <w:vAlign w:val="center"/>
                </w:tcPr>
                <w:p w14:paraId="7C0B6402">
                  <w:pPr>
                    <w:adjustRightInd w:val="0"/>
                    <w:snapToGrid w:val="0"/>
                    <w:jc w:val="center"/>
                    <w:rPr>
                      <w:color w:val="auto"/>
                      <w:kern w:val="0"/>
                      <w:szCs w:val="21"/>
                    </w:rPr>
                  </w:pPr>
                  <w:r>
                    <w:rPr>
                      <w:rFonts w:hint="eastAsia"/>
                      <w:color w:val="auto"/>
                      <w:kern w:val="0"/>
                      <w:szCs w:val="21"/>
                    </w:rPr>
                    <w:t>危废暂存间</w:t>
                  </w:r>
                </w:p>
              </w:tc>
              <w:tc>
                <w:tcPr>
                  <w:tcW w:w="3463" w:type="pct"/>
                  <w:gridSpan w:val="2"/>
                  <w:shd w:val="clear" w:color="auto" w:fill="auto"/>
                  <w:vAlign w:val="center"/>
                </w:tcPr>
                <w:p w14:paraId="399DF032">
                  <w:pPr>
                    <w:adjustRightInd w:val="0"/>
                    <w:snapToGrid w:val="0"/>
                    <w:jc w:val="center"/>
                    <w:rPr>
                      <w:color w:val="auto"/>
                      <w:szCs w:val="21"/>
                    </w:rPr>
                  </w:pPr>
                  <w:r>
                    <w:rPr>
                      <w:rFonts w:hint="eastAsia"/>
                      <w:color w:val="auto"/>
                      <w:szCs w:val="21"/>
                    </w:rPr>
                    <w:t>位于1#仓库，占地面积340m</w:t>
                  </w:r>
                  <w:r>
                    <w:rPr>
                      <w:rFonts w:hint="eastAsia"/>
                      <w:color w:val="auto"/>
                      <w:szCs w:val="21"/>
                      <w:vertAlign w:val="superscript"/>
                    </w:rPr>
                    <w:t>2</w:t>
                  </w:r>
                </w:p>
              </w:tc>
              <w:tc>
                <w:tcPr>
                  <w:tcW w:w="501" w:type="pct"/>
                  <w:shd w:val="clear" w:color="auto" w:fill="auto"/>
                  <w:vAlign w:val="center"/>
                </w:tcPr>
                <w:p w14:paraId="1317FAC4">
                  <w:pPr>
                    <w:adjustRightInd w:val="0"/>
                    <w:snapToGrid w:val="0"/>
                    <w:jc w:val="center"/>
                    <w:rPr>
                      <w:color w:val="auto"/>
                      <w:szCs w:val="21"/>
                    </w:rPr>
                  </w:pPr>
                  <w:r>
                    <w:rPr>
                      <w:rFonts w:hint="eastAsia"/>
                      <w:color w:val="auto"/>
                      <w:szCs w:val="21"/>
                    </w:rPr>
                    <w:t>已建</w:t>
                  </w:r>
                </w:p>
              </w:tc>
            </w:tr>
            <w:tr w14:paraId="64E1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shd w:val="clear" w:color="auto" w:fill="auto"/>
                  <w:vAlign w:val="center"/>
                </w:tcPr>
                <w:p w14:paraId="3755C959">
                  <w:pPr>
                    <w:adjustRightInd w:val="0"/>
                    <w:snapToGrid w:val="0"/>
                    <w:jc w:val="center"/>
                    <w:rPr>
                      <w:color w:val="auto"/>
                      <w:szCs w:val="21"/>
                    </w:rPr>
                  </w:pPr>
                </w:p>
              </w:tc>
              <w:tc>
                <w:tcPr>
                  <w:tcW w:w="636" w:type="pct"/>
                  <w:shd w:val="clear" w:color="auto" w:fill="auto"/>
                  <w:vAlign w:val="center"/>
                </w:tcPr>
                <w:p w14:paraId="4544CFE8">
                  <w:pPr>
                    <w:adjustRightInd w:val="0"/>
                    <w:snapToGrid w:val="0"/>
                    <w:jc w:val="center"/>
                    <w:rPr>
                      <w:color w:val="auto"/>
                      <w:kern w:val="0"/>
                      <w:szCs w:val="21"/>
                    </w:rPr>
                  </w:pPr>
                  <w:r>
                    <w:rPr>
                      <w:rFonts w:hint="eastAsia"/>
                      <w:color w:val="auto"/>
                      <w:kern w:val="0"/>
                      <w:szCs w:val="21"/>
                    </w:rPr>
                    <w:t>锅炉</w:t>
                  </w:r>
                </w:p>
              </w:tc>
              <w:tc>
                <w:tcPr>
                  <w:tcW w:w="3463" w:type="pct"/>
                  <w:gridSpan w:val="2"/>
                  <w:shd w:val="clear" w:color="auto" w:fill="auto"/>
                  <w:vAlign w:val="center"/>
                </w:tcPr>
                <w:p w14:paraId="1AEC179B">
                  <w:pPr>
                    <w:adjustRightInd w:val="0"/>
                    <w:snapToGrid w:val="0"/>
                    <w:jc w:val="center"/>
                    <w:rPr>
                      <w:color w:val="auto"/>
                      <w:szCs w:val="21"/>
                    </w:rPr>
                  </w:pPr>
                  <w:r>
                    <w:rPr>
                      <w:rFonts w:hint="eastAsia"/>
                      <w:color w:val="auto"/>
                      <w:szCs w:val="21"/>
                    </w:rPr>
                    <w:t>2t/h燃气蒸汽锅炉，1台</w:t>
                  </w:r>
                </w:p>
              </w:tc>
              <w:tc>
                <w:tcPr>
                  <w:tcW w:w="501" w:type="pct"/>
                  <w:shd w:val="clear" w:color="auto" w:fill="auto"/>
                  <w:vAlign w:val="center"/>
                </w:tcPr>
                <w:p w14:paraId="66298388">
                  <w:pPr>
                    <w:adjustRightInd w:val="0"/>
                    <w:snapToGrid w:val="0"/>
                    <w:jc w:val="center"/>
                    <w:rPr>
                      <w:color w:val="auto"/>
                      <w:szCs w:val="21"/>
                    </w:rPr>
                  </w:pPr>
                  <w:r>
                    <w:rPr>
                      <w:rFonts w:hint="eastAsia"/>
                      <w:color w:val="auto"/>
                      <w:szCs w:val="21"/>
                    </w:rPr>
                    <w:t>已建</w:t>
                  </w:r>
                </w:p>
              </w:tc>
            </w:tr>
            <w:tr w14:paraId="65FD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restart"/>
                  <w:vAlign w:val="center"/>
                </w:tcPr>
                <w:p w14:paraId="3553885C">
                  <w:pPr>
                    <w:adjustRightInd w:val="0"/>
                    <w:snapToGrid w:val="0"/>
                    <w:jc w:val="center"/>
                    <w:rPr>
                      <w:color w:val="auto"/>
                      <w:kern w:val="0"/>
                      <w:szCs w:val="21"/>
                    </w:rPr>
                  </w:pPr>
                  <w:r>
                    <w:rPr>
                      <w:color w:val="auto"/>
                      <w:kern w:val="0"/>
                      <w:szCs w:val="21"/>
                    </w:rPr>
                    <w:t>公用工程</w:t>
                  </w:r>
                </w:p>
              </w:tc>
              <w:tc>
                <w:tcPr>
                  <w:tcW w:w="636" w:type="pct"/>
                  <w:vAlign w:val="center"/>
                </w:tcPr>
                <w:p w14:paraId="2792CDCF">
                  <w:pPr>
                    <w:adjustRightInd w:val="0"/>
                    <w:snapToGrid w:val="0"/>
                    <w:jc w:val="center"/>
                    <w:rPr>
                      <w:snapToGrid w:val="0"/>
                      <w:color w:val="auto"/>
                      <w:kern w:val="0"/>
                      <w:szCs w:val="21"/>
                    </w:rPr>
                  </w:pPr>
                  <w:r>
                    <w:rPr>
                      <w:color w:val="auto"/>
                      <w:szCs w:val="21"/>
                    </w:rPr>
                    <w:t>给水</w:t>
                  </w:r>
                </w:p>
              </w:tc>
              <w:tc>
                <w:tcPr>
                  <w:tcW w:w="3463" w:type="pct"/>
                  <w:gridSpan w:val="2"/>
                  <w:vAlign w:val="center"/>
                </w:tcPr>
                <w:p w14:paraId="01DE26E5">
                  <w:pPr>
                    <w:adjustRightInd w:val="0"/>
                    <w:snapToGrid w:val="0"/>
                    <w:jc w:val="center"/>
                    <w:rPr>
                      <w:color w:val="auto"/>
                      <w:kern w:val="0"/>
                      <w:szCs w:val="21"/>
                    </w:rPr>
                  </w:pPr>
                  <w:r>
                    <w:rPr>
                      <w:rFonts w:hint="eastAsia"/>
                      <w:color w:val="auto"/>
                      <w:kern w:val="0"/>
                      <w:szCs w:val="21"/>
                    </w:rPr>
                    <w:t>市政供水</w:t>
                  </w:r>
                </w:p>
              </w:tc>
              <w:tc>
                <w:tcPr>
                  <w:tcW w:w="501" w:type="pct"/>
                  <w:vAlign w:val="center"/>
                </w:tcPr>
                <w:p w14:paraId="32D4ED0D">
                  <w:pPr>
                    <w:adjustRightInd w:val="0"/>
                    <w:snapToGrid w:val="0"/>
                    <w:jc w:val="center"/>
                    <w:rPr>
                      <w:color w:val="auto"/>
                      <w:kern w:val="0"/>
                      <w:szCs w:val="21"/>
                    </w:rPr>
                  </w:pPr>
                  <w:r>
                    <w:rPr>
                      <w:rFonts w:hint="eastAsia"/>
                      <w:color w:val="auto"/>
                      <w:kern w:val="0"/>
                      <w:szCs w:val="21"/>
                    </w:rPr>
                    <w:t>/</w:t>
                  </w:r>
                </w:p>
              </w:tc>
            </w:tr>
            <w:tr w14:paraId="6213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54BD996D">
                  <w:pPr>
                    <w:adjustRightInd w:val="0"/>
                    <w:snapToGrid w:val="0"/>
                    <w:jc w:val="center"/>
                    <w:rPr>
                      <w:color w:val="auto"/>
                      <w:kern w:val="0"/>
                      <w:szCs w:val="21"/>
                    </w:rPr>
                  </w:pPr>
                </w:p>
              </w:tc>
              <w:tc>
                <w:tcPr>
                  <w:tcW w:w="636" w:type="pct"/>
                  <w:vAlign w:val="center"/>
                </w:tcPr>
                <w:p w14:paraId="74259566">
                  <w:pPr>
                    <w:adjustRightInd w:val="0"/>
                    <w:snapToGrid w:val="0"/>
                    <w:jc w:val="center"/>
                    <w:rPr>
                      <w:snapToGrid w:val="0"/>
                      <w:color w:val="auto"/>
                      <w:kern w:val="0"/>
                      <w:szCs w:val="21"/>
                    </w:rPr>
                  </w:pPr>
                  <w:r>
                    <w:rPr>
                      <w:color w:val="auto"/>
                      <w:szCs w:val="21"/>
                    </w:rPr>
                    <w:t>供电</w:t>
                  </w:r>
                </w:p>
              </w:tc>
              <w:tc>
                <w:tcPr>
                  <w:tcW w:w="3463" w:type="pct"/>
                  <w:gridSpan w:val="2"/>
                  <w:vAlign w:val="center"/>
                </w:tcPr>
                <w:p w14:paraId="6FBD8AF8">
                  <w:pPr>
                    <w:adjustRightInd w:val="0"/>
                    <w:snapToGrid w:val="0"/>
                    <w:jc w:val="center"/>
                    <w:rPr>
                      <w:color w:val="auto"/>
                      <w:kern w:val="0"/>
                      <w:szCs w:val="21"/>
                    </w:rPr>
                  </w:pPr>
                  <w:r>
                    <w:rPr>
                      <w:rFonts w:hint="eastAsia"/>
                      <w:color w:val="auto"/>
                      <w:kern w:val="0"/>
                      <w:szCs w:val="21"/>
                    </w:rPr>
                    <w:t>市政电网</w:t>
                  </w:r>
                </w:p>
              </w:tc>
              <w:tc>
                <w:tcPr>
                  <w:tcW w:w="501" w:type="pct"/>
                  <w:vAlign w:val="center"/>
                </w:tcPr>
                <w:p w14:paraId="274C3AB9">
                  <w:pPr>
                    <w:adjustRightInd w:val="0"/>
                    <w:snapToGrid w:val="0"/>
                    <w:jc w:val="center"/>
                    <w:rPr>
                      <w:color w:val="auto"/>
                      <w:kern w:val="0"/>
                      <w:szCs w:val="21"/>
                    </w:rPr>
                  </w:pPr>
                  <w:r>
                    <w:rPr>
                      <w:rFonts w:hint="eastAsia"/>
                      <w:color w:val="auto"/>
                      <w:kern w:val="0"/>
                      <w:szCs w:val="21"/>
                    </w:rPr>
                    <w:t>/</w:t>
                  </w:r>
                </w:p>
              </w:tc>
            </w:tr>
            <w:tr w14:paraId="12D4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3D7EB7C8">
                  <w:pPr>
                    <w:adjustRightInd w:val="0"/>
                    <w:snapToGrid w:val="0"/>
                    <w:jc w:val="center"/>
                    <w:rPr>
                      <w:color w:val="auto"/>
                      <w:kern w:val="0"/>
                      <w:szCs w:val="21"/>
                    </w:rPr>
                  </w:pPr>
                </w:p>
              </w:tc>
              <w:tc>
                <w:tcPr>
                  <w:tcW w:w="636" w:type="pct"/>
                  <w:vAlign w:val="center"/>
                </w:tcPr>
                <w:p w14:paraId="26293007">
                  <w:pPr>
                    <w:jc w:val="center"/>
                    <w:rPr>
                      <w:color w:val="auto"/>
                      <w:szCs w:val="21"/>
                    </w:rPr>
                  </w:pPr>
                  <w:r>
                    <w:rPr>
                      <w:rFonts w:hint="eastAsia"/>
                      <w:color w:val="auto"/>
                      <w:szCs w:val="21"/>
                    </w:rPr>
                    <w:t>供气</w:t>
                  </w:r>
                </w:p>
              </w:tc>
              <w:tc>
                <w:tcPr>
                  <w:tcW w:w="3463" w:type="pct"/>
                  <w:gridSpan w:val="2"/>
                  <w:vAlign w:val="center"/>
                </w:tcPr>
                <w:p w14:paraId="336A5DF2">
                  <w:pPr>
                    <w:jc w:val="center"/>
                    <w:rPr>
                      <w:color w:val="auto"/>
                      <w:szCs w:val="21"/>
                    </w:rPr>
                  </w:pPr>
                  <w:r>
                    <w:rPr>
                      <w:rFonts w:hint="eastAsia"/>
                      <w:color w:val="auto"/>
                      <w:szCs w:val="21"/>
                    </w:rPr>
                    <w:t>供气管网</w:t>
                  </w:r>
                </w:p>
              </w:tc>
              <w:tc>
                <w:tcPr>
                  <w:tcW w:w="501" w:type="pct"/>
                  <w:vAlign w:val="center"/>
                </w:tcPr>
                <w:p w14:paraId="0E332E25">
                  <w:pPr>
                    <w:jc w:val="center"/>
                    <w:rPr>
                      <w:color w:val="auto"/>
                      <w:szCs w:val="21"/>
                    </w:rPr>
                  </w:pPr>
                  <w:r>
                    <w:rPr>
                      <w:rFonts w:hint="eastAsia"/>
                      <w:color w:val="auto"/>
                      <w:szCs w:val="21"/>
                    </w:rPr>
                    <w:t>/</w:t>
                  </w:r>
                </w:p>
              </w:tc>
            </w:tr>
            <w:tr w14:paraId="7022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6A5E5494">
                  <w:pPr>
                    <w:adjustRightInd w:val="0"/>
                    <w:snapToGrid w:val="0"/>
                    <w:jc w:val="center"/>
                    <w:rPr>
                      <w:color w:val="auto"/>
                      <w:kern w:val="0"/>
                      <w:szCs w:val="21"/>
                    </w:rPr>
                  </w:pPr>
                </w:p>
              </w:tc>
              <w:tc>
                <w:tcPr>
                  <w:tcW w:w="636" w:type="pct"/>
                  <w:vAlign w:val="center"/>
                </w:tcPr>
                <w:p w14:paraId="6D76D335">
                  <w:pPr>
                    <w:jc w:val="center"/>
                    <w:rPr>
                      <w:color w:val="auto"/>
                      <w:szCs w:val="21"/>
                    </w:rPr>
                  </w:pPr>
                  <w:r>
                    <w:rPr>
                      <w:color w:val="auto"/>
                      <w:szCs w:val="21"/>
                    </w:rPr>
                    <w:t>排水</w:t>
                  </w:r>
                </w:p>
              </w:tc>
              <w:tc>
                <w:tcPr>
                  <w:tcW w:w="3463" w:type="pct"/>
                  <w:gridSpan w:val="2"/>
                  <w:vAlign w:val="center"/>
                </w:tcPr>
                <w:p w14:paraId="663CD49A">
                  <w:pPr>
                    <w:jc w:val="center"/>
                    <w:rPr>
                      <w:color w:val="auto"/>
                      <w:szCs w:val="21"/>
                    </w:rPr>
                  </w:pPr>
                  <w:r>
                    <w:rPr>
                      <w:color w:val="auto"/>
                      <w:szCs w:val="21"/>
                    </w:rPr>
                    <w:t>雨污分流</w:t>
                  </w:r>
                </w:p>
              </w:tc>
              <w:tc>
                <w:tcPr>
                  <w:tcW w:w="501" w:type="pct"/>
                  <w:vAlign w:val="center"/>
                </w:tcPr>
                <w:p w14:paraId="4C41713C">
                  <w:pPr>
                    <w:jc w:val="center"/>
                    <w:rPr>
                      <w:color w:val="auto"/>
                      <w:szCs w:val="21"/>
                    </w:rPr>
                  </w:pPr>
                  <w:r>
                    <w:rPr>
                      <w:rFonts w:hint="eastAsia"/>
                      <w:color w:val="auto"/>
                      <w:szCs w:val="21"/>
                    </w:rPr>
                    <w:t>/</w:t>
                  </w:r>
                </w:p>
              </w:tc>
            </w:tr>
            <w:tr w14:paraId="6CCC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restart"/>
                  <w:vAlign w:val="center"/>
                </w:tcPr>
                <w:p w14:paraId="3664C308">
                  <w:pPr>
                    <w:adjustRightInd w:val="0"/>
                    <w:snapToGrid w:val="0"/>
                    <w:jc w:val="center"/>
                    <w:rPr>
                      <w:color w:val="auto"/>
                      <w:kern w:val="0"/>
                      <w:szCs w:val="21"/>
                    </w:rPr>
                  </w:pPr>
                  <w:r>
                    <w:rPr>
                      <w:color w:val="auto"/>
                      <w:kern w:val="0"/>
                      <w:szCs w:val="21"/>
                    </w:rPr>
                    <w:t>环保工程</w:t>
                  </w:r>
                </w:p>
              </w:tc>
              <w:tc>
                <w:tcPr>
                  <w:tcW w:w="636" w:type="pct"/>
                  <w:shd w:val="clear" w:color="auto" w:fill="auto"/>
                  <w:vAlign w:val="center"/>
                </w:tcPr>
                <w:p w14:paraId="12FDB5A2">
                  <w:pPr>
                    <w:adjustRightInd w:val="0"/>
                    <w:snapToGrid w:val="0"/>
                    <w:jc w:val="center"/>
                    <w:rPr>
                      <w:color w:val="auto"/>
                      <w:kern w:val="0"/>
                      <w:szCs w:val="21"/>
                    </w:rPr>
                  </w:pPr>
                  <w:r>
                    <w:rPr>
                      <w:rFonts w:hint="eastAsia"/>
                      <w:color w:val="auto"/>
                      <w:kern w:val="0"/>
                      <w:szCs w:val="21"/>
                    </w:rPr>
                    <w:t>清洗废水</w:t>
                  </w:r>
                </w:p>
              </w:tc>
              <w:tc>
                <w:tcPr>
                  <w:tcW w:w="3463" w:type="pct"/>
                  <w:gridSpan w:val="2"/>
                  <w:shd w:val="clear" w:color="auto" w:fill="auto"/>
                  <w:vAlign w:val="center"/>
                </w:tcPr>
                <w:p w14:paraId="4A19D5F3">
                  <w:pPr>
                    <w:adjustRightInd w:val="0"/>
                    <w:snapToGrid w:val="0"/>
                    <w:jc w:val="center"/>
                    <w:rPr>
                      <w:color w:val="auto"/>
                      <w:szCs w:val="21"/>
                    </w:rPr>
                  </w:pPr>
                  <w:r>
                    <w:rPr>
                      <w:rFonts w:hint="eastAsia"/>
                      <w:color w:val="auto"/>
                      <w:szCs w:val="21"/>
                    </w:rPr>
                    <w:t>污水收集池</w:t>
                  </w:r>
                </w:p>
              </w:tc>
              <w:tc>
                <w:tcPr>
                  <w:tcW w:w="501" w:type="pct"/>
                  <w:shd w:val="clear" w:color="auto" w:fill="auto"/>
                  <w:vAlign w:val="center"/>
                </w:tcPr>
                <w:p w14:paraId="58B0EA18">
                  <w:pPr>
                    <w:adjustRightInd w:val="0"/>
                    <w:snapToGrid w:val="0"/>
                    <w:jc w:val="center"/>
                    <w:rPr>
                      <w:color w:val="auto"/>
                      <w:szCs w:val="21"/>
                    </w:rPr>
                  </w:pPr>
                  <w:r>
                    <w:rPr>
                      <w:rFonts w:hint="eastAsia"/>
                      <w:color w:val="auto"/>
                      <w:szCs w:val="21"/>
                    </w:rPr>
                    <w:t>本项目待建</w:t>
                  </w:r>
                </w:p>
              </w:tc>
            </w:tr>
            <w:tr w14:paraId="3964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243AD382">
                  <w:pPr>
                    <w:adjustRightInd w:val="0"/>
                    <w:snapToGrid w:val="0"/>
                    <w:jc w:val="center"/>
                    <w:rPr>
                      <w:color w:val="auto"/>
                      <w:kern w:val="0"/>
                      <w:szCs w:val="21"/>
                    </w:rPr>
                  </w:pPr>
                </w:p>
              </w:tc>
              <w:tc>
                <w:tcPr>
                  <w:tcW w:w="636" w:type="pct"/>
                  <w:shd w:val="clear" w:color="auto" w:fill="auto"/>
                  <w:vAlign w:val="center"/>
                </w:tcPr>
                <w:p w14:paraId="15143FB0">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废气</w:t>
                  </w:r>
                </w:p>
              </w:tc>
              <w:tc>
                <w:tcPr>
                  <w:tcW w:w="3463" w:type="pct"/>
                  <w:gridSpan w:val="2"/>
                  <w:shd w:val="clear" w:color="auto" w:fill="auto"/>
                  <w:vAlign w:val="center"/>
                </w:tcPr>
                <w:p w14:paraId="69B4D2A7">
                  <w:pPr>
                    <w:adjustRightInd w:val="0"/>
                    <w:snapToGrid w:val="0"/>
                    <w:jc w:val="center"/>
                    <w:rPr>
                      <w:rFonts w:hint="default" w:eastAsia="宋体"/>
                      <w:color w:val="auto"/>
                      <w:szCs w:val="21"/>
                      <w:lang w:val="en-US" w:eastAsia="zh-CN"/>
                    </w:rPr>
                  </w:pPr>
                  <w:r>
                    <w:rPr>
                      <w:rFonts w:hint="eastAsia"/>
                      <w:color w:val="auto"/>
                      <w:szCs w:val="21"/>
                      <w:lang w:val="en-US" w:eastAsia="zh-CN"/>
                    </w:rPr>
                    <w:t>加强厂区通风</w:t>
                  </w:r>
                </w:p>
              </w:tc>
              <w:tc>
                <w:tcPr>
                  <w:tcW w:w="501" w:type="pct"/>
                  <w:shd w:val="clear" w:color="auto" w:fill="auto"/>
                  <w:vAlign w:val="center"/>
                </w:tcPr>
                <w:p w14:paraId="0A7B3B6C">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63D6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2AD19623">
                  <w:pPr>
                    <w:adjustRightInd w:val="0"/>
                    <w:snapToGrid w:val="0"/>
                    <w:jc w:val="center"/>
                    <w:rPr>
                      <w:color w:val="auto"/>
                      <w:kern w:val="0"/>
                      <w:szCs w:val="21"/>
                    </w:rPr>
                  </w:pPr>
                </w:p>
              </w:tc>
              <w:tc>
                <w:tcPr>
                  <w:tcW w:w="636" w:type="pct"/>
                  <w:shd w:val="clear" w:color="auto" w:fill="auto"/>
                  <w:vAlign w:val="center"/>
                </w:tcPr>
                <w:p w14:paraId="7CD38F04">
                  <w:pPr>
                    <w:adjustRightInd w:val="0"/>
                    <w:snapToGrid w:val="0"/>
                    <w:jc w:val="center"/>
                    <w:rPr>
                      <w:color w:val="auto"/>
                      <w:kern w:val="0"/>
                      <w:szCs w:val="21"/>
                    </w:rPr>
                  </w:pPr>
                  <w:r>
                    <w:rPr>
                      <w:rFonts w:hint="eastAsia"/>
                      <w:color w:val="auto"/>
                      <w:kern w:val="0"/>
                      <w:szCs w:val="21"/>
                    </w:rPr>
                    <w:t>噪声</w:t>
                  </w:r>
                </w:p>
              </w:tc>
              <w:tc>
                <w:tcPr>
                  <w:tcW w:w="3463" w:type="pct"/>
                  <w:gridSpan w:val="2"/>
                  <w:shd w:val="clear" w:color="auto" w:fill="auto"/>
                  <w:vAlign w:val="center"/>
                </w:tcPr>
                <w:p w14:paraId="15E5D64F">
                  <w:pPr>
                    <w:adjustRightInd w:val="0"/>
                    <w:snapToGrid w:val="0"/>
                    <w:jc w:val="center"/>
                    <w:rPr>
                      <w:color w:val="auto"/>
                      <w:szCs w:val="21"/>
                    </w:rPr>
                  </w:pPr>
                  <w:r>
                    <w:rPr>
                      <w:rFonts w:hint="eastAsia"/>
                      <w:color w:val="auto"/>
                      <w:szCs w:val="21"/>
                    </w:rPr>
                    <w:t>选用低噪声设备，并对设备采取隔声减振、密闭等综合</w:t>
                  </w:r>
                </w:p>
                <w:p w14:paraId="210E3A84">
                  <w:pPr>
                    <w:adjustRightInd w:val="0"/>
                    <w:snapToGrid w:val="0"/>
                    <w:jc w:val="center"/>
                    <w:rPr>
                      <w:snapToGrid w:val="0"/>
                      <w:color w:val="auto"/>
                      <w:kern w:val="0"/>
                      <w:szCs w:val="21"/>
                    </w:rPr>
                  </w:pPr>
                  <w:r>
                    <w:rPr>
                      <w:rFonts w:hint="eastAsia"/>
                      <w:color w:val="auto"/>
                      <w:szCs w:val="21"/>
                    </w:rPr>
                    <w:t>降噪措施</w:t>
                  </w:r>
                </w:p>
              </w:tc>
              <w:tc>
                <w:tcPr>
                  <w:tcW w:w="501" w:type="pct"/>
                  <w:shd w:val="clear" w:color="auto" w:fill="auto"/>
                  <w:vAlign w:val="center"/>
                </w:tcPr>
                <w:p w14:paraId="59D47958">
                  <w:pPr>
                    <w:adjustRightInd w:val="0"/>
                    <w:snapToGrid w:val="0"/>
                    <w:jc w:val="center"/>
                    <w:rPr>
                      <w:color w:val="auto"/>
                      <w:szCs w:val="21"/>
                    </w:rPr>
                  </w:pPr>
                  <w:r>
                    <w:rPr>
                      <w:rFonts w:hint="eastAsia"/>
                      <w:color w:val="auto"/>
                      <w:szCs w:val="21"/>
                    </w:rPr>
                    <w:t>/</w:t>
                  </w:r>
                </w:p>
              </w:tc>
            </w:tr>
            <w:tr w14:paraId="61D6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98" w:type="pct"/>
                  <w:vMerge w:val="continue"/>
                  <w:vAlign w:val="center"/>
                </w:tcPr>
                <w:p w14:paraId="00B30856">
                  <w:pPr>
                    <w:adjustRightInd w:val="0"/>
                    <w:snapToGrid w:val="0"/>
                    <w:jc w:val="center"/>
                    <w:rPr>
                      <w:color w:val="auto"/>
                      <w:kern w:val="0"/>
                      <w:szCs w:val="21"/>
                    </w:rPr>
                  </w:pPr>
                </w:p>
              </w:tc>
              <w:tc>
                <w:tcPr>
                  <w:tcW w:w="636" w:type="pct"/>
                  <w:shd w:val="clear" w:color="auto" w:fill="auto"/>
                  <w:vAlign w:val="center"/>
                </w:tcPr>
                <w:p w14:paraId="6439725A">
                  <w:pPr>
                    <w:adjustRightInd w:val="0"/>
                    <w:snapToGrid w:val="0"/>
                    <w:jc w:val="center"/>
                    <w:rPr>
                      <w:color w:val="auto"/>
                      <w:szCs w:val="21"/>
                    </w:rPr>
                  </w:pPr>
                  <w:r>
                    <w:rPr>
                      <w:rFonts w:hint="eastAsia"/>
                      <w:color w:val="auto"/>
                      <w:szCs w:val="21"/>
                    </w:rPr>
                    <w:t>固体废物</w:t>
                  </w:r>
                </w:p>
              </w:tc>
              <w:tc>
                <w:tcPr>
                  <w:tcW w:w="667" w:type="pct"/>
                  <w:shd w:val="clear" w:color="auto" w:fill="auto"/>
                  <w:vAlign w:val="center"/>
                </w:tcPr>
                <w:p w14:paraId="31B17698">
                  <w:pPr>
                    <w:adjustRightInd w:val="0"/>
                    <w:snapToGrid w:val="0"/>
                    <w:jc w:val="center"/>
                    <w:rPr>
                      <w:snapToGrid w:val="0"/>
                      <w:color w:val="auto"/>
                      <w:kern w:val="0"/>
                      <w:szCs w:val="21"/>
                    </w:rPr>
                  </w:pPr>
                  <w:r>
                    <w:rPr>
                      <w:rFonts w:hint="eastAsia"/>
                      <w:color w:val="auto"/>
                      <w:kern w:val="0"/>
                      <w:szCs w:val="21"/>
                    </w:rPr>
                    <w:t>生活垃圾</w:t>
                  </w:r>
                </w:p>
              </w:tc>
              <w:tc>
                <w:tcPr>
                  <w:tcW w:w="2795" w:type="pct"/>
                  <w:shd w:val="clear" w:color="auto" w:fill="auto"/>
                  <w:vAlign w:val="center"/>
                </w:tcPr>
                <w:p w14:paraId="4105B533">
                  <w:pPr>
                    <w:adjustRightInd w:val="0"/>
                    <w:snapToGrid w:val="0"/>
                    <w:jc w:val="center"/>
                    <w:rPr>
                      <w:color w:val="auto"/>
                      <w:kern w:val="0"/>
                      <w:szCs w:val="21"/>
                    </w:rPr>
                  </w:pPr>
                  <w:r>
                    <w:rPr>
                      <w:color w:val="auto"/>
                      <w:kern w:val="0"/>
                      <w:szCs w:val="21"/>
                    </w:rPr>
                    <w:t>收集后交由环卫部门处理</w:t>
                  </w:r>
                </w:p>
              </w:tc>
              <w:tc>
                <w:tcPr>
                  <w:tcW w:w="501" w:type="pct"/>
                  <w:shd w:val="clear" w:color="auto" w:fill="auto"/>
                  <w:vAlign w:val="center"/>
                </w:tcPr>
                <w:p w14:paraId="0D5507D5">
                  <w:pPr>
                    <w:adjustRightInd w:val="0"/>
                    <w:snapToGrid w:val="0"/>
                    <w:jc w:val="center"/>
                    <w:rPr>
                      <w:color w:val="auto"/>
                      <w:kern w:val="0"/>
                      <w:szCs w:val="21"/>
                    </w:rPr>
                  </w:pPr>
                  <w:r>
                    <w:rPr>
                      <w:rFonts w:hint="eastAsia"/>
                      <w:color w:val="auto"/>
                      <w:kern w:val="0"/>
                      <w:szCs w:val="21"/>
                    </w:rPr>
                    <w:t>/</w:t>
                  </w:r>
                </w:p>
              </w:tc>
            </w:tr>
          </w:tbl>
          <w:p w14:paraId="33097B34">
            <w:pPr>
              <w:adjustRightInd w:val="0"/>
              <w:snapToGrid w:val="0"/>
              <w:spacing w:before="120" w:beforeLines="50" w:line="360" w:lineRule="auto"/>
              <w:ind w:firstLine="482" w:firstLineChars="200"/>
              <w:rPr>
                <w:b/>
                <w:bCs/>
                <w:color w:val="auto"/>
                <w:sz w:val="24"/>
              </w:rPr>
            </w:pPr>
            <w:r>
              <w:rPr>
                <w:rFonts w:hint="eastAsia"/>
                <w:b/>
                <w:bCs/>
                <w:color w:val="auto"/>
                <w:sz w:val="24"/>
              </w:rPr>
              <w:t>3、产品方案</w:t>
            </w:r>
          </w:p>
          <w:p w14:paraId="224C319F">
            <w:pPr>
              <w:pStyle w:val="6"/>
              <w:snapToGrid/>
              <w:spacing w:before="0" w:after="0" w:line="360" w:lineRule="auto"/>
              <w:ind w:right="0" w:firstLine="480" w:firstLineChars="200"/>
              <w:rPr>
                <w:color w:val="auto"/>
                <w:sz w:val="24"/>
                <w:szCs w:val="24"/>
              </w:rPr>
            </w:pPr>
            <w:r>
              <w:rPr>
                <w:rFonts w:hint="eastAsia"/>
                <w:color w:val="auto"/>
                <w:sz w:val="24"/>
                <w:szCs w:val="24"/>
              </w:rPr>
              <w:t>本项目产品为钕铁硼磁钢的半成品</w:t>
            </w:r>
            <w:r>
              <w:rPr>
                <w:rFonts w:hint="eastAsia"/>
                <w:color w:val="auto"/>
                <w:sz w:val="24"/>
                <w:szCs w:val="24"/>
                <w:lang w:val="en-US" w:eastAsia="zh-CN"/>
              </w:rPr>
              <w:t>共5000t</w:t>
            </w:r>
            <w:r>
              <w:rPr>
                <w:rFonts w:hint="eastAsia"/>
                <w:color w:val="auto"/>
                <w:sz w:val="24"/>
                <w:szCs w:val="24"/>
              </w:rPr>
              <w:t>。项目产品方案详见表2-2。</w:t>
            </w:r>
          </w:p>
          <w:p w14:paraId="433A9563">
            <w:pPr>
              <w:pStyle w:val="62"/>
              <w:rPr>
                <w:rFonts w:hint="default"/>
                <w:color w:val="auto"/>
              </w:rPr>
            </w:pPr>
            <w:r>
              <w:rPr>
                <w:color w:val="auto"/>
              </w:rPr>
              <w:t>表2-2主要产品方案</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5325"/>
              <w:gridCol w:w="1311"/>
            </w:tblGrid>
            <w:tr w14:paraId="104E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pct"/>
                  <w:vAlign w:val="center"/>
                </w:tcPr>
                <w:p w14:paraId="04E6BC24">
                  <w:pPr>
                    <w:snapToGrid w:val="0"/>
                    <w:spacing w:line="340" w:lineRule="exact"/>
                    <w:jc w:val="center"/>
                    <w:rPr>
                      <w:rFonts w:cs="仿宋"/>
                      <w:b/>
                      <w:bCs/>
                      <w:color w:val="auto"/>
                      <w:szCs w:val="21"/>
                    </w:rPr>
                  </w:pPr>
                  <w:r>
                    <w:rPr>
                      <w:rFonts w:hint="eastAsia" w:cs="仿宋"/>
                      <w:b/>
                      <w:bCs/>
                      <w:color w:val="auto"/>
                      <w:szCs w:val="21"/>
                    </w:rPr>
                    <w:t>序号</w:t>
                  </w:r>
                </w:p>
              </w:tc>
              <w:tc>
                <w:tcPr>
                  <w:tcW w:w="2864" w:type="pct"/>
                  <w:vAlign w:val="center"/>
                </w:tcPr>
                <w:p w14:paraId="04EFAC75">
                  <w:pPr>
                    <w:snapToGrid w:val="0"/>
                    <w:spacing w:line="340" w:lineRule="exact"/>
                    <w:jc w:val="center"/>
                    <w:rPr>
                      <w:rFonts w:cs="仿宋"/>
                      <w:b/>
                      <w:bCs/>
                      <w:color w:val="auto"/>
                      <w:szCs w:val="21"/>
                    </w:rPr>
                  </w:pPr>
                  <w:r>
                    <w:rPr>
                      <w:rFonts w:hint="eastAsia" w:cs="仿宋"/>
                      <w:b/>
                      <w:bCs/>
                      <w:color w:val="auto"/>
                      <w:szCs w:val="21"/>
                    </w:rPr>
                    <w:t>产品名称</w:t>
                  </w:r>
                </w:p>
              </w:tc>
              <w:tc>
                <w:tcPr>
                  <w:tcW w:w="705" w:type="pct"/>
                  <w:vAlign w:val="center"/>
                </w:tcPr>
                <w:p w14:paraId="7F5DB69F">
                  <w:pPr>
                    <w:snapToGrid w:val="0"/>
                    <w:spacing w:line="340" w:lineRule="exact"/>
                    <w:jc w:val="center"/>
                    <w:rPr>
                      <w:rFonts w:cs="仿宋"/>
                      <w:b/>
                      <w:bCs/>
                      <w:color w:val="auto"/>
                      <w:szCs w:val="21"/>
                    </w:rPr>
                  </w:pPr>
                  <w:r>
                    <w:rPr>
                      <w:rFonts w:hint="eastAsia" w:cs="仿宋"/>
                      <w:b/>
                      <w:bCs/>
                      <w:color w:val="auto"/>
                      <w:szCs w:val="21"/>
                    </w:rPr>
                    <w:t>产量</w:t>
                  </w:r>
                </w:p>
              </w:tc>
            </w:tr>
            <w:tr w14:paraId="7A9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30" w:type="pct"/>
                  <w:vAlign w:val="center"/>
                </w:tcPr>
                <w:p w14:paraId="45BF3BBA">
                  <w:pPr>
                    <w:widowControl/>
                    <w:jc w:val="center"/>
                    <w:rPr>
                      <w:rFonts w:cs="宋体"/>
                      <w:color w:val="auto"/>
                      <w:kern w:val="0"/>
                      <w:szCs w:val="21"/>
                      <w:lang w:bidi="ar"/>
                    </w:rPr>
                  </w:pPr>
                  <w:r>
                    <w:rPr>
                      <w:rFonts w:hint="eastAsia" w:cs="宋体"/>
                      <w:color w:val="auto"/>
                      <w:kern w:val="0"/>
                      <w:szCs w:val="21"/>
                      <w:lang w:bidi="ar"/>
                    </w:rPr>
                    <w:t>1</w:t>
                  </w:r>
                </w:p>
              </w:tc>
              <w:tc>
                <w:tcPr>
                  <w:tcW w:w="2864" w:type="pct"/>
                  <w:vAlign w:val="center"/>
                </w:tcPr>
                <w:p w14:paraId="24EBC37E">
                  <w:pPr>
                    <w:widowControl/>
                    <w:jc w:val="center"/>
                    <w:rPr>
                      <w:rFonts w:cs="仿宋"/>
                      <w:b/>
                      <w:bCs/>
                      <w:color w:val="auto"/>
                      <w:szCs w:val="21"/>
                    </w:rPr>
                  </w:pPr>
                  <w:r>
                    <w:rPr>
                      <w:rFonts w:hint="eastAsia" w:cs="仿宋"/>
                      <w:b w:val="0"/>
                      <w:bCs w:val="0"/>
                      <w:color w:val="auto"/>
                      <w:szCs w:val="21"/>
                    </w:rPr>
                    <w:t>钕铁硼材料机加工半成品</w:t>
                  </w:r>
                </w:p>
              </w:tc>
              <w:tc>
                <w:tcPr>
                  <w:tcW w:w="705" w:type="pct"/>
                  <w:vAlign w:val="center"/>
                </w:tcPr>
                <w:p w14:paraId="118CF866">
                  <w:pPr>
                    <w:snapToGrid w:val="0"/>
                    <w:jc w:val="center"/>
                    <w:rPr>
                      <w:rFonts w:hint="eastAsia" w:eastAsia="宋体" w:cs="仿宋"/>
                      <w:color w:val="auto"/>
                      <w:szCs w:val="21"/>
                      <w:lang w:eastAsia="zh-CN"/>
                    </w:rPr>
                  </w:pPr>
                  <w:r>
                    <w:rPr>
                      <w:rFonts w:hint="eastAsia" w:cs="仿宋"/>
                      <w:color w:val="auto"/>
                      <w:szCs w:val="21"/>
                      <w:lang w:val="en-US" w:eastAsia="zh-CN"/>
                    </w:rPr>
                    <w:t>4600</w:t>
                  </w:r>
                  <w:r>
                    <w:rPr>
                      <w:rFonts w:hint="eastAsia" w:cs="仿宋"/>
                      <w:color w:val="auto"/>
                      <w:szCs w:val="21"/>
                    </w:rPr>
                    <w:t>吨</w:t>
                  </w:r>
                </w:p>
              </w:tc>
            </w:tr>
            <w:tr w14:paraId="736A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0" w:type="pct"/>
                  <w:vAlign w:val="center"/>
                </w:tcPr>
                <w:p w14:paraId="31F58571">
                  <w:pPr>
                    <w:snapToGrid w:val="0"/>
                    <w:jc w:val="center"/>
                    <w:rPr>
                      <w:rFonts w:cs="宋体"/>
                      <w:b/>
                      <w:bCs/>
                      <w:color w:val="auto"/>
                      <w:kern w:val="0"/>
                      <w:szCs w:val="21"/>
                      <w:lang w:bidi="ar"/>
                    </w:rPr>
                  </w:pPr>
                  <w:r>
                    <w:rPr>
                      <w:rFonts w:hint="eastAsia" w:cs="宋体"/>
                      <w:b/>
                      <w:bCs/>
                      <w:color w:val="auto"/>
                      <w:kern w:val="0"/>
                      <w:szCs w:val="21"/>
                      <w:lang w:bidi="ar"/>
                    </w:rPr>
                    <w:t>2</w:t>
                  </w:r>
                </w:p>
              </w:tc>
              <w:tc>
                <w:tcPr>
                  <w:tcW w:w="2864" w:type="pct"/>
                  <w:vAlign w:val="center"/>
                </w:tcPr>
                <w:p w14:paraId="3EF2CF14">
                  <w:pPr>
                    <w:snapToGrid w:val="0"/>
                    <w:jc w:val="center"/>
                    <w:rPr>
                      <w:rFonts w:cs="仿宋"/>
                      <w:color w:val="auto"/>
                      <w:szCs w:val="21"/>
                    </w:rPr>
                  </w:pPr>
                  <w:r>
                    <w:rPr>
                      <w:rFonts w:hint="eastAsia" w:cs="宋体"/>
                      <w:color w:val="auto"/>
                      <w:kern w:val="0"/>
                      <w:szCs w:val="21"/>
                      <w:lang w:bidi="ar"/>
                    </w:rPr>
                    <w:t>粘胶组件</w:t>
                  </w:r>
                </w:p>
              </w:tc>
              <w:tc>
                <w:tcPr>
                  <w:tcW w:w="705" w:type="pct"/>
                  <w:vAlign w:val="center"/>
                </w:tcPr>
                <w:p w14:paraId="1102BDA5">
                  <w:pPr>
                    <w:snapToGrid w:val="0"/>
                    <w:jc w:val="center"/>
                    <w:rPr>
                      <w:rFonts w:hint="default" w:eastAsia="宋体" w:cs="仿宋"/>
                      <w:color w:val="auto"/>
                      <w:szCs w:val="21"/>
                      <w:lang w:val="en-US" w:eastAsia="zh-CN"/>
                    </w:rPr>
                  </w:pPr>
                  <w:r>
                    <w:rPr>
                      <w:rFonts w:hint="eastAsia" w:cs="仿宋"/>
                      <w:color w:val="auto"/>
                      <w:szCs w:val="21"/>
                      <w:lang w:val="en-US" w:eastAsia="zh-CN"/>
                    </w:rPr>
                    <w:t>400</w:t>
                  </w:r>
                  <w:r>
                    <w:rPr>
                      <w:rFonts w:hint="eastAsia" w:cs="仿宋"/>
                      <w:color w:val="auto"/>
                      <w:szCs w:val="21"/>
                    </w:rPr>
                    <w:t>吨</w:t>
                  </w:r>
                </w:p>
              </w:tc>
            </w:tr>
          </w:tbl>
          <w:p w14:paraId="1F398A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lang w:val="en-US" w:eastAsia="zh-CN"/>
              </w:rPr>
            </w:pPr>
            <w:r>
              <w:rPr>
                <w:rFonts w:hint="eastAsia"/>
                <w:b w:val="0"/>
                <w:bCs w:val="0"/>
                <w:color w:val="auto"/>
                <w:sz w:val="24"/>
              </w:rPr>
              <w:t>产品方案说明</w:t>
            </w:r>
            <w:r>
              <w:rPr>
                <w:rFonts w:hint="eastAsia"/>
                <w:b w:val="0"/>
                <w:bCs w:val="0"/>
                <w:color w:val="auto"/>
                <w:sz w:val="24"/>
                <w:lang w:eastAsia="zh-CN"/>
              </w:rPr>
              <w:t>：</w:t>
            </w:r>
            <w:r>
              <w:rPr>
                <w:rFonts w:hint="eastAsia"/>
                <w:b w:val="0"/>
                <w:bCs w:val="0"/>
                <w:color w:val="auto"/>
                <w:sz w:val="24"/>
                <w:lang w:val="en-US" w:eastAsia="zh-CN"/>
              </w:rPr>
              <w:t>本项目为钕铁硼磁钢的半成品，分为机加工和组件两个工艺来生产半成品。生产的5000吨钕铁硼磁钢的半成品需要在一期工程进行处理。一期工程年产5000吨粘结磁（其中2000吨注射粘结磁、3000吨模压粘结磁）及2万吨磁材表面处理能力，江西劲诚永磁新材料有限公司由江西金力永磁科技股份有限公司100%控股，因本项目需要5000吨表面处理能力，故经母公司战略调整，将原批复的15000吨表面处理加工量调出5000吨来配套本项目所需要的表面处理能力。</w:t>
            </w:r>
          </w:p>
          <w:p w14:paraId="75BDD4DC">
            <w:pPr>
              <w:spacing w:before="120" w:beforeLines="50" w:line="360" w:lineRule="auto"/>
              <w:ind w:firstLine="482" w:firstLineChars="200"/>
              <w:rPr>
                <w:rFonts w:hint="default" w:eastAsia="宋体"/>
                <w:b/>
                <w:bCs/>
                <w:color w:val="auto"/>
                <w:sz w:val="24"/>
                <w:lang w:val="en-US" w:eastAsia="zh-CN"/>
              </w:rPr>
            </w:pPr>
            <w:r>
              <w:rPr>
                <w:rFonts w:hint="eastAsia"/>
                <w:b/>
                <w:bCs/>
                <w:color w:val="auto"/>
                <w:sz w:val="24"/>
              </w:rPr>
              <w:t>4、生产设备</w:t>
            </w:r>
            <w:r>
              <w:rPr>
                <w:rFonts w:hint="eastAsia"/>
                <w:b/>
                <w:bCs/>
                <w:color w:val="auto"/>
                <w:sz w:val="24"/>
                <w:lang w:val="en-US" w:eastAsia="zh-CN"/>
              </w:rPr>
              <w:t>及产能匹配性分析</w:t>
            </w:r>
          </w:p>
          <w:p w14:paraId="570CFBF7">
            <w:pPr>
              <w:pStyle w:val="42"/>
              <w:spacing w:line="360" w:lineRule="auto"/>
              <w:ind w:firstLine="480" w:firstLineChars="200"/>
              <w:rPr>
                <w:rFonts w:hint="default" w:ascii="Times New Roman" w:hAnsi="Times New Roman"/>
                <w:color w:val="auto"/>
                <w:sz w:val="24"/>
              </w:rPr>
            </w:pPr>
            <w:r>
              <w:rPr>
                <w:rFonts w:ascii="Times New Roman" w:hAnsi="Times New Roman"/>
                <w:color w:val="auto"/>
                <w:sz w:val="24"/>
              </w:rPr>
              <w:t>（1）项目主要生产设备</w:t>
            </w:r>
          </w:p>
          <w:p w14:paraId="5EC49775">
            <w:pPr>
              <w:pStyle w:val="42"/>
              <w:spacing w:line="360" w:lineRule="auto"/>
              <w:ind w:firstLine="480" w:firstLineChars="200"/>
              <w:rPr>
                <w:rFonts w:hint="default" w:ascii="Times New Roman" w:hAnsi="Times New Roman"/>
                <w:color w:val="auto"/>
                <w:sz w:val="24"/>
              </w:rPr>
            </w:pPr>
            <w:r>
              <w:rPr>
                <w:rFonts w:ascii="Times New Roman" w:hAnsi="Times New Roman"/>
                <w:color w:val="auto"/>
                <w:sz w:val="24"/>
              </w:rPr>
              <w:t>本项目主要生产设备见表2-3。</w:t>
            </w:r>
          </w:p>
          <w:p w14:paraId="7E57254C">
            <w:pPr>
              <w:topLinePunct/>
              <w:jc w:val="center"/>
              <w:rPr>
                <w:b/>
                <w:color w:val="auto"/>
                <w:sz w:val="24"/>
              </w:rPr>
            </w:pPr>
            <w:r>
              <w:rPr>
                <w:b/>
                <w:color w:val="auto"/>
                <w:sz w:val="24"/>
              </w:rPr>
              <w:t>表</w:t>
            </w:r>
            <w:r>
              <w:rPr>
                <w:rFonts w:hint="eastAsia"/>
                <w:b/>
                <w:color w:val="auto"/>
                <w:sz w:val="24"/>
              </w:rPr>
              <w:t>2</w:t>
            </w:r>
            <w:r>
              <w:rPr>
                <w:b/>
                <w:color w:val="auto"/>
                <w:sz w:val="24"/>
              </w:rPr>
              <w:t>-</w:t>
            </w:r>
            <w:r>
              <w:rPr>
                <w:rFonts w:hint="eastAsia"/>
                <w:b/>
                <w:color w:val="auto"/>
                <w:sz w:val="24"/>
              </w:rPr>
              <w:t>3</w:t>
            </w:r>
            <w:r>
              <w:rPr>
                <w:b/>
                <w:color w:val="auto"/>
                <w:sz w:val="24"/>
              </w:rPr>
              <w:t>项目主要生产设备</w:t>
            </w:r>
            <w:r>
              <w:rPr>
                <w:rFonts w:hint="eastAsia"/>
                <w:b/>
                <w:color w:val="auto"/>
                <w:sz w:val="24"/>
              </w:rPr>
              <w:t>一览</w:t>
            </w:r>
            <w:r>
              <w:rPr>
                <w:b/>
                <w:color w:val="auto"/>
                <w:sz w:val="24"/>
              </w:rPr>
              <w:t>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322"/>
              <w:gridCol w:w="2112"/>
              <w:gridCol w:w="126"/>
              <w:gridCol w:w="638"/>
              <w:gridCol w:w="805"/>
              <w:gridCol w:w="1922"/>
              <w:gridCol w:w="736"/>
            </w:tblGrid>
            <w:tr w14:paraId="0D63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vAlign w:val="center"/>
                </w:tcPr>
                <w:p w14:paraId="79AD26C7">
                  <w:pPr>
                    <w:widowControl/>
                    <w:adjustRightInd w:val="0"/>
                    <w:snapToGrid w:val="0"/>
                    <w:jc w:val="center"/>
                    <w:textAlignment w:val="center"/>
                    <w:rPr>
                      <w:rFonts w:cs="仿宋"/>
                      <w:b/>
                      <w:bCs/>
                      <w:color w:val="auto"/>
                      <w:szCs w:val="21"/>
                    </w:rPr>
                  </w:pPr>
                  <w:r>
                    <w:rPr>
                      <w:rFonts w:hint="eastAsia" w:cs="仿宋"/>
                      <w:b/>
                      <w:bCs/>
                      <w:color w:val="auto"/>
                      <w:szCs w:val="21"/>
                    </w:rPr>
                    <w:t>序号</w:t>
                  </w:r>
                </w:p>
              </w:tc>
              <w:tc>
                <w:tcPr>
                  <w:tcW w:w="1249" w:type="pct"/>
                  <w:vAlign w:val="center"/>
                </w:tcPr>
                <w:p w14:paraId="648F8D27">
                  <w:pPr>
                    <w:widowControl/>
                    <w:adjustRightInd w:val="0"/>
                    <w:snapToGrid w:val="0"/>
                    <w:jc w:val="center"/>
                    <w:textAlignment w:val="center"/>
                    <w:rPr>
                      <w:rFonts w:cs="仿宋"/>
                      <w:b/>
                      <w:bCs/>
                      <w:color w:val="auto"/>
                      <w:szCs w:val="21"/>
                    </w:rPr>
                  </w:pPr>
                  <w:r>
                    <w:rPr>
                      <w:rFonts w:hint="eastAsia" w:cs="仿宋"/>
                      <w:b/>
                      <w:bCs/>
                      <w:color w:val="auto"/>
                      <w:szCs w:val="21"/>
                    </w:rPr>
                    <w:t>设备名称</w:t>
                  </w:r>
                </w:p>
              </w:tc>
              <w:tc>
                <w:tcPr>
                  <w:tcW w:w="1136" w:type="pct"/>
                  <w:vAlign w:val="center"/>
                </w:tcPr>
                <w:p w14:paraId="092A8BC1">
                  <w:pPr>
                    <w:widowControl/>
                    <w:adjustRightInd w:val="0"/>
                    <w:snapToGrid w:val="0"/>
                    <w:jc w:val="center"/>
                    <w:textAlignment w:val="center"/>
                    <w:rPr>
                      <w:rFonts w:cs="仿宋"/>
                      <w:b/>
                      <w:bCs/>
                      <w:color w:val="auto"/>
                      <w:szCs w:val="21"/>
                    </w:rPr>
                  </w:pPr>
                  <w:r>
                    <w:rPr>
                      <w:rFonts w:hint="eastAsia" w:cs="仿宋"/>
                      <w:b/>
                      <w:bCs/>
                      <w:color w:val="auto"/>
                      <w:szCs w:val="21"/>
                    </w:rPr>
                    <w:t>规格/型号</w:t>
                  </w:r>
                </w:p>
              </w:tc>
              <w:tc>
                <w:tcPr>
                  <w:tcW w:w="411" w:type="pct"/>
                  <w:gridSpan w:val="2"/>
                  <w:vAlign w:val="center"/>
                </w:tcPr>
                <w:p w14:paraId="663487A8">
                  <w:pPr>
                    <w:widowControl/>
                    <w:adjustRightInd w:val="0"/>
                    <w:snapToGrid w:val="0"/>
                    <w:jc w:val="center"/>
                    <w:textAlignment w:val="center"/>
                    <w:rPr>
                      <w:rFonts w:cs="仿宋"/>
                      <w:b/>
                      <w:bCs/>
                      <w:color w:val="auto"/>
                      <w:szCs w:val="21"/>
                    </w:rPr>
                  </w:pPr>
                  <w:r>
                    <w:rPr>
                      <w:rFonts w:hint="eastAsia" w:cs="仿宋"/>
                      <w:b/>
                      <w:bCs/>
                      <w:color w:val="auto"/>
                      <w:szCs w:val="21"/>
                    </w:rPr>
                    <w:t>单位</w:t>
                  </w:r>
                </w:p>
              </w:tc>
              <w:tc>
                <w:tcPr>
                  <w:tcW w:w="433" w:type="pct"/>
                  <w:vAlign w:val="center"/>
                </w:tcPr>
                <w:p w14:paraId="7A4B7831">
                  <w:pPr>
                    <w:widowControl/>
                    <w:adjustRightInd w:val="0"/>
                    <w:snapToGrid w:val="0"/>
                    <w:jc w:val="center"/>
                    <w:textAlignment w:val="center"/>
                    <w:rPr>
                      <w:rFonts w:cs="仿宋"/>
                      <w:b/>
                      <w:bCs/>
                      <w:color w:val="auto"/>
                      <w:szCs w:val="21"/>
                    </w:rPr>
                  </w:pPr>
                  <w:r>
                    <w:rPr>
                      <w:rFonts w:hint="eastAsia" w:cs="仿宋"/>
                      <w:b/>
                      <w:bCs/>
                      <w:color w:val="auto"/>
                      <w:szCs w:val="21"/>
                    </w:rPr>
                    <w:t>数量</w:t>
                  </w:r>
                </w:p>
              </w:tc>
              <w:tc>
                <w:tcPr>
                  <w:tcW w:w="1034" w:type="pct"/>
                  <w:vAlign w:val="center"/>
                </w:tcPr>
                <w:p w14:paraId="26D03B98">
                  <w:pPr>
                    <w:widowControl/>
                    <w:adjustRightInd w:val="0"/>
                    <w:snapToGrid w:val="0"/>
                    <w:jc w:val="center"/>
                    <w:textAlignment w:val="center"/>
                    <w:rPr>
                      <w:rFonts w:cs="仿宋"/>
                      <w:b/>
                      <w:bCs/>
                      <w:color w:val="auto"/>
                      <w:szCs w:val="21"/>
                    </w:rPr>
                  </w:pPr>
                  <w:r>
                    <w:rPr>
                      <w:rFonts w:hint="eastAsia" w:cs="仿宋"/>
                      <w:b/>
                      <w:bCs/>
                      <w:color w:val="auto"/>
                      <w:szCs w:val="21"/>
                    </w:rPr>
                    <w:t>位置</w:t>
                  </w:r>
                </w:p>
              </w:tc>
              <w:tc>
                <w:tcPr>
                  <w:tcW w:w="394" w:type="pct"/>
                  <w:vAlign w:val="center"/>
                </w:tcPr>
                <w:p w14:paraId="5C237310">
                  <w:pPr>
                    <w:widowControl/>
                    <w:adjustRightInd w:val="0"/>
                    <w:snapToGrid w:val="0"/>
                    <w:jc w:val="center"/>
                    <w:textAlignment w:val="center"/>
                    <w:rPr>
                      <w:rFonts w:cs="仿宋"/>
                      <w:b/>
                      <w:bCs/>
                      <w:color w:val="auto"/>
                      <w:szCs w:val="21"/>
                    </w:rPr>
                  </w:pPr>
                  <w:r>
                    <w:rPr>
                      <w:rFonts w:hint="eastAsia" w:cs="仿宋"/>
                      <w:b/>
                      <w:bCs/>
                      <w:color w:val="auto"/>
                      <w:szCs w:val="21"/>
                    </w:rPr>
                    <w:t>工序</w:t>
                  </w:r>
                </w:p>
              </w:tc>
            </w:tr>
            <w:tr w14:paraId="3FC5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00" w:type="pct"/>
                  <w:gridSpan w:val="8"/>
                  <w:vAlign w:val="center"/>
                </w:tcPr>
                <w:p w14:paraId="60325183">
                  <w:pPr>
                    <w:widowControl/>
                    <w:adjustRightInd w:val="0"/>
                    <w:snapToGrid w:val="0"/>
                    <w:jc w:val="left"/>
                    <w:textAlignment w:val="center"/>
                    <w:rPr>
                      <w:rFonts w:cs="仿宋"/>
                      <w:color w:val="auto"/>
                      <w:szCs w:val="21"/>
                    </w:rPr>
                  </w:pPr>
                  <w:r>
                    <w:rPr>
                      <w:rFonts w:hint="eastAsia" w:cs="仿宋"/>
                      <w:color w:val="auto"/>
                      <w:szCs w:val="21"/>
                    </w:rPr>
                    <w:t>一、机加工设备</w:t>
                  </w:r>
                </w:p>
              </w:tc>
            </w:tr>
            <w:tr w14:paraId="5246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41" w:type="pct"/>
                  <w:vAlign w:val="center"/>
                </w:tcPr>
                <w:p w14:paraId="3FA9A0B4">
                  <w:pPr>
                    <w:widowControl/>
                    <w:adjustRightInd w:val="0"/>
                    <w:snapToGrid w:val="0"/>
                    <w:jc w:val="center"/>
                    <w:textAlignment w:val="center"/>
                    <w:rPr>
                      <w:rFonts w:cs="仿宋"/>
                      <w:color w:val="auto"/>
                      <w:szCs w:val="21"/>
                    </w:rPr>
                  </w:pPr>
                  <w:r>
                    <w:rPr>
                      <w:rFonts w:hint="eastAsia" w:cs="仿宋"/>
                      <w:color w:val="auto"/>
                      <w:szCs w:val="21"/>
                    </w:rPr>
                    <w:t>1</w:t>
                  </w:r>
                </w:p>
              </w:tc>
              <w:tc>
                <w:tcPr>
                  <w:tcW w:w="1249" w:type="pct"/>
                  <w:shd w:val="clear" w:color="auto" w:fill="auto"/>
                  <w:vAlign w:val="center"/>
                </w:tcPr>
                <w:p w14:paraId="14582AE5">
                  <w:pPr>
                    <w:widowControl/>
                    <w:jc w:val="center"/>
                    <w:textAlignment w:val="center"/>
                    <w:rPr>
                      <w:color w:val="auto"/>
                      <w:szCs w:val="21"/>
                    </w:rPr>
                  </w:pPr>
                  <w:r>
                    <w:rPr>
                      <w:color w:val="auto"/>
                      <w:kern w:val="0"/>
                      <w:szCs w:val="21"/>
                      <w:lang w:bidi="ar"/>
                    </w:rPr>
                    <w:t>双端面磨粗磨</w:t>
                  </w:r>
                </w:p>
              </w:tc>
              <w:tc>
                <w:tcPr>
                  <w:tcW w:w="1204" w:type="pct"/>
                  <w:gridSpan w:val="2"/>
                  <w:shd w:val="clear" w:color="auto" w:fill="auto"/>
                  <w:vAlign w:val="center"/>
                </w:tcPr>
                <w:p w14:paraId="0E32872A">
                  <w:pPr>
                    <w:widowControl/>
                    <w:jc w:val="center"/>
                    <w:textAlignment w:val="center"/>
                    <w:rPr>
                      <w:color w:val="auto"/>
                      <w:szCs w:val="21"/>
                    </w:rPr>
                  </w:pPr>
                  <w:r>
                    <w:rPr>
                      <w:color w:val="auto"/>
                      <w:kern w:val="0"/>
                      <w:szCs w:val="21"/>
                      <w:lang w:bidi="ar"/>
                    </w:rPr>
                    <w:t>7650</w:t>
                  </w:r>
                </w:p>
              </w:tc>
              <w:tc>
                <w:tcPr>
                  <w:tcW w:w="343" w:type="pct"/>
                  <w:shd w:val="clear" w:color="auto" w:fill="auto"/>
                  <w:vAlign w:val="center"/>
                </w:tcPr>
                <w:p w14:paraId="1F388E11">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4BB465C">
                  <w:pPr>
                    <w:widowControl/>
                    <w:jc w:val="center"/>
                    <w:textAlignment w:val="center"/>
                    <w:rPr>
                      <w:color w:val="auto"/>
                      <w:szCs w:val="21"/>
                    </w:rPr>
                  </w:pPr>
                  <w:r>
                    <w:rPr>
                      <w:color w:val="auto"/>
                      <w:kern w:val="0"/>
                      <w:szCs w:val="21"/>
                      <w:lang w:bidi="ar"/>
                    </w:rPr>
                    <w:t>18</w:t>
                  </w:r>
                </w:p>
              </w:tc>
              <w:tc>
                <w:tcPr>
                  <w:tcW w:w="1034" w:type="pct"/>
                  <w:vAlign w:val="center"/>
                </w:tcPr>
                <w:p w14:paraId="5C9B2C86">
                  <w:pPr>
                    <w:widowControl/>
                    <w:adjustRightInd w:val="0"/>
                    <w:snapToGrid w:val="0"/>
                    <w:jc w:val="center"/>
                    <w:textAlignment w:val="center"/>
                    <w:rPr>
                      <w:rFonts w:hint="default" w:eastAsia="宋体" w:cs="仿宋"/>
                      <w:color w:val="auto"/>
                      <w:szCs w:val="21"/>
                      <w:lang w:val="en-US" w:eastAsia="zh-CN"/>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7D90E1F0">
                  <w:pPr>
                    <w:widowControl/>
                    <w:adjustRightInd w:val="0"/>
                    <w:snapToGrid w:val="0"/>
                    <w:jc w:val="center"/>
                    <w:textAlignment w:val="center"/>
                    <w:rPr>
                      <w:color w:val="auto"/>
                      <w:kern w:val="0"/>
                      <w:szCs w:val="21"/>
                      <w:lang w:bidi="ar"/>
                    </w:rPr>
                  </w:pPr>
                  <w:r>
                    <w:rPr>
                      <w:rFonts w:hint="eastAsia"/>
                      <w:color w:val="auto"/>
                      <w:kern w:val="0"/>
                      <w:szCs w:val="21"/>
                      <w:lang w:bidi="ar"/>
                    </w:rPr>
                    <w:t>粗磨</w:t>
                  </w:r>
                </w:p>
              </w:tc>
            </w:tr>
            <w:tr w14:paraId="417B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41" w:type="pct"/>
                  <w:vAlign w:val="center"/>
                </w:tcPr>
                <w:p w14:paraId="674E725F">
                  <w:pPr>
                    <w:widowControl/>
                    <w:adjustRightInd w:val="0"/>
                    <w:snapToGrid w:val="0"/>
                    <w:jc w:val="center"/>
                    <w:textAlignment w:val="center"/>
                    <w:rPr>
                      <w:rFonts w:cs="仿宋"/>
                      <w:color w:val="auto"/>
                      <w:szCs w:val="21"/>
                    </w:rPr>
                  </w:pPr>
                  <w:r>
                    <w:rPr>
                      <w:rFonts w:hint="eastAsia" w:cs="仿宋"/>
                      <w:color w:val="auto"/>
                      <w:szCs w:val="21"/>
                    </w:rPr>
                    <w:t>2</w:t>
                  </w:r>
                </w:p>
              </w:tc>
              <w:tc>
                <w:tcPr>
                  <w:tcW w:w="1249" w:type="pct"/>
                  <w:shd w:val="clear" w:color="auto" w:fill="auto"/>
                  <w:vAlign w:val="center"/>
                </w:tcPr>
                <w:p w14:paraId="13793F1F">
                  <w:pPr>
                    <w:widowControl/>
                    <w:jc w:val="center"/>
                    <w:textAlignment w:val="center"/>
                    <w:rPr>
                      <w:rFonts w:cs="宋体"/>
                      <w:color w:val="auto"/>
                      <w:szCs w:val="21"/>
                    </w:rPr>
                  </w:pPr>
                  <w:r>
                    <w:rPr>
                      <w:rFonts w:hint="eastAsia" w:cs="宋体"/>
                      <w:color w:val="auto"/>
                      <w:kern w:val="0"/>
                      <w:szCs w:val="21"/>
                      <w:lang w:bidi="ar"/>
                    </w:rPr>
                    <w:t>自动粘胶机</w:t>
                  </w:r>
                </w:p>
              </w:tc>
              <w:tc>
                <w:tcPr>
                  <w:tcW w:w="1204" w:type="pct"/>
                  <w:gridSpan w:val="2"/>
                  <w:shd w:val="clear" w:color="auto" w:fill="auto"/>
                  <w:vAlign w:val="center"/>
                </w:tcPr>
                <w:p w14:paraId="3F513CF0">
                  <w:pPr>
                    <w:widowControl/>
                    <w:jc w:val="center"/>
                    <w:textAlignment w:val="center"/>
                    <w:rPr>
                      <w:color w:val="auto"/>
                      <w:szCs w:val="21"/>
                    </w:rPr>
                  </w:pPr>
                  <w:r>
                    <w:rPr>
                      <w:color w:val="auto"/>
                      <w:kern w:val="0"/>
                      <w:szCs w:val="21"/>
                      <w:lang w:bidi="ar"/>
                    </w:rPr>
                    <w:t>自制</w:t>
                  </w:r>
                </w:p>
              </w:tc>
              <w:tc>
                <w:tcPr>
                  <w:tcW w:w="343" w:type="pct"/>
                  <w:shd w:val="clear" w:color="auto" w:fill="auto"/>
                  <w:vAlign w:val="center"/>
                </w:tcPr>
                <w:p w14:paraId="110B4B3E">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49B2B391">
                  <w:pPr>
                    <w:widowControl/>
                    <w:jc w:val="center"/>
                    <w:textAlignment w:val="center"/>
                    <w:rPr>
                      <w:color w:val="auto"/>
                      <w:szCs w:val="21"/>
                    </w:rPr>
                  </w:pPr>
                  <w:r>
                    <w:rPr>
                      <w:color w:val="auto"/>
                      <w:kern w:val="0"/>
                      <w:szCs w:val="21"/>
                      <w:lang w:bidi="ar"/>
                    </w:rPr>
                    <w:t>18</w:t>
                  </w:r>
                </w:p>
              </w:tc>
              <w:tc>
                <w:tcPr>
                  <w:tcW w:w="1034" w:type="pct"/>
                  <w:vAlign w:val="center"/>
                </w:tcPr>
                <w:p w14:paraId="54257BD8">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2C17EDB6">
                  <w:pPr>
                    <w:widowControl/>
                    <w:adjustRightInd w:val="0"/>
                    <w:snapToGrid w:val="0"/>
                    <w:jc w:val="center"/>
                    <w:textAlignment w:val="center"/>
                    <w:rPr>
                      <w:color w:val="auto"/>
                      <w:kern w:val="0"/>
                      <w:szCs w:val="21"/>
                      <w:lang w:bidi="ar"/>
                    </w:rPr>
                  </w:pPr>
                  <w:r>
                    <w:rPr>
                      <w:rFonts w:hint="eastAsia"/>
                      <w:color w:val="auto"/>
                      <w:kern w:val="0"/>
                      <w:szCs w:val="21"/>
                      <w:lang w:bidi="ar"/>
                    </w:rPr>
                    <w:t>粘胶</w:t>
                  </w:r>
                </w:p>
              </w:tc>
            </w:tr>
            <w:tr w14:paraId="11B4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E0F31DB">
                  <w:pPr>
                    <w:widowControl/>
                    <w:adjustRightInd w:val="0"/>
                    <w:snapToGrid w:val="0"/>
                    <w:jc w:val="center"/>
                    <w:textAlignment w:val="center"/>
                    <w:rPr>
                      <w:rFonts w:cs="仿宋"/>
                      <w:color w:val="auto"/>
                      <w:szCs w:val="21"/>
                    </w:rPr>
                  </w:pPr>
                  <w:r>
                    <w:rPr>
                      <w:rFonts w:hint="eastAsia" w:cs="仿宋"/>
                      <w:color w:val="auto"/>
                      <w:szCs w:val="21"/>
                    </w:rPr>
                    <w:t>3</w:t>
                  </w:r>
                </w:p>
              </w:tc>
              <w:tc>
                <w:tcPr>
                  <w:tcW w:w="1249" w:type="pct"/>
                  <w:shd w:val="clear" w:color="auto" w:fill="auto"/>
                  <w:vAlign w:val="center"/>
                </w:tcPr>
                <w:p w14:paraId="66C9E5CC">
                  <w:pPr>
                    <w:widowControl/>
                    <w:jc w:val="center"/>
                    <w:textAlignment w:val="center"/>
                    <w:rPr>
                      <w:color w:val="auto"/>
                      <w:szCs w:val="21"/>
                    </w:rPr>
                  </w:pPr>
                  <w:r>
                    <w:rPr>
                      <w:color w:val="auto"/>
                      <w:kern w:val="0"/>
                      <w:szCs w:val="21"/>
                      <w:lang w:bidi="ar"/>
                    </w:rPr>
                    <w:t>多线切割（方片）</w:t>
                  </w:r>
                </w:p>
              </w:tc>
              <w:tc>
                <w:tcPr>
                  <w:tcW w:w="1204" w:type="pct"/>
                  <w:gridSpan w:val="2"/>
                  <w:shd w:val="clear" w:color="auto" w:fill="auto"/>
                  <w:vAlign w:val="center"/>
                </w:tcPr>
                <w:p w14:paraId="7ADEA33E">
                  <w:pPr>
                    <w:widowControl/>
                    <w:jc w:val="center"/>
                    <w:textAlignment w:val="center"/>
                    <w:rPr>
                      <w:color w:val="auto"/>
                      <w:szCs w:val="21"/>
                    </w:rPr>
                  </w:pPr>
                  <w:r>
                    <w:rPr>
                      <w:color w:val="auto"/>
                      <w:kern w:val="0"/>
                      <w:szCs w:val="21"/>
                      <w:lang w:bidi="ar"/>
                    </w:rPr>
                    <w:t>DX1660（双工位）</w:t>
                  </w:r>
                </w:p>
              </w:tc>
              <w:tc>
                <w:tcPr>
                  <w:tcW w:w="343" w:type="pct"/>
                  <w:shd w:val="clear" w:color="auto" w:fill="auto"/>
                  <w:vAlign w:val="center"/>
                </w:tcPr>
                <w:p w14:paraId="513D1E0D">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1C77E6F5">
                  <w:pPr>
                    <w:widowControl/>
                    <w:jc w:val="center"/>
                    <w:textAlignment w:val="center"/>
                    <w:rPr>
                      <w:color w:val="auto"/>
                      <w:szCs w:val="21"/>
                    </w:rPr>
                  </w:pPr>
                  <w:r>
                    <w:rPr>
                      <w:color w:val="auto"/>
                      <w:kern w:val="0"/>
                      <w:szCs w:val="21"/>
                      <w:lang w:bidi="ar"/>
                    </w:rPr>
                    <w:t>35</w:t>
                  </w:r>
                </w:p>
              </w:tc>
              <w:tc>
                <w:tcPr>
                  <w:tcW w:w="1034" w:type="pct"/>
                  <w:vAlign w:val="center"/>
                </w:tcPr>
                <w:p w14:paraId="3143406D">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5558AD50">
                  <w:pPr>
                    <w:widowControl/>
                    <w:adjustRightInd w:val="0"/>
                    <w:snapToGrid w:val="0"/>
                    <w:jc w:val="center"/>
                    <w:textAlignment w:val="center"/>
                    <w:rPr>
                      <w:color w:val="auto"/>
                      <w:kern w:val="0"/>
                      <w:szCs w:val="21"/>
                      <w:lang w:bidi="ar"/>
                    </w:rPr>
                  </w:pPr>
                  <w:r>
                    <w:rPr>
                      <w:rFonts w:hint="eastAsia"/>
                      <w:color w:val="auto"/>
                      <w:kern w:val="0"/>
                      <w:szCs w:val="21"/>
                      <w:lang w:bidi="ar"/>
                    </w:rPr>
                    <w:t>切割</w:t>
                  </w:r>
                </w:p>
              </w:tc>
            </w:tr>
            <w:tr w14:paraId="3F30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2AAF641">
                  <w:pPr>
                    <w:widowControl/>
                    <w:adjustRightInd w:val="0"/>
                    <w:snapToGrid w:val="0"/>
                    <w:jc w:val="center"/>
                    <w:textAlignment w:val="center"/>
                    <w:rPr>
                      <w:rFonts w:cs="仿宋"/>
                      <w:color w:val="auto"/>
                      <w:szCs w:val="21"/>
                    </w:rPr>
                  </w:pPr>
                  <w:r>
                    <w:rPr>
                      <w:rFonts w:hint="eastAsia" w:cs="仿宋"/>
                      <w:color w:val="auto"/>
                      <w:szCs w:val="21"/>
                    </w:rPr>
                    <w:t>4</w:t>
                  </w:r>
                </w:p>
              </w:tc>
              <w:tc>
                <w:tcPr>
                  <w:tcW w:w="1249" w:type="pct"/>
                  <w:shd w:val="clear" w:color="auto" w:fill="auto"/>
                  <w:vAlign w:val="center"/>
                </w:tcPr>
                <w:p w14:paraId="23DCA0DB">
                  <w:pPr>
                    <w:widowControl/>
                    <w:jc w:val="center"/>
                    <w:textAlignment w:val="center"/>
                    <w:rPr>
                      <w:color w:val="auto"/>
                      <w:szCs w:val="21"/>
                    </w:rPr>
                  </w:pPr>
                  <w:r>
                    <w:rPr>
                      <w:color w:val="auto"/>
                      <w:kern w:val="0"/>
                      <w:szCs w:val="21"/>
                      <w:lang w:bidi="ar"/>
                    </w:rPr>
                    <w:t>多线切割（瓦片）</w:t>
                  </w:r>
                </w:p>
              </w:tc>
              <w:tc>
                <w:tcPr>
                  <w:tcW w:w="1204" w:type="pct"/>
                  <w:gridSpan w:val="2"/>
                  <w:shd w:val="clear" w:color="auto" w:fill="auto"/>
                  <w:vAlign w:val="center"/>
                </w:tcPr>
                <w:p w14:paraId="19691632">
                  <w:pPr>
                    <w:widowControl/>
                    <w:jc w:val="center"/>
                    <w:textAlignment w:val="center"/>
                    <w:rPr>
                      <w:color w:val="auto"/>
                      <w:szCs w:val="21"/>
                    </w:rPr>
                  </w:pPr>
                  <w:r>
                    <w:rPr>
                      <w:color w:val="auto"/>
                      <w:kern w:val="0"/>
                      <w:szCs w:val="21"/>
                      <w:lang w:bidi="ar"/>
                    </w:rPr>
                    <w:t>DX1160（双工位）</w:t>
                  </w:r>
                </w:p>
              </w:tc>
              <w:tc>
                <w:tcPr>
                  <w:tcW w:w="343" w:type="pct"/>
                  <w:shd w:val="clear" w:color="auto" w:fill="auto"/>
                  <w:vAlign w:val="center"/>
                </w:tcPr>
                <w:p w14:paraId="0FC9ADA2">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6CDEE3F">
                  <w:pPr>
                    <w:widowControl/>
                    <w:jc w:val="center"/>
                    <w:textAlignment w:val="center"/>
                    <w:rPr>
                      <w:color w:val="auto"/>
                      <w:szCs w:val="21"/>
                    </w:rPr>
                  </w:pPr>
                  <w:r>
                    <w:rPr>
                      <w:color w:val="auto"/>
                      <w:kern w:val="0"/>
                      <w:szCs w:val="21"/>
                      <w:lang w:bidi="ar"/>
                    </w:rPr>
                    <w:t>16</w:t>
                  </w:r>
                </w:p>
              </w:tc>
              <w:tc>
                <w:tcPr>
                  <w:tcW w:w="1034" w:type="pct"/>
                  <w:vAlign w:val="center"/>
                </w:tcPr>
                <w:p w14:paraId="0323B4DC">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w:t>
                  </w:r>
                </w:p>
              </w:tc>
              <w:tc>
                <w:tcPr>
                  <w:tcW w:w="394" w:type="pct"/>
                  <w:vAlign w:val="center"/>
                </w:tcPr>
                <w:p w14:paraId="4A904965">
                  <w:pPr>
                    <w:widowControl/>
                    <w:adjustRightInd w:val="0"/>
                    <w:snapToGrid w:val="0"/>
                    <w:jc w:val="center"/>
                    <w:textAlignment w:val="center"/>
                    <w:rPr>
                      <w:color w:val="auto"/>
                      <w:kern w:val="0"/>
                      <w:szCs w:val="21"/>
                      <w:lang w:bidi="ar"/>
                    </w:rPr>
                  </w:pPr>
                  <w:r>
                    <w:rPr>
                      <w:rFonts w:hint="eastAsia"/>
                      <w:color w:val="auto"/>
                      <w:kern w:val="0"/>
                      <w:szCs w:val="21"/>
                      <w:lang w:bidi="ar"/>
                    </w:rPr>
                    <w:t>切割</w:t>
                  </w:r>
                </w:p>
              </w:tc>
            </w:tr>
            <w:tr w14:paraId="3600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6C16CB1D">
                  <w:pPr>
                    <w:widowControl/>
                    <w:adjustRightInd w:val="0"/>
                    <w:snapToGrid w:val="0"/>
                    <w:jc w:val="center"/>
                    <w:textAlignment w:val="center"/>
                    <w:rPr>
                      <w:rFonts w:cs="仿宋"/>
                      <w:color w:val="auto"/>
                      <w:szCs w:val="21"/>
                    </w:rPr>
                  </w:pPr>
                  <w:r>
                    <w:rPr>
                      <w:rFonts w:hint="eastAsia" w:cs="仿宋"/>
                      <w:color w:val="auto"/>
                      <w:szCs w:val="21"/>
                    </w:rPr>
                    <w:t>5</w:t>
                  </w:r>
                </w:p>
              </w:tc>
              <w:tc>
                <w:tcPr>
                  <w:tcW w:w="1249" w:type="pct"/>
                  <w:shd w:val="clear" w:color="auto" w:fill="auto"/>
                  <w:vAlign w:val="center"/>
                </w:tcPr>
                <w:p w14:paraId="1EFFC32B">
                  <w:pPr>
                    <w:widowControl/>
                    <w:jc w:val="center"/>
                    <w:textAlignment w:val="center"/>
                    <w:rPr>
                      <w:rFonts w:cs="宋体"/>
                      <w:color w:val="auto"/>
                      <w:szCs w:val="21"/>
                    </w:rPr>
                  </w:pPr>
                  <w:r>
                    <w:rPr>
                      <w:rFonts w:hint="eastAsia" w:cs="宋体"/>
                      <w:color w:val="auto"/>
                      <w:kern w:val="0"/>
                      <w:szCs w:val="21"/>
                      <w:lang w:bidi="ar"/>
                    </w:rPr>
                    <w:t>煮胶清洗线</w:t>
                  </w:r>
                </w:p>
              </w:tc>
              <w:tc>
                <w:tcPr>
                  <w:tcW w:w="1204" w:type="pct"/>
                  <w:gridSpan w:val="2"/>
                  <w:shd w:val="clear" w:color="auto" w:fill="auto"/>
                  <w:vAlign w:val="center"/>
                </w:tcPr>
                <w:p w14:paraId="48C2B999">
                  <w:pPr>
                    <w:widowControl/>
                    <w:jc w:val="center"/>
                    <w:textAlignment w:val="center"/>
                    <w:rPr>
                      <w:color w:val="auto"/>
                      <w:szCs w:val="21"/>
                    </w:rPr>
                  </w:pPr>
                  <w:r>
                    <w:rPr>
                      <w:color w:val="auto"/>
                      <w:kern w:val="0"/>
                      <w:szCs w:val="21"/>
                      <w:lang w:bidi="ar"/>
                    </w:rPr>
                    <w:t>双通道</w:t>
                  </w:r>
                </w:p>
              </w:tc>
              <w:tc>
                <w:tcPr>
                  <w:tcW w:w="343" w:type="pct"/>
                  <w:shd w:val="clear" w:color="auto" w:fill="auto"/>
                  <w:vAlign w:val="center"/>
                </w:tcPr>
                <w:p w14:paraId="2E472945">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690BA35">
                  <w:pPr>
                    <w:widowControl/>
                    <w:jc w:val="center"/>
                    <w:textAlignment w:val="center"/>
                    <w:rPr>
                      <w:rFonts w:hint="eastAsia" w:eastAsia="宋体"/>
                      <w:color w:val="auto"/>
                      <w:szCs w:val="21"/>
                      <w:lang w:eastAsia="zh-CN"/>
                    </w:rPr>
                  </w:pPr>
                  <w:r>
                    <w:rPr>
                      <w:rFonts w:hint="eastAsia"/>
                      <w:color w:val="auto"/>
                      <w:kern w:val="0"/>
                      <w:szCs w:val="21"/>
                      <w:lang w:val="en-US" w:eastAsia="zh-CN" w:bidi="ar"/>
                    </w:rPr>
                    <w:t>4</w:t>
                  </w:r>
                </w:p>
              </w:tc>
              <w:tc>
                <w:tcPr>
                  <w:tcW w:w="1034" w:type="pct"/>
                  <w:vAlign w:val="center"/>
                </w:tcPr>
                <w:p w14:paraId="195F3E83">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5BF6DD23">
                  <w:pPr>
                    <w:widowControl/>
                    <w:adjustRightInd w:val="0"/>
                    <w:snapToGrid w:val="0"/>
                    <w:jc w:val="center"/>
                    <w:textAlignment w:val="center"/>
                    <w:rPr>
                      <w:color w:val="auto"/>
                      <w:kern w:val="0"/>
                      <w:szCs w:val="21"/>
                      <w:lang w:bidi="ar"/>
                    </w:rPr>
                  </w:pPr>
                  <w:r>
                    <w:rPr>
                      <w:rFonts w:hint="eastAsia"/>
                      <w:color w:val="auto"/>
                      <w:kern w:val="0"/>
                      <w:szCs w:val="21"/>
                      <w:lang w:bidi="ar"/>
                    </w:rPr>
                    <w:t>清洗</w:t>
                  </w:r>
                </w:p>
              </w:tc>
            </w:tr>
            <w:tr w14:paraId="2ABF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F509481">
                  <w:pPr>
                    <w:widowControl/>
                    <w:jc w:val="center"/>
                    <w:textAlignment w:val="center"/>
                    <w:rPr>
                      <w:rFonts w:cs="仿宋"/>
                      <w:color w:val="auto"/>
                      <w:szCs w:val="21"/>
                    </w:rPr>
                  </w:pPr>
                  <w:r>
                    <w:rPr>
                      <w:color w:val="auto"/>
                      <w:kern w:val="0"/>
                      <w:szCs w:val="21"/>
                      <w:lang w:bidi="ar"/>
                    </w:rPr>
                    <w:t>6</w:t>
                  </w:r>
                </w:p>
              </w:tc>
              <w:tc>
                <w:tcPr>
                  <w:tcW w:w="1249" w:type="pct"/>
                  <w:shd w:val="clear" w:color="auto" w:fill="auto"/>
                  <w:vAlign w:val="center"/>
                </w:tcPr>
                <w:p w14:paraId="7E80FC80">
                  <w:pPr>
                    <w:widowControl/>
                    <w:jc w:val="center"/>
                    <w:textAlignment w:val="center"/>
                    <w:rPr>
                      <w:rFonts w:cs="宋体"/>
                      <w:color w:val="auto"/>
                      <w:szCs w:val="21"/>
                    </w:rPr>
                  </w:pPr>
                  <w:r>
                    <w:rPr>
                      <w:rFonts w:hint="eastAsia" w:cs="宋体"/>
                      <w:color w:val="auto"/>
                      <w:kern w:val="0"/>
                      <w:szCs w:val="21"/>
                      <w:lang w:bidi="ar"/>
                    </w:rPr>
                    <w:t>双端面磨精磨</w:t>
                  </w:r>
                </w:p>
              </w:tc>
              <w:tc>
                <w:tcPr>
                  <w:tcW w:w="1204" w:type="pct"/>
                  <w:gridSpan w:val="2"/>
                  <w:shd w:val="clear" w:color="auto" w:fill="auto"/>
                  <w:vAlign w:val="center"/>
                </w:tcPr>
                <w:p w14:paraId="09F5C625">
                  <w:pPr>
                    <w:widowControl/>
                    <w:jc w:val="center"/>
                    <w:textAlignment w:val="center"/>
                    <w:rPr>
                      <w:color w:val="auto"/>
                      <w:szCs w:val="21"/>
                    </w:rPr>
                  </w:pPr>
                  <w:r>
                    <w:rPr>
                      <w:color w:val="auto"/>
                      <w:kern w:val="0"/>
                      <w:szCs w:val="21"/>
                      <w:lang w:bidi="ar"/>
                    </w:rPr>
                    <w:t>7640</w:t>
                  </w:r>
                </w:p>
              </w:tc>
              <w:tc>
                <w:tcPr>
                  <w:tcW w:w="343" w:type="pct"/>
                  <w:shd w:val="clear" w:color="auto" w:fill="auto"/>
                  <w:vAlign w:val="center"/>
                </w:tcPr>
                <w:p w14:paraId="48107250">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F976844">
                  <w:pPr>
                    <w:widowControl/>
                    <w:jc w:val="center"/>
                    <w:textAlignment w:val="center"/>
                    <w:rPr>
                      <w:color w:val="auto"/>
                      <w:szCs w:val="21"/>
                    </w:rPr>
                  </w:pPr>
                  <w:r>
                    <w:rPr>
                      <w:color w:val="auto"/>
                      <w:kern w:val="0"/>
                      <w:szCs w:val="21"/>
                      <w:lang w:bidi="ar"/>
                    </w:rPr>
                    <w:t>56</w:t>
                  </w:r>
                </w:p>
              </w:tc>
              <w:tc>
                <w:tcPr>
                  <w:tcW w:w="1034" w:type="pct"/>
                  <w:vAlign w:val="center"/>
                </w:tcPr>
                <w:p w14:paraId="56B656DA">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4EE30022">
                  <w:pPr>
                    <w:widowControl/>
                    <w:adjustRightInd w:val="0"/>
                    <w:snapToGrid w:val="0"/>
                    <w:jc w:val="center"/>
                    <w:textAlignment w:val="center"/>
                    <w:rPr>
                      <w:color w:val="auto"/>
                      <w:kern w:val="0"/>
                      <w:szCs w:val="21"/>
                      <w:lang w:bidi="ar"/>
                    </w:rPr>
                  </w:pPr>
                  <w:r>
                    <w:rPr>
                      <w:rFonts w:hint="eastAsia"/>
                      <w:color w:val="auto"/>
                      <w:kern w:val="0"/>
                      <w:szCs w:val="21"/>
                      <w:lang w:bidi="ar"/>
                    </w:rPr>
                    <w:t>精磨</w:t>
                  </w:r>
                </w:p>
              </w:tc>
            </w:tr>
            <w:tr w14:paraId="584C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9C06F68">
                  <w:pPr>
                    <w:widowControl/>
                    <w:jc w:val="center"/>
                    <w:textAlignment w:val="center"/>
                    <w:rPr>
                      <w:rFonts w:cs="仿宋"/>
                      <w:color w:val="auto"/>
                      <w:szCs w:val="21"/>
                    </w:rPr>
                  </w:pPr>
                  <w:r>
                    <w:rPr>
                      <w:color w:val="auto"/>
                      <w:kern w:val="0"/>
                      <w:szCs w:val="21"/>
                      <w:lang w:bidi="ar"/>
                    </w:rPr>
                    <w:t>7</w:t>
                  </w:r>
                </w:p>
              </w:tc>
              <w:tc>
                <w:tcPr>
                  <w:tcW w:w="1249" w:type="pct"/>
                  <w:shd w:val="clear" w:color="auto" w:fill="auto"/>
                  <w:vAlign w:val="center"/>
                </w:tcPr>
                <w:p w14:paraId="4121D54F">
                  <w:pPr>
                    <w:widowControl/>
                    <w:jc w:val="center"/>
                    <w:textAlignment w:val="center"/>
                    <w:rPr>
                      <w:color w:val="auto"/>
                      <w:szCs w:val="21"/>
                    </w:rPr>
                  </w:pPr>
                  <w:r>
                    <w:rPr>
                      <w:color w:val="auto"/>
                      <w:kern w:val="0"/>
                      <w:szCs w:val="21"/>
                      <w:lang w:bidi="ar"/>
                    </w:rPr>
                    <w:t>高精度倒边机</w:t>
                  </w:r>
                </w:p>
              </w:tc>
              <w:tc>
                <w:tcPr>
                  <w:tcW w:w="1204" w:type="pct"/>
                  <w:gridSpan w:val="2"/>
                  <w:shd w:val="clear" w:color="auto" w:fill="auto"/>
                  <w:vAlign w:val="center"/>
                </w:tcPr>
                <w:p w14:paraId="6248F222">
                  <w:pPr>
                    <w:widowControl/>
                    <w:jc w:val="center"/>
                    <w:textAlignment w:val="center"/>
                    <w:rPr>
                      <w:color w:val="auto"/>
                      <w:szCs w:val="21"/>
                    </w:rPr>
                  </w:pPr>
                  <w:r>
                    <w:rPr>
                      <w:color w:val="auto"/>
                      <w:kern w:val="0"/>
                      <w:szCs w:val="21"/>
                      <w:lang w:bidi="ar"/>
                    </w:rPr>
                    <w:t>MDJ180</w:t>
                  </w:r>
                </w:p>
              </w:tc>
              <w:tc>
                <w:tcPr>
                  <w:tcW w:w="343" w:type="pct"/>
                  <w:shd w:val="clear" w:color="auto" w:fill="auto"/>
                  <w:vAlign w:val="center"/>
                </w:tcPr>
                <w:p w14:paraId="4C73A23E">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2AE95D3">
                  <w:pPr>
                    <w:widowControl/>
                    <w:jc w:val="center"/>
                    <w:textAlignment w:val="center"/>
                    <w:rPr>
                      <w:color w:val="auto"/>
                      <w:szCs w:val="21"/>
                    </w:rPr>
                  </w:pPr>
                  <w:r>
                    <w:rPr>
                      <w:color w:val="auto"/>
                      <w:kern w:val="0"/>
                      <w:szCs w:val="21"/>
                      <w:lang w:bidi="ar"/>
                    </w:rPr>
                    <w:t>3</w:t>
                  </w:r>
                </w:p>
              </w:tc>
              <w:tc>
                <w:tcPr>
                  <w:tcW w:w="1034" w:type="pct"/>
                  <w:vAlign w:val="center"/>
                </w:tcPr>
                <w:p w14:paraId="60F6E4C3">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6D7BC446">
                  <w:pPr>
                    <w:widowControl/>
                    <w:adjustRightInd w:val="0"/>
                    <w:snapToGrid w:val="0"/>
                    <w:jc w:val="center"/>
                    <w:textAlignment w:val="center"/>
                    <w:rPr>
                      <w:color w:val="auto"/>
                      <w:kern w:val="0"/>
                      <w:szCs w:val="21"/>
                      <w:lang w:bidi="ar"/>
                    </w:rPr>
                  </w:pPr>
                  <w:r>
                    <w:rPr>
                      <w:rFonts w:hint="eastAsia"/>
                      <w:color w:val="auto"/>
                      <w:kern w:val="0"/>
                      <w:szCs w:val="21"/>
                      <w:lang w:bidi="ar"/>
                    </w:rPr>
                    <w:t>倒边</w:t>
                  </w:r>
                </w:p>
              </w:tc>
            </w:tr>
            <w:tr w14:paraId="44F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7EB090C">
                  <w:pPr>
                    <w:widowControl/>
                    <w:jc w:val="center"/>
                    <w:textAlignment w:val="center"/>
                    <w:rPr>
                      <w:rFonts w:cs="仿宋"/>
                      <w:color w:val="auto"/>
                      <w:szCs w:val="21"/>
                    </w:rPr>
                  </w:pPr>
                  <w:r>
                    <w:rPr>
                      <w:color w:val="auto"/>
                      <w:kern w:val="0"/>
                      <w:szCs w:val="21"/>
                      <w:lang w:bidi="ar"/>
                    </w:rPr>
                    <w:t>8</w:t>
                  </w:r>
                </w:p>
              </w:tc>
              <w:tc>
                <w:tcPr>
                  <w:tcW w:w="1249" w:type="pct"/>
                  <w:shd w:val="clear" w:color="auto" w:fill="auto"/>
                  <w:vAlign w:val="center"/>
                </w:tcPr>
                <w:p w14:paraId="4DF9552F">
                  <w:pPr>
                    <w:widowControl/>
                    <w:jc w:val="center"/>
                    <w:textAlignment w:val="center"/>
                    <w:rPr>
                      <w:color w:val="auto"/>
                      <w:szCs w:val="21"/>
                    </w:rPr>
                  </w:pPr>
                  <w:r>
                    <w:rPr>
                      <w:color w:val="auto"/>
                      <w:kern w:val="0"/>
                      <w:szCs w:val="21"/>
                      <w:lang w:bidi="ar"/>
                    </w:rPr>
                    <w:t>倒边机</w:t>
                  </w:r>
                </w:p>
              </w:tc>
              <w:tc>
                <w:tcPr>
                  <w:tcW w:w="1204" w:type="pct"/>
                  <w:gridSpan w:val="2"/>
                  <w:shd w:val="clear" w:color="auto" w:fill="auto"/>
                  <w:vAlign w:val="center"/>
                </w:tcPr>
                <w:p w14:paraId="31A02005">
                  <w:pPr>
                    <w:widowControl/>
                    <w:jc w:val="center"/>
                    <w:textAlignment w:val="center"/>
                    <w:rPr>
                      <w:color w:val="auto"/>
                      <w:szCs w:val="21"/>
                    </w:rPr>
                  </w:pPr>
                  <w:r>
                    <w:rPr>
                      <w:color w:val="auto"/>
                      <w:kern w:val="0"/>
                      <w:szCs w:val="21"/>
                      <w:lang w:bidi="ar"/>
                    </w:rPr>
                    <w:t>DJ80-4</w:t>
                  </w:r>
                </w:p>
              </w:tc>
              <w:tc>
                <w:tcPr>
                  <w:tcW w:w="343" w:type="pct"/>
                  <w:shd w:val="clear" w:color="auto" w:fill="auto"/>
                  <w:vAlign w:val="center"/>
                </w:tcPr>
                <w:p w14:paraId="2E0E14CF">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5AA8E8BC">
                  <w:pPr>
                    <w:widowControl/>
                    <w:jc w:val="center"/>
                    <w:textAlignment w:val="center"/>
                    <w:rPr>
                      <w:color w:val="auto"/>
                      <w:szCs w:val="21"/>
                    </w:rPr>
                  </w:pPr>
                  <w:r>
                    <w:rPr>
                      <w:color w:val="auto"/>
                      <w:kern w:val="0"/>
                      <w:szCs w:val="21"/>
                      <w:lang w:bidi="ar"/>
                    </w:rPr>
                    <w:t>14</w:t>
                  </w:r>
                </w:p>
              </w:tc>
              <w:tc>
                <w:tcPr>
                  <w:tcW w:w="1034" w:type="pct"/>
                  <w:vAlign w:val="center"/>
                </w:tcPr>
                <w:p w14:paraId="198FB4EC">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50EB994B">
                  <w:pPr>
                    <w:widowControl/>
                    <w:adjustRightInd w:val="0"/>
                    <w:snapToGrid w:val="0"/>
                    <w:jc w:val="center"/>
                    <w:textAlignment w:val="center"/>
                    <w:rPr>
                      <w:color w:val="auto"/>
                      <w:kern w:val="0"/>
                      <w:szCs w:val="21"/>
                      <w:lang w:bidi="ar"/>
                    </w:rPr>
                  </w:pPr>
                  <w:r>
                    <w:rPr>
                      <w:rFonts w:hint="eastAsia"/>
                      <w:color w:val="auto"/>
                      <w:kern w:val="0"/>
                      <w:szCs w:val="21"/>
                      <w:lang w:bidi="ar"/>
                    </w:rPr>
                    <w:t>倒边</w:t>
                  </w:r>
                </w:p>
              </w:tc>
            </w:tr>
            <w:tr w14:paraId="400E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19D7BB71">
                  <w:pPr>
                    <w:widowControl/>
                    <w:jc w:val="center"/>
                    <w:textAlignment w:val="center"/>
                    <w:rPr>
                      <w:rFonts w:cs="仿宋"/>
                      <w:color w:val="auto"/>
                      <w:szCs w:val="21"/>
                    </w:rPr>
                  </w:pPr>
                  <w:r>
                    <w:rPr>
                      <w:color w:val="auto"/>
                      <w:kern w:val="0"/>
                      <w:szCs w:val="21"/>
                      <w:lang w:bidi="ar"/>
                    </w:rPr>
                    <w:t>9</w:t>
                  </w:r>
                </w:p>
              </w:tc>
              <w:tc>
                <w:tcPr>
                  <w:tcW w:w="1249" w:type="pct"/>
                  <w:shd w:val="clear" w:color="auto" w:fill="auto"/>
                  <w:vAlign w:val="center"/>
                </w:tcPr>
                <w:p w14:paraId="63D4A827">
                  <w:pPr>
                    <w:widowControl/>
                    <w:jc w:val="center"/>
                    <w:textAlignment w:val="center"/>
                    <w:rPr>
                      <w:color w:val="auto"/>
                      <w:szCs w:val="21"/>
                    </w:rPr>
                  </w:pPr>
                  <w:r>
                    <w:rPr>
                      <w:color w:val="auto"/>
                      <w:kern w:val="0"/>
                      <w:szCs w:val="21"/>
                      <w:lang w:bidi="ar"/>
                    </w:rPr>
                    <w:t>超声烘道（5.5米）</w:t>
                  </w:r>
                </w:p>
              </w:tc>
              <w:tc>
                <w:tcPr>
                  <w:tcW w:w="1204" w:type="pct"/>
                  <w:gridSpan w:val="2"/>
                  <w:shd w:val="clear" w:color="auto" w:fill="auto"/>
                  <w:vAlign w:val="center"/>
                </w:tcPr>
                <w:p w14:paraId="035FCF48">
                  <w:pPr>
                    <w:widowControl/>
                    <w:jc w:val="center"/>
                    <w:textAlignment w:val="center"/>
                    <w:rPr>
                      <w:color w:val="auto"/>
                      <w:szCs w:val="21"/>
                    </w:rPr>
                  </w:pPr>
                  <w:r>
                    <w:rPr>
                      <w:color w:val="auto"/>
                      <w:kern w:val="0"/>
                      <w:szCs w:val="21"/>
                      <w:lang w:bidi="ar"/>
                    </w:rPr>
                    <w:t>5.5米</w:t>
                  </w:r>
                </w:p>
              </w:tc>
              <w:tc>
                <w:tcPr>
                  <w:tcW w:w="343" w:type="pct"/>
                  <w:shd w:val="clear" w:color="auto" w:fill="auto"/>
                  <w:vAlign w:val="center"/>
                </w:tcPr>
                <w:p w14:paraId="72C25DBB">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1CF24138">
                  <w:pPr>
                    <w:widowControl/>
                    <w:jc w:val="center"/>
                    <w:textAlignment w:val="center"/>
                    <w:rPr>
                      <w:color w:val="auto"/>
                      <w:szCs w:val="21"/>
                    </w:rPr>
                  </w:pPr>
                  <w:r>
                    <w:rPr>
                      <w:color w:val="auto"/>
                      <w:kern w:val="0"/>
                      <w:szCs w:val="21"/>
                      <w:lang w:bidi="ar"/>
                    </w:rPr>
                    <w:t>3</w:t>
                  </w:r>
                </w:p>
              </w:tc>
              <w:tc>
                <w:tcPr>
                  <w:tcW w:w="1034" w:type="pct"/>
                  <w:vAlign w:val="center"/>
                </w:tcPr>
                <w:p w14:paraId="479B4FEF">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7FA08EB2">
                  <w:pPr>
                    <w:widowControl/>
                    <w:adjustRightInd w:val="0"/>
                    <w:snapToGrid w:val="0"/>
                    <w:jc w:val="center"/>
                    <w:textAlignment w:val="center"/>
                    <w:rPr>
                      <w:color w:val="auto"/>
                      <w:kern w:val="0"/>
                      <w:szCs w:val="21"/>
                      <w:lang w:bidi="ar"/>
                    </w:rPr>
                  </w:pPr>
                  <w:r>
                    <w:rPr>
                      <w:rFonts w:hint="eastAsia"/>
                      <w:color w:val="auto"/>
                      <w:kern w:val="0"/>
                      <w:szCs w:val="21"/>
                      <w:lang w:bidi="ar"/>
                    </w:rPr>
                    <w:t>烘干</w:t>
                  </w:r>
                </w:p>
              </w:tc>
            </w:tr>
            <w:tr w14:paraId="74F3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C399083">
                  <w:pPr>
                    <w:widowControl/>
                    <w:jc w:val="center"/>
                    <w:textAlignment w:val="center"/>
                    <w:rPr>
                      <w:rFonts w:cs="仿宋"/>
                      <w:color w:val="auto"/>
                      <w:szCs w:val="21"/>
                    </w:rPr>
                  </w:pPr>
                  <w:r>
                    <w:rPr>
                      <w:color w:val="auto"/>
                      <w:kern w:val="0"/>
                      <w:szCs w:val="21"/>
                      <w:lang w:bidi="ar"/>
                    </w:rPr>
                    <w:t>10</w:t>
                  </w:r>
                </w:p>
              </w:tc>
              <w:tc>
                <w:tcPr>
                  <w:tcW w:w="1249" w:type="pct"/>
                  <w:shd w:val="clear" w:color="auto" w:fill="auto"/>
                  <w:vAlign w:val="center"/>
                </w:tcPr>
                <w:p w14:paraId="20C95F77">
                  <w:pPr>
                    <w:widowControl/>
                    <w:jc w:val="center"/>
                    <w:textAlignment w:val="center"/>
                    <w:rPr>
                      <w:color w:val="auto"/>
                      <w:szCs w:val="21"/>
                    </w:rPr>
                  </w:pPr>
                  <w:r>
                    <w:rPr>
                      <w:color w:val="auto"/>
                      <w:kern w:val="0"/>
                      <w:szCs w:val="21"/>
                      <w:lang w:bidi="ar"/>
                    </w:rPr>
                    <w:t>超声烘道（4.5米）</w:t>
                  </w:r>
                </w:p>
              </w:tc>
              <w:tc>
                <w:tcPr>
                  <w:tcW w:w="1204" w:type="pct"/>
                  <w:gridSpan w:val="2"/>
                  <w:shd w:val="clear" w:color="auto" w:fill="auto"/>
                  <w:vAlign w:val="center"/>
                </w:tcPr>
                <w:p w14:paraId="5D095245">
                  <w:pPr>
                    <w:widowControl/>
                    <w:jc w:val="center"/>
                    <w:textAlignment w:val="center"/>
                    <w:rPr>
                      <w:color w:val="auto"/>
                      <w:szCs w:val="21"/>
                    </w:rPr>
                  </w:pPr>
                  <w:r>
                    <w:rPr>
                      <w:color w:val="auto"/>
                      <w:kern w:val="0"/>
                      <w:szCs w:val="21"/>
                      <w:lang w:bidi="ar"/>
                    </w:rPr>
                    <w:t>4.5米</w:t>
                  </w:r>
                </w:p>
              </w:tc>
              <w:tc>
                <w:tcPr>
                  <w:tcW w:w="343" w:type="pct"/>
                  <w:shd w:val="clear" w:color="auto" w:fill="auto"/>
                  <w:vAlign w:val="center"/>
                </w:tcPr>
                <w:p w14:paraId="3D18A2C7">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49D341E1">
                  <w:pPr>
                    <w:widowControl/>
                    <w:jc w:val="center"/>
                    <w:textAlignment w:val="center"/>
                    <w:rPr>
                      <w:color w:val="auto"/>
                      <w:szCs w:val="21"/>
                    </w:rPr>
                  </w:pPr>
                  <w:r>
                    <w:rPr>
                      <w:color w:val="auto"/>
                      <w:kern w:val="0"/>
                      <w:szCs w:val="21"/>
                      <w:lang w:bidi="ar"/>
                    </w:rPr>
                    <w:t>12</w:t>
                  </w:r>
                </w:p>
              </w:tc>
              <w:tc>
                <w:tcPr>
                  <w:tcW w:w="1034" w:type="pct"/>
                  <w:vAlign w:val="center"/>
                </w:tcPr>
                <w:p w14:paraId="3FFCFED0">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091F5C58">
                  <w:pPr>
                    <w:widowControl/>
                    <w:adjustRightInd w:val="0"/>
                    <w:snapToGrid w:val="0"/>
                    <w:jc w:val="center"/>
                    <w:textAlignment w:val="center"/>
                    <w:rPr>
                      <w:color w:val="auto"/>
                      <w:kern w:val="0"/>
                      <w:szCs w:val="21"/>
                      <w:lang w:bidi="ar"/>
                    </w:rPr>
                  </w:pPr>
                  <w:r>
                    <w:rPr>
                      <w:rFonts w:hint="eastAsia"/>
                      <w:color w:val="auto"/>
                      <w:kern w:val="0"/>
                      <w:szCs w:val="21"/>
                      <w:lang w:bidi="ar"/>
                    </w:rPr>
                    <w:t>烘干</w:t>
                  </w:r>
                </w:p>
              </w:tc>
            </w:tr>
            <w:tr w14:paraId="1BE4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517E662C">
                  <w:pPr>
                    <w:widowControl/>
                    <w:jc w:val="center"/>
                    <w:textAlignment w:val="center"/>
                    <w:rPr>
                      <w:rFonts w:cs="仿宋"/>
                      <w:color w:val="auto"/>
                      <w:szCs w:val="21"/>
                    </w:rPr>
                  </w:pPr>
                  <w:r>
                    <w:rPr>
                      <w:color w:val="auto"/>
                      <w:kern w:val="0"/>
                      <w:szCs w:val="21"/>
                      <w:lang w:bidi="ar"/>
                    </w:rPr>
                    <w:t>11</w:t>
                  </w:r>
                </w:p>
              </w:tc>
              <w:tc>
                <w:tcPr>
                  <w:tcW w:w="1249" w:type="pct"/>
                  <w:shd w:val="clear" w:color="auto" w:fill="auto"/>
                  <w:vAlign w:val="center"/>
                </w:tcPr>
                <w:p w14:paraId="108CE48B">
                  <w:pPr>
                    <w:widowControl/>
                    <w:jc w:val="center"/>
                    <w:textAlignment w:val="center"/>
                    <w:rPr>
                      <w:color w:val="auto"/>
                      <w:szCs w:val="21"/>
                    </w:rPr>
                  </w:pPr>
                  <w:r>
                    <w:rPr>
                      <w:color w:val="auto"/>
                      <w:kern w:val="0"/>
                      <w:szCs w:val="21"/>
                      <w:lang w:bidi="ar"/>
                    </w:rPr>
                    <w:t>成型磨超声清洗烘道（2米）</w:t>
                  </w:r>
                </w:p>
              </w:tc>
              <w:tc>
                <w:tcPr>
                  <w:tcW w:w="1204" w:type="pct"/>
                  <w:gridSpan w:val="2"/>
                  <w:shd w:val="clear" w:color="auto" w:fill="auto"/>
                  <w:vAlign w:val="center"/>
                </w:tcPr>
                <w:p w14:paraId="6F3D3C2E">
                  <w:pPr>
                    <w:widowControl/>
                    <w:jc w:val="center"/>
                    <w:textAlignment w:val="center"/>
                    <w:rPr>
                      <w:color w:val="auto"/>
                      <w:szCs w:val="21"/>
                    </w:rPr>
                  </w:pPr>
                  <w:r>
                    <w:rPr>
                      <w:color w:val="auto"/>
                      <w:kern w:val="0"/>
                      <w:szCs w:val="21"/>
                      <w:lang w:bidi="ar"/>
                    </w:rPr>
                    <w:t>2米</w:t>
                  </w:r>
                </w:p>
              </w:tc>
              <w:tc>
                <w:tcPr>
                  <w:tcW w:w="343" w:type="pct"/>
                  <w:shd w:val="clear" w:color="auto" w:fill="auto"/>
                  <w:vAlign w:val="center"/>
                </w:tcPr>
                <w:p w14:paraId="5071AF3F">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92AD322">
                  <w:pPr>
                    <w:widowControl/>
                    <w:jc w:val="center"/>
                    <w:textAlignment w:val="center"/>
                    <w:rPr>
                      <w:color w:val="auto"/>
                      <w:szCs w:val="21"/>
                    </w:rPr>
                  </w:pPr>
                  <w:r>
                    <w:rPr>
                      <w:color w:val="auto"/>
                      <w:kern w:val="0"/>
                      <w:szCs w:val="21"/>
                      <w:lang w:bidi="ar"/>
                    </w:rPr>
                    <w:t>5</w:t>
                  </w:r>
                </w:p>
              </w:tc>
              <w:tc>
                <w:tcPr>
                  <w:tcW w:w="1034" w:type="pct"/>
                  <w:vAlign w:val="center"/>
                </w:tcPr>
                <w:p w14:paraId="340938D3">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5805BBF6">
                  <w:pPr>
                    <w:widowControl/>
                    <w:adjustRightInd w:val="0"/>
                    <w:snapToGrid w:val="0"/>
                    <w:jc w:val="center"/>
                    <w:textAlignment w:val="center"/>
                    <w:rPr>
                      <w:color w:val="auto"/>
                      <w:kern w:val="0"/>
                      <w:szCs w:val="21"/>
                      <w:lang w:bidi="ar"/>
                    </w:rPr>
                  </w:pPr>
                  <w:r>
                    <w:rPr>
                      <w:rFonts w:hint="eastAsia"/>
                      <w:color w:val="auto"/>
                      <w:kern w:val="0"/>
                      <w:szCs w:val="21"/>
                      <w:lang w:bidi="ar"/>
                    </w:rPr>
                    <w:t>烘干</w:t>
                  </w:r>
                </w:p>
              </w:tc>
            </w:tr>
            <w:tr w14:paraId="73FB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2C099B77">
                  <w:pPr>
                    <w:widowControl/>
                    <w:jc w:val="center"/>
                    <w:textAlignment w:val="center"/>
                    <w:rPr>
                      <w:rFonts w:cs="仿宋"/>
                      <w:color w:val="auto"/>
                      <w:szCs w:val="21"/>
                    </w:rPr>
                  </w:pPr>
                  <w:r>
                    <w:rPr>
                      <w:color w:val="auto"/>
                      <w:kern w:val="0"/>
                      <w:szCs w:val="21"/>
                      <w:lang w:bidi="ar"/>
                    </w:rPr>
                    <w:t>12</w:t>
                  </w:r>
                </w:p>
              </w:tc>
              <w:tc>
                <w:tcPr>
                  <w:tcW w:w="1249" w:type="pct"/>
                  <w:shd w:val="clear" w:color="auto" w:fill="auto"/>
                  <w:vAlign w:val="center"/>
                </w:tcPr>
                <w:p w14:paraId="2CB9FD41">
                  <w:pPr>
                    <w:widowControl/>
                    <w:jc w:val="center"/>
                    <w:textAlignment w:val="center"/>
                    <w:rPr>
                      <w:color w:val="auto"/>
                      <w:szCs w:val="21"/>
                    </w:rPr>
                  </w:pPr>
                  <w:r>
                    <w:rPr>
                      <w:color w:val="auto"/>
                      <w:kern w:val="0"/>
                      <w:szCs w:val="21"/>
                      <w:lang w:bidi="ar"/>
                    </w:rPr>
                    <w:t>自制渗透后烘道（1.5米）</w:t>
                  </w:r>
                </w:p>
              </w:tc>
              <w:tc>
                <w:tcPr>
                  <w:tcW w:w="1204" w:type="pct"/>
                  <w:gridSpan w:val="2"/>
                  <w:shd w:val="clear" w:color="auto" w:fill="auto"/>
                  <w:vAlign w:val="center"/>
                </w:tcPr>
                <w:p w14:paraId="58142CB1">
                  <w:pPr>
                    <w:widowControl/>
                    <w:jc w:val="center"/>
                    <w:textAlignment w:val="center"/>
                    <w:rPr>
                      <w:color w:val="auto"/>
                      <w:szCs w:val="21"/>
                    </w:rPr>
                  </w:pPr>
                  <w:r>
                    <w:rPr>
                      <w:color w:val="auto"/>
                      <w:kern w:val="0"/>
                      <w:szCs w:val="21"/>
                      <w:lang w:bidi="ar"/>
                    </w:rPr>
                    <w:t>自制</w:t>
                  </w:r>
                </w:p>
              </w:tc>
              <w:tc>
                <w:tcPr>
                  <w:tcW w:w="343" w:type="pct"/>
                  <w:shd w:val="clear" w:color="auto" w:fill="auto"/>
                  <w:vAlign w:val="center"/>
                </w:tcPr>
                <w:p w14:paraId="5E0B24A1">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04FADB2A">
                  <w:pPr>
                    <w:widowControl/>
                    <w:jc w:val="center"/>
                    <w:textAlignment w:val="center"/>
                    <w:rPr>
                      <w:color w:val="auto"/>
                      <w:szCs w:val="21"/>
                    </w:rPr>
                  </w:pPr>
                  <w:r>
                    <w:rPr>
                      <w:color w:val="auto"/>
                      <w:kern w:val="0"/>
                      <w:szCs w:val="21"/>
                      <w:lang w:bidi="ar"/>
                    </w:rPr>
                    <w:t>13</w:t>
                  </w:r>
                </w:p>
              </w:tc>
              <w:tc>
                <w:tcPr>
                  <w:tcW w:w="1034" w:type="pct"/>
                  <w:vAlign w:val="center"/>
                </w:tcPr>
                <w:p w14:paraId="27905FD7">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30366738">
                  <w:pPr>
                    <w:widowControl/>
                    <w:adjustRightInd w:val="0"/>
                    <w:snapToGrid w:val="0"/>
                    <w:jc w:val="center"/>
                    <w:textAlignment w:val="center"/>
                    <w:rPr>
                      <w:color w:val="auto"/>
                      <w:kern w:val="0"/>
                      <w:szCs w:val="21"/>
                      <w:lang w:bidi="ar"/>
                    </w:rPr>
                  </w:pPr>
                  <w:r>
                    <w:rPr>
                      <w:rFonts w:hint="eastAsia"/>
                      <w:color w:val="auto"/>
                      <w:kern w:val="0"/>
                      <w:szCs w:val="21"/>
                      <w:lang w:bidi="ar"/>
                    </w:rPr>
                    <w:t>烘干</w:t>
                  </w:r>
                </w:p>
              </w:tc>
            </w:tr>
            <w:tr w14:paraId="6CDC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55367CDB">
                  <w:pPr>
                    <w:widowControl/>
                    <w:jc w:val="center"/>
                    <w:textAlignment w:val="center"/>
                    <w:rPr>
                      <w:rFonts w:cs="仿宋"/>
                      <w:color w:val="auto"/>
                      <w:szCs w:val="21"/>
                    </w:rPr>
                  </w:pPr>
                  <w:r>
                    <w:rPr>
                      <w:color w:val="auto"/>
                      <w:kern w:val="0"/>
                      <w:szCs w:val="21"/>
                      <w:lang w:bidi="ar"/>
                    </w:rPr>
                    <w:t>13</w:t>
                  </w:r>
                </w:p>
              </w:tc>
              <w:tc>
                <w:tcPr>
                  <w:tcW w:w="1249" w:type="pct"/>
                  <w:shd w:val="clear" w:color="auto" w:fill="auto"/>
                  <w:vAlign w:val="center"/>
                </w:tcPr>
                <w:p w14:paraId="1E965F7C">
                  <w:pPr>
                    <w:widowControl/>
                    <w:jc w:val="center"/>
                    <w:textAlignment w:val="center"/>
                    <w:rPr>
                      <w:color w:val="auto"/>
                      <w:szCs w:val="21"/>
                    </w:rPr>
                  </w:pPr>
                  <w:r>
                    <w:rPr>
                      <w:color w:val="auto"/>
                      <w:kern w:val="0"/>
                      <w:szCs w:val="21"/>
                      <w:lang w:bidi="ar"/>
                    </w:rPr>
                    <w:t>检测设备（自制）</w:t>
                  </w:r>
                </w:p>
              </w:tc>
              <w:tc>
                <w:tcPr>
                  <w:tcW w:w="1204" w:type="pct"/>
                  <w:gridSpan w:val="2"/>
                  <w:shd w:val="clear" w:color="auto" w:fill="auto"/>
                  <w:vAlign w:val="center"/>
                </w:tcPr>
                <w:p w14:paraId="57B17F0F">
                  <w:pPr>
                    <w:widowControl/>
                    <w:jc w:val="center"/>
                    <w:textAlignment w:val="center"/>
                    <w:rPr>
                      <w:color w:val="auto"/>
                      <w:szCs w:val="21"/>
                    </w:rPr>
                  </w:pPr>
                  <w:r>
                    <w:rPr>
                      <w:color w:val="auto"/>
                      <w:kern w:val="0"/>
                      <w:szCs w:val="21"/>
                      <w:lang w:bidi="ar"/>
                    </w:rPr>
                    <w:t>自制</w:t>
                  </w:r>
                </w:p>
              </w:tc>
              <w:tc>
                <w:tcPr>
                  <w:tcW w:w="343" w:type="pct"/>
                  <w:shd w:val="clear" w:color="auto" w:fill="auto"/>
                  <w:vAlign w:val="center"/>
                </w:tcPr>
                <w:p w14:paraId="758946D9">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24D4F786">
                  <w:pPr>
                    <w:widowControl/>
                    <w:jc w:val="center"/>
                    <w:textAlignment w:val="center"/>
                    <w:rPr>
                      <w:color w:val="auto"/>
                      <w:szCs w:val="21"/>
                    </w:rPr>
                  </w:pPr>
                  <w:r>
                    <w:rPr>
                      <w:color w:val="auto"/>
                      <w:kern w:val="0"/>
                      <w:szCs w:val="21"/>
                      <w:lang w:bidi="ar"/>
                    </w:rPr>
                    <w:t>9</w:t>
                  </w:r>
                </w:p>
              </w:tc>
              <w:tc>
                <w:tcPr>
                  <w:tcW w:w="1034" w:type="pct"/>
                  <w:vAlign w:val="center"/>
                </w:tcPr>
                <w:p w14:paraId="35E67C69">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08109A47">
                  <w:pPr>
                    <w:widowControl/>
                    <w:adjustRightInd w:val="0"/>
                    <w:snapToGrid w:val="0"/>
                    <w:jc w:val="center"/>
                    <w:textAlignment w:val="center"/>
                    <w:rPr>
                      <w:color w:val="auto"/>
                      <w:kern w:val="0"/>
                      <w:szCs w:val="21"/>
                      <w:lang w:bidi="ar"/>
                    </w:rPr>
                  </w:pPr>
                  <w:r>
                    <w:rPr>
                      <w:rFonts w:hint="eastAsia"/>
                      <w:color w:val="auto"/>
                      <w:kern w:val="0"/>
                      <w:szCs w:val="21"/>
                      <w:lang w:bidi="ar"/>
                    </w:rPr>
                    <w:t>检验</w:t>
                  </w:r>
                </w:p>
              </w:tc>
            </w:tr>
            <w:tr w14:paraId="03B3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6975C05">
                  <w:pPr>
                    <w:widowControl/>
                    <w:jc w:val="center"/>
                    <w:textAlignment w:val="center"/>
                    <w:rPr>
                      <w:rFonts w:cs="仿宋"/>
                      <w:color w:val="auto"/>
                      <w:szCs w:val="21"/>
                    </w:rPr>
                  </w:pPr>
                  <w:r>
                    <w:rPr>
                      <w:color w:val="auto"/>
                      <w:kern w:val="0"/>
                      <w:szCs w:val="21"/>
                      <w:lang w:bidi="ar"/>
                    </w:rPr>
                    <w:t>14</w:t>
                  </w:r>
                </w:p>
              </w:tc>
              <w:tc>
                <w:tcPr>
                  <w:tcW w:w="1249" w:type="pct"/>
                  <w:shd w:val="clear" w:color="auto" w:fill="auto"/>
                  <w:vAlign w:val="center"/>
                </w:tcPr>
                <w:p w14:paraId="5B4652B1">
                  <w:pPr>
                    <w:widowControl/>
                    <w:jc w:val="center"/>
                    <w:textAlignment w:val="center"/>
                    <w:rPr>
                      <w:color w:val="auto"/>
                      <w:szCs w:val="21"/>
                    </w:rPr>
                  </w:pPr>
                  <w:r>
                    <w:rPr>
                      <w:color w:val="auto"/>
                      <w:kern w:val="0"/>
                      <w:szCs w:val="21"/>
                      <w:lang w:bidi="ar"/>
                    </w:rPr>
                    <w:t>叠料设备（自制）</w:t>
                  </w:r>
                </w:p>
              </w:tc>
              <w:tc>
                <w:tcPr>
                  <w:tcW w:w="1204" w:type="pct"/>
                  <w:gridSpan w:val="2"/>
                  <w:shd w:val="clear" w:color="auto" w:fill="auto"/>
                  <w:vAlign w:val="center"/>
                </w:tcPr>
                <w:p w14:paraId="2BD81825">
                  <w:pPr>
                    <w:widowControl/>
                    <w:jc w:val="center"/>
                    <w:textAlignment w:val="center"/>
                    <w:rPr>
                      <w:color w:val="auto"/>
                      <w:szCs w:val="21"/>
                    </w:rPr>
                  </w:pPr>
                  <w:r>
                    <w:rPr>
                      <w:color w:val="auto"/>
                      <w:kern w:val="0"/>
                      <w:szCs w:val="21"/>
                      <w:lang w:bidi="ar"/>
                    </w:rPr>
                    <w:t>自制</w:t>
                  </w:r>
                </w:p>
              </w:tc>
              <w:tc>
                <w:tcPr>
                  <w:tcW w:w="343" w:type="pct"/>
                  <w:shd w:val="clear" w:color="auto" w:fill="auto"/>
                  <w:vAlign w:val="center"/>
                </w:tcPr>
                <w:p w14:paraId="6C65EE85">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B118DDB">
                  <w:pPr>
                    <w:widowControl/>
                    <w:jc w:val="center"/>
                    <w:textAlignment w:val="center"/>
                    <w:rPr>
                      <w:color w:val="auto"/>
                      <w:szCs w:val="21"/>
                    </w:rPr>
                  </w:pPr>
                  <w:r>
                    <w:rPr>
                      <w:color w:val="auto"/>
                      <w:kern w:val="0"/>
                      <w:szCs w:val="21"/>
                      <w:lang w:bidi="ar"/>
                    </w:rPr>
                    <w:t>19</w:t>
                  </w:r>
                </w:p>
              </w:tc>
              <w:tc>
                <w:tcPr>
                  <w:tcW w:w="1034" w:type="pct"/>
                  <w:vAlign w:val="center"/>
                </w:tcPr>
                <w:p w14:paraId="102ED26A">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1F、2F、3F</w:t>
                  </w:r>
                </w:p>
              </w:tc>
              <w:tc>
                <w:tcPr>
                  <w:tcW w:w="394" w:type="pct"/>
                  <w:vAlign w:val="center"/>
                </w:tcPr>
                <w:p w14:paraId="42004ACC">
                  <w:pPr>
                    <w:widowControl/>
                    <w:adjustRightInd w:val="0"/>
                    <w:snapToGrid w:val="0"/>
                    <w:jc w:val="center"/>
                    <w:textAlignment w:val="center"/>
                    <w:rPr>
                      <w:color w:val="auto"/>
                      <w:kern w:val="0"/>
                      <w:szCs w:val="21"/>
                      <w:lang w:bidi="ar"/>
                    </w:rPr>
                  </w:pPr>
                  <w:r>
                    <w:rPr>
                      <w:rFonts w:hint="eastAsia"/>
                      <w:color w:val="auto"/>
                      <w:kern w:val="0"/>
                      <w:szCs w:val="21"/>
                      <w:lang w:bidi="ar"/>
                    </w:rPr>
                    <w:t>检验</w:t>
                  </w:r>
                </w:p>
              </w:tc>
            </w:tr>
            <w:tr w14:paraId="195D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57B636D1">
                  <w:pPr>
                    <w:widowControl/>
                    <w:jc w:val="center"/>
                    <w:textAlignment w:val="center"/>
                    <w:rPr>
                      <w:rFonts w:cs="仿宋"/>
                      <w:color w:val="auto"/>
                      <w:szCs w:val="21"/>
                    </w:rPr>
                  </w:pPr>
                  <w:r>
                    <w:rPr>
                      <w:color w:val="auto"/>
                      <w:kern w:val="0"/>
                      <w:szCs w:val="21"/>
                      <w:lang w:bidi="ar"/>
                    </w:rPr>
                    <w:t>15</w:t>
                  </w:r>
                </w:p>
              </w:tc>
              <w:tc>
                <w:tcPr>
                  <w:tcW w:w="1249" w:type="pct"/>
                  <w:shd w:val="clear" w:color="auto" w:fill="auto"/>
                  <w:vAlign w:val="center"/>
                </w:tcPr>
                <w:p w14:paraId="2CA898D0">
                  <w:pPr>
                    <w:widowControl/>
                    <w:jc w:val="center"/>
                    <w:textAlignment w:val="center"/>
                    <w:rPr>
                      <w:color w:val="auto"/>
                      <w:szCs w:val="21"/>
                    </w:rPr>
                  </w:pPr>
                  <w:r>
                    <w:rPr>
                      <w:color w:val="auto"/>
                      <w:kern w:val="0"/>
                      <w:szCs w:val="21"/>
                      <w:lang w:bidi="ar"/>
                    </w:rPr>
                    <w:t>连线数控成型磨</w:t>
                  </w:r>
                </w:p>
              </w:tc>
              <w:tc>
                <w:tcPr>
                  <w:tcW w:w="1204" w:type="pct"/>
                  <w:gridSpan w:val="2"/>
                  <w:shd w:val="clear" w:color="auto" w:fill="auto"/>
                  <w:vAlign w:val="center"/>
                </w:tcPr>
                <w:p w14:paraId="482298DB">
                  <w:pPr>
                    <w:widowControl/>
                    <w:jc w:val="center"/>
                    <w:textAlignment w:val="center"/>
                    <w:rPr>
                      <w:color w:val="auto"/>
                      <w:szCs w:val="21"/>
                    </w:rPr>
                  </w:pPr>
                  <w:r>
                    <w:rPr>
                      <w:color w:val="auto"/>
                      <w:kern w:val="0"/>
                      <w:szCs w:val="21"/>
                      <w:lang w:bidi="ar"/>
                    </w:rPr>
                    <w:t>DTM13-DZ</w:t>
                  </w:r>
                </w:p>
              </w:tc>
              <w:tc>
                <w:tcPr>
                  <w:tcW w:w="343" w:type="pct"/>
                  <w:shd w:val="clear" w:color="auto" w:fill="auto"/>
                  <w:vAlign w:val="center"/>
                </w:tcPr>
                <w:p w14:paraId="20400D11">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0E5FD0FC">
                  <w:pPr>
                    <w:widowControl/>
                    <w:jc w:val="center"/>
                    <w:textAlignment w:val="center"/>
                    <w:rPr>
                      <w:color w:val="auto"/>
                      <w:szCs w:val="21"/>
                    </w:rPr>
                  </w:pPr>
                  <w:r>
                    <w:rPr>
                      <w:color w:val="auto"/>
                      <w:kern w:val="0"/>
                      <w:szCs w:val="21"/>
                      <w:lang w:bidi="ar"/>
                    </w:rPr>
                    <w:t>26</w:t>
                  </w:r>
                </w:p>
              </w:tc>
              <w:tc>
                <w:tcPr>
                  <w:tcW w:w="1034" w:type="pct"/>
                  <w:vAlign w:val="center"/>
                </w:tcPr>
                <w:p w14:paraId="69E91978">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3277E57D">
                  <w:pPr>
                    <w:widowControl/>
                    <w:adjustRightInd w:val="0"/>
                    <w:snapToGrid w:val="0"/>
                    <w:jc w:val="center"/>
                    <w:textAlignment w:val="center"/>
                    <w:rPr>
                      <w:color w:val="auto"/>
                      <w:kern w:val="0"/>
                      <w:szCs w:val="21"/>
                      <w:lang w:bidi="ar"/>
                    </w:rPr>
                  </w:pPr>
                  <w:r>
                    <w:rPr>
                      <w:rFonts w:hint="eastAsia"/>
                      <w:color w:val="auto"/>
                      <w:kern w:val="0"/>
                      <w:szCs w:val="21"/>
                      <w:lang w:bidi="ar"/>
                    </w:rPr>
                    <w:t>精</w:t>
                  </w:r>
                  <w:r>
                    <w:rPr>
                      <w:color w:val="auto"/>
                      <w:kern w:val="0"/>
                      <w:szCs w:val="21"/>
                      <w:lang w:bidi="ar"/>
                    </w:rPr>
                    <w:t>磨</w:t>
                  </w:r>
                </w:p>
              </w:tc>
            </w:tr>
            <w:tr w14:paraId="0ECF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23A186BB">
                  <w:pPr>
                    <w:widowControl/>
                    <w:jc w:val="center"/>
                    <w:textAlignment w:val="center"/>
                    <w:rPr>
                      <w:rFonts w:cs="仿宋"/>
                      <w:color w:val="auto"/>
                      <w:szCs w:val="21"/>
                    </w:rPr>
                  </w:pPr>
                  <w:r>
                    <w:rPr>
                      <w:color w:val="auto"/>
                      <w:kern w:val="0"/>
                      <w:szCs w:val="21"/>
                      <w:lang w:bidi="ar"/>
                    </w:rPr>
                    <w:t>16</w:t>
                  </w:r>
                </w:p>
              </w:tc>
              <w:tc>
                <w:tcPr>
                  <w:tcW w:w="1249" w:type="pct"/>
                  <w:shd w:val="clear" w:color="auto" w:fill="auto"/>
                  <w:vAlign w:val="center"/>
                </w:tcPr>
                <w:p w14:paraId="0A7340D9">
                  <w:pPr>
                    <w:widowControl/>
                    <w:jc w:val="center"/>
                    <w:textAlignment w:val="center"/>
                    <w:rPr>
                      <w:color w:val="auto"/>
                      <w:szCs w:val="21"/>
                    </w:rPr>
                  </w:pPr>
                  <w:r>
                    <w:rPr>
                      <w:color w:val="auto"/>
                      <w:kern w:val="0"/>
                      <w:szCs w:val="21"/>
                      <w:lang w:bidi="ar"/>
                    </w:rPr>
                    <w:t>弧面倒边机</w:t>
                  </w:r>
                </w:p>
              </w:tc>
              <w:tc>
                <w:tcPr>
                  <w:tcW w:w="1204" w:type="pct"/>
                  <w:gridSpan w:val="2"/>
                  <w:shd w:val="clear" w:color="auto" w:fill="auto"/>
                  <w:vAlign w:val="center"/>
                </w:tcPr>
                <w:p w14:paraId="2E66252F">
                  <w:pPr>
                    <w:widowControl/>
                    <w:jc w:val="center"/>
                    <w:textAlignment w:val="center"/>
                    <w:rPr>
                      <w:color w:val="auto"/>
                      <w:szCs w:val="21"/>
                    </w:rPr>
                  </w:pPr>
                  <w:r>
                    <w:rPr>
                      <w:color w:val="auto"/>
                      <w:kern w:val="0"/>
                      <w:szCs w:val="21"/>
                      <w:lang w:bidi="ar"/>
                    </w:rPr>
                    <w:t>招标为准</w:t>
                  </w:r>
                </w:p>
              </w:tc>
              <w:tc>
                <w:tcPr>
                  <w:tcW w:w="343" w:type="pct"/>
                  <w:shd w:val="clear" w:color="auto" w:fill="auto"/>
                  <w:vAlign w:val="center"/>
                </w:tcPr>
                <w:p w14:paraId="3281949C">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19D80DFE">
                  <w:pPr>
                    <w:widowControl/>
                    <w:jc w:val="center"/>
                    <w:textAlignment w:val="center"/>
                    <w:rPr>
                      <w:color w:val="auto"/>
                      <w:szCs w:val="21"/>
                    </w:rPr>
                  </w:pPr>
                  <w:r>
                    <w:rPr>
                      <w:color w:val="auto"/>
                      <w:kern w:val="0"/>
                      <w:szCs w:val="21"/>
                      <w:lang w:bidi="ar"/>
                    </w:rPr>
                    <w:t>4</w:t>
                  </w:r>
                </w:p>
              </w:tc>
              <w:tc>
                <w:tcPr>
                  <w:tcW w:w="1034" w:type="pct"/>
                  <w:vAlign w:val="center"/>
                </w:tcPr>
                <w:p w14:paraId="73ADED28">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37630547">
                  <w:pPr>
                    <w:widowControl/>
                    <w:adjustRightInd w:val="0"/>
                    <w:snapToGrid w:val="0"/>
                    <w:jc w:val="center"/>
                    <w:textAlignment w:val="center"/>
                    <w:rPr>
                      <w:color w:val="auto"/>
                      <w:kern w:val="0"/>
                      <w:szCs w:val="21"/>
                      <w:lang w:bidi="ar"/>
                    </w:rPr>
                  </w:pPr>
                  <w:r>
                    <w:rPr>
                      <w:rFonts w:hint="eastAsia"/>
                      <w:color w:val="auto"/>
                      <w:kern w:val="0"/>
                      <w:szCs w:val="21"/>
                      <w:lang w:bidi="ar"/>
                    </w:rPr>
                    <w:t>倒边</w:t>
                  </w:r>
                </w:p>
              </w:tc>
            </w:tr>
            <w:tr w14:paraId="3E42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6BEFEFEE">
                  <w:pPr>
                    <w:widowControl/>
                    <w:jc w:val="center"/>
                    <w:textAlignment w:val="center"/>
                    <w:rPr>
                      <w:rFonts w:cs="仿宋"/>
                      <w:color w:val="auto"/>
                      <w:szCs w:val="21"/>
                    </w:rPr>
                  </w:pPr>
                  <w:r>
                    <w:rPr>
                      <w:color w:val="auto"/>
                      <w:kern w:val="0"/>
                      <w:szCs w:val="21"/>
                      <w:lang w:bidi="ar"/>
                    </w:rPr>
                    <w:t>17</w:t>
                  </w:r>
                </w:p>
              </w:tc>
              <w:tc>
                <w:tcPr>
                  <w:tcW w:w="1249" w:type="pct"/>
                  <w:shd w:val="clear" w:color="auto" w:fill="auto"/>
                  <w:vAlign w:val="center"/>
                </w:tcPr>
                <w:p w14:paraId="63E44FBA">
                  <w:pPr>
                    <w:widowControl/>
                    <w:jc w:val="center"/>
                    <w:textAlignment w:val="center"/>
                    <w:rPr>
                      <w:rFonts w:cs="宋体"/>
                      <w:color w:val="auto"/>
                      <w:szCs w:val="21"/>
                    </w:rPr>
                  </w:pPr>
                  <w:r>
                    <w:rPr>
                      <w:rFonts w:hint="eastAsia" w:cs="宋体"/>
                      <w:color w:val="auto"/>
                      <w:kern w:val="0"/>
                      <w:szCs w:val="21"/>
                      <w:lang w:bidi="ar"/>
                    </w:rPr>
                    <w:t>高精度垂直度磨床</w:t>
                  </w:r>
                </w:p>
              </w:tc>
              <w:tc>
                <w:tcPr>
                  <w:tcW w:w="1204" w:type="pct"/>
                  <w:gridSpan w:val="2"/>
                  <w:shd w:val="clear" w:color="auto" w:fill="auto"/>
                  <w:vAlign w:val="center"/>
                </w:tcPr>
                <w:p w14:paraId="036F4D0B">
                  <w:pPr>
                    <w:widowControl/>
                    <w:jc w:val="center"/>
                    <w:textAlignment w:val="center"/>
                    <w:rPr>
                      <w:color w:val="auto"/>
                      <w:szCs w:val="21"/>
                    </w:rPr>
                  </w:pPr>
                  <w:r>
                    <w:rPr>
                      <w:color w:val="auto"/>
                      <w:kern w:val="0"/>
                      <w:szCs w:val="21"/>
                      <w:lang w:bidi="ar"/>
                    </w:rPr>
                    <w:t>7660</w:t>
                  </w:r>
                </w:p>
              </w:tc>
              <w:tc>
                <w:tcPr>
                  <w:tcW w:w="343" w:type="pct"/>
                  <w:shd w:val="clear" w:color="auto" w:fill="auto"/>
                  <w:vAlign w:val="center"/>
                </w:tcPr>
                <w:p w14:paraId="7AFBEB12">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7BA4EF2">
                  <w:pPr>
                    <w:widowControl/>
                    <w:jc w:val="center"/>
                    <w:textAlignment w:val="center"/>
                    <w:rPr>
                      <w:color w:val="auto"/>
                      <w:szCs w:val="21"/>
                    </w:rPr>
                  </w:pPr>
                  <w:r>
                    <w:rPr>
                      <w:color w:val="auto"/>
                      <w:kern w:val="0"/>
                      <w:szCs w:val="21"/>
                      <w:lang w:bidi="ar"/>
                    </w:rPr>
                    <w:t>1</w:t>
                  </w:r>
                </w:p>
              </w:tc>
              <w:tc>
                <w:tcPr>
                  <w:tcW w:w="1034" w:type="pct"/>
                  <w:vAlign w:val="center"/>
                </w:tcPr>
                <w:p w14:paraId="73AD6951">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04328B9A">
                  <w:pPr>
                    <w:widowControl/>
                    <w:adjustRightInd w:val="0"/>
                    <w:snapToGrid w:val="0"/>
                    <w:jc w:val="center"/>
                    <w:textAlignment w:val="center"/>
                    <w:rPr>
                      <w:color w:val="auto"/>
                      <w:kern w:val="0"/>
                      <w:szCs w:val="21"/>
                      <w:lang w:bidi="ar"/>
                    </w:rPr>
                  </w:pPr>
                  <w:r>
                    <w:rPr>
                      <w:rFonts w:hint="eastAsia"/>
                      <w:color w:val="auto"/>
                      <w:kern w:val="0"/>
                      <w:szCs w:val="21"/>
                      <w:lang w:bidi="ar"/>
                    </w:rPr>
                    <w:t>精</w:t>
                  </w:r>
                  <w:r>
                    <w:rPr>
                      <w:color w:val="auto"/>
                      <w:kern w:val="0"/>
                      <w:szCs w:val="21"/>
                      <w:lang w:bidi="ar"/>
                    </w:rPr>
                    <w:t>磨</w:t>
                  </w:r>
                </w:p>
              </w:tc>
            </w:tr>
            <w:tr w14:paraId="2C7A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5E95B46">
                  <w:pPr>
                    <w:widowControl/>
                    <w:jc w:val="center"/>
                    <w:textAlignment w:val="center"/>
                    <w:rPr>
                      <w:rFonts w:cs="仿宋"/>
                      <w:color w:val="auto"/>
                      <w:szCs w:val="21"/>
                    </w:rPr>
                  </w:pPr>
                  <w:r>
                    <w:rPr>
                      <w:color w:val="auto"/>
                      <w:kern w:val="0"/>
                      <w:szCs w:val="21"/>
                      <w:lang w:bidi="ar"/>
                    </w:rPr>
                    <w:t>18</w:t>
                  </w:r>
                </w:p>
              </w:tc>
              <w:tc>
                <w:tcPr>
                  <w:tcW w:w="1249" w:type="pct"/>
                  <w:shd w:val="clear" w:color="auto" w:fill="auto"/>
                  <w:vAlign w:val="center"/>
                </w:tcPr>
                <w:p w14:paraId="720D6997">
                  <w:pPr>
                    <w:widowControl/>
                    <w:jc w:val="center"/>
                    <w:textAlignment w:val="center"/>
                    <w:rPr>
                      <w:rFonts w:cs="宋体"/>
                      <w:color w:val="auto"/>
                      <w:szCs w:val="21"/>
                    </w:rPr>
                  </w:pPr>
                  <w:r>
                    <w:rPr>
                      <w:rFonts w:hint="eastAsia" w:cs="宋体"/>
                      <w:color w:val="auto"/>
                      <w:kern w:val="0"/>
                      <w:szCs w:val="21"/>
                      <w:lang w:bidi="ar"/>
                    </w:rPr>
                    <w:t>往复式数控成型磨</w:t>
                  </w:r>
                </w:p>
              </w:tc>
              <w:tc>
                <w:tcPr>
                  <w:tcW w:w="1204" w:type="pct"/>
                  <w:gridSpan w:val="2"/>
                  <w:shd w:val="clear" w:color="auto" w:fill="auto"/>
                  <w:vAlign w:val="center"/>
                </w:tcPr>
                <w:p w14:paraId="4236F71D">
                  <w:pPr>
                    <w:widowControl/>
                    <w:jc w:val="center"/>
                    <w:textAlignment w:val="center"/>
                    <w:rPr>
                      <w:color w:val="auto"/>
                      <w:szCs w:val="21"/>
                    </w:rPr>
                  </w:pPr>
                  <w:r>
                    <w:rPr>
                      <w:color w:val="auto"/>
                      <w:kern w:val="0"/>
                      <w:szCs w:val="21"/>
                      <w:lang w:bidi="ar"/>
                    </w:rPr>
                    <w:t>7130CNC</w:t>
                  </w:r>
                </w:p>
              </w:tc>
              <w:tc>
                <w:tcPr>
                  <w:tcW w:w="343" w:type="pct"/>
                  <w:shd w:val="clear" w:color="auto" w:fill="auto"/>
                  <w:vAlign w:val="center"/>
                </w:tcPr>
                <w:p w14:paraId="079554E1">
                  <w:pPr>
                    <w:widowControl/>
                    <w:jc w:val="center"/>
                    <w:textAlignment w:val="center"/>
                    <w:rPr>
                      <w:rFonts w:cs="宋体"/>
                      <w:color w:val="auto"/>
                      <w:szCs w:val="21"/>
                    </w:rPr>
                  </w:pPr>
                  <w:r>
                    <w:rPr>
                      <w:rFonts w:hint="eastAsia" w:cs="宋体"/>
                      <w:color w:val="auto"/>
                      <w:kern w:val="0"/>
                      <w:szCs w:val="21"/>
                      <w:lang w:bidi="ar"/>
                    </w:rPr>
                    <w:t>台</w:t>
                  </w:r>
                </w:p>
              </w:tc>
              <w:tc>
                <w:tcPr>
                  <w:tcW w:w="433" w:type="pct"/>
                  <w:shd w:val="clear" w:color="auto" w:fill="auto"/>
                  <w:vAlign w:val="center"/>
                </w:tcPr>
                <w:p w14:paraId="688FF2BA">
                  <w:pPr>
                    <w:widowControl/>
                    <w:jc w:val="center"/>
                    <w:textAlignment w:val="center"/>
                    <w:rPr>
                      <w:color w:val="auto"/>
                      <w:szCs w:val="21"/>
                    </w:rPr>
                  </w:pPr>
                  <w:r>
                    <w:rPr>
                      <w:color w:val="auto"/>
                      <w:kern w:val="0"/>
                      <w:szCs w:val="21"/>
                      <w:lang w:bidi="ar"/>
                    </w:rPr>
                    <w:t>6</w:t>
                  </w:r>
                </w:p>
              </w:tc>
              <w:tc>
                <w:tcPr>
                  <w:tcW w:w="1034" w:type="pct"/>
                  <w:vAlign w:val="center"/>
                </w:tcPr>
                <w:p w14:paraId="3FE6B852">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485E1A2B">
                  <w:pPr>
                    <w:widowControl/>
                    <w:adjustRightInd w:val="0"/>
                    <w:snapToGrid w:val="0"/>
                    <w:jc w:val="center"/>
                    <w:textAlignment w:val="center"/>
                    <w:rPr>
                      <w:color w:val="auto"/>
                      <w:kern w:val="0"/>
                      <w:szCs w:val="21"/>
                      <w:lang w:bidi="ar"/>
                    </w:rPr>
                  </w:pPr>
                  <w:r>
                    <w:rPr>
                      <w:rFonts w:hint="eastAsia"/>
                      <w:color w:val="auto"/>
                      <w:kern w:val="0"/>
                      <w:szCs w:val="21"/>
                      <w:lang w:bidi="ar"/>
                    </w:rPr>
                    <w:t>精</w:t>
                  </w:r>
                  <w:r>
                    <w:rPr>
                      <w:color w:val="auto"/>
                      <w:kern w:val="0"/>
                      <w:szCs w:val="21"/>
                      <w:lang w:bidi="ar"/>
                    </w:rPr>
                    <w:t>磨</w:t>
                  </w:r>
                </w:p>
              </w:tc>
            </w:tr>
            <w:tr w14:paraId="03B6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42CFE7AE">
                  <w:pPr>
                    <w:widowControl/>
                    <w:jc w:val="center"/>
                    <w:textAlignment w:val="center"/>
                    <w:rPr>
                      <w:rFonts w:cs="仿宋"/>
                      <w:color w:val="auto"/>
                      <w:szCs w:val="21"/>
                    </w:rPr>
                  </w:pPr>
                  <w:r>
                    <w:rPr>
                      <w:color w:val="auto"/>
                      <w:kern w:val="0"/>
                      <w:szCs w:val="21"/>
                      <w:lang w:bidi="ar"/>
                    </w:rPr>
                    <w:t>19</w:t>
                  </w:r>
                </w:p>
              </w:tc>
              <w:tc>
                <w:tcPr>
                  <w:tcW w:w="1249" w:type="pct"/>
                  <w:shd w:val="clear" w:color="auto" w:fill="auto"/>
                  <w:vAlign w:val="center"/>
                </w:tcPr>
                <w:p w14:paraId="6F907A0E">
                  <w:pPr>
                    <w:widowControl/>
                    <w:jc w:val="center"/>
                    <w:textAlignment w:val="center"/>
                    <w:rPr>
                      <w:color w:val="auto"/>
                      <w:szCs w:val="21"/>
                    </w:rPr>
                  </w:pPr>
                  <w:r>
                    <w:rPr>
                      <w:color w:val="auto"/>
                      <w:kern w:val="0"/>
                      <w:szCs w:val="21"/>
                      <w:lang w:bidi="ar"/>
                    </w:rPr>
                    <w:t>往复式数控成型磨</w:t>
                  </w:r>
                </w:p>
              </w:tc>
              <w:tc>
                <w:tcPr>
                  <w:tcW w:w="1204" w:type="pct"/>
                  <w:gridSpan w:val="2"/>
                  <w:shd w:val="clear" w:color="auto" w:fill="auto"/>
                  <w:vAlign w:val="center"/>
                </w:tcPr>
                <w:p w14:paraId="3CAF61C4">
                  <w:pPr>
                    <w:widowControl/>
                    <w:jc w:val="center"/>
                    <w:textAlignment w:val="center"/>
                    <w:rPr>
                      <w:color w:val="auto"/>
                      <w:szCs w:val="21"/>
                    </w:rPr>
                  </w:pPr>
                  <w:r>
                    <w:rPr>
                      <w:color w:val="auto"/>
                      <w:kern w:val="0"/>
                      <w:szCs w:val="21"/>
                      <w:lang w:bidi="ar"/>
                    </w:rPr>
                    <w:t>150CNC</w:t>
                  </w:r>
                </w:p>
              </w:tc>
              <w:tc>
                <w:tcPr>
                  <w:tcW w:w="343" w:type="pct"/>
                  <w:shd w:val="clear" w:color="auto" w:fill="auto"/>
                  <w:vAlign w:val="center"/>
                </w:tcPr>
                <w:p w14:paraId="4E876834">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5AFFB199">
                  <w:pPr>
                    <w:widowControl/>
                    <w:jc w:val="center"/>
                    <w:textAlignment w:val="center"/>
                    <w:rPr>
                      <w:color w:val="auto"/>
                      <w:szCs w:val="21"/>
                    </w:rPr>
                  </w:pPr>
                  <w:r>
                    <w:rPr>
                      <w:color w:val="auto"/>
                      <w:kern w:val="0"/>
                      <w:szCs w:val="21"/>
                      <w:lang w:bidi="ar"/>
                    </w:rPr>
                    <w:t>6</w:t>
                  </w:r>
                </w:p>
              </w:tc>
              <w:tc>
                <w:tcPr>
                  <w:tcW w:w="1034" w:type="pct"/>
                  <w:vAlign w:val="center"/>
                </w:tcPr>
                <w:p w14:paraId="515F2744">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2F、3F</w:t>
                  </w:r>
                </w:p>
              </w:tc>
              <w:tc>
                <w:tcPr>
                  <w:tcW w:w="394" w:type="pct"/>
                  <w:vAlign w:val="center"/>
                </w:tcPr>
                <w:p w14:paraId="35B9B7E9">
                  <w:pPr>
                    <w:widowControl/>
                    <w:adjustRightInd w:val="0"/>
                    <w:snapToGrid w:val="0"/>
                    <w:jc w:val="center"/>
                    <w:textAlignment w:val="center"/>
                    <w:rPr>
                      <w:color w:val="auto"/>
                      <w:kern w:val="0"/>
                      <w:szCs w:val="21"/>
                      <w:lang w:bidi="ar"/>
                    </w:rPr>
                  </w:pPr>
                  <w:r>
                    <w:rPr>
                      <w:rFonts w:hint="eastAsia"/>
                      <w:color w:val="auto"/>
                      <w:kern w:val="0"/>
                      <w:szCs w:val="21"/>
                      <w:lang w:bidi="ar"/>
                    </w:rPr>
                    <w:t>精</w:t>
                  </w:r>
                  <w:r>
                    <w:rPr>
                      <w:color w:val="auto"/>
                      <w:kern w:val="0"/>
                      <w:szCs w:val="21"/>
                      <w:lang w:bidi="ar"/>
                    </w:rPr>
                    <w:t>磨</w:t>
                  </w:r>
                </w:p>
              </w:tc>
            </w:tr>
            <w:tr w14:paraId="5851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8408305">
                  <w:pPr>
                    <w:widowControl/>
                    <w:jc w:val="center"/>
                    <w:textAlignment w:val="center"/>
                    <w:rPr>
                      <w:rFonts w:cs="仿宋"/>
                      <w:color w:val="auto"/>
                      <w:szCs w:val="21"/>
                    </w:rPr>
                  </w:pPr>
                  <w:r>
                    <w:rPr>
                      <w:color w:val="auto"/>
                      <w:kern w:val="0"/>
                      <w:szCs w:val="21"/>
                      <w:lang w:bidi="ar"/>
                    </w:rPr>
                    <w:t>20</w:t>
                  </w:r>
                </w:p>
              </w:tc>
              <w:tc>
                <w:tcPr>
                  <w:tcW w:w="1249" w:type="pct"/>
                  <w:shd w:val="clear" w:color="auto" w:fill="auto"/>
                  <w:vAlign w:val="center"/>
                </w:tcPr>
                <w:p w14:paraId="3AA2D07E">
                  <w:pPr>
                    <w:widowControl/>
                    <w:jc w:val="center"/>
                    <w:textAlignment w:val="center"/>
                    <w:rPr>
                      <w:color w:val="auto"/>
                      <w:szCs w:val="21"/>
                    </w:rPr>
                  </w:pPr>
                  <w:r>
                    <w:rPr>
                      <w:color w:val="auto"/>
                      <w:kern w:val="0"/>
                      <w:szCs w:val="21"/>
                      <w:lang w:bidi="ar"/>
                    </w:rPr>
                    <w:t>无芯磨</w:t>
                  </w:r>
                </w:p>
              </w:tc>
              <w:tc>
                <w:tcPr>
                  <w:tcW w:w="1204" w:type="pct"/>
                  <w:gridSpan w:val="2"/>
                  <w:shd w:val="clear" w:color="auto" w:fill="auto"/>
                  <w:vAlign w:val="center"/>
                </w:tcPr>
                <w:p w14:paraId="30B8244B">
                  <w:pPr>
                    <w:widowControl/>
                    <w:jc w:val="center"/>
                    <w:textAlignment w:val="center"/>
                    <w:rPr>
                      <w:color w:val="auto"/>
                      <w:szCs w:val="21"/>
                    </w:rPr>
                  </w:pPr>
                  <w:r>
                    <w:rPr>
                      <w:color w:val="auto"/>
                      <w:kern w:val="0"/>
                      <w:szCs w:val="21"/>
                      <w:lang w:bidi="ar"/>
                    </w:rPr>
                    <w:t>MT1080B</w:t>
                  </w:r>
                </w:p>
              </w:tc>
              <w:tc>
                <w:tcPr>
                  <w:tcW w:w="343" w:type="pct"/>
                  <w:shd w:val="clear" w:color="auto" w:fill="auto"/>
                  <w:vAlign w:val="center"/>
                </w:tcPr>
                <w:p w14:paraId="064C9693">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1C3EE428">
                  <w:pPr>
                    <w:widowControl/>
                    <w:jc w:val="center"/>
                    <w:textAlignment w:val="center"/>
                    <w:rPr>
                      <w:color w:val="auto"/>
                      <w:szCs w:val="21"/>
                    </w:rPr>
                  </w:pPr>
                  <w:r>
                    <w:rPr>
                      <w:color w:val="auto"/>
                      <w:kern w:val="0"/>
                      <w:szCs w:val="21"/>
                      <w:lang w:bidi="ar"/>
                    </w:rPr>
                    <w:t>3</w:t>
                  </w:r>
                </w:p>
              </w:tc>
              <w:tc>
                <w:tcPr>
                  <w:tcW w:w="1034" w:type="pct"/>
                  <w:vAlign w:val="center"/>
                </w:tcPr>
                <w:p w14:paraId="2C30BC14">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38F27552">
                  <w:pPr>
                    <w:widowControl/>
                    <w:adjustRightInd w:val="0"/>
                    <w:snapToGrid w:val="0"/>
                    <w:jc w:val="center"/>
                    <w:textAlignment w:val="center"/>
                    <w:rPr>
                      <w:color w:val="auto"/>
                      <w:kern w:val="0"/>
                      <w:szCs w:val="21"/>
                      <w:lang w:bidi="ar"/>
                    </w:rPr>
                  </w:pPr>
                  <w:r>
                    <w:rPr>
                      <w:rFonts w:hint="eastAsia"/>
                      <w:color w:val="auto"/>
                      <w:kern w:val="0"/>
                      <w:szCs w:val="21"/>
                      <w:lang w:bidi="ar"/>
                    </w:rPr>
                    <w:t>打孔</w:t>
                  </w:r>
                </w:p>
              </w:tc>
            </w:tr>
            <w:tr w14:paraId="4BBE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DC36C7D">
                  <w:pPr>
                    <w:widowControl/>
                    <w:jc w:val="center"/>
                    <w:textAlignment w:val="center"/>
                    <w:rPr>
                      <w:rFonts w:cs="仿宋"/>
                      <w:color w:val="auto"/>
                      <w:szCs w:val="21"/>
                    </w:rPr>
                  </w:pPr>
                  <w:r>
                    <w:rPr>
                      <w:color w:val="auto"/>
                      <w:kern w:val="0"/>
                      <w:szCs w:val="21"/>
                      <w:lang w:bidi="ar"/>
                    </w:rPr>
                    <w:t>21</w:t>
                  </w:r>
                </w:p>
              </w:tc>
              <w:tc>
                <w:tcPr>
                  <w:tcW w:w="1249" w:type="pct"/>
                  <w:shd w:val="clear" w:color="auto" w:fill="auto"/>
                  <w:vAlign w:val="center"/>
                </w:tcPr>
                <w:p w14:paraId="489C94E3">
                  <w:pPr>
                    <w:widowControl/>
                    <w:jc w:val="center"/>
                    <w:textAlignment w:val="center"/>
                    <w:rPr>
                      <w:color w:val="auto"/>
                      <w:szCs w:val="21"/>
                    </w:rPr>
                  </w:pPr>
                  <w:r>
                    <w:rPr>
                      <w:color w:val="auto"/>
                      <w:kern w:val="0"/>
                      <w:szCs w:val="21"/>
                      <w:lang w:bidi="ar"/>
                    </w:rPr>
                    <w:t>方磨圆</w:t>
                  </w:r>
                </w:p>
              </w:tc>
              <w:tc>
                <w:tcPr>
                  <w:tcW w:w="1204" w:type="pct"/>
                  <w:gridSpan w:val="2"/>
                  <w:shd w:val="clear" w:color="auto" w:fill="auto"/>
                  <w:vAlign w:val="center"/>
                </w:tcPr>
                <w:p w14:paraId="3CA55838">
                  <w:pPr>
                    <w:widowControl/>
                    <w:jc w:val="center"/>
                    <w:textAlignment w:val="center"/>
                    <w:rPr>
                      <w:color w:val="auto"/>
                      <w:szCs w:val="21"/>
                    </w:rPr>
                  </w:pPr>
                  <w:r>
                    <w:rPr>
                      <w:color w:val="auto"/>
                      <w:kern w:val="0"/>
                      <w:szCs w:val="21"/>
                      <w:lang w:bidi="ar"/>
                    </w:rPr>
                    <w:t>BHS-II</w:t>
                  </w:r>
                </w:p>
              </w:tc>
              <w:tc>
                <w:tcPr>
                  <w:tcW w:w="343" w:type="pct"/>
                  <w:shd w:val="clear" w:color="auto" w:fill="auto"/>
                  <w:vAlign w:val="center"/>
                </w:tcPr>
                <w:p w14:paraId="11EBDD14">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646ADB4">
                  <w:pPr>
                    <w:widowControl/>
                    <w:jc w:val="center"/>
                    <w:textAlignment w:val="center"/>
                    <w:rPr>
                      <w:color w:val="auto"/>
                      <w:szCs w:val="21"/>
                    </w:rPr>
                  </w:pPr>
                  <w:r>
                    <w:rPr>
                      <w:color w:val="auto"/>
                      <w:kern w:val="0"/>
                      <w:szCs w:val="21"/>
                      <w:lang w:bidi="ar"/>
                    </w:rPr>
                    <w:t>4</w:t>
                  </w:r>
                </w:p>
              </w:tc>
              <w:tc>
                <w:tcPr>
                  <w:tcW w:w="1034" w:type="pct"/>
                  <w:vAlign w:val="center"/>
                </w:tcPr>
                <w:p w14:paraId="338E6025">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6FD1C1F0">
                  <w:pPr>
                    <w:widowControl/>
                    <w:adjustRightInd w:val="0"/>
                    <w:snapToGrid w:val="0"/>
                    <w:jc w:val="center"/>
                    <w:textAlignment w:val="center"/>
                    <w:rPr>
                      <w:color w:val="auto"/>
                      <w:kern w:val="0"/>
                      <w:szCs w:val="21"/>
                      <w:lang w:bidi="ar"/>
                    </w:rPr>
                  </w:pPr>
                  <w:r>
                    <w:rPr>
                      <w:rFonts w:hint="eastAsia"/>
                      <w:color w:val="auto"/>
                      <w:kern w:val="0"/>
                      <w:szCs w:val="21"/>
                      <w:lang w:bidi="ar"/>
                    </w:rPr>
                    <w:t>打孔</w:t>
                  </w:r>
                </w:p>
              </w:tc>
            </w:tr>
            <w:tr w14:paraId="00A8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B9E3DAF">
                  <w:pPr>
                    <w:widowControl/>
                    <w:jc w:val="center"/>
                    <w:textAlignment w:val="center"/>
                    <w:rPr>
                      <w:rFonts w:cs="仿宋"/>
                      <w:color w:val="auto"/>
                      <w:szCs w:val="21"/>
                    </w:rPr>
                  </w:pPr>
                  <w:r>
                    <w:rPr>
                      <w:color w:val="auto"/>
                      <w:kern w:val="0"/>
                      <w:szCs w:val="21"/>
                      <w:lang w:bidi="ar"/>
                    </w:rPr>
                    <w:t>22</w:t>
                  </w:r>
                </w:p>
              </w:tc>
              <w:tc>
                <w:tcPr>
                  <w:tcW w:w="1249" w:type="pct"/>
                  <w:shd w:val="clear" w:color="auto" w:fill="auto"/>
                  <w:vAlign w:val="center"/>
                </w:tcPr>
                <w:p w14:paraId="06D079E8">
                  <w:pPr>
                    <w:widowControl/>
                    <w:jc w:val="center"/>
                    <w:textAlignment w:val="center"/>
                    <w:rPr>
                      <w:color w:val="auto"/>
                      <w:szCs w:val="21"/>
                    </w:rPr>
                  </w:pPr>
                  <w:r>
                    <w:rPr>
                      <w:color w:val="auto"/>
                      <w:kern w:val="0"/>
                      <w:szCs w:val="21"/>
                      <w:lang w:bidi="ar"/>
                    </w:rPr>
                    <w:t>自动打孔机（双工位）</w:t>
                  </w:r>
                </w:p>
              </w:tc>
              <w:tc>
                <w:tcPr>
                  <w:tcW w:w="1204" w:type="pct"/>
                  <w:gridSpan w:val="2"/>
                  <w:shd w:val="clear" w:color="auto" w:fill="auto"/>
                  <w:vAlign w:val="center"/>
                </w:tcPr>
                <w:p w14:paraId="73F0423F">
                  <w:pPr>
                    <w:widowControl/>
                    <w:jc w:val="center"/>
                    <w:textAlignment w:val="center"/>
                    <w:rPr>
                      <w:color w:val="auto"/>
                      <w:szCs w:val="21"/>
                    </w:rPr>
                  </w:pPr>
                  <w:r>
                    <w:rPr>
                      <w:color w:val="auto"/>
                      <w:kern w:val="0"/>
                      <w:szCs w:val="21"/>
                      <w:lang w:bidi="ar"/>
                    </w:rPr>
                    <w:t>TK2-40A</w:t>
                  </w:r>
                </w:p>
              </w:tc>
              <w:tc>
                <w:tcPr>
                  <w:tcW w:w="343" w:type="pct"/>
                  <w:shd w:val="clear" w:color="auto" w:fill="auto"/>
                  <w:vAlign w:val="center"/>
                </w:tcPr>
                <w:p w14:paraId="0A0A9FD2">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5CCA32B">
                  <w:pPr>
                    <w:widowControl/>
                    <w:jc w:val="center"/>
                    <w:textAlignment w:val="center"/>
                    <w:rPr>
                      <w:color w:val="auto"/>
                      <w:szCs w:val="21"/>
                    </w:rPr>
                  </w:pPr>
                  <w:r>
                    <w:rPr>
                      <w:color w:val="auto"/>
                      <w:kern w:val="0"/>
                      <w:szCs w:val="21"/>
                      <w:lang w:bidi="ar"/>
                    </w:rPr>
                    <w:t>10</w:t>
                  </w:r>
                </w:p>
              </w:tc>
              <w:tc>
                <w:tcPr>
                  <w:tcW w:w="1034" w:type="pct"/>
                  <w:vAlign w:val="center"/>
                </w:tcPr>
                <w:p w14:paraId="341F4248">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259A46A1">
                  <w:pPr>
                    <w:widowControl/>
                    <w:adjustRightInd w:val="0"/>
                    <w:snapToGrid w:val="0"/>
                    <w:jc w:val="center"/>
                    <w:textAlignment w:val="center"/>
                    <w:rPr>
                      <w:color w:val="auto"/>
                      <w:kern w:val="0"/>
                      <w:szCs w:val="21"/>
                      <w:lang w:bidi="ar"/>
                    </w:rPr>
                  </w:pPr>
                  <w:r>
                    <w:rPr>
                      <w:rFonts w:hint="eastAsia"/>
                      <w:color w:val="auto"/>
                      <w:kern w:val="0"/>
                      <w:szCs w:val="21"/>
                      <w:lang w:bidi="ar"/>
                    </w:rPr>
                    <w:t>打孔</w:t>
                  </w:r>
                </w:p>
              </w:tc>
            </w:tr>
            <w:tr w14:paraId="04DE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2AEADC17">
                  <w:pPr>
                    <w:widowControl/>
                    <w:jc w:val="center"/>
                    <w:textAlignment w:val="center"/>
                    <w:rPr>
                      <w:rFonts w:cs="仿宋"/>
                      <w:color w:val="auto"/>
                      <w:szCs w:val="21"/>
                    </w:rPr>
                  </w:pPr>
                  <w:r>
                    <w:rPr>
                      <w:color w:val="auto"/>
                      <w:kern w:val="0"/>
                      <w:szCs w:val="21"/>
                      <w:lang w:bidi="ar"/>
                    </w:rPr>
                    <w:t>23</w:t>
                  </w:r>
                </w:p>
              </w:tc>
              <w:tc>
                <w:tcPr>
                  <w:tcW w:w="1249" w:type="pct"/>
                  <w:shd w:val="clear" w:color="auto" w:fill="auto"/>
                  <w:vAlign w:val="center"/>
                </w:tcPr>
                <w:p w14:paraId="506D968C">
                  <w:pPr>
                    <w:widowControl/>
                    <w:jc w:val="center"/>
                    <w:textAlignment w:val="center"/>
                    <w:rPr>
                      <w:color w:val="auto"/>
                      <w:szCs w:val="21"/>
                    </w:rPr>
                  </w:pPr>
                  <w:r>
                    <w:rPr>
                      <w:color w:val="auto"/>
                      <w:kern w:val="0"/>
                      <w:szCs w:val="21"/>
                      <w:lang w:bidi="ar"/>
                    </w:rPr>
                    <w:t>自动打孔机（三工位）</w:t>
                  </w:r>
                </w:p>
              </w:tc>
              <w:tc>
                <w:tcPr>
                  <w:tcW w:w="1204" w:type="pct"/>
                  <w:gridSpan w:val="2"/>
                  <w:shd w:val="clear" w:color="auto" w:fill="auto"/>
                  <w:vAlign w:val="center"/>
                </w:tcPr>
                <w:p w14:paraId="027C2100">
                  <w:pPr>
                    <w:widowControl/>
                    <w:jc w:val="center"/>
                    <w:textAlignment w:val="center"/>
                    <w:rPr>
                      <w:color w:val="auto"/>
                      <w:szCs w:val="21"/>
                    </w:rPr>
                  </w:pPr>
                  <w:r>
                    <w:rPr>
                      <w:color w:val="auto"/>
                      <w:kern w:val="0"/>
                      <w:szCs w:val="21"/>
                      <w:lang w:bidi="ar"/>
                    </w:rPr>
                    <w:t>TK3-20A</w:t>
                  </w:r>
                </w:p>
              </w:tc>
              <w:tc>
                <w:tcPr>
                  <w:tcW w:w="343" w:type="pct"/>
                  <w:shd w:val="clear" w:color="auto" w:fill="auto"/>
                  <w:vAlign w:val="center"/>
                </w:tcPr>
                <w:p w14:paraId="1E3ACF9E">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F71C9F0">
                  <w:pPr>
                    <w:widowControl/>
                    <w:jc w:val="center"/>
                    <w:textAlignment w:val="center"/>
                    <w:rPr>
                      <w:color w:val="auto"/>
                      <w:szCs w:val="21"/>
                    </w:rPr>
                  </w:pPr>
                  <w:r>
                    <w:rPr>
                      <w:color w:val="auto"/>
                      <w:kern w:val="0"/>
                      <w:szCs w:val="21"/>
                      <w:lang w:bidi="ar"/>
                    </w:rPr>
                    <w:t>10</w:t>
                  </w:r>
                </w:p>
              </w:tc>
              <w:tc>
                <w:tcPr>
                  <w:tcW w:w="1034" w:type="pct"/>
                  <w:vAlign w:val="center"/>
                </w:tcPr>
                <w:p w14:paraId="4FD84156">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2E24B755">
                  <w:pPr>
                    <w:widowControl/>
                    <w:adjustRightInd w:val="0"/>
                    <w:snapToGrid w:val="0"/>
                    <w:jc w:val="center"/>
                    <w:textAlignment w:val="center"/>
                    <w:rPr>
                      <w:color w:val="auto"/>
                      <w:kern w:val="0"/>
                      <w:szCs w:val="21"/>
                      <w:lang w:bidi="ar"/>
                    </w:rPr>
                  </w:pPr>
                  <w:r>
                    <w:rPr>
                      <w:rFonts w:hint="eastAsia"/>
                      <w:color w:val="auto"/>
                      <w:kern w:val="0"/>
                      <w:szCs w:val="21"/>
                      <w:lang w:bidi="ar"/>
                    </w:rPr>
                    <w:t>打孔</w:t>
                  </w:r>
                </w:p>
              </w:tc>
            </w:tr>
            <w:tr w14:paraId="1B0F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46796F08">
                  <w:pPr>
                    <w:widowControl/>
                    <w:jc w:val="center"/>
                    <w:textAlignment w:val="center"/>
                    <w:rPr>
                      <w:rFonts w:cs="仿宋"/>
                      <w:color w:val="auto"/>
                      <w:szCs w:val="21"/>
                    </w:rPr>
                  </w:pPr>
                  <w:r>
                    <w:rPr>
                      <w:color w:val="auto"/>
                      <w:kern w:val="0"/>
                      <w:szCs w:val="21"/>
                      <w:lang w:bidi="ar"/>
                    </w:rPr>
                    <w:t>24</w:t>
                  </w:r>
                </w:p>
              </w:tc>
              <w:tc>
                <w:tcPr>
                  <w:tcW w:w="1249" w:type="pct"/>
                  <w:shd w:val="clear" w:color="auto" w:fill="auto"/>
                  <w:vAlign w:val="center"/>
                </w:tcPr>
                <w:p w14:paraId="615FB78E">
                  <w:pPr>
                    <w:widowControl/>
                    <w:jc w:val="center"/>
                    <w:textAlignment w:val="center"/>
                    <w:rPr>
                      <w:color w:val="auto"/>
                      <w:szCs w:val="21"/>
                    </w:rPr>
                  </w:pPr>
                  <w:r>
                    <w:rPr>
                      <w:color w:val="auto"/>
                      <w:kern w:val="0"/>
                      <w:szCs w:val="21"/>
                      <w:lang w:bidi="ar"/>
                    </w:rPr>
                    <w:t>外圆倒边机</w:t>
                  </w:r>
                </w:p>
              </w:tc>
              <w:tc>
                <w:tcPr>
                  <w:tcW w:w="1204" w:type="pct"/>
                  <w:gridSpan w:val="2"/>
                  <w:shd w:val="clear" w:color="auto" w:fill="auto"/>
                  <w:vAlign w:val="center"/>
                </w:tcPr>
                <w:p w14:paraId="471BB350">
                  <w:pPr>
                    <w:widowControl/>
                    <w:jc w:val="center"/>
                    <w:textAlignment w:val="center"/>
                    <w:rPr>
                      <w:color w:val="auto"/>
                      <w:szCs w:val="21"/>
                    </w:rPr>
                  </w:pPr>
                  <w:r>
                    <w:rPr>
                      <w:color w:val="auto"/>
                      <w:kern w:val="0"/>
                      <w:szCs w:val="21"/>
                      <w:lang w:bidi="ar"/>
                    </w:rPr>
                    <w:t>Z512B-1</w:t>
                  </w:r>
                </w:p>
              </w:tc>
              <w:tc>
                <w:tcPr>
                  <w:tcW w:w="343" w:type="pct"/>
                  <w:shd w:val="clear" w:color="auto" w:fill="auto"/>
                  <w:vAlign w:val="center"/>
                </w:tcPr>
                <w:p w14:paraId="68BF88F8">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3CF57350">
                  <w:pPr>
                    <w:widowControl/>
                    <w:jc w:val="center"/>
                    <w:textAlignment w:val="center"/>
                    <w:rPr>
                      <w:color w:val="auto"/>
                      <w:szCs w:val="21"/>
                    </w:rPr>
                  </w:pPr>
                  <w:r>
                    <w:rPr>
                      <w:color w:val="auto"/>
                      <w:kern w:val="0"/>
                      <w:szCs w:val="21"/>
                      <w:lang w:bidi="ar"/>
                    </w:rPr>
                    <w:t>2</w:t>
                  </w:r>
                </w:p>
              </w:tc>
              <w:tc>
                <w:tcPr>
                  <w:tcW w:w="1034" w:type="pct"/>
                  <w:vAlign w:val="center"/>
                </w:tcPr>
                <w:p w14:paraId="055E1AD6">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5036A60C">
                  <w:pPr>
                    <w:widowControl/>
                    <w:adjustRightInd w:val="0"/>
                    <w:snapToGrid w:val="0"/>
                    <w:jc w:val="center"/>
                    <w:textAlignment w:val="center"/>
                    <w:rPr>
                      <w:color w:val="auto"/>
                      <w:kern w:val="0"/>
                      <w:szCs w:val="21"/>
                      <w:lang w:bidi="ar"/>
                    </w:rPr>
                  </w:pPr>
                  <w:r>
                    <w:rPr>
                      <w:rFonts w:hint="eastAsia"/>
                      <w:color w:val="auto"/>
                      <w:kern w:val="0"/>
                      <w:szCs w:val="21"/>
                      <w:lang w:bidi="ar"/>
                    </w:rPr>
                    <w:t>倒边</w:t>
                  </w:r>
                </w:p>
              </w:tc>
            </w:tr>
            <w:tr w14:paraId="307E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4FEF670A">
                  <w:pPr>
                    <w:widowControl/>
                    <w:jc w:val="center"/>
                    <w:textAlignment w:val="center"/>
                    <w:rPr>
                      <w:rFonts w:cs="仿宋"/>
                      <w:color w:val="auto"/>
                      <w:szCs w:val="21"/>
                    </w:rPr>
                  </w:pPr>
                  <w:r>
                    <w:rPr>
                      <w:color w:val="auto"/>
                      <w:kern w:val="0"/>
                      <w:szCs w:val="21"/>
                      <w:lang w:bidi="ar"/>
                    </w:rPr>
                    <w:t>25</w:t>
                  </w:r>
                </w:p>
              </w:tc>
              <w:tc>
                <w:tcPr>
                  <w:tcW w:w="1249" w:type="pct"/>
                  <w:shd w:val="clear" w:color="auto" w:fill="auto"/>
                  <w:vAlign w:val="center"/>
                </w:tcPr>
                <w:p w14:paraId="7CF5A957">
                  <w:pPr>
                    <w:widowControl/>
                    <w:jc w:val="center"/>
                    <w:textAlignment w:val="center"/>
                    <w:rPr>
                      <w:color w:val="auto"/>
                      <w:szCs w:val="21"/>
                    </w:rPr>
                  </w:pPr>
                  <w:r>
                    <w:rPr>
                      <w:color w:val="auto"/>
                      <w:kern w:val="0"/>
                      <w:szCs w:val="21"/>
                      <w:lang w:bidi="ar"/>
                    </w:rPr>
                    <w:t>开槽机</w:t>
                  </w:r>
                </w:p>
              </w:tc>
              <w:tc>
                <w:tcPr>
                  <w:tcW w:w="1204" w:type="pct"/>
                  <w:gridSpan w:val="2"/>
                  <w:shd w:val="clear" w:color="auto" w:fill="auto"/>
                  <w:vAlign w:val="center"/>
                </w:tcPr>
                <w:p w14:paraId="74F1F9E4">
                  <w:pPr>
                    <w:widowControl/>
                    <w:jc w:val="center"/>
                    <w:textAlignment w:val="center"/>
                    <w:rPr>
                      <w:color w:val="auto"/>
                      <w:szCs w:val="21"/>
                    </w:rPr>
                  </w:pPr>
                  <w:r>
                    <w:rPr>
                      <w:color w:val="auto"/>
                      <w:kern w:val="0"/>
                      <w:szCs w:val="21"/>
                      <w:lang w:bidi="ar"/>
                    </w:rPr>
                    <w:t>自制</w:t>
                  </w:r>
                </w:p>
              </w:tc>
              <w:tc>
                <w:tcPr>
                  <w:tcW w:w="343" w:type="pct"/>
                  <w:shd w:val="clear" w:color="auto" w:fill="auto"/>
                  <w:vAlign w:val="center"/>
                </w:tcPr>
                <w:p w14:paraId="1F1C38E5">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6EBF724F">
                  <w:pPr>
                    <w:widowControl/>
                    <w:jc w:val="center"/>
                    <w:textAlignment w:val="center"/>
                    <w:rPr>
                      <w:color w:val="auto"/>
                      <w:szCs w:val="21"/>
                    </w:rPr>
                  </w:pPr>
                  <w:r>
                    <w:rPr>
                      <w:color w:val="auto"/>
                      <w:kern w:val="0"/>
                      <w:szCs w:val="21"/>
                      <w:lang w:bidi="ar"/>
                    </w:rPr>
                    <w:t>3</w:t>
                  </w:r>
                </w:p>
              </w:tc>
              <w:tc>
                <w:tcPr>
                  <w:tcW w:w="1034" w:type="pct"/>
                  <w:vAlign w:val="center"/>
                </w:tcPr>
                <w:p w14:paraId="3E29F2BD">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31D50DFD">
                  <w:pPr>
                    <w:widowControl/>
                    <w:adjustRightInd w:val="0"/>
                    <w:snapToGrid w:val="0"/>
                    <w:jc w:val="center"/>
                    <w:textAlignment w:val="center"/>
                    <w:rPr>
                      <w:color w:val="auto"/>
                      <w:kern w:val="0"/>
                      <w:szCs w:val="21"/>
                      <w:lang w:bidi="ar"/>
                    </w:rPr>
                  </w:pPr>
                  <w:r>
                    <w:rPr>
                      <w:rFonts w:hint="eastAsia"/>
                      <w:color w:val="auto"/>
                      <w:kern w:val="0"/>
                      <w:szCs w:val="21"/>
                      <w:lang w:bidi="ar"/>
                    </w:rPr>
                    <w:t>精</w:t>
                  </w:r>
                  <w:r>
                    <w:rPr>
                      <w:color w:val="auto"/>
                      <w:kern w:val="0"/>
                      <w:szCs w:val="21"/>
                      <w:lang w:bidi="ar"/>
                    </w:rPr>
                    <w:t>磨</w:t>
                  </w:r>
                </w:p>
              </w:tc>
            </w:tr>
            <w:tr w14:paraId="2F50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23A7B7E3">
                  <w:pPr>
                    <w:widowControl/>
                    <w:jc w:val="center"/>
                    <w:textAlignment w:val="center"/>
                    <w:rPr>
                      <w:rFonts w:cs="仿宋"/>
                      <w:color w:val="auto"/>
                      <w:szCs w:val="21"/>
                    </w:rPr>
                  </w:pPr>
                  <w:r>
                    <w:rPr>
                      <w:color w:val="auto"/>
                      <w:kern w:val="0"/>
                      <w:szCs w:val="21"/>
                      <w:lang w:bidi="ar"/>
                    </w:rPr>
                    <w:t>26</w:t>
                  </w:r>
                </w:p>
              </w:tc>
              <w:tc>
                <w:tcPr>
                  <w:tcW w:w="1249" w:type="pct"/>
                  <w:shd w:val="clear" w:color="auto" w:fill="auto"/>
                  <w:vAlign w:val="center"/>
                </w:tcPr>
                <w:p w14:paraId="7A1DABC1">
                  <w:pPr>
                    <w:widowControl/>
                    <w:jc w:val="center"/>
                    <w:textAlignment w:val="center"/>
                    <w:rPr>
                      <w:color w:val="auto"/>
                      <w:szCs w:val="21"/>
                    </w:rPr>
                  </w:pPr>
                  <w:r>
                    <w:rPr>
                      <w:color w:val="auto"/>
                      <w:kern w:val="0"/>
                      <w:szCs w:val="21"/>
                      <w:lang w:bidi="ar"/>
                    </w:rPr>
                    <w:t>行车</w:t>
                  </w:r>
                </w:p>
              </w:tc>
              <w:tc>
                <w:tcPr>
                  <w:tcW w:w="1204" w:type="pct"/>
                  <w:gridSpan w:val="2"/>
                  <w:shd w:val="clear" w:color="auto" w:fill="auto"/>
                  <w:vAlign w:val="center"/>
                </w:tcPr>
                <w:p w14:paraId="3EDC0444">
                  <w:pPr>
                    <w:widowControl/>
                    <w:jc w:val="center"/>
                    <w:textAlignment w:val="center"/>
                    <w:rPr>
                      <w:color w:val="auto"/>
                      <w:szCs w:val="21"/>
                    </w:rPr>
                  </w:pPr>
                  <w:r>
                    <w:rPr>
                      <w:color w:val="auto"/>
                      <w:kern w:val="0"/>
                      <w:szCs w:val="21"/>
                      <w:lang w:bidi="ar"/>
                    </w:rPr>
                    <w:t>2.5T</w:t>
                  </w:r>
                </w:p>
              </w:tc>
              <w:tc>
                <w:tcPr>
                  <w:tcW w:w="343" w:type="pct"/>
                  <w:shd w:val="clear" w:color="auto" w:fill="auto"/>
                  <w:vAlign w:val="center"/>
                </w:tcPr>
                <w:p w14:paraId="4F08470C">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7CC398BD">
                  <w:pPr>
                    <w:widowControl/>
                    <w:jc w:val="center"/>
                    <w:textAlignment w:val="center"/>
                    <w:rPr>
                      <w:color w:val="auto"/>
                      <w:szCs w:val="21"/>
                    </w:rPr>
                  </w:pPr>
                  <w:r>
                    <w:rPr>
                      <w:color w:val="auto"/>
                      <w:kern w:val="0"/>
                      <w:szCs w:val="21"/>
                      <w:lang w:bidi="ar"/>
                    </w:rPr>
                    <w:t>1</w:t>
                  </w:r>
                </w:p>
              </w:tc>
              <w:tc>
                <w:tcPr>
                  <w:tcW w:w="1034" w:type="pct"/>
                  <w:vAlign w:val="center"/>
                </w:tcPr>
                <w:p w14:paraId="7B0864E4">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7FD95E54">
                  <w:pPr>
                    <w:widowControl/>
                    <w:adjustRightInd w:val="0"/>
                    <w:snapToGrid w:val="0"/>
                    <w:jc w:val="center"/>
                    <w:textAlignment w:val="center"/>
                    <w:rPr>
                      <w:color w:val="auto"/>
                      <w:kern w:val="0"/>
                      <w:szCs w:val="21"/>
                      <w:lang w:bidi="ar"/>
                    </w:rPr>
                  </w:pPr>
                  <w:r>
                    <w:rPr>
                      <w:color w:val="auto"/>
                      <w:kern w:val="0"/>
                      <w:szCs w:val="21"/>
                      <w:lang w:bidi="ar"/>
                    </w:rPr>
                    <w:t>集中供液系统</w:t>
                  </w:r>
                </w:p>
              </w:tc>
            </w:tr>
            <w:tr w14:paraId="4EC9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70F2C52">
                  <w:pPr>
                    <w:widowControl/>
                    <w:jc w:val="center"/>
                    <w:textAlignment w:val="center"/>
                    <w:rPr>
                      <w:rFonts w:cs="仿宋"/>
                      <w:color w:val="auto"/>
                      <w:szCs w:val="21"/>
                    </w:rPr>
                  </w:pPr>
                  <w:r>
                    <w:rPr>
                      <w:rFonts w:hint="eastAsia"/>
                      <w:color w:val="auto"/>
                      <w:kern w:val="0"/>
                      <w:szCs w:val="21"/>
                      <w:lang w:bidi="ar"/>
                    </w:rPr>
                    <w:t>27</w:t>
                  </w:r>
                </w:p>
              </w:tc>
              <w:tc>
                <w:tcPr>
                  <w:tcW w:w="1249" w:type="pct"/>
                  <w:shd w:val="clear" w:color="auto" w:fill="auto"/>
                  <w:vAlign w:val="center"/>
                </w:tcPr>
                <w:p w14:paraId="6196E07C">
                  <w:pPr>
                    <w:widowControl/>
                    <w:jc w:val="center"/>
                    <w:textAlignment w:val="center"/>
                    <w:rPr>
                      <w:color w:val="auto"/>
                      <w:szCs w:val="21"/>
                    </w:rPr>
                  </w:pPr>
                  <w:r>
                    <w:rPr>
                      <w:color w:val="auto"/>
                      <w:kern w:val="0"/>
                      <w:szCs w:val="21"/>
                      <w:lang w:bidi="ar"/>
                    </w:rPr>
                    <w:t>磁悬浮冷水机组</w:t>
                  </w:r>
                </w:p>
              </w:tc>
              <w:tc>
                <w:tcPr>
                  <w:tcW w:w="1204" w:type="pct"/>
                  <w:gridSpan w:val="2"/>
                  <w:shd w:val="clear" w:color="auto" w:fill="auto"/>
                  <w:vAlign w:val="center"/>
                </w:tcPr>
                <w:p w14:paraId="3C909BA1">
                  <w:pPr>
                    <w:widowControl/>
                    <w:jc w:val="center"/>
                    <w:textAlignment w:val="center"/>
                    <w:rPr>
                      <w:color w:val="auto"/>
                      <w:szCs w:val="21"/>
                    </w:rPr>
                  </w:pPr>
                  <w:r>
                    <w:rPr>
                      <w:color w:val="auto"/>
                      <w:kern w:val="0"/>
                      <w:szCs w:val="21"/>
                      <w:lang w:bidi="ar"/>
                    </w:rPr>
                    <w:t>LSBLX310/R4(BP)-EC</w:t>
                  </w:r>
                </w:p>
              </w:tc>
              <w:tc>
                <w:tcPr>
                  <w:tcW w:w="343" w:type="pct"/>
                  <w:shd w:val="clear" w:color="auto" w:fill="auto"/>
                  <w:vAlign w:val="center"/>
                </w:tcPr>
                <w:p w14:paraId="41F5F7A8">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1B6B321D">
                  <w:pPr>
                    <w:widowControl/>
                    <w:jc w:val="center"/>
                    <w:textAlignment w:val="center"/>
                    <w:rPr>
                      <w:color w:val="auto"/>
                      <w:szCs w:val="21"/>
                    </w:rPr>
                  </w:pPr>
                  <w:r>
                    <w:rPr>
                      <w:color w:val="auto"/>
                      <w:kern w:val="0"/>
                      <w:szCs w:val="21"/>
                      <w:lang w:bidi="ar"/>
                    </w:rPr>
                    <w:t>2</w:t>
                  </w:r>
                </w:p>
              </w:tc>
              <w:tc>
                <w:tcPr>
                  <w:tcW w:w="1034" w:type="pct"/>
                  <w:vAlign w:val="center"/>
                </w:tcPr>
                <w:p w14:paraId="45F18A91">
                  <w:pPr>
                    <w:widowControl/>
                    <w:adjustRightInd w:val="0"/>
                    <w:snapToGrid w:val="0"/>
                    <w:jc w:val="center"/>
                    <w:textAlignment w:val="center"/>
                    <w:rPr>
                      <w:color w:val="auto"/>
                      <w:kern w:val="0"/>
                      <w:szCs w:val="21"/>
                      <w:lang w:bidi="ar"/>
                    </w:rPr>
                  </w:pPr>
                  <w:r>
                    <w:rPr>
                      <w:rFonts w:hint="eastAsia"/>
                      <w:color w:val="auto"/>
                      <w:kern w:val="0"/>
                      <w:szCs w:val="21"/>
                      <w:lang w:bidi="ar"/>
                    </w:rPr>
                    <w:t>7#厂房</w:t>
                  </w:r>
                  <w:r>
                    <w:rPr>
                      <w:rFonts w:hint="eastAsia"/>
                      <w:color w:val="auto"/>
                      <w:kern w:val="0"/>
                      <w:szCs w:val="21"/>
                      <w:lang w:val="en-US" w:eastAsia="zh-CN" w:bidi="ar"/>
                    </w:rPr>
                    <w:t>1F</w:t>
                  </w:r>
                </w:p>
              </w:tc>
              <w:tc>
                <w:tcPr>
                  <w:tcW w:w="394" w:type="pct"/>
                  <w:vAlign w:val="center"/>
                </w:tcPr>
                <w:p w14:paraId="16CDC220">
                  <w:pPr>
                    <w:widowControl/>
                    <w:adjustRightInd w:val="0"/>
                    <w:snapToGrid w:val="0"/>
                    <w:jc w:val="center"/>
                    <w:textAlignment w:val="center"/>
                    <w:rPr>
                      <w:color w:val="auto"/>
                      <w:kern w:val="0"/>
                      <w:szCs w:val="21"/>
                      <w:lang w:bidi="ar"/>
                    </w:rPr>
                  </w:pPr>
                  <w:r>
                    <w:rPr>
                      <w:color w:val="auto"/>
                      <w:kern w:val="0"/>
                      <w:szCs w:val="21"/>
                      <w:lang w:bidi="ar"/>
                    </w:rPr>
                    <w:t>集中供液系统</w:t>
                  </w:r>
                </w:p>
              </w:tc>
            </w:tr>
            <w:tr w14:paraId="42EB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000" w:type="pct"/>
                  <w:gridSpan w:val="8"/>
                  <w:vAlign w:val="center"/>
                </w:tcPr>
                <w:p w14:paraId="34A60774">
                  <w:pPr>
                    <w:widowControl/>
                    <w:adjustRightInd w:val="0"/>
                    <w:snapToGrid w:val="0"/>
                    <w:textAlignment w:val="center"/>
                    <w:rPr>
                      <w:color w:val="auto"/>
                      <w:kern w:val="0"/>
                      <w:szCs w:val="21"/>
                      <w:lang w:bidi="ar"/>
                    </w:rPr>
                  </w:pPr>
                  <w:r>
                    <w:rPr>
                      <w:rFonts w:hint="eastAsia"/>
                      <w:color w:val="auto"/>
                      <w:kern w:val="0"/>
                      <w:szCs w:val="21"/>
                      <w:lang w:bidi="ar"/>
                    </w:rPr>
                    <w:t>二、组件</w:t>
                  </w:r>
                </w:p>
              </w:tc>
            </w:tr>
            <w:tr w14:paraId="5260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68F932F9">
                  <w:pPr>
                    <w:widowControl/>
                    <w:jc w:val="center"/>
                    <w:textAlignment w:val="center"/>
                    <w:rPr>
                      <w:color w:val="auto"/>
                      <w:kern w:val="0"/>
                      <w:szCs w:val="21"/>
                      <w:lang w:bidi="ar"/>
                    </w:rPr>
                  </w:pPr>
                  <w:r>
                    <w:rPr>
                      <w:rFonts w:hint="eastAsia"/>
                      <w:color w:val="auto"/>
                      <w:kern w:val="0"/>
                      <w:szCs w:val="21"/>
                      <w:lang w:bidi="ar"/>
                    </w:rPr>
                    <w:t>1</w:t>
                  </w:r>
                </w:p>
              </w:tc>
              <w:tc>
                <w:tcPr>
                  <w:tcW w:w="1249" w:type="pct"/>
                  <w:shd w:val="clear" w:color="auto" w:fill="auto"/>
                  <w:vAlign w:val="center"/>
                </w:tcPr>
                <w:p w14:paraId="1B983FBD">
                  <w:pPr>
                    <w:widowControl/>
                    <w:jc w:val="center"/>
                    <w:textAlignment w:val="center"/>
                    <w:rPr>
                      <w:color w:val="auto"/>
                      <w:szCs w:val="21"/>
                    </w:rPr>
                  </w:pPr>
                  <w:r>
                    <w:rPr>
                      <w:rFonts w:hint="eastAsia"/>
                      <w:color w:val="auto"/>
                      <w:kern w:val="0"/>
                      <w:szCs w:val="21"/>
                      <w:lang w:val="en-US" w:eastAsia="zh-CN" w:bidi="ar"/>
                    </w:rPr>
                    <w:t>平面</w:t>
                  </w:r>
                  <w:r>
                    <w:rPr>
                      <w:color w:val="auto"/>
                      <w:kern w:val="0"/>
                      <w:szCs w:val="21"/>
                      <w:lang w:bidi="ar"/>
                    </w:rPr>
                    <w:t>磨</w:t>
                  </w:r>
                </w:p>
              </w:tc>
              <w:tc>
                <w:tcPr>
                  <w:tcW w:w="1204" w:type="pct"/>
                  <w:gridSpan w:val="2"/>
                  <w:shd w:val="clear" w:color="auto" w:fill="auto"/>
                  <w:vAlign w:val="center"/>
                </w:tcPr>
                <w:p w14:paraId="55E42843">
                  <w:pPr>
                    <w:widowControl/>
                    <w:jc w:val="center"/>
                    <w:textAlignment w:val="center"/>
                    <w:rPr>
                      <w:color w:val="auto"/>
                      <w:szCs w:val="21"/>
                    </w:rPr>
                  </w:pPr>
                  <w:r>
                    <w:rPr>
                      <w:color w:val="auto"/>
                      <w:kern w:val="0"/>
                      <w:szCs w:val="21"/>
                      <w:lang w:bidi="ar"/>
                    </w:rPr>
                    <w:t>-</w:t>
                  </w:r>
                </w:p>
              </w:tc>
              <w:tc>
                <w:tcPr>
                  <w:tcW w:w="343" w:type="pct"/>
                  <w:shd w:val="clear" w:color="auto" w:fill="auto"/>
                  <w:vAlign w:val="center"/>
                </w:tcPr>
                <w:p w14:paraId="47DA4FB5">
                  <w:pPr>
                    <w:widowControl/>
                    <w:jc w:val="center"/>
                    <w:textAlignment w:val="center"/>
                    <w:rPr>
                      <w:color w:val="auto"/>
                      <w:szCs w:val="21"/>
                    </w:rPr>
                  </w:pPr>
                  <w:r>
                    <w:rPr>
                      <w:rFonts w:hint="eastAsia" w:cs="宋体"/>
                      <w:color w:val="auto"/>
                      <w:kern w:val="0"/>
                      <w:szCs w:val="21"/>
                      <w:lang w:bidi="ar"/>
                    </w:rPr>
                    <w:t>台</w:t>
                  </w:r>
                </w:p>
              </w:tc>
              <w:tc>
                <w:tcPr>
                  <w:tcW w:w="433" w:type="pct"/>
                  <w:shd w:val="clear" w:color="auto" w:fill="auto"/>
                  <w:vAlign w:val="center"/>
                </w:tcPr>
                <w:p w14:paraId="0E514974">
                  <w:pPr>
                    <w:widowControl/>
                    <w:jc w:val="center"/>
                    <w:textAlignment w:val="center"/>
                    <w:rPr>
                      <w:rFonts w:hint="default" w:eastAsia="宋体"/>
                      <w:color w:val="auto"/>
                      <w:szCs w:val="21"/>
                      <w:lang w:val="en-US" w:eastAsia="zh-CN"/>
                    </w:rPr>
                  </w:pPr>
                  <w:r>
                    <w:rPr>
                      <w:rFonts w:hint="eastAsia"/>
                      <w:color w:val="auto"/>
                      <w:szCs w:val="21"/>
                      <w:lang w:val="en-US" w:eastAsia="zh-CN"/>
                    </w:rPr>
                    <w:t>13</w:t>
                  </w:r>
                </w:p>
              </w:tc>
              <w:tc>
                <w:tcPr>
                  <w:tcW w:w="1034" w:type="pct"/>
                  <w:vAlign w:val="center"/>
                </w:tcPr>
                <w:p w14:paraId="1932947F">
                  <w:pPr>
                    <w:widowControl/>
                    <w:adjustRightInd w:val="0"/>
                    <w:snapToGrid w:val="0"/>
                    <w:jc w:val="center"/>
                    <w:textAlignment w:val="center"/>
                    <w:rPr>
                      <w:color w:val="auto"/>
                      <w:kern w:val="0"/>
                      <w:szCs w:val="21"/>
                      <w:lang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6B77B3C1">
                  <w:pPr>
                    <w:widowControl/>
                    <w:adjustRightInd w:val="0"/>
                    <w:snapToGrid w:val="0"/>
                    <w:jc w:val="center"/>
                    <w:textAlignment w:val="center"/>
                    <w:rPr>
                      <w:color w:val="auto"/>
                      <w:kern w:val="0"/>
                      <w:szCs w:val="21"/>
                      <w:lang w:bidi="ar"/>
                    </w:rPr>
                  </w:pPr>
                  <w:r>
                    <w:rPr>
                      <w:rFonts w:hint="eastAsia"/>
                      <w:color w:val="auto"/>
                      <w:kern w:val="0"/>
                      <w:szCs w:val="21"/>
                      <w:lang w:bidi="ar"/>
                    </w:rPr>
                    <w:t>磁瓦加工</w:t>
                  </w:r>
                </w:p>
              </w:tc>
            </w:tr>
            <w:tr w14:paraId="6952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1880A6A">
                  <w:pPr>
                    <w:widowControl/>
                    <w:jc w:val="center"/>
                    <w:textAlignment w:val="center"/>
                    <w:rPr>
                      <w:color w:val="auto"/>
                      <w:kern w:val="0"/>
                      <w:szCs w:val="21"/>
                      <w:lang w:bidi="ar"/>
                    </w:rPr>
                  </w:pPr>
                  <w:r>
                    <w:rPr>
                      <w:rFonts w:hint="eastAsia"/>
                      <w:color w:val="auto"/>
                      <w:kern w:val="0"/>
                      <w:szCs w:val="21"/>
                      <w:lang w:bidi="ar"/>
                    </w:rPr>
                    <w:t>2</w:t>
                  </w:r>
                </w:p>
              </w:tc>
              <w:tc>
                <w:tcPr>
                  <w:tcW w:w="1249" w:type="pct"/>
                  <w:shd w:val="clear" w:color="auto" w:fill="auto"/>
                  <w:vAlign w:val="center"/>
                </w:tcPr>
                <w:p w14:paraId="4C0239A1">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内圆磨</w:t>
                  </w:r>
                </w:p>
              </w:tc>
              <w:tc>
                <w:tcPr>
                  <w:tcW w:w="1204" w:type="pct"/>
                  <w:gridSpan w:val="2"/>
                  <w:shd w:val="clear" w:color="auto" w:fill="auto"/>
                  <w:vAlign w:val="center"/>
                </w:tcPr>
                <w:p w14:paraId="2AD32075">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4695EE82">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05BFAE76">
                  <w:pPr>
                    <w:widowControl/>
                    <w:jc w:val="center"/>
                    <w:textAlignment w:val="center"/>
                    <w:rPr>
                      <w:rFonts w:hint="eastAsia" w:ascii="Times New Roman" w:hAnsi="Times New Roman" w:eastAsia="宋体" w:cs="Times New Roman"/>
                      <w:color w:val="auto"/>
                      <w:kern w:val="2"/>
                      <w:sz w:val="21"/>
                      <w:szCs w:val="21"/>
                      <w:lang w:val="en-US" w:eastAsia="zh-CN" w:bidi="ar-SA"/>
                    </w:rPr>
                  </w:pPr>
                  <w:r>
                    <w:rPr>
                      <w:color w:val="auto"/>
                      <w:kern w:val="0"/>
                      <w:szCs w:val="21"/>
                      <w:lang w:bidi="ar"/>
                    </w:rPr>
                    <w:t>1</w:t>
                  </w:r>
                  <w:r>
                    <w:rPr>
                      <w:rFonts w:hint="eastAsia"/>
                      <w:color w:val="auto"/>
                      <w:kern w:val="0"/>
                      <w:szCs w:val="21"/>
                      <w:lang w:val="en-US" w:eastAsia="zh-CN" w:bidi="ar"/>
                    </w:rPr>
                    <w:t>3</w:t>
                  </w:r>
                </w:p>
              </w:tc>
              <w:tc>
                <w:tcPr>
                  <w:tcW w:w="1034" w:type="pct"/>
                  <w:shd w:val="clear" w:color="auto" w:fill="auto"/>
                  <w:vAlign w:val="center"/>
                </w:tcPr>
                <w:p w14:paraId="654EBAC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64AC28F5">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转轴加工</w:t>
                  </w:r>
                </w:p>
              </w:tc>
            </w:tr>
            <w:tr w14:paraId="39A6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159E26FA">
                  <w:pPr>
                    <w:widowControl/>
                    <w:jc w:val="center"/>
                    <w:textAlignment w:val="center"/>
                    <w:rPr>
                      <w:color w:val="auto"/>
                      <w:kern w:val="0"/>
                      <w:szCs w:val="21"/>
                      <w:lang w:bidi="ar"/>
                    </w:rPr>
                  </w:pPr>
                  <w:r>
                    <w:rPr>
                      <w:rFonts w:hint="eastAsia"/>
                      <w:color w:val="auto"/>
                      <w:kern w:val="0"/>
                      <w:szCs w:val="21"/>
                      <w:lang w:bidi="ar"/>
                    </w:rPr>
                    <w:t>3</w:t>
                  </w:r>
                </w:p>
              </w:tc>
              <w:tc>
                <w:tcPr>
                  <w:tcW w:w="1249" w:type="pct"/>
                  <w:shd w:val="clear" w:color="auto" w:fill="auto"/>
                  <w:vAlign w:val="center"/>
                </w:tcPr>
                <w:p w14:paraId="6388A02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外圆磨</w:t>
                  </w:r>
                </w:p>
              </w:tc>
              <w:tc>
                <w:tcPr>
                  <w:tcW w:w="1204" w:type="pct"/>
                  <w:gridSpan w:val="2"/>
                  <w:shd w:val="clear" w:color="auto" w:fill="auto"/>
                  <w:vAlign w:val="center"/>
                </w:tcPr>
                <w:p w14:paraId="16F13176">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0AD7C5DE">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729FA1A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55</w:t>
                  </w:r>
                </w:p>
              </w:tc>
              <w:tc>
                <w:tcPr>
                  <w:tcW w:w="1034" w:type="pct"/>
                  <w:shd w:val="clear" w:color="auto" w:fill="auto"/>
                  <w:vAlign w:val="center"/>
                </w:tcPr>
                <w:p w14:paraId="15DA16AC">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7D7A289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转轴加工</w:t>
                  </w:r>
                </w:p>
              </w:tc>
            </w:tr>
            <w:tr w14:paraId="2535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2E8DCDD2">
                  <w:pPr>
                    <w:widowControl/>
                    <w:jc w:val="center"/>
                    <w:textAlignment w:val="center"/>
                    <w:rPr>
                      <w:color w:val="auto"/>
                      <w:kern w:val="0"/>
                      <w:szCs w:val="21"/>
                      <w:lang w:bidi="ar"/>
                    </w:rPr>
                  </w:pPr>
                  <w:r>
                    <w:rPr>
                      <w:rFonts w:hint="eastAsia"/>
                      <w:color w:val="auto"/>
                      <w:kern w:val="0"/>
                      <w:szCs w:val="21"/>
                      <w:lang w:bidi="ar"/>
                    </w:rPr>
                    <w:t>4</w:t>
                  </w:r>
                </w:p>
              </w:tc>
              <w:tc>
                <w:tcPr>
                  <w:tcW w:w="1249" w:type="pct"/>
                  <w:shd w:val="clear" w:color="auto" w:fill="auto"/>
                  <w:vAlign w:val="center"/>
                </w:tcPr>
                <w:p w14:paraId="011EFDF1">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车铣加工中心</w:t>
                  </w:r>
                </w:p>
              </w:tc>
              <w:tc>
                <w:tcPr>
                  <w:tcW w:w="1204" w:type="pct"/>
                  <w:gridSpan w:val="2"/>
                  <w:shd w:val="clear" w:color="auto" w:fill="auto"/>
                  <w:vAlign w:val="center"/>
                </w:tcPr>
                <w:p w14:paraId="1BAABBE1">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605B154E">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005745C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160</w:t>
                  </w:r>
                </w:p>
              </w:tc>
              <w:tc>
                <w:tcPr>
                  <w:tcW w:w="1034" w:type="pct"/>
                  <w:shd w:val="clear" w:color="auto" w:fill="auto"/>
                  <w:vAlign w:val="center"/>
                </w:tcPr>
                <w:p w14:paraId="17115F7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1F</w:t>
                  </w:r>
                </w:p>
              </w:tc>
              <w:tc>
                <w:tcPr>
                  <w:tcW w:w="394" w:type="pct"/>
                  <w:shd w:val="clear" w:color="auto" w:fill="auto"/>
                  <w:vAlign w:val="center"/>
                </w:tcPr>
                <w:p w14:paraId="27ED26E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转轴加工</w:t>
                  </w:r>
                </w:p>
              </w:tc>
            </w:tr>
            <w:tr w14:paraId="43B0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BF5DC4E">
                  <w:pPr>
                    <w:widowControl/>
                    <w:jc w:val="center"/>
                    <w:textAlignment w:val="center"/>
                    <w:rPr>
                      <w:color w:val="auto"/>
                      <w:kern w:val="0"/>
                      <w:szCs w:val="21"/>
                      <w:lang w:bidi="ar"/>
                    </w:rPr>
                  </w:pPr>
                  <w:r>
                    <w:rPr>
                      <w:rFonts w:hint="eastAsia"/>
                      <w:color w:val="auto"/>
                      <w:kern w:val="0"/>
                      <w:szCs w:val="21"/>
                      <w:lang w:bidi="ar"/>
                    </w:rPr>
                    <w:t>5</w:t>
                  </w:r>
                </w:p>
              </w:tc>
              <w:tc>
                <w:tcPr>
                  <w:tcW w:w="1249" w:type="pct"/>
                  <w:shd w:val="clear" w:color="auto" w:fill="auto"/>
                  <w:vAlign w:val="center"/>
                </w:tcPr>
                <w:p w14:paraId="0CF75BF0">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自动化组装线</w:t>
                  </w:r>
                </w:p>
              </w:tc>
              <w:tc>
                <w:tcPr>
                  <w:tcW w:w="1204" w:type="pct"/>
                  <w:gridSpan w:val="2"/>
                  <w:shd w:val="clear" w:color="auto" w:fill="auto"/>
                  <w:vAlign w:val="center"/>
                </w:tcPr>
                <w:p w14:paraId="11332063">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5B23F3F5">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宋体"/>
                      <w:color w:val="auto"/>
                      <w:kern w:val="0"/>
                      <w:szCs w:val="21"/>
                      <w:lang w:val="en-US" w:eastAsia="zh-CN" w:bidi="ar"/>
                    </w:rPr>
                    <w:t>条</w:t>
                  </w:r>
                </w:p>
              </w:tc>
              <w:tc>
                <w:tcPr>
                  <w:tcW w:w="433" w:type="pct"/>
                  <w:shd w:val="clear" w:color="auto" w:fill="auto"/>
                  <w:vAlign w:val="center"/>
                </w:tcPr>
                <w:p w14:paraId="34A17F5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40</w:t>
                  </w:r>
                </w:p>
              </w:tc>
              <w:tc>
                <w:tcPr>
                  <w:tcW w:w="1034" w:type="pct"/>
                  <w:shd w:val="clear" w:color="auto" w:fill="auto"/>
                  <w:vAlign w:val="center"/>
                </w:tcPr>
                <w:p w14:paraId="4F48E8A6">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0F0570AF">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组装</w:t>
                  </w:r>
                </w:p>
              </w:tc>
            </w:tr>
            <w:tr w14:paraId="16CA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E86D782">
                  <w:pPr>
                    <w:widowControl/>
                    <w:jc w:val="center"/>
                    <w:textAlignment w:val="center"/>
                    <w:rPr>
                      <w:color w:val="auto"/>
                      <w:kern w:val="0"/>
                      <w:szCs w:val="21"/>
                      <w:lang w:bidi="ar"/>
                    </w:rPr>
                  </w:pPr>
                  <w:r>
                    <w:rPr>
                      <w:rFonts w:hint="eastAsia"/>
                      <w:color w:val="auto"/>
                      <w:kern w:val="0"/>
                      <w:szCs w:val="21"/>
                      <w:lang w:bidi="ar"/>
                    </w:rPr>
                    <w:t>6</w:t>
                  </w:r>
                </w:p>
              </w:tc>
              <w:tc>
                <w:tcPr>
                  <w:tcW w:w="1249" w:type="pct"/>
                  <w:shd w:val="clear" w:color="auto" w:fill="auto"/>
                  <w:vAlign w:val="center"/>
                </w:tcPr>
                <w:p w14:paraId="0CC6F149">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柜式烘箱</w:t>
                  </w:r>
                </w:p>
              </w:tc>
              <w:tc>
                <w:tcPr>
                  <w:tcW w:w="1204" w:type="pct"/>
                  <w:gridSpan w:val="2"/>
                  <w:shd w:val="clear" w:color="auto" w:fill="auto"/>
                  <w:vAlign w:val="center"/>
                </w:tcPr>
                <w:p w14:paraId="3ACD0569">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4FF6E66D">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1951608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24</w:t>
                  </w:r>
                </w:p>
              </w:tc>
              <w:tc>
                <w:tcPr>
                  <w:tcW w:w="1034" w:type="pct"/>
                  <w:shd w:val="clear" w:color="auto" w:fill="auto"/>
                  <w:vAlign w:val="center"/>
                </w:tcPr>
                <w:p w14:paraId="2343717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60846F0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组装</w:t>
                  </w:r>
                </w:p>
              </w:tc>
            </w:tr>
            <w:tr w14:paraId="1C61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EE4439C">
                  <w:pPr>
                    <w:widowControl/>
                    <w:jc w:val="center"/>
                    <w:textAlignment w:val="center"/>
                    <w:rPr>
                      <w:color w:val="auto"/>
                      <w:kern w:val="0"/>
                      <w:szCs w:val="21"/>
                      <w:lang w:bidi="ar"/>
                    </w:rPr>
                  </w:pPr>
                  <w:r>
                    <w:rPr>
                      <w:rFonts w:hint="eastAsia"/>
                      <w:color w:val="auto"/>
                      <w:kern w:val="0"/>
                      <w:szCs w:val="21"/>
                      <w:lang w:bidi="ar"/>
                    </w:rPr>
                    <w:t>7</w:t>
                  </w:r>
                </w:p>
              </w:tc>
              <w:tc>
                <w:tcPr>
                  <w:tcW w:w="1249" w:type="pct"/>
                  <w:shd w:val="clear" w:color="auto" w:fill="auto"/>
                  <w:vAlign w:val="center"/>
                </w:tcPr>
                <w:p w14:paraId="06694137">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检测自动线</w:t>
                  </w:r>
                </w:p>
              </w:tc>
              <w:tc>
                <w:tcPr>
                  <w:tcW w:w="1204" w:type="pct"/>
                  <w:gridSpan w:val="2"/>
                  <w:shd w:val="clear" w:color="auto" w:fill="auto"/>
                  <w:vAlign w:val="center"/>
                </w:tcPr>
                <w:p w14:paraId="0D0F77CF">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0FBC0ABA">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35CB4C73">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10</w:t>
                  </w:r>
                </w:p>
              </w:tc>
              <w:tc>
                <w:tcPr>
                  <w:tcW w:w="1034" w:type="pct"/>
                  <w:shd w:val="clear" w:color="auto" w:fill="auto"/>
                  <w:vAlign w:val="center"/>
                </w:tcPr>
                <w:p w14:paraId="4D3FABD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2AA7425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充磁检测包装</w:t>
                  </w:r>
                </w:p>
              </w:tc>
            </w:tr>
            <w:tr w14:paraId="0662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6856CA4">
                  <w:pPr>
                    <w:widowControl/>
                    <w:jc w:val="center"/>
                    <w:textAlignment w:val="center"/>
                    <w:rPr>
                      <w:color w:val="auto"/>
                      <w:kern w:val="0"/>
                      <w:szCs w:val="21"/>
                      <w:lang w:bidi="ar"/>
                    </w:rPr>
                  </w:pPr>
                  <w:r>
                    <w:rPr>
                      <w:rFonts w:hint="eastAsia"/>
                      <w:color w:val="auto"/>
                      <w:kern w:val="0"/>
                      <w:szCs w:val="21"/>
                      <w:lang w:bidi="ar"/>
                    </w:rPr>
                    <w:t>8</w:t>
                  </w:r>
                </w:p>
              </w:tc>
              <w:tc>
                <w:tcPr>
                  <w:tcW w:w="1249" w:type="pct"/>
                  <w:shd w:val="clear" w:color="auto" w:fill="auto"/>
                  <w:vAlign w:val="center"/>
                </w:tcPr>
                <w:p w14:paraId="747F8426">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充磁自动线</w:t>
                  </w:r>
                </w:p>
              </w:tc>
              <w:tc>
                <w:tcPr>
                  <w:tcW w:w="1204" w:type="pct"/>
                  <w:gridSpan w:val="2"/>
                  <w:shd w:val="clear" w:color="auto" w:fill="auto"/>
                  <w:vAlign w:val="center"/>
                </w:tcPr>
                <w:p w14:paraId="108F0DEC">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445E2D13">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val="en-US" w:eastAsia="zh-CN" w:bidi="ar"/>
                    </w:rPr>
                    <w:t>条</w:t>
                  </w:r>
                </w:p>
              </w:tc>
              <w:tc>
                <w:tcPr>
                  <w:tcW w:w="433" w:type="pct"/>
                  <w:shd w:val="clear" w:color="auto" w:fill="auto"/>
                  <w:vAlign w:val="center"/>
                </w:tcPr>
                <w:p w14:paraId="049501E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40</w:t>
                  </w:r>
                </w:p>
              </w:tc>
              <w:tc>
                <w:tcPr>
                  <w:tcW w:w="1034" w:type="pct"/>
                  <w:shd w:val="clear" w:color="auto" w:fill="auto"/>
                  <w:vAlign w:val="center"/>
                </w:tcPr>
                <w:p w14:paraId="2024B13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2DB353E3">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充磁检测包装</w:t>
                  </w:r>
                </w:p>
              </w:tc>
            </w:tr>
            <w:tr w14:paraId="5C7E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7B0EBFE3">
                  <w:pPr>
                    <w:widowControl/>
                    <w:jc w:val="center"/>
                    <w:textAlignment w:val="center"/>
                    <w:rPr>
                      <w:color w:val="auto"/>
                      <w:kern w:val="0"/>
                      <w:szCs w:val="21"/>
                      <w:lang w:bidi="ar"/>
                    </w:rPr>
                  </w:pPr>
                  <w:r>
                    <w:rPr>
                      <w:rFonts w:hint="eastAsia"/>
                      <w:color w:val="auto"/>
                      <w:kern w:val="0"/>
                      <w:szCs w:val="21"/>
                      <w:lang w:bidi="ar"/>
                    </w:rPr>
                    <w:t>9</w:t>
                  </w:r>
                </w:p>
              </w:tc>
              <w:tc>
                <w:tcPr>
                  <w:tcW w:w="1249" w:type="pct"/>
                  <w:shd w:val="clear" w:color="auto" w:fill="auto"/>
                  <w:vAlign w:val="center"/>
                </w:tcPr>
                <w:p w14:paraId="59DAB1E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AOI视觉检测/基恩士</w:t>
                  </w:r>
                </w:p>
              </w:tc>
              <w:tc>
                <w:tcPr>
                  <w:tcW w:w="1204" w:type="pct"/>
                  <w:gridSpan w:val="2"/>
                  <w:shd w:val="clear" w:color="auto" w:fill="auto"/>
                  <w:vAlign w:val="center"/>
                </w:tcPr>
                <w:p w14:paraId="4400425F">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2D56CCF4">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436A301F">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2</w:t>
                  </w:r>
                  <w:r>
                    <w:rPr>
                      <w:color w:val="auto"/>
                      <w:kern w:val="0"/>
                      <w:szCs w:val="21"/>
                      <w:lang w:bidi="ar"/>
                    </w:rPr>
                    <w:t>6</w:t>
                  </w:r>
                </w:p>
              </w:tc>
              <w:tc>
                <w:tcPr>
                  <w:tcW w:w="1034" w:type="pct"/>
                  <w:shd w:val="clear" w:color="auto" w:fill="auto"/>
                  <w:vAlign w:val="center"/>
                </w:tcPr>
                <w:p w14:paraId="1992B9EC">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1F</w:t>
                  </w:r>
                </w:p>
              </w:tc>
              <w:tc>
                <w:tcPr>
                  <w:tcW w:w="394" w:type="pct"/>
                  <w:shd w:val="clear" w:color="auto" w:fill="auto"/>
                  <w:vAlign w:val="center"/>
                </w:tcPr>
                <w:p w14:paraId="7FDD62C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磁瓦加工</w:t>
                  </w:r>
                </w:p>
              </w:tc>
            </w:tr>
            <w:tr w14:paraId="31EF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0E3687E7">
                  <w:pPr>
                    <w:widowControl/>
                    <w:jc w:val="center"/>
                    <w:textAlignment w:val="center"/>
                    <w:rPr>
                      <w:color w:val="auto"/>
                      <w:kern w:val="0"/>
                      <w:szCs w:val="21"/>
                      <w:lang w:bidi="ar"/>
                    </w:rPr>
                  </w:pPr>
                  <w:r>
                    <w:rPr>
                      <w:rFonts w:hint="eastAsia"/>
                      <w:color w:val="auto"/>
                      <w:kern w:val="0"/>
                      <w:szCs w:val="21"/>
                      <w:lang w:bidi="ar"/>
                    </w:rPr>
                    <w:t>10</w:t>
                  </w:r>
                </w:p>
              </w:tc>
              <w:tc>
                <w:tcPr>
                  <w:tcW w:w="1249" w:type="pct"/>
                  <w:shd w:val="clear" w:color="auto" w:fill="auto"/>
                  <w:vAlign w:val="center"/>
                </w:tcPr>
                <w:p w14:paraId="7133A84B">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包装机</w:t>
                  </w:r>
                </w:p>
              </w:tc>
              <w:tc>
                <w:tcPr>
                  <w:tcW w:w="1204" w:type="pct"/>
                  <w:gridSpan w:val="2"/>
                  <w:shd w:val="clear" w:color="auto" w:fill="auto"/>
                  <w:vAlign w:val="center"/>
                </w:tcPr>
                <w:p w14:paraId="6B5227E8">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w:t>
                  </w:r>
                </w:p>
              </w:tc>
              <w:tc>
                <w:tcPr>
                  <w:tcW w:w="343" w:type="pct"/>
                  <w:shd w:val="clear" w:color="auto" w:fill="auto"/>
                  <w:vAlign w:val="center"/>
                </w:tcPr>
                <w:p w14:paraId="1D994C01">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台</w:t>
                  </w:r>
                </w:p>
              </w:tc>
              <w:tc>
                <w:tcPr>
                  <w:tcW w:w="433" w:type="pct"/>
                  <w:shd w:val="clear" w:color="auto" w:fill="auto"/>
                  <w:vAlign w:val="center"/>
                </w:tcPr>
                <w:p w14:paraId="37DEB9F2">
                  <w:pPr>
                    <w:widowControl/>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3</w:t>
                  </w:r>
                </w:p>
              </w:tc>
              <w:tc>
                <w:tcPr>
                  <w:tcW w:w="1034" w:type="pct"/>
                  <w:shd w:val="clear" w:color="auto" w:fill="auto"/>
                  <w:vAlign w:val="center"/>
                </w:tcPr>
                <w:p w14:paraId="592050F6">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2FEE1C49">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充磁检测包装</w:t>
                  </w:r>
                </w:p>
              </w:tc>
            </w:tr>
            <w:tr w14:paraId="098B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369279D9">
                  <w:pPr>
                    <w:widowControl/>
                    <w:jc w:val="center"/>
                    <w:textAlignment w:val="center"/>
                    <w:rPr>
                      <w:color w:val="auto"/>
                      <w:kern w:val="0"/>
                      <w:szCs w:val="21"/>
                      <w:lang w:bidi="ar"/>
                    </w:rPr>
                  </w:pPr>
                  <w:r>
                    <w:rPr>
                      <w:rFonts w:hint="eastAsia"/>
                      <w:color w:val="auto"/>
                      <w:kern w:val="0"/>
                      <w:szCs w:val="21"/>
                      <w:lang w:bidi="ar"/>
                    </w:rPr>
                    <w:t>11</w:t>
                  </w:r>
                </w:p>
              </w:tc>
              <w:tc>
                <w:tcPr>
                  <w:tcW w:w="1249" w:type="pct"/>
                  <w:shd w:val="clear" w:color="auto" w:fill="auto"/>
                  <w:vAlign w:val="center"/>
                </w:tcPr>
                <w:p w14:paraId="0BDB63D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三</w:t>
                  </w:r>
                  <w:r>
                    <w:rPr>
                      <w:rFonts w:hint="eastAsia"/>
                      <w:color w:val="auto"/>
                      <w:kern w:val="0"/>
                      <w:szCs w:val="21"/>
                      <w:lang w:bidi="ar"/>
                    </w:rPr>
                    <w:t>坐</w:t>
                  </w:r>
                  <w:r>
                    <w:rPr>
                      <w:color w:val="auto"/>
                      <w:kern w:val="0"/>
                      <w:szCs w:val="21"/>
                      <w:lang w:bidi="ar"/>
                    </w:rPr>
                    <w:t>标</w:t>
                  </w:r>
                </w:p>
              </w:tc>
              <w:tc>
                <w:tcPr>
                  <w:tcW w:w="1204" w:type="pct"/>
                  <w:gridSpan w:val="2"/>
                  <w:shd w:val="clear" w:color="auto" w:fill="auto"/>
                  <w:vAlign w:val="center"/>
                </w:tcPr>
                <w:p w14:paraId="046437BC">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w:t>
                  </w:r>
                </w:p>
              </w:tc>
              <w:tc>
                <w:tcPr>
                  <w:tcW w:w="343" w:type="pct"/>
                  <w:shd w:val="clear" w:color="auto" w:fill="auto"/>
                  <w:vAlign w:val="center"/>
                </w:tcPr>
                <w:p w14:paraId="2569DA3C">
                  <w:pPr>
                    <w:widowControl/>
                    <w:jc w:val="center"/>
                    <w:textAlignment w:val="center"/>
                    <w:rPr>
                      <w:rFonts w:ascii="Times New Roman" w:hAnsi="Times New Roman" w:eastAsia="宋体" w:cs="宋体"/>
                      <w:color w:val="auto"/>
                      <w:kern w:val="0"/>
                      <w:sz w:val="21"/>
                      <w:szCs w:val="21"/>
                      <w:lang w:val="en-US" w:eastAsia="zh-CN" w:bidi="ar"/>
                    </w:rPr>
                  </w:pPr>
                  <w:r>
                    <w:rPr>
                      <w:rFonts w:hint="eastAsia" w:cs="宋体"/>
                      <w:color w:val="auto"/>
                      <w:kern w:val="0"/>
                      <w:szCs w:val="21"/>
                      <w:lang w:bidi="ar"/>
                    </w:rPr>
                    <w:t>台</w:t>
                  </w:r>
                </w:p>
              </w:tc>
              <w:tc>
                <w:tcPr>
                  <w:tcW w:w="433" w:type="pct"/>
                  <w:shd w:val="clear" w:color="auto" w:fill="auto"/>
                  <w:vAlign w:val="center"/>
                </w:tcPr>
                <w:p w14:paraId="4C99F1E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45</w:t>
                  </w:r>
                </w:p>
              </w:tc>
              <w:tc>
                <w:tcPr>
                  <w:tcW w:w="1034" w:type="pct"/>
                  <w:shd w:val="clear" w:color="auto" w:fill="auto"/>
                  <w:vAlign w:val="center"/>
                </w:tcPr>
                <w:p w14:paraId="2C9B069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1F</w:t>
                  </w:r>
                </w:p>
              </w:tc>
              <w:tc>
                <w:tcPr>
                  <w:tcW w:w="394" w:type="pct"/>
                  <w:shd w:val="clear" w:color="auto" w:fill="auto"/>
                  <w:vAlign w:val="center"/>
                </w:tcPr>
                <w:p w14:paraId="70F76E43">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转轴加工/磁瓦加工/组装/充磁检测包装</w:t>
                  </w:r>
                </w:p>
              </w:tc>
            </w:tr>
            <w:tr w14:paraId="6054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69D1E4FF">
                  <w:pPr>
                    <w:widowControl/>
                    <w:jc w:val="center"/>
                    <w:textAlignment w:val="center"/>
                    <w:rPr>
                      <w:color w:val="auto"/>
                      <w:kern w:val="0"/>
                      <w:szCs w:val="21"/>
                      <w:lang w:bidi="ar"/>
                    </w:rPr>
                  </w:pPr>
                  <w:r>
                    <w:rPr>
                      <w:rFonts w:hint="eastAsia"/>
                      <w:color w:val="auto"/>
                      <w:kern w:val="0"/>
                      <w:szCs w:val="21"/>
                      <w:lang w:bidi="ar"/>
                    </w:rPr>
                    <w:t>12</w:t>
                  </w:r>
                </w:p>
              </w:tc>
              <w:tc>
                <w:tcPr>
                  <w:tcW w:w="1249" w:type="pct"/>
                  <w:shd w:val="clear" w:color="auto" w:fill="auto"/>
                  <w:vAlign w:val="center"/>
                </w:tcPr>
                <w:p w14:paraId="0D86C07E">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粗糙度轮廓仪</w:t>
                  </w:r>
                </w:p>
              </w:tc>
              <w:tc>
                <w:tcPr>
                  <w:tcW w:w="1204" w:type="pct"/>
                  <w:gridSpan w:val="2"/>
                  <w:shd w:val="clear" w:color="auto" w:fill="auto"/>
                  <w:vAlign w:val="center"/>
                </w:tcPr>
                <w:p w14:paraId="0E2310FB">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w:t>
                  </w:r>
                </w:p>
              </w:tc>
              <w:tc>
                <w:tcPr>
                  <w:tcW w:w="343" w:type="pct"/>
                  <w:shd w:val="clear" w:color="auto" w:fill="auto"/>
                  <w:vAlign w:val="center"/>
                </w:tcPr>
                <w:p w14:paraId="069C4C25">
                  <w:pPr>
                    <w:widowControl/>
                    <w:jc w:val="center"/>
                    <w:textAlignment w:val="center"/>
                    <w:rPr>
                      <w:rFonts w:ascii="Times New Roman" w:hAnsi="Times New Roman" w:eastAsia="宋体" w:cs="宋体"/>
                      <w:color w:val="auto"/>
                      <w:kern w:val="0"/>
                      <w:sz w:val="21"/>
                      <w:szCs w:val="21"/>
                      <w:lang w:val="en-US" w:eastAsia="zh-CN" w:bidi="ar"/>
                    </w:rPr>
                  </w:pPr>
                  <w:r>
                    <w:rPr>
                      <w:rFonts w:hint="eastAsia" w:cs="宋体"/>
                      <w:color w:val="auto"/>
                      <w:kern w:val="0"/>
                      <w:szCs w:val="21"/>
                      <w:lang w:bidi="ar"/>
                    </w:rPr>
                    <w:t>台</w:t>
                  </w:r>
                </w:p>
              </w:tc>
              <w:tc>
                <w:tcPr>
                  <w:tcW w:w="433" w:type="pct"/>
                  <w:shd w:val="clear" w:color="auto" w:fill="auto"/>
                  <w:vAlign w:val="center"/>
                </w:tcPr>
                <w:p w14:paraId="690077B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18</w:t>
                  </w:r>
                </w:p>
              </w:tc>
              <w:tc>
                <w:tcPr>
                  <w:tcW w:w="1034" w:type="pct"/>
                  <w:shd w:val="clear" w:color="auto" w:fill="auto"/>
                  <w:vAlign w:val="center"/>
                </w:tcPr>
                <w:p w14:paraId="6C7F03BC">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1F</w:t>
                  </w:r>
                </w:p>
              </w:tc>
              <w:tc>
                <w:tcPr>
                  <w:tcW w:w="394" w:type="pct"/>
                  <w:shd w:val="clear" w:color="auto" w:fill="auto"/>
                  <w:vAlign w:val="center"/>
                </w:tcPr>
                <w:p w14:paraId="5216140A">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转轴加工/磁瓦加工/组装/充磁检测包装</w:t>
                  </w:r>
                </w:p>
              </w:tc>
            </w:tr>
            <w:tr w14:paraId="54DA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5A1DE48B">
                  <w:pPr>
                    <w:widowControl/>
                    <w:jc w:val="center"/>
                    <w:textAlignment w:val="center"/>
                    <w:rPr>
                      <w:color w:val="auto"/>
                      <w:kern w:val="0"/>
                      <w:szCs w:val="21"/>
                      <w:lang w:bidi="ar"/>
                    </w:rPr>
                  </w:pPr>
                  <w:r>
                    <w:rPr>
                      <w:rFonts w:hint="eastAsia"/>
                      <w:color w:val="auto"/>
                      <w:kern w:val="0"/>
                      <w:szCs w:val="21"/>
                      <w:lang w:bidi="ar"/>
                    </w:rPr>
                    <w:t>13</w:t>
                  </w:r>
                </w:p>
              </w:tc>
              <w:tc>
                <w:tcPr>
                  <w:tcW w:w="1249" w:type="pct"/>
                  <w:shd w:val="clear" w:color="auto" w:fill="auto"/>
                  <w:vAlign w:val="center"/>
                </w:tcPr>
                <w:p w14:paraId="420E8FDA">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s="宋体"/>
                      <w:color w:val="auto"/>
                      <w:kern w:val="0"/>
                      <w:szCs w:val="21"/>
                      <w:lang w:bidi="ar"/>
                    </w:rPr>
                    <w:t>动平衡</w:t>
                  </w:r>
                </w:p>
              </w:tc>
              <w:tc>
                <w:tcPr>
                  <w:tcW w:w="1204" w:type="pct"/>
                  <w:gridSpan w:val="2"/>
                  <w:shd w:val="clear" w:color="auto" w:fill="auto"/>
                  <w:vAlign w:val="center"/>
                </w:tcPr>
                <w:p w14:paraId="655B92C5">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w:t>
                  </w:r>
                </w:p>
              </w:tc>
              <w:tc>
                <w:tcPr>
                  <w:tcW w:w="343" w:type="pct"/>
                  <w:shd w:val="clear" w:color="auto" w:fill="auto"/>
                  <w:vAlign w:val="center"/>
                </w:tcPr>
                <w:p w14:paraId="0F60B53A">
                  <w:pPr>
                    <w:widowControl/>
                    <w:jc w:val="center"/>
                    <w:textAlignment w:val="center"/>
                    <w:rPr>
                      <w:rFonts w:ascii="Times New Roman" w:hAnsi="Times New Roman" w:eastAsia="宋体" w:cs="宋体"/>
                      <w:color w:val="auto"/>
                      <w:kern w:val="0"/>
                      <w:sz w:val="21"/>
                      <w:szCs w:val="21"/>
                      <w:lang w:val="en-US" w:eastAsia="zh-CN" w:bidi="ar"/>
                    </w:rPr>
                  </w:pPr>
                  <w:r>
                    <w:rPr>
                      <w:rFonts w:hint="eastAsia" w:cs="宋体"/>
                      <w:color w:val="auto"/>
                      <w:kern w:val="0"/>
                      <w:szCs w:val="21"/>
                      <w:lang w:bidi="ar"/>
                    </w:rPr>
                    <w:t>台</w:t>
                  </w:r>
                </w:p>
              </w:tc>
              <w:tc>
                <w:tcPr>
                  <w:tcW w:w="433" w:type="pct"/>
                  <w:shd w:val="clear" w:color="auto" w:fill="auto"/>
                  <w:vAlign w:val="center"/>
                </w:tcPr>
                <w:p w14:paraId="335F5AA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26</w:t>
                  </w:r>
                </w:p>
              </w:tc>
              <w:tc>
                <w:tcPr>
                  <w:tcW w:w="1034" w:type="pct"/>
                  <w:shd w:val="clear" w:color="auto" w:fill="auto"/>
                  <w:vAlign w:val="center"/>
                </w:tcPr>
                <w:p w14:paraId="38D7BEE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4AAB578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组装/充磁检测包装</w:t>
                  </w:r>
                </w:p>
              </w:tc>
            </w:tr>
            <w:tr w14:paraId="46F0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41" w:type="pct"/>
                  <w:vAlign w:val="center"/>
                </w:tcPr>
                <w:p w14:paraId="4BCCEFB4">
                  <w:pPr>
                    <w:widowControl/>
                    <w:jc w:val="center"/>
                    <w:textAlignment w:val="center"/>
                    <w:rPr>
                      <w:color w:val="auto"/>
                      <w:kern w:val="0"/>
                      <w:szCs w:val="21"/>
                      <w:lang w:bidi="ar"/>
                    </w:rPr>
                  </w:pPr>
                  <w:r>
                    <w:rPr>
                      <w:rFonts w:hint="eastAsia"/>
                      <w:color w:val="auto"/>
                      <w:kern w:val="0"/>
                      <w:szCs w:val="21"/>
                      <w:lang w:bidi="ar"/>
                    </w:rPr>
                    <w:t>14</w:t>
                  </w:r>
                </w:p>
              </w:tc>
              <w:tc>
                <w:tcPr>
                  <w:tcW w:w="1249" w:type="pct"/>
                  <w:shd w:val="clear" w:color="auto" w:fill="auto"/>
                  <w:vAlign w:val="center"/>
                </w:tcPr>
                <w:p w14:paraId="34B19B2F">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表磁扫描仪</w:t>
                  </w:r>
                </w:p>
              </w:tc>
              <w:tc>
                <w:tcPr>
                  <w:tcW w:w="1204" w:type="pct"/>
                  <w:gridSpan w:val="2"/>
                  <w:shd w:val="clear" w:color="auto" w:fill="auto"/>
                  <w:vAlign w:val="center"/>
                </w:tcPr>
                <w:p w14:paraId="6D72FD4E">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w:t>
                  </w:r>
                </w:p>
              </w:tc>
              <w:tc>
                <w:tcPr>
                  <w:tcW w:w="343" w:type="pct"/>
                  <w:shd w:val="clear" w:color="auto" w:fill="auto"/>
                  <w:vAlign w:val="center"/>
                </w:tcPr>
                <w:p w14:paraId="2C06128F">
                  <w:pPr>
                    <w:widowControl/>
                    <w:jc w:val="center"/>
                    <w:textAlignment w:val="center"/>
                    <w:rPr>
                      <w:rFonts w:ascii="Times New Roman" w:hAnsi="Times New Roman" w:eastAsia="宋体" w:cs="宋体"/>
                      <w:color w:val="auto"/>
                      <w:kern w:val="0"/>
                      <w:sz w:val="21"/>
                      <w:szCs w:val="21"/>
                      <w:lang w:val="en-US" w:eastAsia="zh-CN" w:bidi="ar"/>
                    </w:rPr>
                  </w:pPr>
                  <w:r>
                    <w:rPr>
                      <w:rFonts w:hint="eastAsia" w:cs="宋体"/>
                      <w:color w:val="auto"/>
                      <w:kern w:val="0"/>
                      <w:szCs w:val="21"/>
                      <w:lang w:bidi="ar"/>
                    </w:rPr>
                    <w:t>组</w:t>
                  </w:r>
                </w:p>
              </w:tc>
              <w:tc>
                <w:tcPr>
                  <w:tcW w:w="433" w:type="pct"/>
                  <w:shd w:val="clear" w:color="auto" w:fill="auto"/>
                  <w:vAlign w:val="center"/>
                </w:tcPr>
                <w:p w14:paraId="33C995DB">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bidi="ar"/>
                    </w:rPr>
                    <w:t>3</w:t>
                  </w:r>
                </w:p>
              </w:tc>
              <w:tc>
                <w:tcPr>
                  <w:tcW w:w="1034" w:type="pct"/>
                  <w:shd w:val="clear" w:color="auto" w:fill="auto"/>
                  <w:vAlign w:val="center"/>
                </w:tcPr>
                <w:p w14:paraId="4614039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9#厂房</w:t>
                  </w:r>
                  <w:r>
                    <w:rPr>
                      <w:rFonts w:hint="eastAsia"/>
                      <w:color w:val="auto"/>
                      <w:kern w:val="0"/>
                      <w:szCs w:val="21"/>
                      <w:lang w:val="en-US" w:eastAsia="zh-CN" w:bidi="ar"/>
                    </w:rPr>
                    <w:t>2F</w:t>
                  </w:r>
                </w:p>
              </w:tc>
              <w:tc>
                <w:tcPr>
                  <w:tcW w:w="394" w:type="pct"/>
                  <w:shd w:val="clear" w:color="auto" w:fill="auto"/>
                  <w:vAlign w:val="center"/>
                </w:tcPr>
                <w:p w14:paraId="72A992B7">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充磁检测包装</w:t>
                  </w:r>
                </w:p>
              </w:tc>
            </w:tr>
          </w:tbl>
          <w:p w14:paraId="0C68E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lang w:val="en-US" w:eastAsia="zh-CN"/>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lang w:val="en-US" w:eastAsia="zh-CN"/>
              </w:rPr>
              <w:t>产能匹配性分析</w:t>
            </w:r>
          </w:p>
          <w:p w14:paraId="6446A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本项目产能匹配性见表2-4。</w:t>
            </w:r>
          </w:p>
          <w:p w14:paraId="649F7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4"/>
                <w:lang w:val="en-US" w:eastAsia="zh-CN"/>
              </w:rPr>
            </w:pPr>
            <w:r>
              <w:rPr>
                <w:rFonts w:hint="eastAsia"/>
                <w:b/>
                <w:bCs/>
                <w:color w:val="auto"/>
                <w:sz w:val="24"/>
                <w:lang w:val="en-US" w:eastAsia="zh-CN"/>
              </w:rPr>
              <w:t>表2-4</w:t>
            </w:r>
            <w:r>
              <w:rPr>
                <w:rFonts w:hint="default"/>
                <w:b/>
                <w:bCs/>
                <w:color w:val="auto"/>
                <w:sz w:val="24"/>
                <w:lang w:val="en-US" w:eastAsia="zh-CN"/>
              </w:rPr>
              <w:t>主要生产设备与产能匹配性分析一览表</w:t>
            </w:r>
          </w:p>
          <w:tbl>
            <w:tblPr>
              <w:tblStyle w:val="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8"/>
              <w:gridCol w:w="1211"/>
              <w:gridCol w:w="1012"/>
              <w:gridCol w:w="995"/>
              <w:gridCol w:w="1269"/>
              <w:gridCol w:w="1200"/>
              <w:gridCol w:w="1481"/>
              <w:gridCol w:w="1298"/>
            </w:tblGrid>
            <w:tr w14:paraId="56C7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445" w:type="pct"/>
                  <w:vAlign w:val="center"/>
                </w:tcPr>
                <w:p w14:paraId="28E44524">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5"/>
                      <w:sz w:val="21"/>
                      <w:szCs w:val="21"/>
                    </w:rPr>
                    <w:t>项目</w:t>
                  </w:r>
                  <w:r>
                    <w:rPr>
                      <w:b/>
                      <w:bCs/>
                      <w:color w:val="auto"/>
                      <w:spacing w:val="-3"/>
                      <w:sz w:val="21"/>
                      <w:szCs w:val="21"/>
                    </w:rPr>
                    <w:t>生产线</w:t>
                  </w:r>
                </w:p>
              </w:tc>
              <w:tc>
                <w:tcPr>
                  <w:tcW w:w="651" w:type="pct"/>
                  <w:vAlign w:val="center"/>
                </w:tcPr>
                <w:p w14:paraId="6BCB901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设备名称</w:t>
                  </w:r>
                </w:p>
              </w:tc>
              <w:tc>
                <w:tcPr>
                  <w:tcW w:w="544" w:type="pct"/>
                  <w:vAlign w:val="center"/>
                </w:tcPr>
                <w:p w14:paraId="49773B5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设备数</w:t>
                  </w:r>
                  <w:r>
                    <w:rPr>
                      <w:b/>
                      <w:bCs/>
                      <w:color w:val="auto"/>
                      <w:spacing w:val="-6"/>
                      <w:sz w:val="21"/>
                      <w:szCs w:val="21"/>
                    </w:rPr>
                    <w:t>量（台）</w:t>
                  </w:r>
                </w:p>
              </w:tc>
              <w:tc>
                <w:tcPr>
                  <w:tcW w:w="535" w:type="pct"/>
                  <w:vAlign w:val="center"/>
                </w:tcPr>
                <w:p w14:paraId="4ADCC7F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2"/>
                      <w:sz w:val="21"/>
                      <w:szCs w:val="21"/>
                    </w:rPr>
                    <w:t>单台产能</w:t>
                  </w:r>
                  <w:r>
                    <w:rPr>
                      <w:b/>
                      <w:bCs/>
                      <w:color w:val="auto"/>
                      <w:spacing w:val="-3"/>
                      <w:sz w:val="21"/>
                      <w:szCs w:val="21"/>
                    </w:rPr>
                    <w:t>（</w:t>
                  </w:r>
                  <w:r>
                    <w:rPr>
                      <w:rFonts w:hint="eastAsia" w:ascii="Times New Roman" w:hAnsi="Times New Roman" w:eastAsia="宋体" w:cs="Times New Roman"/>
                      <w:b/>
                      <w:bCs/>
                      <w:color w:val="auto"/>
                      <w:spacing w:val="-3"/>
                      <w:sz w:val="21"/>
                      <w:szCs w:val="21"/>
                      <w:lang w:val="en-US" w:eastAsia="zh-CN"/>
                    </w:rPr>
                    <w:t>t</w:t>
                  </w:r>
                  <w:r>
                    <w:rPr>
                      <w:rFonts w:ascii="Times New Roman" w:hAnsi="Times New Roman" w:eastAsia="Times New Roman" w:cs="Times New Roman"/>
                      <w:b/>
                      <w:bCs/>
                      <w:color w:val="auto"/>
                      <w:spacing w:val="-3"/>
                      <w:sz w:val="21"/>
                      <w:szCs w:val="21"/>
                    </w:rPr>
                    <w:t>/h</w:t>
                  </w:r>
                  <w:r>
                    <w:rPr>
                      <w:b/>
                      <w:bCs/>
                      <w:color w:val="auto"/>
                      <w:spacing w:val="-3"/>
                      <w:sz w:val="21"/>
                      <w:szCs w:val="21"/>
                    </w:rPr>
                    <w:t>）</w:t>
                  </w:r>
                </w:p>
              </w:tc>
              <w:tc>
                <w:tcPr>
                  <w:tcW w:w="682" w:type="pct"/>
                  <w:vAlign w:val="center"/>
                </w:tcPr>
                <w:p w14:paraId="1650026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rFonts w:hint="eastAsia"/>
                      <w:b/>
                      <w:bCs/>
                      <w:color w:val="auto"/>
                      <w:spacing w:val="-6"/>
                      <w:sz w:val="21"/>
                      <w:szCs w:val="21"/>
                    </w:rPr>
                    <w:t>设备年最大工作时间</w:t>
                  </w:r>
                  <w:r>
                    <w:rPr>
                      <w:b/>
                      <w:bCs/>
                      <w:color w:val="auto"/>
                      <w:spacing w:val="-6"/>
                      <w:sz w:val="21"/>
                      <w:szCs w:val="21"/>
                    </w:rPr>
                    <w:t>（</w:t>
                  </w:r>
                  <w:r>
                    <w:rPr>
                      <w:rFonts w:ascii="Times New Roman" w:hAnsi="Times New Roman" w:eastAsia="Times New Roman" w:cs="Times New Roman"/>
                      <w:b/>
                      <w:bCs/>
                      <w:color w:val="auto"/>
                      <w:spacing w:val="-6"/>
                      <w:sz w:val="21"/>
                      <w:szCs w:val="21"/>
                    </w:rPr>
                    <w:t>h</w:t>
                  </w:r>
                  <w:r>
                    <w:rPr>
                      <w:b/>
                      <w:bCs/>
                      <w:color w:val="auto"/>
                      <w:spacing w:val="-6"/>
                      <w:sz w:val="21"/>
                      <w:szCs w:val="21"/>
                    </w:rPr>
                    <w:t>）</w:t>
                  </w:r>
                </w:p>
              </w:tc>
              <w:tc>
                <w:tcPr>
                  <w:tcW w:w="645" w:type="pct"/>
                  <w:vAlign w:val="center"/>
                </w:tcPr>
                <w:p w14:paraId="3013EEA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rFonts w:hint="eastAsia"/>
                      <w:b/>
                      <w:bCs/>
                      <w:color w:val="auto"/>
                      <w:spacing w:val="-2"/>
                      <w:sz w:val="21"/>
                      <w:szCs w:val="21"/>
                    </w:rPr>
                    <w:t>最大产能</w:t>
                  </w:r>
                </w:p>
                <w:p w14:paraId="679EDE4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w:t>
                  </w:r>
                  <w:r>
                    <w:rPr>
                      <w:rFonts w:ascii="Times New Roman" w:hAnsi="Times New Roman" w:eastAsia="Times New Roman" w:cs="Times New Roman"/>
                      <w:b/>
                      <w:bCs/>
                      <w:color w:val="auto"/>
                      <w:spacing w:val="-3"/>
                      <w:sz w:val="21"/>
                      <w:szCs w:val="21"/>
                    </w:rPr>
                    <w:t>t/a</w:t>
                  </w:r>
                  <w:r>
                    <w:rPr>
                      <w:b/>
                      <w:bCs/>
                      <w:color w:val="auto"/>
                      <w:spacing w:val="-3"/>
                      <w:sz w:val="21"/>
                      <w:szCs w:val="21"/>
                    </w:rPr>
                    <w:t>）</w:t>
                  </w:r>
                </w:p>
              </w:tc>
              <w:tc>
                <w:tcPr>
                  <w:tcW w:w="796" w:type="pct"/>
                  <w:vAlign w:val="center"/>
                </w:tcPr>
                <w:p w14:paraId="172F711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设计产</w:t>
                  </w:r>
                  <w:r>
                    <w:rPr>
                      <w:b/>
                      <w:bCs/>
                      <w:color w:val="auto"/>
                      <w:spacing w:val="-5"/>
                      <w:sz w:val="21"/>
                      <w:szCs w:val="21"/>
                    </w:rPr>
                    <w:t>能（</w:t>
                  </w:r>
                  <w:r>
                    <w:rPr>
                      <w:rFonts w:ascii="Times New Roman" w:hAnsi="Times New Roman" w:eastAsia="Times New Roman" w:cs="Times New Roman"/>
                      <w:b/>
                      <w:bCs/>
                      <w:color w:val="auto"/>
                      <w:spacing w:val="-5"/>
                      <w:sz w:val="21"/>
                      <w:szCs w:val="21"/>
                    </w:rPr>
                    <w:t>t/a</w:t>
                  </w:r>
                  <w:r>
                    <w:rPr>
                      <w:b/>
                      <w:bCs/>
                      <w:color w:val="auto"/>
                      <w:spacing w:val="-5"/>
                      <w:sz w:val="21"/>
                      <w:szCs w:val="21"/>
                    </w:rPr>
                    <w:t>）</w:t>
                  </w:r>
                </w:p>
              </w:tc>
              <w:tc>
                <w:tcPr>
                  <w:tcW w:w="698" w:type="pct"/>
                  <w:vAlign w:val="center"/>
                </w:tcPr>
                <w:p w14:paraId="50F3F2C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b/>
                      <w:bCs/>
                      <w:color w:val="auto"/>
                      <w:spacing w:val="-3"/>
                      <w:sz w:val="21"/>
                      <w:szCs w:val="21"/>
                      <w:lang w:val="en-US" w:eastAsia="zh-CN"/>
                    </w:rPr>
                  </w:pPr>
                  <w:r>
                    <w:rPr>
                      <w:rFonts w:hint="eastAsia"/>
                      <w:b/>
                      <w:bCs/>
                      <w:color w:val="auto"/>
                      <w:spacing w:val="-3"/>
                      <w:sz w:val="21"/>
                      <w:szCs w:val="21"/>
                      <w:lang w:val="en-US" w:eastAsia="zh-CN"/>
                    </w:rPr>
                    <w:t>是否匹配</w:t>
                  </w:r>
                </w:p>
              </w:tc>
            </w:tr>
            <w:tr w14:paraId="1AA4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5" w:type="pct"/>
                  <w:vMerge w:val="restart"/>
                  <w:vAlign w:val="center"/>
                </w:tcPr>
                <w:p w14:paraId="75D790F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hint="eastAsia"/>
                      <w:color w:val="auto"/>
                      <w:sz w:val="21"/>
                      <w:szCs w:val="21"/>
                    </w:rPr>
                    <w:t>钕铁硼材料机加工半成品</w:t>
                  </w:r>
                </w:p>
              </w:tc>
              <w:tc>
                <w:tcPr>
                  <w:tcW w:w="651" w:type="pct"/>
                  <w:shd w:val="clear" w:color="auto" w:fill="auto"/>
                  <w:vAlign w:val="center"/>
                </w:tcPr>
                <w:p w14:paraId="1AC39D3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双端面磨粗磨</w:t>
                  </w:r>
                </w:p>
              </w:tc>
              <w:tc>
                <w:tcPr>
                  <w:tcW w:w="544" w:type="pct"/>
                  <w:shd w:val="clear" w:color="auto" w:fill="auto"/>
                  <w:vAlign w:val="center"/>
                </w:tcPr>
                <w:p w14:paraId="4F17172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18</w:t>
                  </w:r>
                </w:p>
              </w:tc>
              <w:tc>
                <w:tcPr>
                  <w:tcW w:w="535" w:type="pct"/>
                  <w:shd w:val="clear" w:color="auto" w:fill="auto"/>
                  <w:vAlign w:val="center"/>
                </w:tcPr>
                <w:p w14:paraId="061FC983">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0.65</w:t>
                  </w:r>
                </w:p>
              </w:tc>
              <w:tc>
                <w:tcPr>
                  <w:tcW w:w="682" w:type="pct"/>
                  <w:shd w:val="clear" w:color="auto" w:fill="auto"/>
                  <w:vAlign w:val="center"/>
                </w:tcPr>
                <w:p w14:paraId="7E7295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6FCAE0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Times New Roman" w:hAnsi="Times New Roman" w:eastAsia="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28080</w:t>
                  </w:r>
                </w:p>
              </w:tc>
              <w:tc>
                <w:tcPr>
                  <w:tcW w:w="796" w:type="pct"/>
                  <w:vMerge w:val="restart"/>
                  <w:vAlign w:val="center"/>
                </w:tcPr>
                <w:p w14:paraId="536C46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lang w:val="en-US"/>
                    </w:rPr>
                  </w:pPr>
                  <w:r>
                    <w:rPr>
                      <w:rFonts w:hint="eastAsia" w:cs="Times New Roman"/>
                      <w:color w:val="auto"/>
                      <w:spacing w:val="-1"/>
                      <w:sz w:val="21"/>
                      <w:szCs w:val="21"/>
                      <w:lang w:val="en-US" w:eastAsia="zh-CN"/>
                    </w:rPr>
                    <w:t>4600</w:t>
                  </w:r>
                </w:p>
              </w:tc>
              <w:tc>
                <w:tcPr>
                  <w:tcW w:w="698" w:type="pct"/>
                  <w:vMerge w:val="restart"/>
                  <w:vAlign w:val="center"/>
                </w:tcPr>
                <w:p w14:paraId="04A1BA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rPr>
                  </w:pPr>
                  <w:r>
                    <w:rPr>
                      <w:rFonts w:hint="eastAsia" w:ascii="Times New Roman" w:hAnsi="Times New Roman" w:eastAsia="宋体" w:cs="Times New Roman"/>
                      <w:color w:val="auto"/>
                      <w:spacing w:val="-1"/>
                      <w:sz w:val="21"/>
                      <w:szCs w:val="21"/>
                      <w:lang w:val="en-US" w:eastAsia="zh-CN"/>
                    </w:rPr>
                    <w:t>是</w:t>
                  </w:r>
                </w:p>
              </w:tc>
            </w:tr>
            <w:tr w14:paraId="3615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4A5219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769B86A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宋体"/>
                      <w:color w:val="auto"/>
                      <w:kern w:val="2"/>
                      <w:sz w:val="21"/>
                      <w:szCs w:val="21"/>
                      <w:lang w:val="en-US" w:eastAsia="zh-CN" w:bidi="ar-SA"/>
                    </w:rPr>
                  </w:pPr>
                  <w:r>
                    <w:rPr>
                      <w:rFonts w:hint="eastAsia" w:cs="宋体"/>
                      <w:color w:val="auto"/>
                      <w:kern w:val="0"/>
                      <w:szCs w:val="21"/>
                      <w:lang w:bidi="ar"/>
                    </w:rPr>
                    <w:t>自动粘胶机</w:t>
                  </w:r>
                </w:p>
              </w:tc>
              <w:tc>
                <w:tcPr>
                  <w:tcW w:w="544" w:type="pct"/>
                  <w:shd w:val="clear" w:color="auto" w:fill="auto"/>
                  <w:vAlign w:val="center"/>
                </w:tcPr>
                <w:p w14:paraId="3FE23C7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18</w:t>
                  </w:r>
                </w:p>
              </w:tc>
              <w:tc>
                <w:tcPr>
                  <w:tcW w:w="535" w:type="pct"/>
                  <w:shd w:val="clear" w:color="auto" w:fill="auto"/>
                  <w:vAlign w:val="center"/>
                </w:tcPr>
                <w:p w14:paraId="41915C68">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0.56</w:t>
                  </w:r>
                </w:p>
              </w:tc>
              <w:tc>
                <w:tcPr>
                  <w:tcW w:w="682" w:type="pct"/>
                  <w:shd w:val="clear" w:color="auto" w:fill="auto"/>
                  <w:vAlign w:val="center"/>
                </w:tcPr>
                <w:p w14:paraId="60B25E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17EBDB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24192</w:t>
                  </w:r>
                </w:p>
              </w:tc>
              <w:tc>
                <w:tcPr>
                  <w:tcW w:w="796" w:type="pct"/>
                  <w:vMerge w:val="continue"/>
                  <w:vAlign w:val="center"/>
                </w:tcPr>
                <w:p w14:paraId="452AC6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20F30B0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377D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488987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5B46901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多线切割（方片）</w:t>
                  </w:r>
                </w:p>
              </w:tc>
              <w:tc>
                <w:tcPr>
                  <w:tcW w:w="544" w:type="pct"/>
                  <w:shd w:val="clear" w:color="auto" w:fill="auto"/>
                  <w:vAlign w:val="center"/>
                </w:tcPr>
                <w:p w14:paraId="4B96851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35</w:t>
                  </w:r>
                </w:p>
              </w:tc>
              <w:tc>
                <w:tcPr>
                  <w:tcW w:w="535" w:type="pct"/>
                  <w:shd w:val="clear" w:color="auto" w:fill="auto"/>
                  <w:vAlign w:val="center"/>
                </w:tcPr>
                <w:p w14:paraId="05E6DD68">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0.29</w:t>
                  </w:r>
                </w:p>
              </w:tc>
              <w:tc>
                <w:tcPr>
                  <w:tcW w:w="682" w:type="pct"/>
                  <w:shd w:val="clear" w:color="auto" w:fill="auto"/>
                  <w:vAlign w:val="center"/>
                </w:tcPr>
                <w:p w14:paraId="0B23DF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750DFE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24360</w:t>
                  </w:r>
                </w:p>
              </w:tc>
              <w:tc>
                <w:tcPr>
                  <w:tcW w:w="796" w:type="pct"/>
                  <w:vMerge w:val="continue"/>
                  <w:vAlign w:val="center"/>
                </w:tcPr>
                <w:p w14:paraId="4670C7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4D7499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280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573B72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62E6E23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多线切割（瓦片）</w:t>
                  </w:r>
                </w:p>
              </w:tc>
              <w:tc>
                <w:tcPr>
                  <w:tcW w:w="544" w:type="pct"/>
                  <w:shd w:val="clear" w:color="auto" w:fill="auto"/>
                  <w:vAlign w:val="center"/>
                </w:tcPr>
                <w:p w14:paraId="65ED58C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16</w:t>
                  </w:r>
                </w:p>
              </w:tc>
              <w:tc>
                <w:tcPr>
                  <w:tcW w:w="535" w:type="pct"/>
                  <w:shd w:val="clear" w:color="auto" w:fill="auto"/>
                  <w:vAlign w:val="center"/>
                </w:tcPr>
                <w:p w14:paraId="3D1FA60B">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0.17</w:t>
                  </w:r>
                </w:p>
              </w:tc>
              <w:tc>
                <w:tcPr>
                  <w:tcW w:w="682" w:type="pct"/>
                  <w:shd w:val="clear" w:color="auto" w:fill="auto"/>
                  <w:vAlign w:val="center"/>
                </w:tcPr>
                <w:p w14:paraId="13BF26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7696E3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6528</w:t>
                  </w:r>
                </w:p>
              </w:tc>
              <w:tc>
                <w:tcPr>
                  <w:tcW w:w="796" w:type="pct"/>
                  <w:vMerge w:val="continue"/>
                  <w:vAlign w:val="center"/>
                </w:tcPr>
                <w:p w14:paraId="1B9EBE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E1920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0F1C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29186D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6797A0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宋体"/>
                      <w:color w:val="auto"/>
                      <w:kern w:val="2"/>
                      <w:sz w:val="21"/>
                      <w:szCs w:val="21"/>
                      <w:lang w:val="en-US" w:eastAsia="zh-CN" w:bidi="ar-SA"/>
                    </w:rPr>
                  </w:pPr>
                  <w:r>
                    <w:rPr>
                      <w:rFonts w:hint="eastAsia" w:cs="宋体"/>
                      <w:color w:val="auto"/>
                      <w:kern w:val="0"/>
                      <w:szCs w:val="21"/>
                      <w:lang w:bidi="ar"/>
                    </w:rPr>
                    <w:t>煮胶清洗线</w:t>
                  </w:r>
                </w:p>
              </w:tc>
              <w:tc>
                <w:tcPr>
                  <w:tcW w:w="544" w:type="pct"/>
                  <w:shd w:val="clear" w:color="auto" w:fill="auto"/>
                  <w:vAlign w:val="center"/>
                </w:tcPr>
                <w:p w14:paraId="6F8F35A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kern w:val="0"/>
                      <w:szCs w:val="21"/>
                      <w:lang w:bidi="ar"/>
                    </w:rPr>
                    <w:t>4</w:t>
                  </w:r>
                </w:p>
              </w:tc>
              <w:tc>
                <w:tcPr>
                  <w:tcW w:w="535" w:type="pct"/>
                  <w:shd w:val="clear" w:color="auto" w:fill="auto"/>
                  <w:vAlign w:val="center"/>
                </w:tcPr>
                <w:p w14:paraId="0C0792EB">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0.72</w:t>
                  </w:r>
                </w:p>
              </w:tc>
              <w:tc>
                <w:tcPr>
                  <w:tcW w:w="682" w:type="pct"/>
                  <w:shd w:val="clear" w:color="auto" w:fill="auto"/>
                  <w:vAlign w:val="center"/>
                </w:tcPr>
                <w:p w14:paraId="026315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0DFBE8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6912</w:t>
                  </w:r>
                </w:p>
              </w:tc>
              <w:tc>
                <w:tcPr>
                  <w:tcW w:w="796" w:type="pct"/>
                  <w:vMerge w:val="continue"/>
                  <w:vAlign w:val="center"/>
                </w:tcPr>
                <w:p w14:paraId="1000BB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CF13B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706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1E4F2B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040F08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宋体"/>
                      <w:color w:val="auto"/>
                      <w:kern w:val="2"/>
                      <w:sz w:val="21"/>
                      <w:szCs w:val="21"/>
                      <w:lang w:val="en-US" w:eastAsia="zh-CN" w:bidi="ar-SA"/>
                    </w:rPr>
                  </w:pPr>
                  <w:r>
                    <w:rPr>
                      <w:rFonts w:hint="eastAsia" w:cs="宋体"/>
                      <w:color w:val="auto"/>
                      <w:kern w:val="0"/>
                      <w:szCs w:val="21"/>
                      <w:lang w:bidi="ar"/>
                    </w:rPr>
                    <w:t>双端面磨精磨</w:t>
                  </w:r>
                </w:p>
              </w:tc>
              <w:tc>
                <w:tcPr>
                  <w:tcW w:w="544" w:type="pct"/>
                  <w:shd w:val="clear" w:color="auto" w:fill="auto"/>
                  <w:vAlign w:val="center"/>
                </w:tcPr>
                <w:p w14:paraId="58CB2F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56</w:t>
                  </w:r>
                </w:p>
              </w:tc>
              <w:tc>
                <w:tcPr>
                  <w:tcW w:w="535" w:type="pct"/>
                  <w:shd w:val="clear" w:color="auto" w:fill="auto"/>
                  <w:vAlign w:val="center"/>
                </w:tcPr>
                <w:p w14:paraId="67B37E58">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11BA87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4BF0A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173376</w:t>
                  </w:r>
                </w:p>
              </w:tc>
              <w:tc>
                <w:tcPr>
                  <w:tcW w:w="796" w:type="pct"/>
                  <w:vMerge w:val="continue"/>
                  <w:vAlign w:val="center"/>
                </w:tcPr>
                <w:p w14:paraId="109526E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3C6323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4A6B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39357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04336C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高精度倒边机</w:t>
                  </w:r>
                </w:p>
              </w:tc>
              <w:tc>
                <w:tcPr>
                  <w:tcW w:w="544" w:type="pct"/>
                  <w:shd w:val="clear" w:color="auto" w:fill="auto"/>
                  <w:vAlign w:val="center"/>
                </w:tcPr>
                <w:p w14:paraId="22A5BA0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3</w:t>
                  </w:r>
                </w:p>
              </w:tc>
              <w:tc>
                <w:tcPr>
                  <w:tcW w:w="535" w:type="pct"/>
                  <w:shd w:val="clear" w:color="auto" w:fill="auto"/>
                  <w:vAlign w:val="center"/>
                </w:tcPr>
                <w:p w14:paraId="29A39390">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5DFF75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41E93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9288</w:t>
                  </w:r>
                </w:p>
              </w:tc>
              <w:tc>
                <w:tcPr>
                  <w:tcW w:w="796" w:type="pct"/>
                  <w:vMerge w:val="continue"/>
                  <w:vAlign w:val="center"/>
                </w:tcPr>
                <w:p w14:paraId="1BB72F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66F6E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0F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1EF289D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25F0B8E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倒边机</w:t>
                  </w:r>
                </w:p>
              </w:tc>
              <w:tc>
                <w:tcPr>
                  <w:tcW w:w="544" w:type="pct"/>
                  <w:shd w:val="clear" w:color="auto" w:fill="auto"/>
                  <w:vAlign w:val="center"/>
                </w:tcPr>
                <w:p w14:paraId="7E1615C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14</w:t>
                  </w:r>
                </w:p>
              </w:tc>
              <w:tc>
                <w:tcPr>
                  <w:tcW w:w="535" w:type="pct"/>
                  <w:shd w:val="clear" w:color="auto" w:fill="auto"/>
                  <w:vAlign w:val="center"/>
                </w:tcPr>
                <w:p w14:paraId="4F797AC3">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222FA3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59D2B8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43344</w:t>
                  </w:r>
                </w:p>
              </w:tc>
              <w:tc>
                <w:tcPr>
                  <w:tcW w:w="796" w:type="pct"/>
                  <w:vMerge w:val="continue"/>
                  <w:vAlign w:val="center"/>
                </w:tcPr>
                <w:p w14:paraId="586F67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9C0D3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4F4D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80BE7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6A3A579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超声烘道（5.5米）</w:t>
                  </w:r>
                </w:p>
              </w:tc>
              <w:tc>
                <w:tcPr>
                  <w:tcW w:w="544" w:type="pct"/>
                  <w:shd w:val="clear" w:color="auto" w:fill="auto"/>
                  <w:vAlign w:val="center"/>
                </w:tcPr>
                <w:p w14:paraId="32B46F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3</w:t>
                  </w:r>
                </w:p>
              </w:tc>
              <w:tc>
                <w:tcPr>
                  <w:tcW w:w="535" w:type="pct"/>
                  <w:shd w:val="clear" w:color="auto" w:fill="auto"/>
                  <w:vAlign w:val="center"/>
                </w:tcPr>
                <w:p w14:paraId="61349002">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59925B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4AF3DF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9288</w:t>
                  </w:r>
                </w:p>
              </w:tc>
              <w:tc>
                <w:tcPr>
                  <w:tcW w:w="796" w:type="pct"/>
                  <w:vMerge w:val="continue"/>
                  <w:vAlign w:val="center"/>
                </w:tcPr>
                <w:p w14:paraId="760DDE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24AD2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7F80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E2D99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4027556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超声烘道（4.5米）</w:t>
                  </w:r>
                </w:p>
              </w:tc>
              <w:tc>
                <w:tcPr>
                  <w:tcW w:w="544" w:type="pct"/>
                  <w:shd w:val="clear" w:color="auto" w:fill="auto"/>
                  <w:vAlign w:val="center"/>
                </w:tcPr>
                <w:p w14:paraId="2146483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12</w:t>
                  </w:r>
                </w:p>
              </w:tc>
              <w:tc>
                <w:tcPr>
                  <w:tcW w:w="535" w:type="pct"/>
                  <w:shd w:val="clear" w:color="auto" w:fill="auto"/>
                  <w:vAlign w:val="center"/>
                </w:tcPr>
                <w:p w14:paraId="54A7E34A">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5A89D0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17FDBB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37152</w:t>
                  </w:r>
                </w:p>
              </w:tc>
              <w:tc>
                <w:tcPr>
                  <w:tcW w:w="796" w:type="pct"/>
                  <w:vMerge w:val="continue"/>
                  <w:vAlign w:val="center"/>
                </w:tcPr>
                <w:p w14:paraId="341EBD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AC4FC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533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7495F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457ED51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成型磨超声清洗烘道（2米）</w:t>
                  </w:r>
                </w:p>
              </w:tc>
              <w:tc>
                <w:tcPr>
                  <w:tcW w:w="544" w:type="pct"/>
                  <w:shd w:val="clear" w:color="auto" w:fill="auto"/>
                  <w:vAlign w:val="center"/>
                </w:tcPr>
                <w:p w14:paraId="1A614F3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5</w:t>
                  </w:r>
                </w:p>
              </w:tc>
              <w:tc>
                <w:tcPr>
                  <w:tcW w:w="535" w:type="pct"/>
                  <w:shd w:val="clear" w:color="auto" w:fill="auto"/>
                  <w:vAlign w:val="center"/>
                </w:tcPr>
                <w:p w14:paraId="7373A1F7">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358350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4C48B8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15480</w:t>
                  </w:r>
                </w:p>
              </w:tc>
              <w:tc>
                <w:tcPr>
                  <w:tcW w:w="796" w:type="pct"/>
                  <w:vMerge w:val="continue"/>
                  <w:vAlign w:val="center"/>
                </w:tcPr>
                <w:p w14:paraId="2B9194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B0BD2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40C6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444B863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5923E45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自制渗透后烘道（1.5米）</w:t>
                  </w:r>
                </w:p>
              </w:tc>
              <w:tc>
                <w:tcPr>
                  <w:tcW w:w="544" w:type="pct"/>
                  <w:shd w:val="clear" w:color="auto" w:fill="auto"/>
                  <w:vAlign w:val="center"/>
                </w:tcPr>
                <w:p w14:paraId="77FDFDE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13</w:t>
                  </w:r>
                </w:p>
              </w:tc>
              <w:tc>
                <w:tcPr>
                  <w:tcW w:w="535" w:type="pct"/>
                  <w:shd w:val="clear" w:color="auto" w:fill="auto"/>
                  <w:vAlign w:val="center"/>
                </w:tcPr>
                <w:p w14:paraId="17DE989A">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5B5567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7A3A1B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40248</w:t>
                  </w:r>
                </w:p>
              </w:tc>
              <w:tc>
                <w:tcPr>
                  <w:tcW w:w="796" w:type="pct"/>
                  <w:vMerge w:val="continue"/>
                  <w:vAlign w:val="center"/>
                </w:tcPr>
                <w:p w14:paraId="5A52A4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740DB3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1DBB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3306043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3CEF03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检测设备（自制）</w:t>
                  </w:r>
                </w:p>
              </w:tc>
              <w:tc>
                <w:tcPr>
                  <w:tcW w:w="544" w:type="pct"/>
                  <w:shd w:val="clear" w:color="auto" w:fill="auto"/>
                  <w:vAlign w:val="center"/>
                </w:tcPr>
                <w:p w14:paraId="28E0B37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9</w:t>
                  </w:r>
                </w:p>
              </w:tc>
              <w:tc>
                <w:tcPr>
                  <w:tcW w:w="535" w:type="pct"/>
                  <w:shd w:val="clear" w:color="auto" w:fill="auto"/>
                  <w:vAlign w:val="center"/>
                </w:tcPr>
                <w:p w14:paraId="40A566CD">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5AF52C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740E12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27864</w:t>
                  </w:r>
                </w:p>
              </w:tc>
              <w:tc>
                <w:tcPr>
                  <w:tcW w:w="796" w:type="pct"/>
                  <w:vMerge w:val="continue"/>
                  <w:vAlign w:val="center"/>
                </w:tcPr>
                <w:p w14:paraId="09EBF0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5FF5A0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4FA3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52892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4DDFDB5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叠料设备（自制）</w:t>
                  </w:r>
                </w:p>
              </w:tc>
              <w:tc>
                <w:tcPr>
                  <w:tcW w:w="544" w:type="pct"/>
                  <w:shd w:val="clear" w:color="auto" w:fill="auto"/>
                  <w:vAlign w:val="center"/>
                </w:tcPr>
                <w:p w14:paraId="68B22FF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19</w:t>
                  </w:r>
                </w:p>
              </w:tc>
              <w:tc>
                <w:tcPr>
                  <w:tcW w:w="535" w:type="pct"/>
                  <w:shd w:val="clear" w:color="auto" w:fill="auto"/>
                  <w:vAlign w:val="center"/>
                </w:tcPr>
                <w:p w14:paraId="1A25AB57">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1.29</w:t>
                  </w:r>
                </w:p>
              </w:tc>
              <w:tc>
                <w:tcPr>
                  <w:tcW w:w="682" w:type="pct"/>
                  <w:shd w:val="clear" w:color="auto" w:fill="auto"/>
                  <w:vAlign w:val="center"/>
                </w:tcPr>
                <w:p w14:paraId="4A175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512EF3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58824</w:t>
                  </w:r>
                </w:p>
              </w:tc>
              <w:tc>
                <w:tcPr>
                  <w:tcW w:w="796" w:type="pct"/>
                  <w:vMerge w:val="continue"/>
                  <w:vAlign w:val="center"/>
                </w:tcPr>
                <w:p w14:paraId="601E1E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64BDE3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342C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7EECDDE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694699A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连线数控成型磨</w:t>
                  </w:r>
                </w:p>
              </w:tc>
              <w:tc>
                <w:tcPr>
                  <w:tcW w:w="544" w:type="pct"/>
                  <w:shd w:val="clear" w:color="auto" w:fill="auto"/>
                  <w:vAlign w:val="center"/>
                </w:tcPr>
                <w:p w14:paraId="04E70B9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26</w:t>
                  </w:r>
                </w:p>
              </w:tc>
              <w:tc>
                <w:tcPr>
                  <w:tcW w:w="535" w:type="pct"/>
                  <w:shd w:val="clear" w:color="auto" w:fill="auto"/>
                  <w:vAlign w:val="center"/>
                </w:tcPr>
                <w:p w14:paraId="4412DDA5">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0.54</w:t>
                  </w:r>
                </w:p>
              </w:tc>
              <w:tc>
                <w:tcPr>
                  <w:tcW w:w="682" w:type="pct"/>
                  <w:shd w:val="clear" w:color="auto" w:fill="auto"/>
                  <w:vAlign w:val="center"/>
                </w:tcPr>
                <w:p w14:paraId="3578F1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582ACF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33696</w:t>
                  </w:r>
                </w:p>
              </w:tc>
              <w:tc>
                <w:tcPr>
                  <w:tcW w:w="796" w:type="pct"/>
                  <w:vMerge w:val="continue"/>
                  <w:vAlign w:val="center"/>
                </w:tcPr>
                <w:p w14:paraId="60B059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79A3F5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1E4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312FEA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51" w:type="pct"/>
                  <w:shd w:val="clear" w:color="auto" w:fill="auto"/>
                  <w:vAlign w:val="center"/>
                </w:tcPr>
                <w:p w14:paraId="67D1CD0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自动打孔机（三工位）</w:t>
                  </w:r>
                </w:p>
              </w:tc>
              <w:tc>
                <w:tcPr>
                  <w:tcW w:w="544" w:type="pct"/>
                  <w:shd w:val="clear" w:color="auto" w:fill="auto"/>
                  <w:vAlign w:val="center"/>
                </w:tcPr>
                <w:p w14:paraId="02E213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10</w:t>
                  </w:r>
                </w:p>
              </w:tc>
              <w:tc>
                <w:tcPr>
                  <w:tcW w:w="535" w:type="pct"/>
                  <w:shd w:val="clear" w:color="auto" w:fill="auto"/>
                  <w:vAlign w:val="center"/>
                </w:tcPr>
                <w:p w14:paraId="6E02C84F">
                  <w:pPr>
                    <w:keepNext w:val="0"/>
                    <w:keepLines w:val="0"/>
                    <w:pageBreakBefore w:val="0"/>
                    <w:kinsoku/>
                    <w:wordWrap/>
                    <w:overflowPunct/>
                    <w:topLinePunct w:val="0"/>
                    <w:autoSpaceDE/>
                    <w:autoSpaceDN/>
                    <w:bidi w:val="0"/>
                    <w:adjustRightInd/>
                    <w:snapToGrid/>
                    <w:spacing w:line="240" w:lineRule="auto"/>
                    <w:contextualSpacing/>
                    <w:jc w:val="center"/>
                    <w:rPr>
                      <w:rFonts w:ascii="Times New Roman" w:hAnsi="Times New Roman" w:eastAsia="宋体" w:cs="Times New Roman"/>
                      <w:bCs/>
                      <w:color w:val="auto"/>
                      <w:kern w:val="18"/>
                      <w:sz w:val="21"/>
                      <w:szCs w:val="21"/>
                      <w:lang w:val="en-US" w:eastAsia="zh-CN" w:bidi="ar-SA"/>
                    </w:rPr>
                  </w:pPr>
                  <w:r>
                    <w:rPr>
                      <w:rFonts w:hint="eastAsia"/>
                      <w:bCs/>
                      <w:color w:val="auto"/>
                      <w:kern w:val="18"/>
                      <w:szCs w:val="21"/>
                    </w:rPr>
                    <w:t>0.2</w:t>
                  </w:r>
                </w:p>
              </w:tc>
              <w:tc>
                <w:tcPr>
                  <w:tcW w:w="682" w:type="pct"/>
                  <w:shd w:val="clear" w:color="auto" w:fill="auto"/>
                  <w:vAlign w:val="center"/>
                </w:tcPr>
                <w:p w14:paraId="6D70C1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7C4D04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Arial"/>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96" w:type="pct"/>
                  <w:vMerge w:val="continue"/>
                  <w:vAlign w:val="center"/>
                </w:tcPr>
                <w:p w14:paraId="556D80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149C9F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715A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restart"/>
                  <w:vAlign w:val="center"/>
                </w:tcPr>
                <w:p w14:paraId="16553A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r>
                    <w:rPr>
                      <w:rFonts w:hint="eastAsia" w:cs="宋体"/>
                      <w:color w:val="auto"/>
                      <w:kern w:val="0"/>
                      <w:szCs w:val="21"/>
                      <w:lang w:bidi="ar"/>
                    </w:rPr>
                    <w:t>粘胶组件</w:t>
                  </w:r>
                </w:p>
              </w:tc>
              <w:tc>
                <w:tcPr>
                  <w:tcW w:w="651" w:type="pct"/>
                  <w:shd w:val="clear" w:color="auto" w:fill="auto"/>
                  <w:vAlign w:val="center"/>
                </w:tcPr>
                <w:p w14:paraId="450A92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平面</w:t>
                  </w:r>
                  <w:r>
                    <w:rPr>
                      <w:color w:val="auto"/>
                      <w:kern w:val="0"/>
                      <w:szCs w:val="21"/>
                      <w:lang w:bidi="ar"/>
                    </w:rPr>
                    <w:t>磨</w:t>
                  </w:r>
                </w:p>
              </w:tc>
              <w:tc>
                <w:tcPr>
                  <w:tcW w:w="544" w:type="pct"/>
                  <w:shd w:val="clear" w:color="auto" w:fill="auto"/>
                  <w:vAlign w:val="center"/>
                </w:tcPr>
                <w:p w14:paraId="7DC72C0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Cs w:val="21"/>
                      <w:lang w:val="en-US" w:eastAsia="zh-CN" w:bidi="ar"/>
                    </w:rPr>
                    <w:t>13</w:t>
                  </w:r>
                </w:p>
              </w:tc>
              <w:tc>
                <w:tcPr>
                  <w:tcW w:w="535" w:type="pct"/>
                  <w:shd w:val="clear" w:color="auto" w:fill="auto"/>
                  <w:vAlign w:val="center"/>
                </w:tcPr>
                <w:p w14:paraId="052A037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Cs w:val="21"/>
                      <w:lang w:val="en-US" w:eastAsia="zh-CN" w:bidi="ar"/>
                    </w:rPr>
                    <w:t>0.348</w:t>
                  </w:r>
                </w:p>
              </w:tc>
              <w:tc>
                <w:tcPr>
                  <w:tcW w:w="682" w:type="pct"/>
                  <w:shd w:val="clear" w:color="auto" w:fill="auto"/>
                  <w:vAlign w:val="center"/>
                </w:tcPr>
                <w:p w14:paraId="74B552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0C857199">
                  <w:pPr>
                    <w:jc w:val="center"/>
                    <w:rPr>
                      <w:rFonts w:hint="default"/>
                      <w:color w:val="auto"/>
                      <w:lang w:val="en-US" w:eastAsia="zh-CN"/>
                    </w:rPr>
                  </w:pPr>
                  <w:r>
                    <w:rPr>
                      <w:rFonts w:hint="default"/>
                      <w:color w:val="auto"/>
                      <w:lang w:val="en-US" w:eastAsia="zh-CN"/>
                    </w:rPr>
                    <w:t>10857.6</w:t>
                  </w:r>
                </w:p>
              </w:tc>
              <w:tc>
                <w:tcPr>
                  <w:tcW w:w="796" w:type="pct"/>
                  <w:vMerge w:val="restart"/>
                  <w:vAlign w:val="center"/>
                </w:tcPr>
                <w:p w14:paraId="59F6C8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eastAsia="宋体"/>
                      <w:color w:val="auto"/>
                      <w:sz w:val="21"/>
                      <w:szCs w:val="21"/>
                      <w:lang w:val="en-US" w:eastAsia="zh-CN"/>
                    </w:rPr>
                  </w:pPr>
                  <w:r>
                    <w:rPr>
                      <w:rFonts w:hint="eastAsia" w:cs="Times New Roman"/>
                      <w:color w:val="auto"/>
                      <w:lang w:val="en-US" w:eastAsia="zh-CN"/>
                    </w:rPr>
                    <w:t>400</w:t>
                  </w:r>
                </w:p>
              </w:tc>
              <w:tc>
                <w:tcPr>
                  <w:tcW w:w="698" w:type="pct"/>
                  <w:vMerge w:val="restart"/>
                  <w:vAlign w:val="center"/>
                </w:tcPr>
                <w:p w14:paraId="000D218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eastAsia="宋体"/>
                      <w:color w:val="auto"/>
                      <w:sz w:val="21"/>
                      <w:szCs w:val="21"/>
                      <w:lang w:val="en-US" w:eastAsia="zh-CN"/>
                    </w:rPr>
                  </w:pPr>
                  <w:r>
                    <w:rPr>
                      <w:rFonts w:hint="eastAsia" w:ascii="Arial"/>
                      <w:color w:val="auto"/>
                      <w:sz w:val="21"/>
                      <w:szCs w:val="21"/>
                      <w:lang w:val="en-US" w:eastAsia="zh-CN"/>
                    </w:rPr>
                    <w:t>是</w:t>
                  </w:r>
                </w:p>
              </w:tc>
            </w:tr>
            <w:tr w14:paraId="7497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5A63C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2C489DF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内圆磨</w:t>
                  </w:r>
                </w:p>
              </w:tc>
              <w:tc>
                <w:tcPr>
                  <w:tcW w:w="544" w:type="pct"/>
                  <w:vAlign w:val="center"/>
                </w:tcPr>
                <w:p w14:paraId="5A08176F">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color w:val="auto"/>
                      <w:kern w:val="0"/>
                      <w:szCs w:val="21"/>
                      <w:lang w:bidi="ar"/>
                    </w:rPr>
                    <w:t>1</w:t>
                  </w:r>
                  <w:r>
                    <w:rPr>
                      <w:rFonts w:hint="eastAsia"/>
                      <w:color w:val="auto"/>
                      <w:kern w:val="0"/>
                      <w:szCs w:val="21"/>
                      <w:lang w:val="en-US" w:eastAsia="zh-CN" w:bidi="ar"/>
                    </w:rPr>
                    <w:t>3</w:t>
                  </w:r>
                </w:p>
              </w:tc>
              <w:tc>
                <w:tcPr>
                  <w:tcW w:w="535" w:type="pct"/>
                  <w:vAlign w:val="center"/>
                </w:tcPr>
                <w:p w14:paraId="1AB23217">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0.348</w:t>
                  </w:r>
                </w:p>
              </w:tc>
              <w:tc>
                <w:tcPr>
                  <w:tcW w:w="682" w:type="pct"/>
                  <w:shd w:val="clear" w:color="auto" w:fill="auto"/>
                  <w:vAlign w:val="center"/>
                </w:tcPr>
                <w:p w14:paraId="37B1A2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188C0156">
                  <w:pPr>
                    <w:jc w:val="center"/>
                    <w:rPr>
                      <w:rFonts w:hint="default"/>
                      <w:color w:val="auto"/>
                      <w:lang w:val="en-US" w:eastAsia="zh-CN"/>
                    </w:rPr>
                  </w:pPr>
                  <w:r>
                    <w:rPr>
                      <w:rFonts w:hint="default"/>
                      <w:color w:val="auto"/>
                      <w:lang w:val="en-US" w:eastAsia="zh-CN"/>
                    </w:rPr>
                    <w:t>10857.6</w:t>
                  </w:r>
                </w:p>
              </w:tc>
              <w:tc>
                <w:tcPr>
                  <w:tcW w:w="796" w:type="pct"/>
                  <w:vMerge w:val="continue"/>
                  <w:vAlign w:val="center"/>
                </w:tcPr>
                <w:p w14:paraId="0DDAAE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E130F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7CBC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3F4F37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6E4E5DD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外圆磨</w:t>
                  </w:r>
                </w:p>
              </w:tc>
              <w:tc>
                <w:tcPr>
                  <w:tcW w:w="544" w:type="pct"/>
                  <w:vAlign w:val="center"/>
                </w:tcPr>
                <w:p w14:paraId="28DDDC2B">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55</w:t>
                  </w:r>
                </w:p>
              </w:tc>
              <w:tc>
                <w:tcPr>
                  <w:tcW w:w="535" w:type="pct"/>
                  <w:vAlign w:val="center"/>
                </w:tcPr>
                <w:p w14:paraId="04ADB414">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color w:val="auto"/>
                      <w:lang w:val="en-US" w:eastAsia="zh-CN"/>
                    </w:rPr>
                    <w:t>0.873</w:t>
                  </w:r>
                </w:p>
              </w:tc>
              <w:tc>
                <w:tcPr>
                  <w:tcW w:w="682" w:type="pct"/>
                  <w:shd w:val="clear" w:color="auto" w:fill="auto"/>
                  <w:vAlign w:val="center"/>
                </w:tcPr>
                <w:p w14:paraId="1D98C8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1E9291D2">
                  <w:pPr>
                    <w:jc w:val="center"/>
                    <w:rPr>
                      <w:rFonts w:hint="default"/>
                      <w:color w:val="auto"/>
                      <w:lang w:val="en-US" w:eastAsia="zh-CN"/>
                    </w:rPr>
                  </w:pPr>
                  <w:r>
                    <w:rPr>
                      <w:rFonts w:hint="default"/>
                      <w:color w:val="auto"/>
                      <w:lang w:val="en-US" w:eastAsia="zh-CN"/>
                    </w:rPr>
                    <w:t>115236</w:t>
                  </w:r>
                </w:p>
              </w:tc>
              <w:tc>
                <w:tcPr>
                  <w:tcW w:w="796" w:type="pct"/>
                  <w:vMerge w:val="continue"/>
                  <w:vAlign w:val="center"/>
                </w:tcPr>
                <w:p w14:paraId="740E44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751696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6C1D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D94AB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5E46F2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车铣加工中心</w:t>
                  </w:r>
                </w:p>
              </w:tc>
              <w:tc>
                <w:tcPr>
                  <w:tcW w:w="544" w:type="pct"/>
                  <w:vAlign w:val="center"/>
                </w:tcPr>
                <w:p w14:paraId="5F3E35A7">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olor w:val="auto"/>
                      <w:kern w:val="0"/>
                      <w:szCs w:val="21"/>
                      <w:lang w:val="en-US" w:eastAsia="zh-CN" w:bidi="ar"/>
                    </w:rPr>
                    <w:t>160</w:t>
                  </w:r>
                </w:p>
              </w:tc>
              <w:tc>
                <w:tcPr>
                  <w:tcW w:w="535" w:type="pct"/>
                  <w:vAlign w:val="center"/>
                </w:tcPr>
                <w:p w14:paraId="545AE208">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rPr>
                    <w:t>0.111</w:t>
                  </w:r>
                </w:p>
              </w:tc>
              <w:tc>
                <w:tcPr>
                  <w:tcW w:w="682" w:type="pct"/>
                  <w:shd w:val="clear" w:color="auto" w:fill="auto"/>
                  <w:vAlign w:val="center"/>
                </w:tcPr>
                <w:p w14:paraId="2CF503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22EAA968">
                  <w:pPr>
                    <w:jc w:val="center"/>
                    <w:rPr>
                      <w:rFonts w:hint="default"/>
                      <w:color w:val="auto"/>
                      <w:lang w:val="en-US" w:eastAsia="zh-CN"/>
                    </w:rPr>
                  </w:pPr>
                  <w:r>
                    <w:rPr>
                      <w:rFonts w:hint="default"/>
                      <w:color w:val="auto"/>
                      <w:lang w:val="en-US" w:eastAsia="zh-CN"/>
                    </w:rPr>
                    <w:t>42624</w:t>
                  </w:r>
                </w:p>
              </w:tc>
              <w:tc>
                <w:tcPr>
                  <w:tcW w:w="796" w:type="pct"/>
                  <w:vMerge w:val="continue"/>
                  <w:vAlign w:val="center"/>
                </w:tcPr>
                <w:p w14:paraId="5C75A1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6DB102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F12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6F6FBD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2426B2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自动化组装线</w:t>
                  </w:r>
                </w:p>
              </w:tc>
              <w:tc>
                <w:tcPr>
                  <w:tcW w:w="544" w:type="pct"/>
                  <w:vAlign w:val="center"/>
                </w:tcPr>
                <w:p w14:paraId="25908384">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olor w:val="auto"/>
                      <w:kern w:val="0"/>
                      <w:szCs w:val="21"/>
                      <w:lang w:val="en-US" w:eastAsia="zh-CN" w:bidi="ar"/>
                    </w:rPr>
                    <w:t>4</w:t>
                  </w:r>
                  <w:r>
                    <w:rPr>
                      <w:color w:val="auto"/>
                      <w:kern w:val="0"/>
                      <w:szCs w:val="21"/>
                      <w:lang w:bidi="ar"/>
                    </w:rPr>
                    <w:t>0</w:t>
                  </w:r>
                </w:p>
              </w:tc>
              <w:tc>
                <w:tcPr>
                  <w:tcW w:w="535" w:type="pct"/>
                  <w:vAlign w:val="center"/>
                </w:tcPr>
                <w:p w14:paraId="011D55E0">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1.2</w:t>
                  </w:r>
                </w:p>
              </w:tc>
              <w:tc>
                <w:tcPr>
                  <w:tcW w:w="682" w:type="pct"/>
                  <w:vAlign w:val="center"/>
                </w:tcPr>
                <w:p w14:paraId="15FE12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2DB3D293">
                  <w:pPr>
                    <w:jc w:val="center"/>
                    <w:rPr>
                      <w:rFonts w:hint="default"/>
                      <w:color w:val="auto"/>
                      <w:lang w:val="en-US" w:eastAsia="zh-CN"/>
                    </w:rPr>
                  </w:pPr>
                  <w:r>
                    <w:rPr>
                      <w:rFonts w:hint="default"/>
                      <w:color w:val="auto"/>
                      <w:lang w:val="en-US" w:eastAsia="zh-CN"/>
                    </w:rPr>
                    <w:t>115200</w:t>
                  </w:r>
                </w:p>
              </w:tc>
              <w:tc>
                <w:tcPr>
                  <w:tcW w:w="796" w:type="pct"/>
                  <w:vMerge w:val="continue"/>
                  <w:vAlign w:val="center"/>
                </w:tcPr>
                <w:p w14:paraId="5CF8B8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8C6F3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EF0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438685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36388DE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柜式烘箱</w:t>
                  </w:r>
                </w:p>
              </w:tc>
              <w:tc>
                <w:tcPr>
                  <w:tcW w:w="544" w:type="pct"/>
                  <w:vAlign w:val="center"/>
                </w:tcPr>
                <w:p w14:paraId="001C6450">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24</w:t>
                  </w:r>
                </w:p>
              </w:tc>
              <w:tc>
                <w:tcPr>
                  <w:tcW w:w="535" w:type="pct"/>
                  <w:vAlign w:val="center"/>
                </w:tcPr>
                <w:p w14:paraId="44533C50">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2</w:t>
                  </w:r>
                </w:p>
              </w:tc>
              <w:tc>
                <w:tcPr>
                  <w:tcW w:w="682" w:type="pct"/>
                  <w:shd w:val="clear" w:color="auto" w:fill="auto"/>
                  <w:vAlign w:val="center"/>
                </w:tcPr>
                <w:p w14:paraId="2F7A04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1C890899">
                  <w:pPr>
                    <w:jc w:val="center"/>
                    <w:rPr>
                      <w:rFonts w:hint="default"/>
                      <w:color w:val="auto"/>
                      <w:lang w:val="en-US" w:eastAsia="zh-CN"/>
                    </w:rPr>
                  </w:pPr>
                  <w:r>
                    <w:rPr>
                      <w:rFonts w:hint="default"/>
                      <w:color w:val="auto"/>
                      <w:lang w:val="en-US" w:eastAsia="zh-CN"/>
                    </w:rPr>
                    <w:t>115200</w:t>
                  </w:r>
                </w:p>
              </w:tc>
              <w:tc>
                <w:tcPr>
                  <w:tcW w:w="796" w:type="pct"/>
                  <w:vMerge w:val="continue"/>
                  <w:vAlign w:val="center"/>
                </w:tcPr>
                <w:p w14:paraId="27128A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7625F3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0869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315D17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6567A3E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充磁自动线</w:t>
                  </w:r>
                </w:p>
              </w:tc>
              <w:tc>
                <w:tcPr>
                  <w:tcW w:w="544" w:type="pct"/>
                  <w:vAlign w:val="center"/>
                </w:tcPr>
                <w:p w14:paraId="1BB36A6E">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40</w:t>
                  </w:r>
                </w:p>
              </w:tc>
              <w:tc>
                <w:tcPr>
                  <w:tcW w:w="535" w:type="pct"/>
                  <w:vAlign w:val="center"/>
                </w:tcPr>
                <w:p w14:paraId="2623FF57">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1.2</w:t>
                  </w:r>
                </w:p>
              </w:tc>
              <w:tc>
                <w:tcPr>
                  <w:tcW w:w="682" w:type="pct"/>
                  <w:shd w:val="clear" w:color="auto" w:fill="auto"/>
                  <w:vAlign w:val="center"/>
                </w:tcPr>
                <w:p w14:paraId="7B9A3D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61FDC6D9">
                  <w:pPr>
                    <w:jc w:val="center"/>
                    <w:rPr>
                      <w:rFonts w:hint="default"/>
                      <w:color w:val="auto"/>
                      <w:lang w:val="en-US" w:eastAsia="zh-CN"/>
                    </w:rPr>
                  </w:pPr>
                  <w:r>
                    <w:rPr>
                      <w:rFonts w:hint="default"/>
                      <w:color w:val="auto"/>
                      <w:lang w:val="en-US" w:eastAsia="zh-CN"/>
                    </w:rPr>
                    <w:t>115200</w:t>
                  </w:r>
                </w:p>
              </w:tc>
              <w:tc>
                <w:tcPr>
                  <w:tcW w:w="796" w:type="pct"/>
                  <w:vMerge w:val="continue"/>
                  <w:vAlign w:val="center"/>
                </w:tcPr>
                <w:p w14:paraId="5C8E59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11DB3E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1AC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50A337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640928B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AOI视觉检测/基恩士</w:t>
                  </w:r>
                </w:p>
              </w:tc>
              <w:tc>
                <w:tcPr>
                  <w:tcW w:w="544" w:type="pct"/>
                  <w:vAlign w:val="center"/>
                </w:tcPr>
                <w:p w14:paraId="49BCFE54">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26</w:t>
                  </w:r>
                </w:p>
              </w:tc>
              <w:tc>
                <w:tcPr>
                  <w:tcW w:w="535" w:type="pct"/>
                  <w:vAlign w:val="center"/>
                </w:tcPr>
                <w:p w14:paraId="1760B685">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1.85</w:t>
                  </w:r>
                </w:p>
              </w:tc>
              <w:tc>
                <w:tcPr>
                  <w:tcW w:w="682" w:type="pct"/>
                  <w:shd w:val="clear" w:color="auto" w:fill="auto"/>
                  <w:vAlign w:val="center"/>
                </w:tcPr>
                <w:p w14:paraId="2BF7EF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37257654">
                  <w:pPr>
                    <w:jc w:val="center"/>
                    <w:rPr>
                      <w:rFonts w:hint="default"/>
                      <w:color w:val="auto"/>
                      <w:lang w:val="en-US" w:eastAsia="zh-CN"/>
                    </w:rPr>
                  </w:pPr>
                  <w:r>
                    <w:rPr>
                      <w:rFonts w:hint="default"/>
                      <w:color w:val="auto"/>
                      <w:lang w:val="en-US" w:eastAsia="zh-CN"/>
                    </w:rPr>
                    <w:t>115440</w:t>
                  </w:r>
                </w:p>
              </w:tc>
              <w:tc>
                <w:tcPr>
                  <w:tcW w:w="796" w:type="pct"/>
                  <w:vMerge w:val="continue"/>
                  <w:vAlign w:val="center"/>
                </w:tcPr>
                <w:p w14:paraId="794653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216E5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04C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527590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064F89D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包装机</w:t>
                  </w:r>
                </w:p>
              </w:tc>
              <w:tc>
                <w:tcPr>
                  <w:tcW w:w="544" w:type="pct"/>
                  <w:vAlign w:val="center"/>
                </w:tcPr>
                <w:p w14:paraId="463BA61A">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color w:val="auto"/>
                      <w:kern w:val="0"/>
                      <w:szCs w:val="21"/>
                      <w:lang w:bidi="ar"/>
                    </w:rPr>
                    <w:t>3</w:t>
                  </w:r>
                </w:p>
              </w:tc>
              <w:tc>
                <w:tcPr>
                  <w:tcW w:w="535" w:type="pct"/>
                  <w:vAlign w:val="center"/>
                </w:tcPr>
                <w:p w14:paraId="4B6A33EF">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16.2</w:t>
                  </w:r>
                </w:p>
              </w:tc>
              <w:tc>
                <w:tcPr>
                  <w:tcW w:w="682" w:type="pct"/>
                  <w:shd w:val="clear" w:color="auto" w:fill="auto"/>
                  <w:vAlign w:val="center"/>
                </w:tcPr>
                <w:p w14:paraId="1F262D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3753A9EC">
                  <w:pPr>
                    <w:jc w:val="center"/>
                    <w:rPr>
                      <w:rFonts w:hint="default"/>
                      <w:color w:val="auto"/>
                      <w:lang w:val="en-US" w:eastAsia="zh-CN"/>
                    </w:rPr>
                  </w:pPr>
                  <w:r>
                    <w:rPr>
                      <w:rFonts w:hint="default"/>
                      <w:color w:val="auto"/>
                      <w:lang w:val="en-US" w:eastAsia="zh-CN"/>
                    </w:rPr>
                    <w:t>116640</w:t>
                  </w:r>
                </w:p>
              </w:tc>
              <w:tc>
                <w:tcPr>
                  <w:tcW w:w="796" w:type="pct"/>
                  <w:vMerge w:val="continue"/>
                  <w:vAlign w:val="center"/>
                </w:tcPr>
                <w:p w14:paraId="3A4565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7C0963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FAC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7F9660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06CA5A1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三</w:t>
                  </w:r>
                  <w:r>
                    <w:rPr>
                      <w:rFonts w:hint="eastAsia"/>
                      <w:color w:val="auto"/>
                      <w:kern w:val="0"/>
                      <w:szCs w:val="21"/>
                      <w:lang w:bidi="ar"/>
                    </w:rPr>
                    <w:t>坐</w:t>
                  </w:r>
                  <w:r>
                    <w:rPr>
                      <w:color w:val="auto"/>
                      <w:kern w:val="0"/>
                      <w:szCs w:val="21"/>
                      <w:lang w:bidi="ar"/>
                    </w:rPr>
                    <w:t>标</w:t>
                  </w:r>
                </w:p>
              </w:tc>
              <w:tc>
                <w:tcPr>
                  <w:tcW w:w="544" w:type="pct"/>
                  <w:vAlign w:val="center"/>
                </w:tcPr>
                <w:p w14:paraId="47B8A8CD">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45</w:t>
                  </w:r>
                </w:p>
              </w:tc>
              <w:tc>
                <w:tcPr>
                  <w:tcW w:w="535" w:type="pct"/>
                  <w:vAlign w:val="center"/>
                </w:tcPr>
                <w:p w14:paraId="08F8A663">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1.07</w:t>
                  </w:r>
                </w:p>
              </w:tc>
              <w:tc>
                <w:tcPr>
                  <w:tcW w:w="682" w:type="pct"/>
                  <w:vAlign w:val="center"/>
                </w:tcPr>
                <w:p w14:paraId="6E37D2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3DAD4B70">
                  <w:pPr>
                    <w:jc w:val="center"/>
                    <w:rPr>
                      <w:rFonts w:hint="default"/>
                      <w:color w:val="auto"/>
                      <w:lang w:val="en-US" w:eastAsia="zh-CN"/>
                    </w:rPr>
                  </w:pPr>
                  <w:r>
                    <w:rPr>
                      <w:rFonts w:hint="default"/>
                      <w:color w:val="auto"/>
                      <w:lang w:val="en-US" w:eastAsia="zh-CN"/>
                    </w:rPr>
                    <w:t>115560</w:t>
                  </w:r>
                </w:p>
              </w:tc>
              <w:tc>
                <w:tcPr>
                  <w:tcW w:w="796" w:type="pct"/>
                  <w:vMerge w:val="continue"/>
                  <w:vAlign w:val="center"/>
                </w:tcPr>
                <w:p w14:paraId="1E8C1F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2987E5B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748A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16075D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5B955CE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粗糙度轮廓仪</w:t>
                  </w:r>
                </w:p>
              </w:tc>
              <w:tc>
                <w:tcPr>
                  <w:tcW w:w="544" w:type="pct"/>
                  <w:vAlign w:val="center"/>
                </w:tcPr>
                <w:p w14:paraId="054A2B79">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18</w:t>
                  </w:r>
                </w:p>
              </w:tc>
              <w:tc>
                <w:tcPr>
                  <w:tcW w:w="535" w:type="pct"/>
                  <w:vAlign w:val="center"/>
                </w:tcPr>
                <w:p w14:paraId="2EE2181D">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2.7</w:t>
                  </w:r>
                </w:p>
              </w:tc>
              <w:tc>
                <w:tcPr>
                  <w:tcW w:w="682" w:type="pct"/>
                  <w:vAlign w:val="center"/>
                </w:tcPr>
                <w:p w14:paraId="5E7F5D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5353D585">
                  <w:pPr>
                    <w:jc w:val="center"/>
                    <w:rPr>
                      <w:rFonts w:hint="default"/>
                      <w:color w:val="auto"/>
                      <w:lang w:val="en-US" w:eastAsia="zh-CN"/>
                    </w:rPr>
                  </w:pPr>
                  <w:r>
                    <w:rPr>
                      <w:rFonts w:hint="default"/>
                      <w:color w:val="auto"/>
                      <w:lang w:val="en-US" w:eastAsia="zh-CN"/>
                    </w:rPr>
                    <w:t>116640</w:t>
                  </w:r>
                </w:p>
              </w:tc>
              <w:tc>
                <w:tcPr>
                  <w:tcW w:w="796" w:type="pct"/>
                  <w:vMerge w:val="continue"/>
                  <w:vAlign w:val="center"/>
                </w:tcPr>
                <w:p w14:paraId="403990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214642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20D9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2C93EF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4018F4E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rFonts w:hint="eastAsia" w:cs="宋体"/>
                      <w:color w:val="auto"/>
                      <w:kern w:val="0"/>
                      <w:szCs w:val="21"/>
                      <w:lang w:bidi="ar"/>
                    </w:rPr>
                    <w:t>动平衡</w:t>
                  </w:r>
                </w:p>
              </w:tc>
              <w:tc>
                <w:tcPr>
                  <w:tcW w:w="544" w:type="pct"/>
                  <w:vAlign w:val="center"/>
                </w:tcPr>
                <w:p w14:paraId="320154C1">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26</w:t>
                  </w:r>
                </w:p>
              </w:tc>
              <w:tc>
                <w:tcPr>
                  <w:tcW w:w="535" w:type="pct"/>
                  <w:vAlign w:val="center"/>
                </w:tcPr>
                <w:p w14:paraId="5D81E7D3">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1.85</w:t>
                  </w:r>
                </w:p>
              </w:tc>
              <w:tc>
                <w:tcPr>
                  <w:tcW w:w="682" w:type="pct"/>
                  <w:vAlign w:val="center"/>
                </w:tcPr>
                <w:p w14:paraId="4D771A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0AE0ECE8">
                  <w:pPr>
                    <w:jc w:val="center"/>
                    <w:rPr>
                      <w:rFonts w:hint="default"/>
                      <w:color w:val="auto"/>
                      <w:lang w:val="en-US" w:eastAsia="zh-CN"/>
                    </w:rPr>
                  </w:pPr>
                  <w:r>
                    <w:rPr>
                      <w:rFonts w:hint="default"/>
                      <w:color w:val="auto"/>
                      <w:lang w:val="en-US" w:eastAsia="zh-CN"/>
                    </w:rPr>
                    <w:t>115440</w:t>
                  </w:r>
                </w:p>
              </w:tc>
              <w:tc>
                <w:tcPr>
                  <w:tcW w:w="796" w:type="pct"/>
                  <w:vMerge w:val="continue"/>
                  <w:vAlign w:val="center"/>
                </w:tcPr>
                <w:p w14:paraId="114F75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010849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r w14:paraId="5B8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445" w:type="pct"/>
                  <w:vMerge w:val="continue"/>
                  <w:vAlign w:val="center"/>
                </w:tcPr>
                <w:p w14:paraId="200BAF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宋体"/>
                      <w:color w:val="auto"/>
                      <w:kern w:val="0"/>
                      <w:szCs w:val="21"/>
                      <w:lang w:bidi="ar"/>
                    </w:rPr>
                  </w:pPr>
                </w:p>
              </w:tc>
              <w:tc>
                <w:tcPr>
                  <w:tcW w:w="0" w:type="auto"/>
                  <w:shd w:val="clear" w:color="auto" w:fill="auto"/>
                  <w:vAlign w:val="center"/>
                </w:tcPr>
                <w:p w14:paraId="41C6005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表磁扫描仪</w:t>
                  </w:r>
                </w:p>
              </w:tc>
              <w:tc>
                <w:tcPr>
                  <w:tcW w:w="544" w:type="pct"/>
                  <w:vAlign w:val="center"/>
                </w:tcPr>
                <w:p w14:paraId="39D0E326">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kern w:val="0"/>
                      <w:szCs w:val="21"/>
                      <w:lang w:bidi="ar"/>
                    </w:rPr>
                  </w:pPr>
                  <w:r>
                    <w:rPr>
                      <w:rFonts w:hint="eastAsia" w:cs="Times New Roman"/>
                      <w:color w:val="auto"/>
                      <w:kern w:val="2"/>
                      <w:sz w:val="21"/>
                      <w:szCs w:val="21"/>
                      <w:lang w:val="en-US" w:eastAsia="zh-CN" w:bidi="ar-SA"/>
                    </w:rPr>
                    <w:t>16</w:t>
                  </w:r>
                </w:p>
              </w:tc>
              <w:tc>
                <w:tcPr>
                  <w:tcW w:w="535" w:type="pct"/>
                  <w:vAlign w:val="center"/>
                </w:tcPr>
                <w:p w14:paraId="1010FFCE">
                  <w:pPr>
                    <w:keepNext w:val="0"/>
                    <w:keepLines w:val="0"/>
                    <w:pageBreakBefore w:val="0"/>
                    <w:kinsoku/>
                    <w:wordWrap/>
                    <w:overflowPunct/>
                    <w:topLinePunct w:val="0"/>
                    <w:autoSpaceDE/>
                    <w:autoSpaceDN/>
                    <w:bidi w:val="0"/>
                    <w:adjustRightInd/>
                    <w:snapToGrid/>
                    <w:spacing w:line="240" w:lineRule="auto"/>
                    <w:contextualSpacing/>
                    <w:jc w:val="center"/>
                    <w:rPr>
                      <w:rFonts w:hint="eastAsia"/>
                      <w:bCs/>
                      <w:color w:val="auto"/>
                      <w:kern w:val="18"/>
                      <w:szCs w:val="21"/>
                    </w:rPr>
                  </w:pPr>
                  <w:r>
                    <w:rPr>
                      <w:rFonts w:hint="eastAsia"/>
                      <w:bCs/>
                      <w:color w:val="auto"/>
                      <w:kern w:val="18"/>
                      <w:szCs w:val="21"/>
                      <w:lang w:val="en-US" w:eastAsia="zh-CN"/>
                    </w:rPr>
                    <w:t>3</w:t>
                  </w:r>
                </w:p>
              </w:tc>
              <w:tc>
                <w:tcPr>
                  <w:tcW w:w="682" w:type="pct"/>
                  <w:vAlign w:val="center"/>
                </w:tcPr>
                <w:p w14:paraId="190D10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45" w:type="pct"/>
                  <w:vAlign w:val="center"/>
                </w:tcPr>
                <w:p w14:paraId="53A83E81">
                  <w:pPr>
                    <w:jc w:val="center"/>
                    <w:rPr>
                      <w:rFonts w:hint="default"/>
                      <w:color w:val="auto"/>
                      <w:lang w:val="en-US" w:eastAsia="zh-CN"/>
                    </w:rPr>
                  </w:pPr>
                  <w:r>
                    <w:rPr>
                      <w:rFonts w:hint="default"/>
                      <w:color w:val="auto"/>
                      <w:lang w:val="en-US" w:eastAsia="zh-CN"/>
                    </w:rPr>
                    <w:t>115200</w:t>
                  </w:r>
                </w:p>
              </w:tc>
              <w:tc>
                <w:tcPr>
                  <w:tcW w:w="796" w:type="pct"/>
                  <w:vMerge w:val="continue"/>
                  <w:vAlign w:val="center"/>
                </w:tcPr>
                <w:p w14:paraId="367094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c>
                <w:tcPr>
                  <w:tcW w:w="698" w:type="pct"/>
                  <w:vMerge w:val="continue"/>
                  <w:vAlign w:val="center"/>
                </w:tcPr>
                <w:p w14:paraId="3673D2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szCs w:val="21"/>
                    </w:rPr>
                  </w:pPr>
                </w:p>
              </w:tc>
            </w:tr>
          </w:tbl>
          <w:p w14:paraId="367E26A5">
            <w:pPr>
              <w:adjustRightInd w:val="0"/>
              <w:snapToGrid w:val="0"/>
              <w:spacing w:before="120" w:beforeLines="50" w:line="360" w:lineRule="auto"/>
              <w:ind w:firstLine="482" w:firstLineChars="200"/>
              <w:rPr>
                <w:b/>
                <w:bCs/>
                <w:color w:val="auto"/>
                <w:sz w:val="24"/>
              </w:rPr>
            </w:pPr>
            <w:r>
              <w:rPr>
                <w:rFonts w:hint="eastAsia"/>
                <w:b/>
                <w:bCs/>
                <w:color w:val="auto"/>
                <w:sz w:val="24"/>
              </w:rPr>
              <w:t>5、主要原辅材料种类和用量</w:t>
            </w:r>
          </w:p>
          <w:p w14:paraId="0F8A5A25">
            <w:pPr>
              <w:adjustRightInd w:val="0"/>
              <w:snapToGrid w:val="0"/>
              <w:spacing w:line="360" w:lineRule="auto"/>
              <w:ind w:left="525" w:leftChars="250"/>
              <w:rPr>
                <w:color w:val="auto"/>
                <w:sz w:val="24"/>
              </w:rPr>
            </w:pPr>
            <w:r>
              <w:rPr>
                <w:rFonts w:hint="eastAsia" w:cs="宋体"/>
                <w:color w:val="auto"/>
                <w:kern w:val="0"/>
                <w:sz w:val="24"/>
                <w:lang w:bidi="ar"/>
              </w:rPr>
              <w:t>本项目主要原辅材料消耗情况见表2-</w:t>
            </w:r>
            <w:r>
              <w:rPr>
                <w:rFonts w:hint="eastAsia" w:cs="宋体"/>
                <w:color w:val="auto"/>
                <w:kern w:val="0"/>
                <w:sz w:val="24"/>
                <w:lang w:val="en-US" w:eastAsia="zh-CN" w:bidi="ar"/>
              </w:rPr>
              <w:t>5</w:t>
            </w:r>
            <w:r>
              <w:rPr>
                <w:rFonts w:hint="eastAsia" w:cs="宋体"/>
                <w:color w:val="auto"/>
                <w:kern w:val="0"/>
                <w:sz w:val="24"/>
                <w:lang w:bidi="ar"/>
              </w:rPr>
              <w:t>。</w:t>
            </w:r>
          </w:p>
          <w:p w14:paraId="012D6EB6">
            <w:pPr>
              <w:widowControl/>
              <w:jc w:val="center"/>
              <w:rPr>
                <w:rFonts w:cs="宋体"/>
                <w:b/>
                <w:bCs/>
                <w:color w:val="auto"/>
                <w:kern w:val="0"/>
                <w:sz w:val="24"/>
                <w:lang w:bidi="ar"/>
              </w:rPr>
            </w:pPr>
            <w:r>
              <w:rPr>
                <w:rFonts w:hint="eastAsia" w:cs="宋体"/>
                <w:b/>
                <w:bCs/>
                <w:color w:val="auto"/>
                <w:kern w:val="0"/>
                <w:sz w:val="24"/>
                <w:lang w:bidi="ar"/>
              </w:rPr>
              <w:t>表</w:t>
            </w:r>
            <w:r>
              <w:rPr>
                <w:b/>
                <w:bCs/>
                <w:color w:val="auto"/>
                <w:kern w:val="0"/>
                <w:sz w:val="24"/>
                <w:lang w:bidi="ar"/>
              </w:rPr>
              <w:t>2-</w:t>
            </w:r>
            <w:r>
              <w:rPr>
                <w:rFonts w:hint="eastAsia"/>
                <w:b/>
                <w:bCs/>
                <w:color w:val="auto"/>
                <w:kern w:val="0"/>
                <w:sz w:val="24"/>
                <w:lang w:val="en-US" w:eastAsia="zh-CN" w:bidi="ar"/>
              </w:rPr>
              <w:t>5</w:t>
            </w:r>
            <w:r>
              <w:rPr>
                <w:rFonts w:hint="eastAsia"/>
                <w:b/>
                <w:bCs/>
                <w:color w:val="auto"/>
                <w:kern w:val="0"/>
                <w:sz w:val="24"/>
                <w:lang w:bidi="ar"/>
              </w:rPr>
              <w:t>主要</w:t>
            </w:r>
            <w:r>
              <w:rPr>
                <w:rFonts w:hint="eastAsia" w:cs="宋体"/>
                <w:b/>
                <w:bCs/>
                <w:color w:val="auto"/>
                <w:kern w:val="0"/>
                <w:sz w:val="24"/>
                <w:lang w:bidi="ar"/>
              </w:rPr>
              <w:t>原辅材料消耗情况表</w:t>
            </w:r>
          </w:p>
          <w:tbl>
            <w:tblPr>
              <w:tblStyle w:val="24"/>
              <w:tblpPr w:leftFromText="180" w:rightFromText="180" w:vertAnchor="text" w:tblpXSpec="center" w:tblpY="1"/>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12"/>
              <w:gridCol w:w="1003"/>
              <w:gridCol w:w="705"/>
              <w:gridCol w:w="1109"/>
              <w:gridCol w:w="845"/>
              <w:gridCol w:w="835"/>
              <w:gridCol w:w="897"/>
              <w:gridCol w:w="1060"/>
              <w:gridCol w:w="1189"/>
            </w:tblGrid>
            <w:tr w14:paraId="6FF2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43" w:type="pct"/>
                  <w:shd w:val="clear" w:color="auto" w:fill="auto"/>
                  <w:vAlign w:val="center"/>
                </w:tcPr>
                <w:p w14:paraId="2E60869F">
                  <w:pPr>
                    <w:pStyle w:val="63"/>
                    <w:rPr>
                      <w:b/>
                      <w:bCs/>
                      <w:color w:val="auto"/>
                    </w:rPr>
                  </w:pPr>
                  <w:r>
                    <w:rPr>
                      <w:b/>
                      <w:bCs/>
                      <w:color w:val="auto"/>
                    </w:rPr>
                    <w:t>序号</w:t>
                  </w:r>
                </w:p>
              </w:tc>
              <w:tc>
                <w:tcPr>
                  <w:tcW w:w="677" w:type="pct"/>
                  <w:shd w:val="clear" w:color="auto" w:fill="auto"/>
                  <w:vAlign w:val="center"/>
                </w:tcPr>
                <w:p w14:paraId="422B1693">
                  <w:pPr>
                    <w:pStyle w:val="63"/>
                    <w:rPr>
                      <w:b/>
                      <w:bCs/>
                      <w:color w:val="auto"/>
                    </w:rPr>
                  </w:pPr>
                  <w:r>
                    <w:rPr>
                      <w:b/>
                      <w:bCs/>
                      <w:color w:val="auto"/>
                    </w:rPr>
                    <w:t>原辅材料名称</w:t>
                  </w:r>
                </w:p>
              </w:tc>
              <w:tc>
                <w:tcPr>
                  <w:tcW w:w="555" w:type="pct"/>
                  <w:shd w:val="clear" w:color="auto" w:fill="auto"/>
                  <w:vAlign w:val="center"/>
                </w:tcPr>
                <w:p w14:paraId="31DB5EB9">
                  <w:pPr>
                    <w:pStyle w:val="63"/>
                    <w:rPr>
                      <w:b/>
                      <w:bCs/>
                      <w:color w:val="auto"/>
                    </w:rPr>
                  </w:pPr>
                  <w:r>
                    <w:rPr>
                      <w:rFonts w:hint="eastAsia"/>
                      <w:b/>
                      <w:bCs/>
                      <w:color w:val="auto"/>
                    </w:rPr>
                    <w:t>主要成分</w:t>
                  </w:r>
                </w:p>
              </w:tc>
              <w:tc>
                <w:tcPr>
                  <w:tcW w:w="395" w:type="pct"/>
                  <w:shd w:val="clear" w:color="auto" w:fill="auto"/>
                  <w:vAlign w:val="center"/>
                </w:tcPr>
                <w:p w14:paraId="2D205B9E">
                  <w:pPr>
                    <w:pStyle w:val="63"/>
                    <w:rPr>
                      <w:b/>
                      <w:bCs/>
                      <w:color w:val="auto"/>
                    </w:rPr>
                  </w:pPr>
                  <w:r>
                    <w:rPr>
                      <w:b/>
                      <w:bCs/>
                      <w:color w:val="auto"/>
                    </w:rPr>
                    <w:t>形态</w:t>
                  </w:r>
                </w:p>
              </w:tc>
              <w:tc>
                <w:tcPr>
                  <w:tcW w:w="456" w:type="pct"/>
                  <w:shd w:val="clear" w:color="auto" w:fill="auto"/>
                  <w:vAlign w:val="center"/>
                </w:tcPr>
                <w:p w14:paraId="44FE2900">
                  <w:pPr>
                    <w:pStyle w:val="63"/>
                    <w:rPr>
                      <w:b/>
                      <w:bCs/>
                      <w:color w:val="auto"/>
                    </w:rPr>
                  </w:pPr>
                  <w:r>
                    <w:rPr>
                      <w:rFonts w:hint="eastAsia"/>
                      <w:b/>
                      <w:bCs/>
                      <w:color w:val="auto"/>
                    </w:rPr>
                    <w:t>年用量</w:t>
                  </w:r>
                </w:p>
              </w:tc>
              <w:tc>
                <w:tcPr>
                  <w:tcW w:w="470" w:type="pct"/>
                  <w:shd w:val="clear" w:color="auto" w:fill="auto"/>
                  <w:vAlign w:val="center"/>
                </w:tcPr>
                <w:p w14:paraId="13534E11">
                  <w:pPr>
                    <w:pStyle w:val="63"/>
                    <w:rPr>
                      <w:b/>
                      <w:bCs/>
                      <w:color w:val="auto"/>
                    </w:rPr>
                  </w:pPr>
                  <w:r>
                    <w:rPr>
                      <w:rFonts w:hint="eastAsia"/>
                      <w:b/>
                      <w:bCs/>
                      <w:color w:val="auto"/>
                    </w:rPr>
                    <w:t>最大存储量</w:t>
                  </w:r>
                </w:p>
              </w:tc>
              <w:tc>
                <w:tcPr>
                  <w:tcW w:w="465" w:type="pct"/>
                  <w:shd w:val="clear" w:color="auto" w:fill="auto"/>
                  <w:vAlign w:val="center"/>
                </w:tcPr>
                <w:p w14:paraId="18A71120">
                  <w:pPr>
                    <w:pStyle w:val="63"/>
                    <w:rPr>
                      <w:b/>
                      <w:bCs/>
                      <w:color w:val="auto"/>
                    </w:rPr>
                  </w:pPr>
                  <w:r>
                    <w:rPr>
                      <w:rFonts w:hint="eastAsia"/>
                      <w:b/>
                      <w:bCs/>
                      <w:color w:val="auto"/>
                    </w:rPr>
                    <w:t>单位</w:t>
                  </w:r>
                </w:p>
              </w:tc>
              <w:tc>
                <w:tcPr>
                  <w:tcW w:w="498" w:type="pct"/>
                  <w:shd w:val="clear" w:color="auto" w:fill="auto"/>
                  <w:vAlign w:val="center"/>
                </w:tcPr>
                <w:p w14:paraId="5B12CFAA">
                  <w:pPr>
                    <w:pStyle w:val="63"/>
                    <w:rPr>
                      <w:b/>
                      <w:bCs/>
                      <w:color w:val="auto"/>
                    </w:rPr>
                  </w:pPr>
                  <w:r>
                    <w:rPr>
                      <w:rFonts w:hint="eastAsia"/>
                      <w:b/>
                      <w:bCs/>
                      <w:color w:val="auto"/>
                    </w:rPr>
                    <w:t>来源</w:t>
                  </w:r>
                </w:p>
              </w:tc>
              <w:tc>
                <w:tcPr>
                  <w:tcW w:w="586" w:type="pct"/>
                  <w:shd w:val="clear" w:color="auto" w:fill="auto"/>
                  <w:vAlign w:val="center"/>
                </w:tcPr>
                <w:p w14:paraId="63397CE6">
                  <w:pPr>
                    <w:pStyle w:val="63"/>
                    <w:rPr>
                      <w:b/>
                      <w:bCs/>
                      <w:color w:val="auto"/>
                    </w:rPr>
                  </w:pPr>
                  <w:r>
                    <w:rPr>
                      <w:b/>
                      <w:bCs/>
                      <w:color w:val="auto"/>
                    </w:rPr>
                    <w:t>储存位置</w:t>
                  </w:r>
                </w:p>
              </w:tc>
              <w:tc>
                <w:tcPr>
                  <w:tcW w:w="649" w:type="pct"/>
                  <w:shd w:val="clear" w:color="auto" w:fill="auto"/>
                  <w:vAlign w:val="center"/>
                </w:tcPr>
                <w:p w14:paraId="47227345">
                  <w:pPr>
                    <w:pStyle w:val="63"/>
                    <w:rPr>
                      <w:b/>
                      <w:bCs/>
                      <w:color w:val="auto"/>
                    </w:rPr>
                  </w:pPr>
                  <w:r>
                    <w:rPr>
                      <w:rFonts w:hint="eastAsia"/>
                      <w:b/>
                      <w:bCs/>
                      <w:color w:val="auto"/>
                    </w:rPr>
                    <w:t>所属工序</w:t>
                  </w:r>
                </w:p>
              </w:tc>
            </w:tr>
            <w:tr w14:paraId="0779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5000" w:type="pct"/>
                  <w:gridSpan w:val="10"/>
                  <w:shd w:val="clear" w:color="auto" w:fill="auto"/>
                  <w:vAlign w:val="center"/>
                </w:tcPr>
                <w:p w14:paraId="0AAE2A82">
                  <w:pPr>
                    <w:rPr>
                      <w:color w:val="auto"/>
                      <w:szCs w:val="21"/>
                    </w:rPr>
                  </w:pPr>
                  <w:r>
                    <w:rPr>
                      <w:rFonts w:hint="eastAsia"/>
                      <w:color w:val="auto"/>
                      <w:szCs w:val="21"/>
                    </w:rPr>
                    <w:t>一、机加工</w:t>
                  </w:r>
                </w:p>
              </w:tc>
            </w:tr>
            <w:tr w14:paraId="49C5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43" w:type="pct"/>
                  <w:shd w:val="clear" w:color="auto" w:fill="auto"/>
                  <w:vAlign w:val="center"/>
                </w:tcPr>
                <w:p w14:paraId="47DF32F1">
                  <w:pPr>
                    <w:pStyle w:val="63"/>
                    <w:rPr>
                      <w:color w:val="auto"/>
                    </w:rPr>
                  </w:pPr>
                  <w:r>
                    <w:rPr>
                      <w:rFonts w:hint="eastAsia"/>
                      <w:color w:val="auto"/>
                    </w:rPr>
                    <w:t>1</w:t>
                  </w:r>
                </w:p>
              </w:tc>
              <w:tc>
                <w:tcPr>
                  <w:tcW w:w="677" w:type="pct"/>
                  <w:shd w:val="clear" w:color="auto" w:fill="auto"/>
                  <w:vAlign w:val="center"/>
                </w:tcPr>
                <w:p w14:paraId="2C0F454D">
                  <w:pPr>
                    <w:jc w:val="center"/>
                    <w:rPr>
                      <w:color w:val="auto"/>
                      <w:szCs w:val="21"/>
                    </w:rPr>
                  </w:pPr>
                  <w:r>
                    <w:rPr>
                      <w:rFonts w:hint="eastAsia"/>
                      <w:color w:val="auto"/>
                      <w:szCs w:val="21"/>
                    </w:rPr>
                    <w:t>钕铁硼毛坯料</w:t>
                  </w:r>
                </w:p>
              </w:tc>
              <w:tc>
                <w:tcPr>
                  <w:tcW w:w="555" w:type="pct"/>
                  <w:shd w:val="clear" w:color="auto" w:fill="auto"/>
                  <w:vAlign w:val="center"/>
                </w:tcPr>
                <w:p w14:paraId="66CB1FEC">
                  <w:pPr>
                    <w:pStyle w:val="63"/>
                    <w:rPr>
                      <w:color w:val="auto"/>
                    </w:rPr>
                  </w:pPr>
                  <w:r>
                    <w:rPr>
                      <w:rFonts w:hint="eastAsia"/>
                      <w:color w:val="auto"/>
                    </w:rPr>
                    <w:t>/</w:t>
                  </w:r>
                </w:p>
              </w:tc>
              <w:tc>
                <w:tcPr>
                  <w:tcW w:w="395" w:type="pct"/>
                  <w:shd w:val="clear" w:color="auto" w:fill="auto"/>
                  <w:vAlign w:val="center"/>
                </w:tcPr>
                <w:p w14:paraId="5922EE46">
                  <w:pPr>
                    <w:pStyle w:val="63"/>
                    <w:rPr>
                      <w:color w:val="auto"/>
                    </w:rPr>
                  </w:pPr>
                  <w:r>
                    <w:rPr>
                      <w:rFonts w:hint="eastAsia"/>
                      <w:color w:val="auto"/>
                    </w:rPr>
                    <w:t>固态</w:t>
                  </w:r>
                </w:p>
              </w:tc>
              <w:tc>
                <w:tcPr>
                  <w:tcW w:w="456" w:type="pct"/>
                  <w:shd w:val="clear" w:color="auto" w:fill="auto"/>
                  <w:vAlign w:val="center"/>
                </w:tcPr>
                <w:p w14:paraId="026D9E61">
                  <w:pPr>
                    <w:pStyle w:val="63"/>
                    <w:rPr>
                      <w:color w:val="auto"/>
                    </w:rPr>
                  </w:pPr>
                  <w:r>
                    <w:rPr>
                      <w:rFonts w:hint="eastAsia"/>
                      <w:color w:val="auto"/>
                    </w:rPr>
                    <w:t>6000</w:t>
                  </w:r>
                </w:p>
              </w:tc>
              <w:tc>
                <w:tcPr>
                  <w:tcW w:w="470" w:type="pct"/>
                  <w:shd w:val="clear" w:color="auto" w:fill="auto"/>
                  <w:vAlign w:val="center"/>
                </w:tcPr>
                <w:p w14:paraId="15DB3E33">
                  <w:pPr>
                    <w:pStyle w:val="63"/>
                    <w:rPr>
                      <w:color w:val="auto"/>
                    </w:rPr>
                  </w:pPr>
                  <w:r>
                    <w:rPr>
                      <w:rFonts w:hint="eastAsia"/>
                      <w:color w:val="auto"/>
                    </w:rPr>
                    <w:t>600</w:t>
                  </w:r>
                </w:p>
              </w:tc>
              <w:tc>
                <w:tcPr>
                  <w:tcW w:w="465" w:type="pct"/>
                  <w:shd w:val="clear" w:color="auto" w:fill="auto"/>
                  <w:vAlign w:val="center"/>
                </w:tcPr>
                <w:p w14:paraId="7587EF96">
                  <w:pPr>
                    <w:jc w:val="center"/>
                    <w:rPr>
                      <w:color w:val="auto"/>
                      <w:szCs w:val="21"/>
                    </w:rPr>
                  </w:pPr>
                  <w:r>
                    <w:rPr>
                      <w:rFonts w:hint="eastAsia" w:cs="仿宋"/>
                      <w:color w:val="auto"/>
                      <w:szCs w:val="21"/>
                    </w:rPr>
                    <w:t>吨</w:t>
                  </w:r>
                </w:p>
              </w:tc>
              <w:tc>
                <w:tcPr>
                  <w:tcW w:w="498" w:type="pct"/>
                  <w:shd w:val="clear" w:color="auto" w:fill="auto"/>
                  <w:vAlign w:val="center"/>
                </w:tcPr>
                <w:p w14:paraId="22D8423C">
                  <w:pPr>
                    <w:snapToGrid w:val="0"/>
                    <w:jc w:val="center"/>
                    <w:rPr>
                      <w:rFonts w:cs="仿宋"/>
                      <w:color w:val="auto"/>
                      <w:szCs w:val="21"/>
                    </w:rPr>
                  </w:pPr>
                  <w:r>
                    <w:rPr>
                      <w:rFonts w:hint="eastAsia" w:cs="仿宋"/>
                      <w:color w:val="auto"/>
                      <w:szCs w:val="21"/>
                    </w:rPr>
                    <w:t>金力永磁供给</w:t>
                  </w:r>
                </w:p>
              </w:tc>
              <w:tc>
                <w:tcPr>
                  <w:tcW w:w="586" w:type="pct"/>
                  <w:shd w:val="clear" w:color="auto" w:fill="auto"/>
                  <w:vAlign w:val="center"/>
                </w:tcPr>
                <w:p w14:paraId="0326E4CD">
                  <w:pPr>
                    <w:jc w:val="center"/>
                    <w:rPr>
                      <w:color w:val="auto"/>
                      <w:szCs w:val="21"/>
                    </w:rPr>
                  </w:pPr>
                  <w:r>
                    <w:rPr>
                      <w:rFonts w:hint="eastAsia"/>
                      <w:color w:val="auto"/>
                      <w:szCs w:val="21"/>
                    </w:rPr>
                    <w:t>1#仓库/现场存放</w:t>
                  </w:r>
                </w:p>
              </w:tc>
              <w:tc>
                <w:tcPr>
                  <w:tcW w:w="649" w:type="pct"/>
                  <w:shd w:val="clear" w:color="auto" w:fill="auto"/>
                  <w:vAlign w:val="center"/>
                </w:tcPr>
                <w:p w14:paraId="54852119">
                  <w:pPr>
                    <w:jc w:val="center"/>
                    <w:rPr>
                      <w:color w:val="auto"/>
                      <w:szCs w:val="21"/>
                    </w:rPr>
                  </w:pPr>
                  <w:r>
                    <w:rPr>
                      <w:rFonts w:hint="eastAsia"/>
                      <w:color w:val="auto"/>
                      <w:szCs w:val="21"/>
                    </w:rPr>
                    <w:t>毛坯原料</w:t>
                  </w:r>
                </w:p>
              </w:tc>
            </w:tr>
            <w:tr w14:paraId="466C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47F8AE66">
                  <w:pPr>
                    <w:pStyle w:val="63"/>
                    <w:rPr>
                      <w:color w:val="auto"/>
                    </w:rPr>
                  </w:pPr>
                  <w:r>
                    <w:rPr>
                      <w:rFonts w:hint="eastAsia"/>
                      <w:color w:val="auto"/>
                    </w:rPr>
                    <w:t>2</w:t>
                  </w:r>
                </w:p>
              </w:tc>
              <w:tc>
                <w:tcPr>
                  <w:tcW w:w="677" w:type="pct"/>
                  <w:shd w:val="clear" w:color="auto" w:fill="auto"/>
                  <w:vAlign w:val="center"/>
                </w:tcPr>
                <w:p w14:paraId="5DB8F5DA">
                  <w:pPr>
                    <w:snapToGrid w:val="0"/>
                    <w:jc w:val="center"/>
                    <w:rPr>
                      <w:rFonts w:cs="仿宋"/>
                      <w:color w:val="auto"/>
                      <w:szCs w:val="21"/>
                    </w:rPr>
                  </w:pPr>
                  <w:r>
                    <w:rPr>
                      <w:rFonts w:hint="eastAsia" w:cs="仿宋"/>
                      <w:color w:val="auto"/>
                      <w:szCs w:val="21"/>
                    </w:rPr>
                    <w:t>水基切割液</w:t>
                  </w:r>
                </w:p>
              </w:tc>
              <w:tc>
                <w:tcPr>
                  <w:tcW w:w="555" w:type="pct"/>
                  <w:shd w:val="clear" w:color="auto" w:fill="auto"/>
                  <w:vAlign w:val="center"/>
                </w:tcPr>
                <w:p w14:paraId="1AE36243">
                  <w:pPr>
                    <w:pStyle w:val="63"/>
                    <w:rPr>
                      <w:rFonts w:hint="default" w:eastAsia="宋体"/>
                      <w:color w:val="auto"/>
                      <w:lang w:val="en-US" w:eastAsia="zh-CN"/>
                    </w:rPr>
                  </w:pPr>
                  <w:r>
                    <w:rPr>
                      <w:rFonts w:hint="eastAsia"/>
                      <w:color w:val="auto"/>
                      <w:lang w:val="en-US" w:eastAsia="zh-CN"/>
                    </w:rPr>
                    <w:t>有机酸/表面活性剂、水等</w:t>
                  </w:r>
                </w:p>
              </w:tc>
              <w:tc>
                <w:tcPr>
                  <w:tcW w:w="395" w:type="pct"/>
                  <w:shd w:val="clear" w:color="auto" w:fill="auto"/>
                  <w:vAlign w:val="center"/>
                </w:tcPr>
                <w:p w14:paraId="1090F46D">
                  <w:pPr>
                    <w:pStyle w:val="63"/>
                    <w:rPr>
                      <w:color w:val="auto"/>
                    </w:rPr>
                  </w:pPr>
                  <w:r>
                    <w:rPr>
                      <w:rFonts w:hint="eastAsia"/>
                      <w:color w:val="auto"/>
                    </w:rPr>
                    <w:t>液态</w:t>
                  </w:r>
                </w:p>
              </w:tc>
              <w:tc>
                <w:tcPr>
                  <w:tcW w:w="456" w:type="pct"/>
                  <w:shd w:val="clear" w:color="auto" w:fill="auto"/>
                  <w:vAlign w:val="center"/>
                </w:tcPr>
                <w:p w14:paraId="19C9C10C">
                  <w:pPr>
                    <w:jc w:val="center"/>
                    <w:rPr>
                      <w:color w:val="auto"/>
                      <w:szCs w:val="21"/>
                    </w:rPr>
                  </w:pPr>
                  <w:r>
                    <w:rPr>
                      <w:color w:val="auto"/>
                      <w:szCs w:val="21"/>
                    </w:rPr>
                    <w:t>108</w:t>
                  </w:r>
                </w:p>
              </w:tc>
              <w:tc>
                <w:tcPr>
                  <w:tcW w:w="470" w:type="pct"/>
                  <w:shd w:val="clear" w:color="auto" w:fill="auto"/>
                  <w:vAlign w:val="center"/>
                </w:tcPr>
                <w:p w14:paraId="0BF5F029">
                  <w:pPr>
                    <w:jc w:val="center"/>
                    <w:rPr>
                      <w:color w:val="auto"/>
                      <w:szCs w:val="21"/>
                    </w:rPr>
                  </w:pPr>
                  <w:r>
                    <w:rPr>
                      <w:rFonts w:hint="eastAsia"/>
                      <w:color w:val="auto"/>
                      <w:szCs w:val="21"/>
                    </w:rPr>
                    <w:t>5</w:t>
                  </w:r>
                </w:p>
              </w:tc>
              <w:tc>
                <w:tcPr>
                  <w:tcW w:w="465" w:type="pct"/>
                  <w:shd w:val="clear" w:color="auto" w:fill="auto"/>
                  <w:vAlign w:val="center"/>
                </w:tcPr>
                <w:p w14:paraId="1A89A7B1">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6FD93A70">
                  <w:pPr>
                    <w:snapToGrid w:val="0"/>
                    <w:jc w:val="center"/>
                    <w:rPr>
                      <w:rFonts w:cs="仿宋"/>
                      <w:color w:val="auto"/>
                      <w:szCs w:val="21"/>
                    </w:rPr>
                  </w:pPr>
                  <w:r>
                    <w:rPr>
                      <w:rFonts w:hint="eastAsia" w:cs="仿宋"/>
                      <w:color w:val="auto"/>
                      <w:szCs w:val="21"/>
                    </w:rPr>
                    <w:t>金力永磁供给</w:t>
                  </w:r>
                </w:p>
              </w:tc>
              <w:tc>
                <w:tcPr>
                  <w:tcW w:w="586" w:type="pct"/>
                  <w:shd w:val="clear" w:color="auto" w:fill="auto"/>
                  <w:vAlign w:val="center"/>
                </w:tcPr>
                <w:p w14:paraId="7FC99C9C">
                  <w:pPr>
                    <w:jc w:val="center"/>
                    <w:rPr>
                      <w:color w:val="auto"/>
                      <w:szCs w:val="21"/>
                    </w:rPr>
                  </w:pPr>
                  <w:r>
                    <w:rPr>
                      <w:rFonts w:hint="eastAsia"/>
                      <w:color w:val="auto"/>
                      <w:szCs w:val="21"/>
                    </w:rPr>
                    <w:t>1#仓库</w:t>
                  </w:r>
                </w:p>
              </w:tc>
              <w:tc>
                <w:tcPr>
                  <w:tcW w:w="649" w:type="pct"/>
                  <w:shd w:val="clear" w:color="auto" w:fill="auto"/>
                  <w:vAlign w:val="center"/>
                </w:tcPr>
                <w:p w14:paraId="345E7EAA">
                  <w:pPr>
                    <w:snapToGrid w:val="0"/>
                    <w:jc w:val="center"/>
                    <w:rPr>
                      <w:rFonts w:cs="仿宋"/>
                      <w:color w:val="auto"/>
                      <w:szCs w:val="21"/>
                    </w:rPr>
                  </w:pPr>
                  <w:r>
                    <w:rPr>
                      <w:rFonts w:hint="eastAsia" w:cs="仿宋"/>
                      <w:color w:val="auto"/>
                      <w:szCs w:val="21"/>
                    </w:rPr>
                    <w:t>多线切割</w:t>
                  </w:r>
                </w:p>
              </w:tc>
            </w:tr>
            <w:tr w14:paraId="5117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43" w:type="pct"/>
                  <w:shd w:val="clear" w:color="auto" w:fill="auto"/>
                  <w:vAlign w:val="center"/>
                </w:tcPr>
                <w:p w14:paraId="09BAF69E">
                  <w:pPr>
                    <w:pStyle w:val="63"/>
                    <w:rPr>
                      <w:color w:val="auto"/>
                    </w:rPr>
                  </w:pPr>
                  <w:r>
                    <w:rPr>
                      <w:rFonts w:hint="eastAsia"/>
                      <w:color w:val="auto"/>
                    </w:rPr>
                    <w:t>3</w:t>
                  </w:r>
                </w:p>
              </w:tc>
              <w:tc>
                <w:tcPr>
                  <w:tcW w:w="677" w:type="pct"/>
                  <w:shd w:val="clear" w:color="auto" w:fill="auto"/>
                  <w:vAlign w:val="center"/>
                </w:tcPr>
                <w:p w14:paraId="60BF61BA">
                  <w:pPr>
                    <w:snapToGrid w:val="0"/>
                    <w:jc w:val="center"/>
                    <w:rPr>
                      <w:rFonts w:cs="仿宋"/>
                      <w:color w:val="auto"/>
                      <w:szCs w:val="21"/>
                    </w:rPr>
                  </w:pPr>
                  <w:r>
                    <w:rPr>
                      <w:rFonts w:hint="eastAsia" w:cs="仿宋"/>
                      <w:color w:val="auto"/>
                      <w:szCs w:val="21"/>
                    </w:rPr>
                    <w:t>清洗剂</w:t>
                  </w:r>
                </w:p>
              </w:tc>
              <w:tc>
                <w:tcPr>
                  <w:tcW w:w="555" w:type="pct"/>
                  <w:shd w:val="clear" w:color="auto" w:fill="auto"/>
                  <w:vAlign w:val="center"/>
                </w:tcPr>
                <w:p w14:paraId="48704D05">
                  <w:pPr>
                    <w:pStyle w:val="63"/>
                    <w:rPr>
                      <w:color w:val="auto"/>
                    </w:rPr>
                  </w:pPr>
                  <w:r>
                    <w:rPr>
                      <w:rFonts w:hint="eastAsia"/>
                      <w:color w:val="auto"/>
                    </w:rPr>
                    <w:t>柠檬酸钠等</w:t>
                  </w:r>
                </w:p>
              </w:tc>
              <w:tc>
                <w:tcPr>
                  <w:tcW w:w="395" w:type="pct"/>
                  <w:shd w:val="clear" w:color="auto" w:fill="auto"/>
                  <w:vAlign w:val="center"/>
                </w:tcPr>
                <w:p w14:paraId="55137419">
                  <w:pPr>
                    <w:pStyle w:val="63"/>
                    <w:rPr>
                      <w:color w:val="auto"/>
                    </w:rPr>
                  </w:pPr>
                  <w:r>
                    <w:rPr>
                      <w:rFonts w:hint="eastAsia"/>
                      <w:color w:val="auto"/>
                    </w:rPr>
                    <w:t>固态</w:t>
                  </w:r>
                </w:p>
              </w:tc>
              <w:tc>
                <w:tcPr>
                  <w:tcW w:w="456" w:type="pct"/>
                  <w:shd w:val="clear" w:color="auto" w:fill="auto"/>
                  <w:vAlign w:val="center"/>
                </w:tcPr>
                <w:p w14:paraId="2A263EE4">
                  <w:pPr>
                    <w:jc w:val="center"/>
                    <w:rPr>
                      <w:color w:val="auto"/>
                      <w:szCs w:val="21"/>
                    </w:rPr>
                  </w:pPr>
                  <w:r>
                    <w:rPr>
                      <w:color w:val="auto"/>
                      <w:szCs w:val="21"/>
                    </w:rPr>
                    <w:t>7.5</w:t>
                  </w:r>
                </w:p>
              </w:tc>
              <w:tc>
                <w:tcPr>
                  <w:tcW w:w="470" w:type="pct"/>
                  <w:shd w:val="clear" w:color="auto" w:fill="auto"/>
                  <w:vAlign w:val="center"/>
                </w:tcPr>
                <w:p w14:paraId="1CBA48A4">
                  <w:pPr>
                    <w:jc w:val="center"/>
                    <w:rPr>
                      <w:color w:val="auto"/>
                      <w:szCs w:val="21"/>
                    </w:rPr>
                  </w:pPr>
                  <w:r>
                    <w:rPr>
                      <w:rFonts w:hint="eastAsia"/>
                      <w:color w:val="auto"/>
                      <w:szCs w:val="21"/>
                    </w:rPr>
                    <w:t>0.3</w:t>
                  </w:r>
                </w:p>
              </w:tc>
              <w:tc>
                <w:tcPr>
                  <w:tcW w:w="465" w:type="pct"/>
                  <w:shd w:val="clear" w:color="auto" w:fill="auto"/>
                  <w:vAlign w:val="center"/>
                </w:tcPr>
                <w:p w14:paraId="683A8742">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1201BD6B">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03C28CDC">
                  <w:pPr>
                    <w:jc w:val="center"/>
                    <w:rPr>
                      <w:color w:val="auto"/>
                      <w:szCs w:val="21"/>
                    </w:rPr>
                  </w:pPr>
                  <w:r>
                    <w:rPr>
                      <w:rFonts w:hint="eastAsia"/>
                      <w:color w:val="auto"/>
                      <w:szCs w:val="21"/>
                    </w:rPr>
                    <w:t>1#仓库</w:t>
                  </w:r>
                </w:p>
              </w:tc>
              <w:tc>
                <w:tcPr>
                  <w:tcW w:w="649" w:type="pct"/>
                  <w:shd w:val="clear" w:color="auto" w:fill="auto"/>
                  <w:vAlign w:val="center"/>
                </w:tcPr>
                <w:p w14:paraId="145A6285">
                  <w:pPr>
                    <w:snapToGrid w:val="0"/>
                    <w:jc w:val="center"/>
                    <w:rPr>
                      <w:rFonts w:cs="仿宋"/>
                      <w:color w:val="auto"/>
                      <w:szCs w:val="21"/>
                    </w:rPr>
                  </w:pPr>
                  <w:r>
                    <w:rPr>
                      <w:rFonts w:hint="eastAsia" w:cs="仿宋"/>
                      <w:color w:val="auto"/>
                      <w:szCs w:val="21"/>
                    </w:rPr>
                    <w:t>清洗</w:t>
                  </w:r>
                </w:p>
              </w:tc>
            </w:tr>
            <w:tr w14:paraId="5DCC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43" w:type="pct"/>
                  <w:shd w:val="clear" w:color="auto" w:fill="auto"/>
                  <w:vAlign w:val="center"/>
                </w:tcPr>
                <w:p w14:paraId="22F612E7">
                  <w:pPr>
                    <w:pStyle w:val="63"/>
                    <w:rPr>
                      <w:color w:val="auto"/>
                    </w:rPr>
                  </w:pPr>
                  <w:r>
                    <w:rPr>
                      <w:rFonts w:hint="eastAsia"/>
                      <w:color w:val="auto"/>
                    </w:rPr>
                    <w:t>4</w:t>
                  </w:r>
                </w:p>
              </w:tc>
              <w:tc>
                <w:tcPr>
                  <w:tcW w:w="677" w:type="pct"/>
                  <w:shd w:val="clear" w:color="auto" w:fill="auto"/>
                  <w:vAlign w:val="center"/>
                </w:tcPr>
                <w:p w14:paraId="604FB83D">
                  <w:pPr>
                    <w:snapToGrid w:val="0"/>
                    <w:jc w:val="center"/>
                    <w:rPr>
                      <w:rFonts w:cs="仿宋"/>
                      <w:color w:val="auto"/>
                      <w:szCs w:val="21"/>
                    </w:rPr>
                  </w:pPr>
                  <w:r>
                    <w:rPr>
                      <w:rFonts w:hint="eastAsia" w:cs="仿宋"/>
                      <w:color w:val="auto"/>
                      <w:szCs w:val="21"/>
                    </w:rPr>
                    <w:t>片碱</w:t>
                  </w:r>
                </w:p>
              </w:tc>
              <w:tc>
                <w:tcPr>
                  <w:tcW w:w="555" w:type="pct"/>
                  <w:shd w:val="clear" w:color="auto" w:fill="auto"/>
                  <w:vAlign w:val="center"/>
                </w:tcPr>
                <w:p w14:paraId="2DC78398">
                  <w:pPr>
                    <w:pStyle w:val="63"/>
                    <w:rPr>
                      <w:color w:val="auto"/>
                    </w:rPr>
                  </w:pPr>
                  <w:r>
                    <w:rPr>
                      <w:rFonts w:hint="eastAsia"/>
                      <w:color w:val="auto"/>
                    </w:rPr>
                    <w:t>碱</w:t>
                  </w:r>
                </w:p>
              </w:tc>
              <w:tc>
                <w:tcPr>
                  <w:tcW w:w="395" w:type="pct"/>
                  <w:shd w:val="clear" w:color="auto" w:fill="auto"/>
                  <w:vAlign w:val="center"/>
                </w:tcPr>
                <w:p w14:paraId="2822E707">
                  <w:pPr>
                    <w:pStyle w:val="63"/>
                    <w:rPr>
                      <w:color w:val="auto"/>
                    </w:rPr>
                  </w:pPr>
                  <w:r>
                    <w:rPr>
                      <w:rFonts w:hint="eastAsia"/>
                      <w:color w:val="auto"/>
                    </w:rPr>
                    <w:t>固态</w:t>
                  </w:r>
                </w:p>
              </w:tc>
              <w:tc>
                <w:tcPr>
                  <w:tcW w:w="456" w:type="pct"/>
                  <w:shd w:val="clear" w:color="auto" w:fill="auto"/>
                  <w:vAlign w:val="center"/>
                </w:tcPr>
                <w:p w14:paraId="0355AB74">
                  <w:pPr>
                    <w:jc w:val="center"/>
                    <w:rPr>
                      <w:color w:val="auto"/>
                      <w:szCs w:val="21"/>
                    </w:rPr>
                  </w:pPr>
                  <w:r>
                    <w:rPr>
                      <w:color w:val="auto"/>
                      <w:szCs w:val="21"/>
                    </w:rPr>
                    <w:t>28</w:t>
                  </w:r>
                </w:p>
              </w:tc>
              <w:tc>
                <w:tcPr>
                  <w:tcW w:w="470" w:type="pct"/>
                  <w:shd w:val="clear" w:color="auto" w:fill="auto"/>
                  <w:vAlign w:val="center"/>
                </w:tcPr>
                <w:p w14:paraId="653C2BB7">
                  <w:pPr>
                    <w:jc w:val="center"/>
                    <w:rPr>
                      <w:color w:val="auto"/>
                      <w:szCs w:val="21"/>
                    </w:rPr>
                  </w:pPr>
                  <w:r>
                    <w:rPr>
                      <w:rFonts w:hint="eastAsia"/>
                      <w:color w:val="auto"/>
                      <w:szCs w:val="21"/>
                    </w:rPr>
                    <w:t>1.5</w:t>
                  </w:r>
                </w:p>
              </w:tc>
              <w:tc>
                <w:tcPr>
                  <w:tcW w:w="465" w:type="pct"/>
                  <w:shd w:val="clear" w:color="auto" w:fill="auto"/>
                  <w:vAlign w:val="center"/>
                </w:tcPr>
                <w:p w14:paraId="6AB857A4">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2B994D8C">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72450E66">
                  <w:pPr>
                    <w:jc w:val="center"/>
                    <w:rPr>
                      <w:color w:val="auto"/>
                      <w:szCs w:val="21"/>
                    </w:rPr>
                  </w:pPr>
                  <w:r>
                    <w:rPr>
                      <w:rFonts w:hint="eastAsia"/>
                      <w:color w:val="auto"/>
                      <w:szCs w:val="21"/>
                    </w:rPr>
                    <w:t>1#仓库</w:t>
                  </w:r>
                </w:p>
              </w:tc>
              <w:tc>
                <w:tcPr>
                  <w:tcW w:w="649" w:type="pct"/>
                  <w:shd w:val="clear" w:color="auto" w:fill="auto"/>
                  <w:vAlign w:val="center"/>
                </w:tcPr>
                <w:p w14:paraId="538F43D0">
                  <w:pPr>
                    <w:snapToGrid w:val="0"/>
                    <w:jc w:val="center"/>
                    <w:rPr>
                      <w:rFonts w:cs="仿宋"/>
                      <w:color w:val="auto"/>
                      <w:szCs w:val="21"/>
                    </w:rPr>
                  </w:pPr>
                  <w:r>
                    <w:rPr>
                      <w:rFonts w:hint="eastAsia" w:cs="仿宋"/>
                      <w:color w:val="auto"/>
                      <w:szCs w:val="21"/>
                    </w:rPr>
                    <w:t>清洗</w:t>
                  </w:r>
                </w:p>
              </w:tc>
            </w:tr>
            <w:tr w14:paraId="6763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0A375C85">
                  <w:pPr>
                    <w:pStyle w:val="63"/>
                    <w:rPr>
                      <w:color w:val="auto"/>
                    </w:rPr>
                  </w:pPr>
                  <w:r>
                    <w:rPr>
                      <w:rFonts w:hint="eastAsia"/>
                      <w:color w:val="auto"/>
                    </w:rPr>
                    <w:t>5</w:t>
                  </w:r>
                </w:p>
              </w:tc>
              <w:tc>
                <w:tcPr>
                  <w:tcW w:w="677" w:type="pct"/>
                  <w:shd w:val="clear" w:color="auto" w:fill="auto"/>
                  <w:vAlign w:val="center"/>
                </w:tcPr>
                <w:p w14:paraId="4EA706D4">
                  <w:pPr>
                    <w:snapToGrid w:val="0"/>
                    <w:jc w:val="center"/>
                    <w:rPr>
                      <w:rFonts w:cs="仿宋"/>
                      <w:color w:val="auto"/>
                      <w:szCs w:val="21"/>
                    </w:rPr>
                  </w:pPr>
                  <w:r>
                    <w:rPr>
                      <w:rFonts w:hint="eastAsia" w:cs="仿宋"/>
                      <w:color w:val="auto"/>
                      <w:szCs w:val="21"/>
                    </w:rPr>
                    <w:t>线轮绕线</w:t>
                  </w:r>
                </w:p>
              </w:tc>
              <w:tc>
                <w:tcPr>
                  <w:tcW w:w="555" w:type="pct"/>
                  <w:shd w:val="clear" w:color="auto" w:fill="auto"/>
                  <w:vAlign w:val="center"/>
                </w:tcPr>
                <w:p w14:paraId="6B1595BD">
                  <w:pPr>
                    <w:pStyle w:val="63"/>
                    <w:rPr>
                      <w:color w:val="auto"/>
                    </w:rPr>
                  </w:pPr>
                  <w:r>
                    <w:rPr>
                      <w:rFonts w:hint="eastAsia"/>
                      <w:color w:val="auto"/>
                    </w:rPr>
                    <w:t>/</w:t>
                  </w:r>
                </w:p>
              </w:tc>
              <w:tc>
                <w:tcPr>
                  <w:tcW w:w="395" w:type="pct"/>
                  <w:shd w:val="clear" w:color="auto" w:fill="auto"/>
                  <w:vAlign w:val="center"/>
                </w:tcPr>
                <w:p w14:paraId="49F6FE92">
                  <w:pPr>
                    <w:pStyle w:val="63"/>
                    <w:rPr>
                      <w:color w:val="auto"/>
                    </w:rPr>
                  </w:pPr>
                  <w:r>
                    <w:rPr>
                      <w:rFonts w:hint="eastAsia"/>
                      <w:color w:val="auto"/>
                    </w:rPr>
                    <w:t>固态</w:t>
                  </w:r>
                </w:p>
              </w:tc>
              <w:tc>
                <w:tcPr>
                  <w:tcW w:w="456" w:type="pct"/>
                  <w:shd w:val="clear" w:color="auto" w:fill="auto"/>
                  <w:vAlign w:val="center"/>
                </w:tcPr>
                <w:p w14:paraId="34F0B1F5">
                  <w:pPr>
                    <w:jc w:val="center"/>
                    <w:rPr>
                      <w:color w:val="auto"/>
                      <w:szCs w:val="21"/>
                    </w:rPr>
                  </w:pPr>
                  <w:r>
                    <w:rPr>
                      <w:color w:val="auto"/>
                      <w:szCs w:val="21"/>
                    </w:rPr>
                    <w:t>4000</w:t>
                  </w:r>
                </w:p>
              </w:tc>
              <w:tc>
                <w:tcPr>
                  <w:tcW w:w="470" w:type="pct"/>
                  <w:shd w:val="clear" w:color="auto" w:fill="auto"/>
                  <w:vAlign w:val="center"/>
                </w:tcPr>
                <w:p w14:paraId="046FE907">
                  <w:pPr>
                    <w:jc w:val="center"/>
                    <w:rPr>
                      <w:color w:val="auto"/>
                      <w:szCs w:val="21"/>
                    </w:rPr>
                  </w:pPr>
                  <w:r>
                    <w:rPr>
                      <w:rFonts w:hint="eastAsia"/>
                      <w:color w:val="auto"/>
                      <w:szCs w:val="21"/>
                    </w:rPr>
                    <w:t>170</w:t>
                  </w:r>
                </w:p>
              </w:tc>
              <w:tc>
                <w:tcPr>
                  <w:tcW w:w="465" w:type="pct"/>
                  <w:shd w:val="clear" w:color="auto" w:fill="auto"/>
                  <w:vAlign w:val="center"/>
                </w:tcPr>
                <w:p w14:paraId="74B9AD80">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58BFD582">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406A2ADC">
                  <w:pPr>
                    <w:jc w:val="center"/>
                    <w:rPr>
                      <w:color w:val="auto"/>
                      <w:szCs w:val="21"/>
                    </w:rPr>
                  </w:pPr>
                  <w:r>
                    <w:rPr>
                      <w:rFonts w:hint="eastAsia"/>
                      <w:color w:val="auto"/>
                      <w:szCs w:val="21"/>
                    </w:rPr>
                    <w:t>1#仓库</w:t>
                  </w:r>
                </w:p>
              </w:tc>
              <w:tc>
                <w:tcPr>
                  <w:tcW w:w="649" w:type="pct"/>
                  <w:shd w:val="clear" w:color="auto" w:fill="auto"/>
                  <w:vAlign w:val="center"/>
                </w:tcPr>
                <w:p w14:paraId="43A41A7F">
                  <w:pPr>
                    <w:snapToGrid w:val="0"/>
                    <w:jc w:val="center"/>
                    <w:rPr>
                      <w:rFonts w:cs="仿宋"/>
                      <w:color w:val="auto"/>
                      <w:szCs w:val="21"/>
                    </w:rPr>
                  </w:pPr>
                  <w:r>
                    <w:rPr>
                      <w:rFonts w:hint="eastAsia" w:cs="仿宋"/>
                      <w:color w:val="auto"/>
                      <w:szCs w:val="21"/>
                    </w:rPr>
                    <w:t>切割</w:t>
                  </w:r>
                </w:p>
              </w:tc>
            </w:tr>
            <w:tr w14:paraId="2403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6AD7473E">
                  <w:pPr>
                    <w:pStyle w:val="63"/>
                    <w:rPr>
                      <w:color w:val="auto"/>
                    </w:rPr>
                  </w:pPr>
                  <w:r>
                    <w:rPr>
                      <w:rFonts w:hint="eastAsia"/>
                      <w:color w:val="auto"/>
                    </w:rPr>
                    <w:t>6</w:t>
                  </w:r>
                </w:p>
              </w:tc>
              <w:tc>
                <w:tcPr>
                  <w:tcW w:w="677" w:type="pct"/>
                  <w:shd w:val="clear" w:color="auto" w:fill="auto"/>
                  <w:vAlign w:val="center"/>
                </w:tcPr>
                <w:p w14:paraId="68B1BE65">
                  <w:pPr>
                    <w:snapToGrid w:val="0"/>
                    <w:jc w:val="center"/>
                    <w:rPr>
                      <w:rFonts w:cs="仿宋"/>
                      <w:color w:val="auto"/>
                      <w:szCs w:val="21"/>
                    </w:rPr>
                  </w:pPr>
                  <w:r>
                    <w:rPr>
                      <w:rFonts w:hint="eastAsia" w:cs="仿宋"/>
                      <w:color w:val="auto"/>
                      <w:szCs w:val="21"/>
                    </w:rPr>
                    <w:t>大理石板</w:t>
                  </w:r>
                </w:p>
              </w:tc>
              <w:tc>
                <w:tcPr>
                  <w:tcW w:w="555" w:type="pct"/>
                  <w:shd w:val="clear" w:color="auto" w:fill="auto"/>
                  <w:vAlign w:val="center"/>
                </w:tcPr>
                <w:p w14:paraId="44EEC880">
                  <w:pPr>
                    <w:pStyle w:val="63"/>
                    <w:rPr>
                      <w:color w:val="auto"/>
                    </w:rPr>
                  </w:pPr>
                  <w:r>
                    <w:rPr>
                      <w:rFonts w:hint="eastAsia"/>
                      <w:color w:val="auto"/>
                    </w:rPr>
                    <w:t>/</w:t>
                  </w:r>
                </w:p>
              </w:tc>
              <w:tc>
                <w:tcPr>
                  <w:tcW w:w="395" w:type="pct"/>
                  <w:shd w:val="clear" w:color="auto" w:fill="auto"/>
                  <w:vAlign w:val="center"/>
                </w:tcPr>
                <w:p w14:paraId="12DA03B4">
                  <w:pPr>
                    <w:pStyle w:val="63"/>
                    <w:rPr>
                      <w:color w:val="auto"/>
                    </w:rPr>
                  </w:pPr>
                  <w:r>
                    <w:rPr>
                      <w:rFonts w:hint="eastAsia"/>
                      <w:color w:val="auto"/>
                    </w:rPr>
                    <w:t>固态</w:t>
                  </w:r>
                </w:p>
              </w:tc>
              <w:tc>
                <w:tcPr>
                  <w:tcW w:w="456" w:type="pct"/>
                  <w:shd w:val="clear" w:color="auto" w:fill="auto"/>
                  <w:vAlign w:val="center"/>
                </w:tcPr>
                <w:p w14:paraId="1D38D4E7">
                  <w:pPr>
                    <w:jc w:val="center"/>
                    <w:rPr>
                      <w:color w:val="auto"/>
                      <w:szCs w:val="21"/>
                    </w:rPr>
                  </w:pPr>
                  <w:r>
                    <w:rPr>
                      <w:rFonts w:hint="eastAsia"/>
                      <w:color w:val="auto"/>
                      <w:szCs w:val="21"/>
                    </w:rPr>
                    <w:t>790</w:t>
                  </w:r>
                </w:p>
              </w:tc>
              <w:tc>
                <w:tcPr>
                  <w:tcW w:w="470" w:type="pct"/>
                  <w:shd w:val="clear" w:color="auto" w:fill="auto"/>
                  <w:vAlign w:val="center"/>
                </w:tcPr>
                <w:p w14:paraId="1CAC528F">
                  <w:pPr>
                    <w:jc w:val="center"/>
                    <w:rPr>
                      <w:color w:val="auto"/>
                      <w:szCs w:val="21"/>
                    </w:rPr>
                  </w:pPr>
                  <w:r>
                    <w:rPr>
                      <w:rFonts w:hint="eastAsia"/>
                      <w:color w:val="auto"/>
                      <w:szCs w:val="21"/>
                    </w:rPr>
                    <w:t>33</w:t>
                  </w:r>
                </w:p>
              </w:tc>
              <w:tc>
                <w:tcPr>
                  <w:tcW w:w="465" w:type="pct"/>
                  <w:shd w:val="clear" w:color="auto" w:fill="auto"/>
                  <w:vAlign w:val="center"/>
                </w:tcPr>
                <w:p w14:paraId="58E05C05">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01584BD5">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2C734FC0">
                  <w:pPr>
                    <w:jc w:val="center"/>
                    <w:rPr>
                      <w:color w:val="auto"/>
                      <w:szCs w:val="21"/>
                    </w:rPr>
                  </w:pPr>
                  <w:r>
                    <w:rPr>
                      <w:rFonts w:hint="eastAsia"/>
                      <w:color w:val="auto"/>
                      <w:szCs w:val="21"/>
                    </w:rPr>
                    <w:t>1#仓库</w:t>
                  </w:r>
                </w:p>
              </w:tc>
              <w:tc>
                <w:tcPr>
                  <w:tcW w:w="649" w:type="pct"/>
                  <w:shd w:val="clear" w:color="auto" w:fill="auto"/>
                  <w:vAlign w:val="center"/>
                </w:tcPr>
                <w:p w14:paraId="344BC97A">
                  <w:pPr>
                    <w:snapToGrid w:val="0"/>
                    <w:jc w:val="center"/>
                    <w:rPr>
                      <w:rFonts w:cs="仿宋"/>
                      <w:color w:val="auto"/>
                      <w:szCs w:val="21"/>
                    </w:rPr>
                  </w:pPr>
                  <w:r>
                    <w:rPr>
                      <w:rFonts w:hint="eastAsia" w:cs="仿宋"/>
                      <w:color w:val="auto"/>
                      <w:szCs w:val="21"/>
                    </w:rPr>
                    <w:t>粘胶</w:t>
                  </w:r>
                </w:p>
              </w:tc>
            </w:tr>
            <w:tr w14:paraId="00BE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43" w:type="pct"/>
                  <w:shd w:val="clear" w:color="auto" w:fill="auto"/>
                  <w:vAlign w:val="center"/>
                </w:tcPr>
                <w:p w14:paraId="39FC2203">
                  <w:pPr>
                    <w:pStyle w:val="63"/>
                    <w:rPr>
                      <w:color w:val="auto"/>
                    </w:rPr>
                  </w:pPr>
                  <w:r>
                    <w:rPr>
                      <w:rFonts w:hint="eastAsia"/>
                      <w:color w:val="auto"/>
                    </w:rPr>
                    <w:t>7</w:t>
                  </w:r>
                </w:p>
              </w:tc>
              <w:tc>
                <w:tcPr>
                  <w:tcW w:w="677" w:type="pct"/>
                  <w:shd w:val="clear" w:color="auto" w:fill="auto"/>
                  <w:vAlign w:val="center"/>
                </w:tcPr>
                <w:p w14:paraId="7A71B9ED">
                  <w:pPr>
                    <w:snapToGrid w:val="0"/>
                    <w:jc w:val="center"/>
                    <w:rPr>
                      <w:rFonts w:cs="仿宋"/>
                      <w:color w:val="auto"/>
                      <w:szCs w:val="21"/>
                    </w:rPr>
                  </w:pPr>
                  <w:r>
                    <w:rPr>
                      <w:rFonts w:hint="eastAsia" w:cs="仿宋"/>
                      <w:color w:val="auto"/>
                      <w:szCs w:val="21"/>
                    </w:rPr>
                    <w:t>磁材胶</w:t>
                  </w:r>
                </w:p>
              </w:tc>
              <w:tc>
                <w:tcPr>
                  <w:tcW w:w="555" w:type="pct"/>
                  <w:shd w:val="clear" w:color="auto" w:fill="auto"/>
                  <w:vAlign w:val="center"/>
                </w:tcPr>
                <w:p w14:paraId="4117D0F4">
                  <w:pPr>
                    <w:pStyle w:val="63"/>
                    <w:rPr>
                      <w:color w:val="auto"/>
                    </w:rPr>
                  </w:pPr>
                  <w:r>
                    <w:rPr>
                      <w:color w:val="auto"/>
                    </w:rPr>
                    <w:t>α-氰基丙烯酸乙酯</w:t>
                  </w:r>
                </w:p>
              </w:tc>
              <w:tc>
                <w:tcPr>
                  <w:tcW w:w="395" w:type="pct"/>
                  <w:shd w:val="clear" w:color="auto" w:fill="auto"/>
                  <w:vAlign w:val="center"/>
                </w:tcPr>
                <w:p w14:paraId="134FC358">
                  <w:pPr>
                    <w:pStyle w:val="63"/>
                    <w:rPr>
                      <w:color w:val="auto"/>
                    </w:rPr>
                  </w:pPr>
                  <w:r>
                    <w:rPr>
                      <w:rFonts w:hint="eastAsia"/>
                      <w:color w:val="auto"/>
                    </w:rPr>
                    <w:t>液态</w:t>
                  </w:r>
                </w:p>
              </w:tc>
              <w:tc>
                <w:tcPr>
                  <w:tcW w:w="456" w:type="pct"/>
                  <w:shd w:val="clear" w:color="auto" w:fill="auto"/>
                  <w:vAlign w:val="center"/>
                </w:tcPr>
                <w:p w14:paraId="373ED50A">
                  <w:pPr>
                    <w:jc w:val="center"/>
                    <w:rPr>
                      <w:color w:val="auto"/>
                      <w:szCs w:val="21"/>
                    </w:rPr>
                  </w:pPr>
                  <w:r>
                    <w:rPr>
                      <w:rFonts w:hint="eastAsia"/>
                      <w:color w:val="auto"/>
                      <w:szCs w:val="21"/>
                    </w:rPr>
                    <w:t>12</w:t>
                  </w:r>
                </w:p>
              </w:tc>
              <w:tc>
                <w:tcPr>
                  <w:tcW w:w="470" w:type="pct"/>
                  <w:shd w:val="clear" w:color="auto" w:fill="auto"/>
                  <w:vAlign w:val="center"/>
                </w:tcPr>
                <w:p w14:paraId="61981881">
                  <w:pPr>
                    <w:jc w:val="center"/>
                    <w:rPr>
                      <w:color w:val="auto"/>
                      <w:szCs w:val="21"/>
                    </w:rPr>
                  </w:pPr>
                  <w:r>
                    <w:rPr>
                      <w:rFonts w:hint="eastAsia"/>
                      <w:color w:val="auto"/>
                      <w:szCs w:val="21"/>
                    </w:rPr>
                    <w:t>0.5</w:t>
                  </w:r>
                </w:p>
              </w:tc>
              <w:tc>
                <w:tcPr>
                  <w:tcW w:w="465" w:type="pct"/>
                  <w:shd w:val="clear" w:color="auto" w:fill="auto"/>
                  <w:vAlign w:val="center"/>
                </w:tcPr>
                <w:p w14:paraId="14233326">
                  <w:pPr>
                    <w:pStyle w:val="63"/>
                    <w:rPr>
                      <w:color w:val="auto"/>
                    </w:rPr>
                  </w:pPr>
                  <w:r>
                    <w:rPr>
                      <w:rFonts w:hint="eastAsia" w:cs="仿宋"/>
                      <w:color w:val="auto"/>
                    </w:rPr>
                    <w:t>吨</w:t>
                  </w:r>
                </w:p>
              </w:tc>
              <w:tc>
                <w:tcPr>
                  <w:tcW w:w="498" w:type="pct"/>
                  <w:shd w:val="clear" w:color="auto" w:fill="auto"/>
                  <w:vAlign w:val="center"/>
                </w:tcPr>
                <w:p w14:paraId="5AFA3847">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6C261907">
                  <w:pPr>
                    <w:jc w:val="center"/>
                    <w:rPr>
                      <w:color w:val="auto"/>
                      <w:szCs w:val="21"/>
                    </w:rPr>
                  </w:pPr>
                  <w:r>
                    <w:rPr>
                      <w:rFonts w:hint="eastAsia"/>
                      <w:color w:val="auto"/>
                      <w:szCs w:val="21"/>
                    </w:rPr>
                    <w:t>1#仓库</w:t>
                  </w:r>
                </w:p>
              </w:tc>
              <w:tc>
                <w:tcPr>
                  <w:tcW w:w="649" w:type="pct"/>
                  <w:shd w:val="clear" w:color="auto" w:fill="auto"/>
                  <w:vAlign w:val="center"/>
                </w:tcPr>
                <w:p w14:paraId="0FDE97D8">
                  <w:pPr>
                    <w:snapToGrid w:val="0"/>
                    <w:jc w:val="center"/>
                    <w:rPr>
                      <w:rFonts w:cs="仿宋"/>
                      <w:color w:val="auto"/>
                      <w:szCs w:val="21"/>
                    </w:rPr>
                  </w:pPr>
                  <w:r>
                    <w:rPr>
                      <w:rFonts w:hint="eastAsia" w:cs="仿宋"/>
                      <w:color w:val="auto"/>
                      <w:szCs w:val="21"/>
                    </w:rPr>
                    <w:t>粘胶</w:t>
                  </w:r>
                </w:p>
              </w:tc>
            </w:tr>
            <w:tr w14:paraId="1A15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43" w:type="pct"/>
                  <w:shd w:val="clear" w:color="auto" w:fill="auto"/>
                  <w:vAlign w:val="center"/>
                </w:tcPr>
                <w:p w14:paraId="55EC9F97">
                  <w:pPr>
                    <w:pStyle w:val="63"/>
                    <w:rPr>
                      <w:color w:val="auto"/>
                    </w:rPr>
                  </w:pPr>
                  <w:r>
                    <w:rPr>
                      <w:rFonts w:hint="eastAsia"/>
                      <w:color w:val="auto"/>
                    </w:rPr>
                    <w:t>8</w:t>
                  </w:r>
                </w:p>
              </w:tc>
              <w:tc>
                <w:tcPr>
                  <w:tcW w:w="677" w:type="pct"/>
                  <w:shd w:val="clear" w:color="auto" w:fill="auto"/>
                  <w:vAlign w:val="center"/>
                </w:tcPr>
                <w:p w14:paraId="38C1EA86">
                  <w:pPr>
                    <w:snapToGrid w:val="0"/>
                    <w:jc w:val="center"/>
                    <w:rPr>
                      <w:rFonts w:cs="仿宋"/>
                      <w:color w:val="auto"/>
                      <w:szCs w:val="21"/>
                    </w:rPr>
                  </w:pPr>
                  <w:r>
                    <w:rPr>
                      <w:rFonts w:hint="eastAsia" w:cs="仿宋"/>
                      <w:color w:val="auto"/>
                      <w:szCs w:val="21"/>
                    </w:rPr>
                    <w:t>切削液</w:t>
                  </w:r>
                </w:p>
              </w:tc>
              <w:tc>
                <w:tcPr>
                  <w:tcW w:w="555" w:type="pct"/>
                  <w:shd w:val="clear" w:color="auto" w:fill="auto"/>
                  <w:vAlign w:val="center"/>
                </w:tcPr>
                <w:p w14:paraId="01F8825C">
                  <w:pPr>
                    <w:pStyle w:val="63"/>
                    <w:rPr>
                      <w:color w:val="auto"/>
                    </w:rPr>
                  </w:pPr>
                  <w:r>
                    <w:rPr>
                      <w:rFonts w:hint="eastAsia"/>
                      <w:color w:val="auto"/>
                    </w:rPr>
                    <w:t>/</w:t>
                  </w:r>
                </w:p>
              </w:tc>
              <w:tc>
                <w:tcPr>
                  <w:tcW w:w="395" w:type="pct"/>
                  <w:shd w:val="clear" w:color="auto" w:fill="auto"/>
                  <w:vAlign w:val="center"/>
                </w:tcPr>
                <w:p w14:paraId="1A9B4F8F">
                  <w:pPr>
                    <w:pStyle w:val="63"/>
                    <w:rPr>
                      <w:color w:val="auto"/>
                    </w:rPr>
                  </w:pPr>
                  <w:r>
                    <w:rPr>
                      <w:rFonts w:hint="eastAsia"/>
                      <w:color w:val="auto"/>
                    </w:rPr>
                    <w:t>液态</w:t>
                  </w:r>
                </w:p>
              </w:tc>
              <w:tc>
                <w:tcPr>
                  <w:tcW w:w="456" w:type="pct"/>
                  <w:shd w:val="clear" w:color="auto" w:fill="auto"/>
                  <w:vAlign w:val="center"/>
                </w:tcPr>
                <w:p w14:paraId="567100FD">
                  <w:pPr>
                    <w:jc w:val="center"/>
                    <w:rPr>
                      <w:color w:val="auto"/>
                      <w:szCs w:val="21"/>
                    </w:rPr>
                  </w:pPr>
                  <w:r>
                    <w:rPr>
                      <w:rFonts w:hint="eastAsia"/>
                      <w:color w:val="auto"/>
                      <w:szCs w:val="21"/>
                    </w:rPr>
                    <w:t>5.78</w:t>
                  </w:r>
                </w:p>
              </w:tc>
              <w:tc>
                <w:tcPr>
                  <w:tcW w:w="470" w:type="pct"/>
                  <w:shd w:val="clear" w:color="auto" w:fill="auto"/>
                  <w:vAlign w:val="center"/>
                </w:tcPr>
                <w:p w14:paraId="647AF5FF">
                  <w:pPr>
                    <w:jc w:val="center"/>
                    <w:rPr>
                      <w:color w:val="auto"/>
                      <w:szCs w:val="21"/>
                    </w:rPr>
                  </w:pPr>
                  <w:r>
                    <w:rPr>
                      <w:rFonts w:hint="eastAsia"/>
                      <w:color w:val="auto"/>
                      <w:szCs w:val="21"/>
                    </w:rPr>
                    <w:t>0.6</w:t>
                  </w:r>
                </w:p>
              </w:tc>
              <w:tc>
                <w:tcPr>
                  <w:tcW w:w="465" w:type="pct"/>
                  <w:shd w:val="clear" w:color="auto" w:fill="auto"/>
                  <w:vAlign w:val="center"/>
                </w:tcPr>
                <w:p w14:paraId="2B7B5061">
                  <w:pPr>
                    <w:pStyle w:val="63"/>
                    <w:rPr>
                      <w:color w:val="auto"/>
                    </w:rPr>
                  </w:pPr>
                  <w:r>
                    <w:rPr>
                      <w:rFonts w:hint="eastAsia" w:cs="仿宋"/>
                      <w:color w:val="auto"/>
                    </w:rPr>
                    <w:t>吨</w:t>
                  </w:r>
                </w:p>
              </w:tc>
              <w:tc>
                <w:tcPr>
                  <w:tcW w:w="498" w:type="pct"/>
                  <w:shd w:val="clear" w:color="auto" w:fill="auto"/>
                  <w:vAlign w:val="center"/>
                </w:tcPr>
                <w:p w14:paraId="0A79443C">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6A473FDC">
                  <w:pPr>
                    <w:jc w:val="center"/>
                    <w:rPr>
                      <w:color w:val="auto"/>
                      <w:szCs w:val="21"/>
                    </w:rPr>
                  </w:pPr>
                  <w:r>
                    <w:rPr>
                      <w:rFonts w:hint="eastAsia"/>
                      <w:color w:val="auto"/>
                      <w:szCs w:val="21"/>
                    </w:rPr>
                    <w:t>1#仓库</w:t>
                  </w:r>
                </w:p>
              </w:tc>
              <w:tc>
                <w:tcPr>
                  <w:tcW w:w="649" w:type="pct"/>
                  <w:shd w:val="clear" w:color="auto" w:fill="auto"/>
                  <w:vAlign w:val="center"/>
                </w:tcPr>
                <w:p w14:paraId="15EA8454">
                  <w:pPr>
                    <w:snapToGrid w:val="0"/>
                    <w:jc w:val="center"/>
                    <w:rPr>
                      <w:rFonts w:cs="仿宋"/>
                      <w:color w:val="auto"/>
                      <w:szCs w:val="21"/>
                    </w:rPr>
                  </w:pPr>
                  <w:r>
                    <w:rPr>
                      <w:rFonts w:hint="eastAsia" w:cs="仿宋"/>
                      <w:color w:val="auto"/>
                      <w:szCs w:val="21"/>
                    </w:rPr>
                    <w:t>打孔</w:t>
                  </w:r>
                </w:p>
              </w:tc>
            </w:tr>
            <w:tr w14:paraId="6458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43" w:type="pct"/>
                  <w:shd w:val="clear" w:color="auto" w:fill="auto"/>
                  <w:vAlign w:val="center"/>
                </w:tcPr>
                <w:p w14:paraId="56436098">
                  <w:pPr>
                    <w:pStyle w:val="63"/>
                    <w:rPr>
                      <w:color w:val="auto"/>
                    </w:rPr>
                  </w:pPr>
                  <w:r>
                    <w:rPr>
                      <w:rFonts w:hint="eastAsia"/>
                      <w:color w:val="auto"/>
                    </w:rPr>
                    <w:t>9</w:t>
                  </w:r>
                </w:p>
              </w:tc>
              <w:tc>
                <w:tcPr>
                  <w:tcW w:w="677" w:type="pct"/>
                  <w:shd w:val="clear" w:color="auto" w:fill="auto"/>
                  <w:vAlign w:val="center"/>
                </w:tcPr>
                <w:p w14:paraId="2DC2C98F">
                  <w:pPr>
                    <w:snapToGrid w:val="0"/>
                    <w:jc w:val="center"/>
                    <w:rPr>
                      <w:rFonts w:cs="仿宋"/>
                      <w:color w:val="auto"/>
                      <w:szCs w:val="21"/>
                    </w:rPr>
                  </w:pPr>
                  <w:r>
                    <w:rPr>
                      <w:rFonts w:hint="eastAsia" w:cs="仿宋"/>
                      <w:color w:val="auto"/>
                      <w:szCs w:val="21"/>
                    </w:rPr>
                    <w:t>防锈液</w:t>
                  </w:r>
                </w:p>
              </w:tc>
              <w:tc>
                <w:tcPr>
                  <w:tcW w:w="555" w:type="pct"/>
                  <w:shd w:val="clear" w:color="auto" w:fill="auto"/>
                  <w:vAlign w:val="center"/>
                </w:tcPr>
                <w:p w14:paraId="028FB32B">
                  <w:pPr>
                    <w:pStyle w:val="63"/>
                    <w:rPr>
                      <w:color w:val="auto"/>
                    </w:rPr>
                  </w:pPr>
                  <w:r>
                    <w:rPr>
                      <w:rFonts w:hint="eastAsia"/>
                      <w:color w:val="auto"/>
                    </w:rPr>
                    <w:t>/</w:t>
                  </w:r>
                </w:p>
              </w:tc>
              <w:tc>
                <w:tcPr>
                  <w:tcW w:w="395" w:type="pct"/>
                  <w:shd w:val="clear" w:color="auto" w:fill="auto"/>
                  <w:vAlign w:val="center"/>
                </w:tcPr>
                <w:p w14:paraId="4196254B">
                  <w:pPr>
                    <w:pStyle w:val="63"/>
                    <w:rPr>
                      <w:color w:val="auto"/>
                    </w:rPr>
                  </w:pPr>
                  <w:r>
                    <w:rPr>
                      <w:rFonts w:hint="eastAsia"/>
                      <w:color w:val="auto"/>
                    </w:rPr>
                    <w:t>液态</w:t>
                  </w:r>
                </w:p>
              </w:tc>
              <w:tc>
                <w:tcPr>
                  <w:tcW w:w="456" w:type="pct"/>
                  <w:shd w:val="clear" w:color="auto" w:fill="auto"/>
                  <w:vAlign w:val="center"/>
                </w:tcPr>
                <w:p w14:paraId="5265ED51">
                  <w:pPr>
                    <w:jc w:val="center"/>
                    <w:rPr>
                      <w:color w:val="auto"/>
                      <w:szCs w:val="21"/>
                    </w:rPr>
                  </w:pPr>
                  <w:r>
                    <w:rPr>
                      <w:rFonts w:hint="eastAsia"/>
                      <w:color w:val="auto"/>
                      <w:szCs w:val="21"/>
                    </w:rPr>
                    <w:t>2.5</w:t>
                  </w:r>
                </w:p>
              </w:tc>
              <w:tc>
                <w:tcPr>
                  <w:tcW w:w="470" w:type="pct"/>
                  <w:shd w:val="clear" w:color="auto" w:fill="auto"/>
                  <w:vAlign w:val="center"/>
                </w:tcPr>
                <w:p w14:paraId="367F0852">
                  <w:pPr>
                    <w:jc w:val="center"/>
                    <w:rPr>
                      <w:color w:val="auto"/>
                      <w:szCs w:val="21"/>
                    </w:rPr>
                  </w:pPr>
                  <w:r>
                    <w:rPr>
                      <w:rFonts w:hint="eastAsia"/>
                      <w:color w:val="auto"/>
                      <w:szCs w:val="21"/>
                    </w:rPr>
                    <w:t>0.25</w:t>
                  </w:r>
                </w:p>
              </w:tc>
              <w:tc>
                <w:tcPr>
                  <w:tcW w:w="465" w:type="pct"/>
                  <w:shd w:val="clear" w:color="auto" w:fill="auto"/>
                  <w:vAlign w:val="center"/>
                </w:tcPr>
                <w:p w14:paraId="29709253">
                  <w:pPr>
                    <w:pStyle w:val="63"/>
                    <w:rPr>
                      <w:color w:val="auto"/>
                    </w:rPr>
                  </w:pPr>
                  <w:r>
                    <w:rPr>
                      <w:rFonts w:hint="eastAsia" w:cs="仿宋"/>
                      <w:color w:val="auto"/>
                    </w:rPr>
                    <w:t>吨</w:t>
                  </w:r>
                </w:p>
              </w:tc>
              <w:tc>
                <w:tcPr>
                  <w:tcW w:w="498" w:type="pct"/>
                  <w:shd w:val="clear" w:color="auto" w:fill="auto"/>
                  <w:vAlign w:val="center"/>
                </w:tcPr>
                <w:p w14:paraId="2B2F9013">
                  <w:pPr>
                    <w:snapToGrid w:val="0"/>
                    <w:jc w:val="center"/>
                    <w:rPr>
                      <w:rFonts w:cs="仿宋"/>
                      <w:color w:val="auto"/>
                      <w:szCs w:val="21"/>
                    </w:rPr>
                  </w:pPr>
                  <w:r>
                    <w:rPr>
                      <w:rFonts w:cs="仿宋"/>
                      <w:color w:val="auto"/>
                      <w:szCs w:val="21"/>
                    </w:rPr>
                    <w:t>外购</w:t>
                  </w:r>
                </w:p>
              </w:tc>
              <w:tc>
                <w:tcPr>
                  <w:tcW w:w="586" w:type="pct"/>
                  <w:shd w:val="clear" w:color="auto" w:fill="auto"/>
                  <w:vAlign w:val="center"/>
                </w:tcPr>
                <w:p w14:paraId="516B02AB">
                  <w:pPr>
                    <w:jc w:val="center"/>
                    <w:rPr>
                      <w:color w:val="auto"/>
                      <w:szCs w:val="21"/>
                    </w:rPr>
                  </w:pPr>
                  <w:r>
                    <w:rPr>
                      <w:rFonts w:hint="eastAsia"/>
                      <w:color w:val="auto"/>
                      <w:szCs w:val="21"/>
                    </w:rPr>
                    <w:t>1#仓库</w:t>
                  </w:r>
                </w:p>
              </w:tc>
              <w:tc>
                <w:tcPr>
                  <w:tcW w:w="649" w:type="pct"/>
                  <w:shd w:val="clear" w:color="auto" w:fill="auto"/>
                  <w:vAlign w:val="center"/>
                </w:tcPr>
                <w:p w14:paraId="09644D65">
                  <w:pPr>
                    <w:snapToGrid w:val="0"/>
                    <w:jc w:val="center"/>
                    <w:rPr>
                      <w:rFonts w:cs="仿宋"/>
                      <w:color w:val="auto"/>
                      <w:szCs w:val="21"/>
                    </w:rPr>
                  </w:pPr>
                  <w:r>
                    <w:rPr>
                      <w:rFonts w:hint="eastAsia" w:cs="仿宋"/>
                      <w:color w:val="auto"/>
                      <w:szCs w:val="21"/>
                    </w:rPr>
                    <w:t>打孔</w:t>
                  </w:r>
                </w:p>
              </w:tc>
            </w:tr>
            <w:tr w14:paraId="3DAD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000" w:type="pct"/>
                  <w:gridSpan w:val="10"/>
                  <w:shd w:val="clear" w:color="auto" w:fill="auto"/>
                  <w:vAlign w:val="center"/>
                </w:tcPr>
                <w:p w14:paraId="24F97FA7">
                  <w:pPr>
                    <w:rPr>
                      <w:color w:val="auto"/>
                      <w:szCs w:val="21"/>
                    </w:rPr>
                  </w:pPr>
                  <w:r>
                    <w:rPr>
                      <w:rFonts w:hint="eastAsia"/>
                      <w:color w:val="auto"/>
                      <w:szCs w:val="21"/>
                    </w:rPr>
                    <w:t>二、组件</w:t>
                  </w:r>
                </w:p>
              </w:tc>
            </w:tr>
            <w:tr w14:paraId="1EC0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6C2C312C">
                  <w:pPr>
                    <w:pStyle w:val="63"/>
                    <w:rPr>
                      <w:color w:val="auto"/>
                    </w:rPr>
                  </w:pPr>
                  <w:r>
                    <w:rPr>
                      <w:rFonts w:hint="eastAsia"/>
                      <w:color w:val="auto"/>
                    </w:rPr>
                    <w:t>8</w:t>
                  </w:r>
                </w:p>
              </w:tc>
              <w:tc>
                <w:tcPr>
                  <w:tcW w:w="677" w:type="pct"/>
                  <w:shd w:val="clear" w:color="auto" w:fill="auto"/>
                  <w:vAlign w:val="center"/>
                </w:tcPr>
                <w:p w14:paraId="7474C5B3">
                  <w:pPr>
                    <w:jc w:val="center"/>
                    <w:rPr>
                      <w:rFonts w:hint="default" w:eastAsia="宋体"/>
                      <w:color w:val="auto"/>
                      <w:szCs w:val="21"/>
                      <w:lang w:val="en-US" w:eastAsia="zh-CN"/>
                    </w:rPr>
                  </w:pPr>
                  <w:r>
                    <w:rPr>
                      <w:rFonts w:hint="eastAsia"/>
                      <w:color w:val="auto"/>
                      <w:szCs w:val="21"/>
                      <w:lang w:val="en-US" w:eastAsia="zh-CN"/>
                    </w:rPr>
                    <w:t>五金件</w:t>
                  </w:r>
                </w:p>
              </w:tc>
              <w:tc>
                <w:tcPr>
                  <w:tcW w:w="555" w:type="pct"/>
                  <w:shd w:val="clear" w:color="auto" w:fill="auto"/>
                  <w:vAlign w:val="center"/>
                </w:tcPr>
                <w:p w14:paraId="6AB76A11">
                  <w:pPr>
                    <w:pStyle w:val="63"/>
                    <w:rPr>
                      <w:color w:val="auto"/>
                    </w:rPr>
                  </w:pPr>
                  <w:r>
                    <w:rPr>
                      <w:rFonts w:hint="eastAsia"/>
                      <w:color w:val="auto"/>
                    </w:rPr>
                    <w:t>/</w:t>
                  </w:r>
                </w:p>
              </w:tc>
              <w:tc>
                <w:tcPr>
                  <w:tcW w:w="395" w:type="pct"/>
                  <w:shd w:val="clear" w:color="auto" w:fill="auto"/>
                  <w:vAlign w:val="center"/>
                </w:tcPr>
                <w:p w14:paraId="28DBA767">
                  <w:pPr>
                    <w:pStyle w:val="63"/>
                    <w:rPr>
                      <w:color w:val="auto"/>
                    </w:rPr>
                  </w:pPr>
                  <w:r>
                    <w:rPr>
                      <w:rFonts w:hint="eastAsia"/>
                      <w:color w:val="auto"/>
                    </w:rPr>
                    <w:t>固态</w:t>
                  </w:r>
                </w:p>
              </w:tc>
              <w:tc>
                <w:tcPr>
                  <w:tcW w:w="456" w:type="pct"/>
                  <w:shd w:val="clear" w:color="auto" w:fill="auto"/>
                  <w:vAlign w:val="center"/>
                </w:tcPr>
                <w:p w14:paraId="4D8DC3C8">
                  <w:pPr>
                    <w:snapToGrid w:val="0"/>
                    <w:jc w:val="center"/>
                    <w:rPr>
                      <w:rFonts w:cs="仿宋"/>
                      <w:color w:val="auto"/>
                      <w:szCs w:val="21"/>
                    </w:rPr>
                  </w:pPr>
                  <w:r>
                    <w:rPr>
                      <w:rFonts w:hint="eastAsia" w:cs="仿宋"/>
                      <w:color w:val="auto"/>
                      <w:szCs w:val="21"/>
                    </w:rPr>
                    <w:t>2254.6755</w:t>
                  </w:r>
                </w:p>
              </w:tc>
              <w:tc>
                <w:tcPr>
                  <w:tcW w:w="470" w:type="pct"/>
                  <w:shd w:val="clear" w:color="auto" w:fill="auto"/>
                  <w:vAlign w:val="center"/>
                </w:tcPr>
                <w:p w14:paraId="71E555EE">
                  <w:pPr>
                    <w:snapToGrid w:val="0"/>
                    <w:jc w:val="center"/>
                    <w:rPr>
                      <w:rFonts w:hint="default" w:eastAsia="宋体" w:cs="仿宋"/>
                      <w:color w:val="auto"/>
                      <w:szCs w:val="21"/>
                      <w:lang w:val="en-US" w:eastAsia="zh-CN"/>
                    </w:rPr>
                  </w:pPr>
                  <w:r>
                    <w:rPr>
                      <w:rFonts w:hint="eastAsia" w:cs="仿宋"/>
                      <w:color w:val="auto"/>
                      <w:szCs w:val="21"/>
                      <w:lang w:val="en-US" w:eastAsia="zh-CN"/>
                    </w:rPr>
                    <w:t>210</w:t>
                  </w:r>
                </w:p>
              </w:tc>
              <w:tc>
                <w:tcPr>
                  <w:tcW w:w="465" w:type="pct"/>
                  <w:shd w:val="clear" w:color="auto" w:fill="auto"/>
                  <w:vAlign w:val="center"/>
                </w:tcPr>
                <w:p w14:paraId="1B41F472">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581A0D37">
                  <w:pPr>
                    <w:jc w:val="center"/>
                    <w:rPr>
                      <w:rFonts w:hint="eastAsia" w:eastAsia="宋体"/>
                      <w:color w:val="auto"/>
                      <w:szCs w:val="21"/>
                      <w:lang w:val="en-US" w:eastAsia="zh-CN"/>
                    </w:rPr>
                  </w:pPr>
                  <w:r>
                    <w:rPr>
                      <w:rFonts w:hint="eastAsia"/>
                      <w:color w:val="auto"/>
                      <w:szCs w:val="21"/>
                      <w:lang w:val="en-US" w:eastAsia="zh-CN"/>
                    </w:rPr>
                    <w:t>外购</w:t>
                  </w:r>
                </w:p>
              </w:tc>
              <w:tc>
                <w:tcPr>
                  <w:tcW w:w="586" w:type="pct"/>
                  <w:vMerge w:val="restart"/>
                  <w:shd w:val="clear" w:color="auto" w:fill="auto"/>
                  <w:vAlign w:val="center"/>
                </w:tcPr>
                <w:p w14:paraId="45D0E397">
                  <w:pPr>
                    <w:jc w:val="center"/>
                    <w:rPr>
                      <w:b/>
                      <w:bCs/>
                      <w:color w:val="auto"/>
                      <w:szCs w:val="21"/>
                    </w:rPr>
                  </w:pPr>
                  <w:r>
                    <w:rPr>
                      <w:rFonts w:hint="eastAsia"/>
                      <w:color w:val="auto"/>
                      <w:szCs w:val="21"/>
                    </w:rPr>
                    <w:t>1#仓库</w:t>
                  </w:r>
                </w:p>
              </w:tc>
              <w:tc>
                <w:tcPr>
                  <w:tcW w:w="649" w:type="pct"/>
                  <w:shd w:val="clear" w:color="auto" w:fill="auto"/>
                  <w:vAlign w:val="center"/>
                </w:tcPr>
                <w:p w14:paraId="4F1F61F6">
                  <w:pPr>
                    <w:jc w:val="center"/>
                    <w:rPr>
                      <w:color w:val="auto"/>
                      <w:szCs w:val="21"/>
                    </w:rPr>
                  </w:pPr>
                  <w:r>
                    <w:rPr>
                      <w:color w:val="auto"/>
                      <w:szCs w:val="21"/>
                    </w:rPr>
                    <w:t>转轴</w:t>
                  </w:r>
                  <w:r>
                    <w:rPr>
                      <w:rFonts w:hint="eastAsia"/>
                      <w:color w:val="auto"/>
                      <w:szCs w:val="21"/>
                    </w:rPr>
                    <w:t>机</w:t>
                  </w:r>
                  <w:r>
                    <w:rPr>
                      <w:color w:val="auto"/>
                      <w:szCs w:val="21"/>
                    </w:rPr>
                    <w:t>加工</w:t>
                  </w:r>
                </w:p>
              </w:tc>
            </w:tr>
            <w:tr w14:paraId="7E73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7294306E">
                  <w:pPr>
                    <w:pStyle w:val="63"/>
                    <w:rPr>
                      <w:color w:val="auto"/>
                    </w:rPr>
                  </w:pPr>
                  <w:r>
                    <w:rPr>
                      <w:rFonts w:hint="eastAsia"/>
                      <w:color w:val="auto"/>
                    </w:rPr>
                    <w:t>9</w:t>
                  </w:r>
                </w:p>
              </w:tc>
              <w:tc>
                <w:tcPr>
                  <w:tcW w:w="677" w:type="pct"/>
                  <w:shd w:val="clear" w:color="auto" w:fill="auto"/>
                  <w:vAlign w:val="center"/>
                </w:tcPr>
                <w:p w14:paraId="09C76D96">
                  <w:pPr>
                    <w:jc w:val="center"/>
                    <w:rPr>
                      <w:rFonts w:hint="eastAsia" w:eastAsia="宋体"/>
                      <w:color w:val="auto"/>
                      <w:szCs w:val="21"/>
                      <w:lang w:eastAsia="zh-CN"/>
                    </w:rPr>
                  </w:pPr>
                  <w:r>
                    <w:rPr>
                      <w:rFonts w:hint="eastAsia"/>
                      <w:color w:val="auto"/>
                      <w:szCs w:val="21"/>
                      <w:lang w:val="en-US" w:eastAsia="zh-CN"/>
                    </w:rPr>
                    <w:t>磁瓦</w:t>
                  </w:r>
                </w:p>
              </w:tc>
              <w:tc>
                <w:tcPr>
                  <w:tcW w:w="555" w:type="pct"/>
                  <w:shd w:val="clear" w:color="auto" w:fill="auto"/>
                  <w:vAlign w:val="center"/>
                </w:tcPr>
                <w:p w14:paraId="01F3229C">
                  <w:pPr>
                    <w:pStyle w:val="63"/>
                    <w:rPr>
                      <w:color w:val="auto"/>
                    </w:rPr>
                  </w:pPr>
                  <w:r>
                    <w:rPr>
                      <w:rFonts w:hint="eastAsia"/>
                      <w:color w:val="auto"/>
                    </w:rPr>
                    <w:t>/</w:t>
                  </w:r>
                </w:p>
              </w:tc>
              <w:tc>
                <w:tcPr>
                  <w:tcW w:w="395" w:type="pct"/>
                  <w:shd w:val="clear" w:color="auto" w:fill="auto"/>
                  <w:vAlign w:val="center"/>
                </w:tcPr>
                <w:p w14:paraId="32B0447D">
                  <w:pPr>
                    <w:pStyle w:val="63"/>
                    <w:rPr>
                      <w:color w:val="auto"/>
                    </w:rPr>
                  </w:pPr>
                  <w:r>
                    <w:rPr>
                      <w:rFonts w:hint="eastAsia"/>
                      <w:color w:val="auto"/>
                    </w:rPr>
                    <w:t>固态</w:t>
                  </w:r>
                </w:p>
              </w:tc>
              <w:tc>
                <w:tcPr>
                  <w:tcW w:w="456" w:type="pct"/>
                  <w:shd w:val="clear" w:color="auto" w:fill="auto"/>
                  <w:vAlign w:val="center"/>
                </w:tcPr>
                <w:p w14:paraId="07838ACB">
                  <w:pPr>
                    <w:snapToGrid w:val="0"/>
                    <w:jc w:val="center"/>
                    <w:rPr>
                      <w:rFonts w:cs="仿宋"/>
                      <w:color w:val="auto"/>
                      <w:szCs w:val="21"/>
                    </w:rPr>
                  </w:pPr>
                  <w:r>
                    <w:rPr>
                      <w:rFonts w:hint="eastAsia" w:cs="仿宋"/>
                      <w:color w:val="auto"/>
                      <w:szCs w:val="21"/>
                    </w:rPr>
                    <w:t>130.5325</w:t>
                  </w:r>
                </w:p>
              </w:tc>
              <w:tc>
                <w:tcPr>
                  <w:tcW w:w="470" w:type="pct"/>
                  <w:shd w:val="clear" w:color="auto" w:fill="auto"/>
                  <w:vAlign w:val="center"/>
                </w:tcPr>
                <w:p w14:paraId="1DF841CE">
                  <w:pPr>
                    <w:snapToGrid w:val="0"/>
                    <w:jc w:val="center"/>
                    <w:rPr>
                      <w:rFonts w:hint="default" w:eastAsia="宋体" w:cs="仿宋"/>
                      <w:color w:val="auto"/>
                      <w:szCs w:val="21"/>
                      <w:lang w:val="en-US" w:eastAsia="zh-CN"/>
                    </w:rPr>
                  </w:pPr>
                  <w:r>
                    <w:rPr>
                      <w:rFonts w:hint="eastAsia" w:cs="仿宋"/>
                      <w:color w:val="auto"/>
                      <w:szCs w:val="21"/>
                      <w:lang w:val="en-US" w:eastAsia="zh-CN"/>
                    </w:rPr>
                    <w:t>13</w:t>
                  </w:r>
                </w:p>
              </w:tc>
              <w:tc>
                <w:tcPr>
                  <w:tcW w:w="465" w:type="pct"/>
                  <w:shd w:val="clear" w:color="auto" w:fill="auto"/>
                  <w:vAlign w:val="center"/>
                </w:tcPr>
                <w:p w14:paraId="1131E556">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65D52F62">
                  <w:pPr>
                    <w:snapToGrid w:val="0"/>
                    <w:jc w:val="center"/>
                    <w:rPr>
                      <w:rFonts w:cs="仿宋"/>
                      <w:color w:val="auto"/>
                      <w:szCs w:val="21"/>
                    </w:rPr>
                  </w:pPr>
                  <w:r>
                    <w:rPr>
                      <w:rFonts w:hint="eastAsia" w:cs="仿宋"/>
                      <w:color w:val="auto"/>
                      <w:szCs w:val="21"/>
                    </w:rPr>
                    <w:t>金力永磁供给</w:t>
                  </w:r>
                </w:p>
              </w:tc>
              <w:tc>
                <w:tcPr>
                  <w:tcW w:w="586" w:type="pct"/>
                  <w:vMerge w:val="continue"/>
                  <w:shd w:val="clear" w:color="auto" w:fill="auto"/>
                  <w:vAlign w:val="center"/>
                </w:tcPr>
                <w:p w14:paraId="27F1C97B">
                  <w:pPr>
                    <w:jc w:val="center"/>
                    <w:rPr>
                      <w:color w:val="auto"/>
                      <w:szCs w:val="21"/>
                    </w:rPr>
                  </w:pPr>
                </w:p>
              </w:tc>
              <w:tc>
                <w:tcPr>
                  <w:tcW w:w="649" w:type="pct"/>
                  <w:shd w:val="clear" w:color="auto" w:fill="auto"/>
                  <w:vAlign w:val="center"/>
                </w:tcPr>
                <w:p w14:paraId="17065CD8">
                  <w:pPr>
                    <w:jc w:val="center"/>
                    <w:rPr>
                      <w:rFonts w:hint="eastAsia" w:eastAsia="宋体"/>
                      <w:color w:val="auto"/>
                      <w:szCs w:val="21"/>
                      <w:lang w:eastAsia="zh-CN"/>
                    </w:rPr>
                  </w:pPr>
                  <w:r>
                    <w:rPr>
                      <w:rFonts w:hint="eastAsia"/>
                      <w:color w:val="auto"/>
                      <w:szCs w:val="21"/>
                      <w:lang w:val="en-US" w:eastAsia="zh-CN"/>
                    </w:rPr>
                    <w:t>/</w:t>
                  </w:r>
                </w:p>
              </w:tc>
            </w:tr>
            <w:tr w14:paraId="5034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487FA2AE">
                  <w:pPr>
                    <w:pStyle w:val="63"/>
                    <w:rPr>
                      <w:color w:val="auto"/>
                    </w:rPr>
                  </w:pPr>
                  <w:r>
                    <w:rPr>
                      <w:rFonts w:hint="eastAsia"/>
                      <w:color w:val="auto"/>
                    </w:rPr>
                    <w:t>10</w:t>
                  </w:r>
                </w:p>
              </w:tc>
              <w:tc>
                <w:tcPr>
                  <w:tcW w:w="677" w:type="pct"/>
                  <w:shd w:val="clear" w:color="auto" w:fill="auto"/>
                  <w:vAlign w:val="center"/>
                </w:tcPr>
                <w:p w14:paraId="5D0DF282">
                  <w:pPr>
                    <w:jc w:val="center"/>
                    <w:rPr>
                      <w:color w:val="auto"/>
                      <w:szCs w:val="21"/>
                    </w:rPr>
                  </w:pPr>
                  <w:r>
                    <w:rPr>
                      <w:rFonts w:hint="eastAsia"/>
                      <w:color w:val="auto"/>
                      <w:szCs w:val="21"/>
                    </w:rPr>
                    <w:t>磁环</w:t>
                  </w:r>
                </w:p>
              </w:tc>
              <w:tc>
                <w:tcPr>
                  <w:tcW w:w="555" w:type="pct"/>
                  <w:shd w:val="clear" w:color="auto" w:fill="auto"/>
                  <w:vAlign w:val="center"/>
                </w:tcPr>
                <w:p w14:paraId="7FC55756">
                  <w:pPr>
                    <w:pStyle w:val="63"/>
                    <w:rPr>
                      <w:color w:val="auto"/>
                    </w:rPr>
                  </w:pPr>
                  <w:r>
                    <w:rPr>
                      <w:rFonts w:hint="eastAsia"/>
                      <w:color w:val="auto"/>
                    </w:rPr>
                    <w:t>/</w:t>
                  </w:r>
                </w:p>
              </w:tc>
              <w:tc>
                <w:tcPr>
                  <w:tcW w:w="395" w:type="pct"/>
                  <w:shd w:val="clear" w:color="auto" w:fill="auto"/>
                  <w:vAlign w:val="center"/>
                </w:tcPr>
                <w:p w14:paraId="5DEC07D6">
                  <w:pPr>
                    <w:pStyle w:val="63"/>
                    <w:rPr>
                      <w:color w:val="auto"/>
                    </w:rPr>
                  </w:pPr>
                  <w:r>
                    <w:rPr>
                      <w:rFonts w:hint="eastAsia"/>
                      <w:color w:val="auto"/>
                    </w:rPr>
                    <w:t>固态</w:t>
                  </w:r>
                </w:p>
              </w:tc>
              <w:tc>
                <w:tcPr>
                  <w:tcW w:w="456" w:type="pct"/>
                  <w:shd w:val="clear" w:color="auto" w:fill="auto"/>
                  <w:vAlign w:val="center"/>
                </w:tcPr>
                <w:p w14:paraId="004C126A">
                  <w:pPr>
                    <w:snapToGrid w:val="0"/>
                    <w:jc w:val="center"/>
                    <w:rPr>
                      <w:rFonts w:cs="仿宋"/>
                      <w:color w:val="auto"/>
                      <w:szCs w:val="21"/>
                    </w:rPr>
                  </w:pPr>
                  <w:r>
                    <w:rPr>
                      <w:rFonts w:hint="eastAsia" w:cs="仿宋"/>
                      <w:color w:val="auto"/>
                      <w:szCs w:val="21"/>
                    </w:rPr>
                    <w:t>24.61</w:t>
                  </w:r>
                </w:p>
              </w:tc>
              <w:tc>
                <w:tcPr>
                  <w:tcW w:w="470" w:type="pct"/>
                  <w:shd w:val="clear" w:color="auto" w:fill="auto"/>
                  <w:vAlign w:val="center"/>
                </w:tcPr>
                <w:p w14:paraId="387C5B5D">
                  <w:pPr>
                    <w:snapToGrid w:val="0"/>
                    <w:jc w:val="center"/>
                    <w:rPr>
                      <w:rFonts w:hint="default" w:eastAsia="宋体" w:cs="仿宋"/>
                      <w:color w:val="auto"/>
                      <w:szCs w:val="21"/>
                      <w:lang w:val="en-US" w:eastAsia="zh-CN"/>
                    </w:rPr>
                  </w:pPr>
                  <w:r>
                    <w:rPr>
                      <w:rFonts w:hint="eastAsia" w:cs="仿宋"/>
                      <w:color w:val="auto"/>
                      <w:szCs w:val="21"/>
                      <w:lang w:val="en-US" w:eastAsia="zh-CN"/>
                    </w:rPr>
                    <w:t>2.5</w:t>
                  </w:r>
                </w:p>
              </w:tc>
              <w:tc>
                <w:tcPr>
                  <w:tcW w:w="465" w:type="pct"/>
                  <w:shd w:val="clear" w:color="auto" w:fill="auto"/>
                  <w:vAlign w:val="center"/>
                </w:tcPr>
                <w:p w14:paraId="092449B9">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6504F1C3">
                  <w:pPr>
                    <w:snapToGrid w:val="0"/>
                    <w:jc w:val="center"/>
                    <w:rPr>
                      <w:rFonts w:hint="default" w:eastAsia="宋体" w:cs="仿宋"/>
                      <w:color w:val="auto"/>
                      <w:szCs w:val="21"/>
                      <w:lang w:val="en-US" w:eastAsia="zh-CN"/>
                    </w:rPr>
                  </w:pPr>
                  <w:r>
                    <w:rPr>
                      <w:rFonts w:hint="eastAsia" w:cs="仿宋"/>
                      <w:color w:val="auto"/>
                      <w:szCs w:val="21"/>
                      <w:lang w:val="en-US" w:eastAsia="zh-CN"/>
                    </w:rPr>
                    <w:t>一期模压磁生产</w:t>
                  </w:r>
                </w:p>
              </w:tc>
              <w:tc>
                <w:tcPr>
                  <w:tcW w:w="586" w:type="pct"/>
                  <w:vMerge w:val="continue"/>
                  <w:shd w:val="clear" w:color="auto" w:fill="auto"/>
                  <w:vAlign w:val="center"/>
                </w:tcPr>
                <w:p w14:paraId="0BBBD3B5">
                  <w:pPr>
                    <w:jc w:val="center"/>
                    <w:rPr>
                      <w:color w:val="auto"/>
                      <w:szCs w:val="21"/>
                    </w:rPr>
                  </w:pPr>
                </w:p>
              </w:tc>
              <w:tc>
                <w:tcPr>
                  <w:tcW w:w="649" w:type="pct"/>
                  <w:shd w:val="clear" w:color="auto" w:fill="auto"/>
                  <w:vAlign w:val="center"/>
                </w:tcPr>
                <w:p w14:paraId="07E71787">
                  <w:pPr>
                    <w:jc w:val="center"/>
                    <w:rPr>
                      <w:color w:val="auto"/>
                      <w:szCs w:val="21"/>
                    </w:rPr>
                  </w:pPr>
                  <w:r>
                    <w:rPr>
                      <w:rFonts w:hint="eastAsia"/>
                      <w:color w:val="auto"/>
                      <w:szCs w:val="21"/>
                    </w:rPr>
                    <w:t>/</w:t>
                  </w:r>
                </w:p>
              </w:tc>
            </w:tr>
            <w:tr w14:paraId="7591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auto"/>
                  <w:vAlign w:val="center"/>
                </w:tcPr>
                <w:p w14:paraId="2DEFC3A5">
                  <w:pPr>
                    <w:pStyle w:val="63"/>
                    <w:rPr>
                      <w:color w:val="auto"/>
                    </w:rPr>
                  </w:pPr>
                  <w:r>
                    <w:rPr>
                      <w:rFonts w:hint="eastAsia"/>
                      <w:color w:val="auto"/>
                    </w:rPr>
                    <w:t>11</w:t>
                  </w:r>
                </w:p>
              </w:tc>
              <w:tc>
                <w:tcPr>
                  <w:tcW w:w="677" w:type="pct"/>
                  <w:shd w:val="clear" w:color="auto" w:fill="auto"/>
                  <w:vAlign w:val="center"/>
                </w:tcPr>
                <w:p w14:paraId="35791869">
                  <w:pPr>
                    <w:jc w:val="center"/>
                    <w:rPr>
                      <w:color w:val="auto"/>
                      <w:szCs w:val="21"/>
                    </w:rPr>
                  </w:pPr>
                  <w:r>
                    <w:rPr>
                      <w:rFonts w:hint="eastAsia"/>
                      <w:color w:val="auto"/>
                      <w:szCs w:val="21"/>
                    </w:rPr>
                    <w:t>M型单组份环氧胶粘剂</w:t>
                  </w:r>
                </w:p>
              </w:tc>
              <w:tc>
                <w:tcPr>
                  <w:tcW w:w="555" w:type="pct"/>
                  <w:shd w:val="clear" w:color="auto" w:fill="auto"/>
                  <w:vAlign w:val="center"/>
                </w:tcPr>
                <w:p w14:paraId="4415BF50">
                  <w:pPr>
                    <w:pStyle w:val="63"/>
                    <w:rPr>
                      <w:color w:val="auto"/>
                    </w:rPr>
                  </w:pPr>
                  <w:r>
                    <w:rPr>
                      <w:rFonts w:hint="eastAsia"/>
                      <w:color w:val="auto"/>
                    </w:rPr>
                    <w:t>双酚F环氧氯丙烷聚合物、碳酸钙</w:t>
                  </w:r>
                </w:p>
              </w:tc>
              <w:tc>
                <w:tcPr>
                  <w:tcW w:w="395" w:type="pct"/>
                  <w:shd w:val="clear" w:color="auto" w:fill="auto"/>
                  <w:vAlign w:val="center"/>
                </w:tcPr>
                <w:p w14:paraId="042AD609">
                  <w:pPr>
                    <w:pStyle w:val="63"/>
                    <w:rPr>
                      <w:color w:val="auto"/>
                    </w:rPr>
                  </w:pPr>
                  <w:r>
                    <w:rPr>
                      <w:rFonts w:hint="eastAsia"/>
                      <w:color w:val="auto"/>
                    </w:rPr>
                    <w:t>液态</w:t>
                  </w:r>
                </w:p>
              </w:tc>
              <w:tc>
                <w:tcPr>
                  <w:tcW w:w="456" w:type="pct"/>
                  <w:shd w:val="clear" w:color="auto" w:fill="auto"/>
                  <w:vAlign w:val="center"/>
                </w:tcPr>
                <w:p w14:paraId="12816A6A">
                  <w:pPr>
                    <w:snapToGrid w:val="0"/>
                    <w:jc w:val="center"/>
                    <w:rPr>
                      <w:rFonts w:cs="仿宋"/>
                      <w:color w:val="auto"/>
                      <w:szCs w:val="21"/>
                    </w:rPr>
                  </w:pPr>
                  <w:r>
                    <w:rPr>
                      <w:rFonts w:hint="eastAsia" w:cs="仿宋"/>
                      <w:color w:val="auto"/>
                      <w:szCs w:val="21"/>
                    </w:rPr>
                    <w:t>33.4L</w:t>
                  </w:r>
                </w:p>
              </w:tc>
              <w:tc>
                <w:tcPr>
                  <w:tcW w:w="470" w:type="pct"/>
                  <w:shd w:val="clear" w:color="auto" w:fill="auto"/>
                  <w:vAlign w:val="center"/>
                </w:tcPr>
                <w:p w14:paraId="35CDC355">
                  <w:pPr>
                    <w:snapToGrid w:val="0"/>
                    <w:jc w:val="center"/>
                    <w:rPr>
                      <w:rFonts w:cs="仿宋"/>
                      <w:color w:val="auto"/>
                      <w:szCs w:val="21"/>
                    </w:rPr>
                  </w:pPr>
                  <w:r>
                    <w:rPr>
                      <w:rFonts w:hint="eastAsia" w:cs="仿宋"/>
                      <w:color w:val="auto"/>
                      <w:szCs w:val="21"/>
                    </w:rPr>
                    <w:t>3L</w:t>
                  </w:r>
                </w:p>
              </w:tc>
              <w:tc>
                <w:tcPr>
                  <w:tcW w:w="465" w:type="pct"/>
                  <w:shd w:val="clear" w:color="auto" w:fill="auto"/>
                  <w:vAlign w:val="center"/>
                </w:tcPr>
                <w:p w14:paraId="6E17AB4C">
                  <w:pPr>
                    <w:snapToGrid w:val="0"/>
                    <w:jc w:val="center"/>
                    <w:rPr>
                      <w:rFonts w:cs="仿宋"/>
                      <w:color w:val="auto"/>
                      <w:szCs w:val="21"/>
                    </w:rPr>
                  </w:pPr>
                  <w:r>
                    <w:rPr>
                      <w:rFonts w:hint="eastAsia" w:cs="仿宋"/>
                      <w:color w:val="auto"/>
                      <w:szCs w:val="21"/>
                    </w:rPr>
                    <w:t>0.2L/支</w:t>
                  </w:r>
                </w:p>
              </w:tc>
              <w:tc>
                <w:tcPr>
                  <w:tcW w:w="498" w:type="pct"/>
                  <w:shd w:val="clear" w:color="auto" w:fill="auto"/>
                  <w:vAlign w:val="center"/>
                </w:tcPr>
                <w:p w14:paraId="1D749C92">
                  <w:pPr>
                    <w:snapToGrid w:val="0"/>
                    <w:jc w:val="center"/>
                    <w:rPr>
                      <w:rFonts w:cs="仿宋"/>
                      <w:color w:val="auto"/>
                      <w:szCs w:val="21"/>
                    </w:rPr>
                  </w:pPr>
                  <w:r>
                    <w:rPr>
                      <w:rFonts w:hint="eastAsia" w:cs="仿宋"/>
                      <w:color w:val="auto"/>
                      <w:szCs w:val="21"/>
                    </w:rPr>
                    <w:t>外购</w:t>
                  </w:r>
                </w:p>
              </w:tc>
              <w:tc>
                <w:tcPr>
                  <w:tcW w:w="586" w:type="pct"/>
                  <w:vMerge w:val="continue"/>
                  <w:shd w:val="clear" w:color="auto" w:fill="auto"/>
                  <w:vAlign w:val="center"/>
                </w:tcPr>
                <w:p w14:paraId="530FDA73">
                  <w:pPr>
                    <w:jc w:val="center"/>
                    <w:rPr>
                      <w:color w:val="auto"/>
                      <w:szCs w:val="21"/>
                    </w:rPr>
                  </w:pPr>
                </w:p>
              </w:tc>
              <w:tc>
                <w:tcPr>
                  <w:tcW w:w="649" w:type="pct"/>
                  <w:shd w:val="clear" w:color="auto" w:fill="auto"/>
                  <w:vAlign w:val="center"/>
                </w:tcPr>
                <w:p w14:paraId="7FF9A660">
                  <w:pPr>
                    <w:jc w:val="center"/>
                    <w:rPr>
                      <w:color w:val="auto"/>
                      <w:szCs w:val="21"/>
                    </w:rPr>
                  </w:pPr>
                  <w:r>
                    <w:rPr>
                      <w:rFonts w:hint="eastAsia"/>
                      <w:color w:val="auto"/>
                      <w:szCs w:val="21"/>
                    </w:rPr>
                    <w:t>粘胶</w:t>
                  </w:r>
                </w:p>
              </w:tc>
            </w:tr>
            <w:tr w14:paraId="2C2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43" w:type="pct"/>
                  <w:shd w:val="clear" w:color="auto" w:fill="auto"/>
                  <w:vAlign w:val="center"/>
                </w:tcPr>
                <w:p w14:paraId="0E58E438">
                  <w:pPr>
                    <w:pStyle w:val="63"/>
                    <w:rPr>
                      <w:color w:val="auto"/>
                    </w:rPr>
                  </w:pPr>
                  <w:r>
                    <w:rPr>
                      <w:rFonts w:hint="eastAsia"/>
                      <w:color w:val="auto"/>
                    </w:rPr>
                    <w:t>12</w:t>
                  </w:r>
                </w:p>
              </w:tc>
              <w:tc>
                <w:tcPr>
                  <w:tcW w:w="677" w:type="pct"/>
                  <w:shd w:val="clear" w:color="auto" w:fill="auto"/>
                  <w:vAlign w:val="center"/>
                </w:tcPr>
                <w:p w14:paraId="38999EAF">
                  <w:pPr>
                    <w:jc w:val="center"/>
                    <w:rPr>
                      <w:color w:val="auto"/>
                      <w:szCs w:val="21"/>
                    </w:rPr>
                  </w:pPr>
                  <w:r>
                    <w:rPr>
                      <w:rFonts w:hint="eastAsia"/>
                      <w:color w:val="auto"/>
                      <w:szCs w:val="21"/>
                    </w:rPr>
                    <w:t>切削液</w:t>
                  </w:r>
                </w:p>
              </w:tc>
              <w:tc>
                <w:tcPr>
                  <w:tcW w:w="555" w:type="pct"/>
                  <w:shd w:val="clear" w:color="auto" w:fill="auto"/>
                  <w:vAlign w:val="center"/>
                </w:tcPr>
                <w:p w14:paraId="7686F799">
                  <w:pPr>
                    <w:pStyle w:val="63"/>
                    <w:rPr>
                      <w:color w:val="auto"/>
                    </w:rPr>
                  </w:pPr>
                  <w:r>
                    <w:rPr>
                      <w:rFonts w:hint="eastAsia"/>
                      <w:color w:val="auto"/>
                    </w:rPr>
                    <w:t>/</w:t>
                  </w:r>
                </w:p>
              </w:tc>
              <w:tc>
                <w:tcPr>
                  <w:tcW w:w="395" w:type="pct"/>
                  <w:shd w:val="clear" w:color="auto" w:fill="auto"/>
                  <w:vAlign w:val="center"/>
                </w:tcPr>
                <w:p w14:paraId="19FC47AE">
                  <w:pPr>
                    <w:pStyle w:val="63"/>
                    <w:rPr>
                      <w:color w:val="auto"/>
                    </w:rPr>
                  </w:pPr>
                  <w:r>
                    <w:rPr>
                      <w:rFonts w:hint="eastAsia"/>
                      <w:color w:val="auto"/>
                    </w:rPr>
                    <w:t>液态</w:t>
                  </w:r>
                </w:p>
              </w:tc>
              <w:tc>
                <w:tcPr>
                  <w:tcW w:w="456" w:type="pct"/>
                  <w:shd w:val="clear" w:color="auto" w:fill="auto"/>
                  <w:vAlign w:val="center"/>
                </w:tcPr>
                <w:p w14:paraId="0D0DB548">
                  <w:pPr>
                    <w:snapToGrid w:val="0"/>
                    <w:jc w:val="center"/>
                    <w:rPr>
                      <w:rFonts w:cs="仿宋"/>
                      <w:color w:val="auto"/>
                      <w:szCs w:val="21"/>
                    </w:rPr>
                  </w:pPr>
                  <w:r>
                    <w:rPr>
                      <w:rFonts w:hint="eastAsia" w:cs="仿宋"/>
                      <w:color w:val="auto"/>
                      <w:szCs w:val="21"/>
                    </w:rPr>
                    <w:t>7.5</w:t>
                  </w:r>
                </w:p>
              </w:tc>
              <w:tc>
                <w:tcPr>
                  <w:tcW w:w="470" w:type="pct"/>
                  <w:shd w:val="clear" w:color="auto" w:fill="auto"/>
                  <w:vAlign w:val="center"/>
                </w:tcPr>
                <w:p w14:paraId="61B18D2A">
                  <w:pPr>
                    <w:snapToGrid w:val="0"/>
                    <w:jc w:val="center"/>
                    <w:rPr>
                      <w:rFonts w:cs="仿宋"/>
                      <w:color w:val="auto"/>
                      <w:szCs w:val="21"/>
                    </w:rPr>
                  </w:pPr>
                  <w:r>
                    <w:rPr>
                      <w:rFonts w:hint="eastAsia" w:cs="仿宋"/>
                      <w:color w:val="auto"/>
                      <w:szCs w:val="21"/>
                    </w:rPr>
                    <w:t>1</w:t>
                  </w:r>
                </w:p>
              </w:tc>
              <w:tc>
                <w:tcPr>
                  <w:tcW w:w="465" w:type="pct"/>
                  <w:shd w:val="clear" w:color="auto" w:fill="auto"/>
                  <w:vAlign w:val="center"/>
                </w:tcPr>
                <w:p w14:paraId="53BD2489">
                  <w:pPr>
                    <w:snapToGrid w:val="0"/>
                    <w:jc w:val="center"/>
                    <w:rPr>
                      <w:rFonts w:cs="仿宋"/>
                      <w:color w:val="auto"/>
                      <w:szCs w:val="21"/>
                    </w:rPr>
                  </w:pPr>
                  <w:r>
                    <w:rPr>
                      <w:rFonts w:hint="eastAsia" w:cs="仿宋"/>
                      <w:color w:val="auto"/>
                      <w:szCs w:val="21"/>
                    </w:rPr>
                    <w:t>吨</w:t>
                  </w:r>
                </w:p>
              </w:tc>
              <w:tc>
                <w:tcPr>
                  <w:tcW w:w="498" w:type="pct"/>
                  <w:shd w:val="clear" w:color="auto" w:fill="auto"/>
                  <w:vAlign w:val="center"/>
                </w:tcPr>
                <w:p w14:paraId="06CFFE7D">
                  <w:pPr>
                    <w:snapToGrid w:val="0"/>
                    <w:jc w:val="center"/>
                    <w:rPr>
                      <w:rFonts w:cs="仿宋"/>
                      <w:color w:val="auto"/>
                      <w:szCs w:val="21"/>
                    </w:rPr>
                  </w:pPr>
                  <w:r>
                    <w:rPr>
                      <w:rFonts w:hint="eastAsia" w:cs="仿宋"/>
                      <w:color w:val="auto"/>
                      <w:szCs w:val="21"/>
                    </w:rPr>
                    <w:t>外购</w:t>
                  </w:r>
                </w:p>
              </w:tc>
              <w:tc>
                <w:tcPr>
                  <w:tcW w:w="586" w:type="pct"/>
                  <w:vMerge w:val="continue"/>
                  <w:shd w:val="clear" w:color="auto" w:fill="auto"/>
                  <w:vAlign w:val="center"/>
                </w:tcPr>
                <w:p w14:paraId="67DACEA5">
                  <w:pPr>
                    <w:jc w:val="center"/>
                    <w:rPr>
                      <w:color w:val="auto"/>
                      <w:szCs w:val="21"/>
                    </w:rPr>
                  </w:pPr>
                </w:p>
              </w:tc>
              <w:tc>
                <w:tcPr>
                  <w:tcW w:w="649" w:type="pct"/>
                  <w:shd w:val="clear" w:color="auto" w:fill="auto"/>
                  <w:vAlign w:val="center"/>
                </w:tcPr>
                <w:p w14:paraId="70CCBCD9">
                  <w:pPr>
                    <w:jc w:val="center"/>
                    <w:rPr>
                      <w:color w:val="auto"/>
                      <w:szCs w:val="21"/>
                    </w:rPr>
                  </w:pPr>
                  <w:r>
                    <w:rPr>
                      <w:rFonts w:hint="eastAsia"/>
                      <w:color w:val="auto"/>
                      <w:szCs w:val="21"/>
                    </w:rPr>
                    <w:t>机加工</w:t>
                  </w:r>
                </w:p>
              </w:tc>
            </w:tr>
          </w:tbl>
          <w:p w14:paraId="58B97BE9">
            <w:pPr>
              <w:pStyle w:val="23"/>
              <w:adjustRightInd w:val="0"/>
              <w:snapToGrid w:val="0"/>
              <w:spacing w:after="0"/>
              <w:ind w:firstLine="0" w:firstLineChars="0"/>
              <w:jc w:val="center"/>
              <w:rPr>
                <w:b/>
                <w:bCs/>
                <w:color w:val="auto"/>
              </w:rPr>
            </w:pPr>
            <w:r>
              <w:rPr>
                <w:b/>
                <w:bCs/>
                <w:color w:val="auto"/>
                <w:kern w:val="0"/>
                <w:szCs w:val="21"/>
              </w:rPr>
              <w:t>能源消耗</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31"/>
              <w:gridCol w:w="1220"/>
              <w:gridCol w:w="1393"/>
              <w:gridCol w:w="4205"/>
            </w:tblGrid>
            <w:tr w14:paraId="53A5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14:paraId="2ED6B410">
                  <w:pPr>
                    <w:pStyle w:val="71"/>
                    <w:topLinePunct/>
                    <w:adjustRightInd w:val="0"/>
                    <w:snapToGrid w:val="0"/>
                    <w:rPr>
                      <w:color w:val="auto"/>
                    </w:rPr>
                  </w:pPr>
                  <w:r>
                    <w:rPr>
                      <w:color w:val="auto"/>
                    </w:rPr>
                    <w:t>1</w:t>
                  </w:r>
                </w:p>
              </w:tc>
              <w:tc>
                <w:tcPr>
                  <w:tcW w:w="877" w:type="pct"/>
                  <w:vAlign w:val="center"/>
                </w:tcPr>
                <w:p w14:paraId="0F818530">
                  <w:pPr>
                    <w:topLinePunct/>
                    <w:spacing w:line="300" w:lineRule="exact"/>
                    <w:jc w:val="center"/>
                    <w:rPr>
                      <w:color w:val="auto"/>
                      <w:szCs w:val="21"/>
                    </w:rPr>
                  </w:pPr>
                  <w:r>
                    <w:rPr>
                      <w:color w:val="auto"/>
                      <w:szCs w:val="21"/>
                    </w:rPr>
                    <w:t>水</w:t>
                  </w:r>
                </w:p>
              </w:tc>
              <w:tc>
                <w:tcPr>
                  <w:tcW w:w="656" w:type="pct"/>
                  <w:vAlign w:val="center"/>
                </w:tcPr>
                <w:p w14:paraId="36B17EDB">
                  <w:pPr>
                    <w:topLinePunct/>
                    <w:spacing w:line="300" w:lineRule="exact"/>
                    <w:jc w:val="center"/>
                    <w:rPr>
                      <w:rFonts w:hint="default" w:eastAsia="宋体"/>
                      <w:color w:val="auto"/>
                      <w:szCs w:val="21"/>
                      <w:lang w:val="en-US" w:eastAsia="zh-CN"/>
                    </w:rPr>
                  </w:pPr>
                  <w:r>
                    <w:rPr>
                      <w:rFonts w:hint="eastAsia"/>
                      <w:color w:val="auto"/>
                      <w:szCs w:val="21"/>
                      <w:lang w:val="en-US" w:eastAsia="zh-CN"/>
                    </w:rPr>
                    <w:t>15492.9</w:t>
                  </w:r>
                </w:p>
              </w:tc>
              <w:tc>
                <w:tcPr>
                  <w:tcW w:w="749" w:type="pct"/>
                  <w:vAlign w:val="center"/>
                </w:tcPr>
                <w:p w14:paraId="38CDB74B">
                  <w:pPr>
                    <w:widowControl/>
                    <w:topLinePunct/>
                    <w:adjustRightInd w:val="0"/>
                    <w:snapToGrid w:val="0"/>
                    <w:jc w:val="center"/>
                    <w:rPr>
                      <w:color w:val="auto"/>
                      <w:kern w:val="0"/>
                      <w:szCs w:val="21"/>
                    </w:rPr>
                  </w:pPr>
                  <w:r>
                    <w:rPr>
                      <w:color w:val="auto"/>
                      <w:kern w:val="0"/>
                      <w:szCs w:val="21"/>
                    </w:rPr>
                    <w:t>m</w:t>
                  </w:r>
                  <w:r>
                    <w:rPr>
                      <w:color w:val="auto"/>
                      <w:kern w:val="0"/>
                      <w:szCs w:val="21"/>
                      <w:vertAlign w:val="superscript"/>
                    </w:rPr>
                    <w:t>3</w:t>
                  </w:r>
                  <w:r>
                    <w:rPr>
                      <w:color w:val="auto"/>
                      <w:kern w:val="0"/>
                      <w:szCs w:val="21"/>
                    </w:rPr>
                    <w:t>/a</w:t>
                  </w:r>
                </w:p>
              </w:tc>
              <w:tc>
                <w:tcPr>
                  <w:tcW w:w="2261" w:type="pct"/>
                  <w:vAlign w:val="center"/>
                </w:tcPr>
                <w:p w14:paraId="3652AA80">
                  <w:pPr>
                    <w:topLinePunct/>
                    <w:spacing w:line="300" w:lineRule="exact"/>
                    <w:jc w:val="center"/>
                    <w:rPr>
                      <w:color w:val="auto"/>
                      <w:kern w:val="0"/>
                      <w:szCs w:val="21"/>
                    </w:rPr>
                  </w:pPr>
                  <w:r>
                    <w:rPr>
                      <w:rFonts w:hint="eastAsia"/>
                      <w:bCs/>
                      <w:color w:val="auto"/>
                      <w:szCs w:val="21"/>
                    </w:rPr>
                    <w:t>市政供水管网</w:t>
                  </w:r>
                </w:p>
              </w:tc>
            </w:tr>
            <w:tr w14:paraId="2328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14:paraId="3F455C8E">
                  <w:pPr>
                    <w:pStyle w:val="71"/>
                    <w:topLinePunct/>
                    <w:adjustRightInd w:val="0"/>
                    <w:snapToGrid w:val="0"/>
                    <w:rPr>
                      <w:color w:val="auto"/>
                    </w:rPr>
                  </w:pPr>
                  <w:r>
                    <w:rPr>
                      <w:color w:val="auto"/>
                    </w:rPr>
                    <w:t>2</w:t>
                  </w:r>
                </w:p>
              </w:tc>
              <w:tc>
                <w:tcPr>
                  <w:tcW w:w="877" w:type="pct"/>
                  <w:vAlign w:val="center"/>
                </w:tcPr>
                <w:p w14:paraId="69753C95">
                  <w:pPr>
                    <w:topLinePunct/>
                    <w:spacing w:line="300" w:lineRule="exact"/>
                    <w:jc w:val="center"/>
                    <w:rPr>
                      <w:color w:val="auto"/>
                      <w:szCs w:val="21"/>
                    </w:rPr>
                  </w:pPr>
                  <w:r>
                    <w:rPr>
                      <w:color w:val="auto"/>
                      <w:szCs w:val="21"/>
                    </w:rPr>
                    <w:t>电</w:t>
                  </w:r>
                </w:p>
              </w:tc>
              <w:tc>
                <w:tcPr>
                  <w:tcW w:w="656" w:type="pct"/>
                  <w:vAlign w:val="center"/>
                </w:tcPr>
                <w:p w14:paraId="7318D2C3">
                  <w:pPr>
                    <w:topLinePunct/>
                    <w:spacing w:line="300" w:lineRule="exact"/>
                    <w:jc w:val="center"/>
                    <w:rPr>
                      <w:color w:val="auto"/>
                      <w:szCs w:val="21"/>
                    </w:rPr>
                  </w:pPr>
                  <w:r>
                    <w:rPr>
                      <w:rFonts w:hint="eastAsia"/>
                      <w:color w:val="auto"/>
                      <w:szCs w:val="21"/>
                    </w:rPr>
                    <w:t>40</w:t>
                  </w:r>
                </w:p>
              </w:tc>
              <w:tc>
                <w:tcPr>
                  <w:tcW w:w="749" w:type="pct"/>
                  <w:vAlign w:val="center"/>
                </w:tcPr>
                <w:p w14:paraId="158A00F3">
                  <w:pPr>
                    <w:widowControl/>
                    <w:topLinePunct/>
                    <w:adjustRightInd w:val="0"/>
                    <w:snapToGrid w:val="0"/>
                    <w:jc w:val="center"/>
                    <w:rPr>
                      <w:color w:val="auto"/>
                      <w:kern w:val="0"/>
                      <w:szCs w:val="21"/>
                    </w:rPr>
                  </w:pPr>
                  <w:r>
                    <w:rPr>
                      <w:rFonts w:hint="eastAsia"/>
                      <w:color w:val="auto"/>
                      <w:kern w:val="0"/>
                      <w:szCs w:val="21"/>
                    </w:rPr>
                    <w:t>万</w:t>
                  </w:r>
                  <w:r>
                    <w:rPr>
                      <w:color w:val="auto"/>
                      <w:kern w:val="0"/>
                      <w:szCs w:val="21"/>
                    </w:rPr>
                    <w:t>Kw·h/a</w:t>
                  </w:r>
                </w:p>
              </w:tc>
              <w:tc>
                <w:tcPr>
                  <w:tcW w:w="2261" w:type="pct"/>
                  <w:vAlign w:val="center"/>
                </w:tcPr>
                <w:p w14:paraId="4E41D2C9">
                  <w:pPr>
                    <w:topLinePunct/>
                    <w:spacing w:line="300" w:lineRule="exact"/>
                    <w:jc w:val="center"/>
                    <w:rPr>
                      <w:color w:val="auto"/>
                      <w:kern w:val="0"/>
                      <w:szCs w:val="21"/>
                    </w:rPr>
                  </w:pPr>
                  <w:r>
                    <w:rPr>
                      <w:rFonts w:hint="eastAsia"/>
                      <w:bCs/>
                      <w:color w:val="auto"/>
                      <w:szCs w:val="21"/>
                    </w:rPr>
                    <w:t>市</w:t>
                  </w:r>
                  <w:r>
                    <w:rPr>
                      <w:rFonts w:hint="eastAsia"/>
                      <w:color w:val="auto"/>
                      <w:szCs w:val="21"/>
                    </w:rPr>
                    <w:t>政</w:t>
                  </w:r>
                  <w:r>
                    <w:rPr>
                      <w:color w:val="auto"/>
                      <w:szCs w:val="21"/>
                    </w:rPr>
                    <w:t>供电</w:t>
                  </w:r>
                  <w:r>
                    <w:rPr>
                      <w:rFonts w:hint="eastAsia"/>
                      <w:color w:val="auto"/>
                      <w:szCs w:val="21"/>
                    </w:rPr>
                    <w:t>管网</w:t>
                  </w:r>
                </w:p>
              </w:tc>
            </w:tr>
            <w:tr w14:paraId="185E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14:paraId="63BD8662">
                  <w:pPr>
                    <w:pStyle w:val="71"/>
                    <w:topLinePunct/>
                    <w:adjustRightInd w:val="0"/>
                    <w:snapToGrid w:val="0"/>
                    <w:rPr>
                      <w:rFonts w:hint="eastAsia" w:eastAsia="宋体"/>
                      <w:color w:val="auto"/>
                      <w:lang w:val="en-US" w:eastAsia="zh-CN"/>
                    </w:rPr>
                  </w:pPr>
                  <w:r>
                    <w:rPr>
                      <w:rFonts w:hint="eastAsia"/>
                      <w:color w:val="auto"/>
                      <w:lang w:val="en-US" w:eastAsia="zh-CN"/>
                    </w:rPr>
                    <w:t>3</w:t>
                  </w:r>
                </w:p>
              </w:tc>
              <w:tc>
                <w:tcPr>
                  <w:tcW w:w="877" w:type="pct"/>
                  <w:vAlign w:val="center"/>
                </w:tcPr>
                <w:p w14:paraId="090D202E">
                  <w:pPr>
                    <w:topLinePunct/>
                    <w:spacing w:line="300" w:lineRule="exact"/>
                    <w:jc w:val="center"/>
                    <w:rPr>
                      <w:rFonts w:hint="eastAsia" w:eastAsia="宋体"/>
                      <w:color w:val="auto"/>
                      <w:szCs w:val="21"/>
                      <w:lang w:val="en-US" w:eastAsia="zh-CN"/>
                    </w:rPr>
                  </w:pPr>
                  <w:r>
                    <w:rPr>
                      <w:rFonts w:hint="eastAsia"/>
                      <w:color w:val="auto"/>
                      <w:szCs w:val="21"/>
                      <w:lang w:val="en-US" w:eastAsia="zh-CN"/>
                    </w:rPr>
                    <w:t>蒸汽</w:t>
                  </w:r>
                </w:p>
              </w:tc>
              <w:tc>
                <w:tcPr>
                  <w:tcW w:w="656" w:type="pct"/>
                  <w:vAlign w:val="center"/>
                </w:tcPr>
                <w:p w14:paraId="28E71284">
                  <w:pPr>
                    <w:topLinePunct/>
                    <w:spacing w:line="300" w:lineRule="exact"/>
                    <w:jc w:val="center"/>
                    <w:rPr>
                      <w:rFonts w:hint="default" w:eastAsia="宋体"/>
                      <w:color w:val="auto"/>
                      <w:szCs w:val="21"/>
                      <w:lang w:val="en-US" w:eastAsia="zh-CN"/>
                    </w:rPr>
                  </w:pPr>
                  <w:r>
                    <w:rPr>
                      <w:rFonts w:hint="eastAsia"/>
                      <w:color w:val="auto"/>
                      <w:szCs w:val="21"/>
                      <w:lang w:val="en-US" w:eastAsia="zh-CN"/>
                    </w:rPr>
                    <w:t>96</w:t>
                  </w:r>
                </w:p>
              </w:tc>
              <w:tc>
                <w:tcPr>
                  <w:tcW w:w="749" w:type="pct"/>
                  <w:vAlign w:val="center"/>
                </w:tcPr>
                <w:p w14:paraId="5C693E2A">
                  <w:pPr>
                    <w:widowControl/>
                    <w:topLinePunct/>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t/a</w:t>
                  </w:r>
                </w:p>
              </w:tc>
              <w:tc>
                <w:tcPr>
                  <w:tcW w:w="2261" w:type="pct"/>
                  <w:vAlign w:val="center"/>
                </w:tcPr>
                <w:p w14:paraId="433DDE12">
                  <w:pPr>
                    <w:topLinePunct/>
                    <w:spacing w:line="300" w:lineRule="exact"/>
                    <w:jc w:val="center"/>
                    <w:rPr>
                      <w:rFonts w:hint="default" w:eastAsia="宋体"/>
                      <w:bCs/>
                      <w:color w:val="auto"/>
                      <w:szCs w:val="21"/>
                      <w:lang w:val="en-US" w:eastAsia="zh-CN"/>
                    </w:rPr>
                  </w:pPr>
                  <w:r>
                    <w:rPr>
                      <w:rFonts w:hint="eastAsia"/>
                      <w:bCs/>
                      <w:color w:val="auto"/>
                      <w:szCs w:val="21"/>
                      <w:lang w:val="en-US" w:eastAsia="zh-CN"/>
                    </w:rPr>
                    <w:t>由一期供给</w:t>
                  </w:r>
                </w:p>
              </w:tc>
            </w:tr>
          </w:tbl>
          <w:p w14:paraId="3F3E2673">
            <w:pPr>
              <w:pStyle w:val="42"/>
              <w:spacing w:line="360" w:lineRule="auto"/>
              <w:ind w:firstLine="482" w:firstLineChars="200"/>
              <w:rPr>
                <w:rFonts w:hint="default" w:ascii="Times New Roman" w:hAnsi="Times New Roman" w:cs="宋体"/>
                <w:b/>
                <w:color w:val="auto"/>
                <w:kern w:val="2"/>
                <w:sz w:val="24"/>
              </w:rPr>
            </w:pPr>
            <w:r>
              <w:rPr>
                <w:rFonts w:ascii="Times New Roman" w:hAnsi="Times New Roman" w:cs="宋体"/>
                <w:b/>
                <w:color w:val="auto"/>
                <w:kern w:val="2"/>
                <w:sz w:val="24"/>
              </w:rPr>
              <w:t>6、2#危化品贮存清单</w:t>
            </w:r>
          </w:p>
          <w:p w14:paraId="4215FEC5">
            <w:pPr>
              <w:pStyle w:val="23"/>
              <w:spacing w:after="0"/>
              <w:ind w:left="0" w:leftChars="0" w:firstLine="482"/>
              <w:rPr>
                <w:rFonts w:cs="宋体"/>
                <w:b w:val="0"/>
                <w:bCs/>
                <w:color w:val="auto"/>
                <w:sz w:val="24"/>
              </w:rPr>
            </w:pPr>
            <w:r>
              <w:rPr>
                <w:rFonts w:hint="eastAsia" w:cs="宋体"/>
                <w:b w:val="0"/>
                <w:bCs/>
                <w:color w:val="auto"/>
                <w:sz w:val="24"/>
              </w:rPr>
              <w:t>本项目2#危化品贮存清单见表2-6。</w:t>
            </w:r>
          </w:p>
          <w:p w14:paraId="6AC7CB57">
            <w:pPr>
              <w:pStyle w:val="23"/>
              <w:spacing w:after="0"/>
              <w:ind w:left="0" w:leftChars="0" w:firstLine="0" w:firstLineChars="0"/>
              <w:jc w:val="center"/>
              <w:rPr>
                <w:rFonts w:cs="宋体"/>
                <w:b/>
                <w:bCs/>
                <w:color w:val="auto"/>
                <w:kern w:val="0"/>
                <w:sz w:val="24"/>
                <w:lang w:bidi="ar"/>
              </w:rPr>
            </w:pPr>
            <w:r>
              <w:rPr>
                <w:rFonts w:hint="eastAsia" w:cs="宋体"/>
                <w:b/>
                <w:bCs/>
                <w:color w:val="auto"/>
                <w:kern w:val="0"/>
                <w:sz w:val="24"/>
                <w:lang w:bidi="ar"/>
              </w:rPr>
              <w:t>表</w:t>
            </w:r>
            <w:r>
              <w:rPr>
                <w:b/>
                <w:bCs/>
                <w:color w:val="auto"/>
                <w:kern w:val="0"/>
                <w:sz w:val="24"/>
                <w:lang w:bidi="ar"/>
              </w:rPr>
              <w:t>2-</w:t>
            </w:r>
            <w:r>
              <w:rPr>
                <w:rFonts w:hint="eastAsia"/>
                <w:b/>
                <w:bCs/>
                <w:color w:val="auto"/>
                <w:kern w:val="0"/>
                <w:sz w:val="24"/>
                <w:lang w:bidi="ar"/>
              </w:rPr>
              <w:t>6</w:t>
            </w:r>
            <w:r>
              <w:rPr>
                <w:rFonts w:hint="eastAsia"/>
                <w:b/>
                <w:bCs/>
                <w:color w:val="auto"/>
                <w:kern w:val="0"/>
                <w:sz w:val="24"/>
                <w:lang w:val="en-US" w:eastAsia="zh-CN" w:bidi="ar"/>
              </w:rPr>
              <w:t xml:space="preserve"> </w:t>
            </w:r>
            <w:r>
              <w:rPr>
                <w:rFonts w:hint="eastAsia" w:cs="宋体"/>
                <w:b/>
                <w:color w:val="auto"/>
                <w:sz w:val="24"/>
              </w:rPr>
              <w:t>2#危化品贮存</w:t>
            </w:r>
            <w:r>
              <w:rPr>
                <w:rFonts w:hint="eastAsia" w:cs="宋体"/>
                <w:b/>
                <w:bCs/>
                <w:color w:val="auto"/>
                <w:kern w:val="0"/>
                <w:sz w:val="24"/>
                <w:lang w:bidi="ar"/>
              </w:rPr>
              <w:t>情况表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817"/>
              <w:gridCol w:w="689"/>
              <w:gridCol w:w="1312"/>
              <w:gridCol w:w="1312"/>
              <w:gridCol w:w="2364"/>
              <w:gridCol w:w="1376"/>
            </w:tblGrid>
            <w:tr w14:paraId="0CC0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1791DD6">
                  <w:pPr>
                    <w:jc w:val="center"/>
                    <w:rPr>
                      <w:b/>
                      <w:bCs/>
                      <w:color w:val="auto"/>
                    </w:rPr>
                  </w:pPr>
                  <w:r>
                    <w:rPr>
                      <w:rFonts w:hint="eastAsia"/>
                      <w:b/>
                      <w:bCs/>
                      <w:color w:val="auto"/>
                    </w:rPr>
                    <w:t>序号</w:t>
                  </w:r>
                </w:p>
              </w:tc>
              <w:tc>
                <w:tcPr>
                  <w:tcW w:w="987" w:type="pct"/>
                  <w:vAlign w:val="center"/>
                </w:tcPr>
                <w:p w14:paraId="01EE15B0">
                  <w:pPr>
                    <w:jc w:val="center"/>
                    <w:rPr>
                      <w:b/>
                      <w:bCs/>
                      <w:color w:val="auto"/>
                    </w:rPr>
                  </w:pPr>
                  <w:r>
                    <w:rPr>
                      <w:rFonts w:hint="eastAsia"/>
                      <w:b/>
                      <w:bCs/>
                      <w:color w:val="auto"/>
                    </w:rPr>
                    <w:t>名称</w:t>
                  </w:r>
                </w:p>
              </w:tc>
              <w:tc>
                <w:tcPr>
                  <w:tcW w:w="323" w:type="pct"/>
                  <w:vAlign w:val="center"/>
                </w:tcPr>
                <w:p w14:paraId="37EC533B">
                  <w:pPr>
                    <w:jc w:val="center"/>
                    <w:rPr>
                      <w:b/>
                      <w:bCs/>
                      <w:color w:val="auto"/>
                    </w:rPr>
                  </w:pPr>
                  <w:r>
                    <w:rPr>
                      <w:rFonts w:hint="eastAsia"/>
                      <w:b/>
                      <w:bCs/>
                      <w:color w:val="auto"/>
                    </w:rPr>
                    <w:t>贮存量</w:t>
                  </w:r>
                </w:p>
              </w:tc>
              <w:tc>
                <w:tcPr>
                  <w:tcW w:w="715" w:type="pct"/>
                  <w:vAlign w:val="center"/>
                </w:tcPr>
                <w:p w14:paraId="0541F8C4">
                  <w:pPr>
                    <w:jc w:val="center"/>
                    <w:rPr>
                      <w:rFonts w:hint="default" w:eastAsia="宋体"/>
                      <w:b/>
                      <w:bCs/>
                      <w:color w:val="auto"/>
                      <w:lang w:val="en-US" w:eastAsia="zh-CN"/>
                    </w:rPr>
                  </w:pPr>
                  <w:r>
                    <w:rPr>
                      <w:rFonts w:hint="eastAsia"/>
                      <w:b/>
                      <w:bCs/>
                      <w:color w:val="auto"/>
                      <w:lang w:val="en-US" w:eastAsia="zh-CN"/>
                    </w:rPr>
                    <w:t>包装规格</w:t>
                  </w:r>
                </w:p>
              </w:tc>
              <w:tc>
                <w:tcPr>
                  <w:tcW w:w="715" w:type="pct"/>
                  <w:vAlign w:val="center"/>
                </w:tcPr>
                <w:p w14:paraId="5A15D1A6">
                  <w:pPr>
                    <w:jc w:val="center"/>
                    <w:rPr>
                      <w:b/>
                      <w:bCs/>
                      <w:color w:val="auto"/>
                    </w:rPr>
                  </w:pPr>
                  <w:r>
                    <w:rPr>
                      <w:rFonts w:hint="eastAsia"/>
                      <w:b/>
                      <w:bCs/>
                      <w:color w:val="auto"/>
                    </w:rPr>
                    <w:t>单位</w:t>
                  </w:r>
                </w:p>
              </w:tc>
              <w:tc>
                <w:tcPr>
                  <w:tcW w:w="1280" w:type="pct"/>
                  <w:vAlign w:val="center"/>
                </w:tcPr>
                <w:p w14:paraId="65BEC554">
                  <w:pPr>
                    <w:jc w:val="center"/>
                    <w:rPr>
                      <w:b/>
                      <w:bCs/>
                      <w:color w:val="auto"/>
                    </w:rPr>
                  </w:pPr>
                  <w:r>
                    <w:rPr>
                      <w:rFonts w:hint="eastAsia"/>
                      <w:b/>
                      <w:bCs/>
                      <w:color w:val="auto"/>
                    </w:rPr>
                    <w:t>是否为《建设项目环境风险评价技术导则》（HJ169-2018）附录B的风险物质</w:t>
                  </w:r>
                </w:p>
              </w:tc>
              <w:tc>
                <w:tcPr>
                  <w:tcW w:w="749" w:type="pct"/>
                  <w:vAlign w:val="center"/>
                </w:tcPr>
                <w:p w14:paraId="02DED7A8">
                  <w:pPr>
                    <w:jc w:val="center"/>
                    <w:rPr>
                      <w:rFonts w:hint="default" w:eastAsia="宋体"/>
                      <w:b/>
                      <w:bCs/>
                      <w:color w:val="auto"/>
                      <w:lang w:val="en-US" w:eastAsia="zh-CN"/>
                    </w:rPr>
                  </w:pPr>
                  <w:r>
                    <w:rPr>
                      <w:rFonts w:hint="eastAsia"/>
                      <w:b/>
                      <w:bCs/>
                      <w:color w:val="auto"/>
                      <w:lang w:val="en-US" w:eastAsia="zh-CN"/>
                    </w:rPr>
                    <w:t>所属项目</w:t>
                  </w:r>
                </w:p>
              </w:tc>
            </w:tr>
            <w:tr w14:paraId="5C35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D6798DA">
                  <w:pPr>
                    <w:jc w:val="center"/>
                    <w:rPr>
                      <w:color w:val="auto"/>
                    </w:rPr>
                  </w:pPr>
                  <w:r>
                    <w:rPr>
                      <w:rFonts w:hint="eastAsia"/>
                      <w:color w:val="auto"/>
                    </w:rPr>
                    <w:t>1</w:t>
                  </w:r>
                </w:p>
              </w:tc>
              <w:tc>
                <w:tcPr>
                  <w:tcW w:w="987" w:type="pct"/>
                  <w:vAlign w:val="center"/>
                </w:tcPr>
                <w:p w14:paraId="242C7DB1">
                  <w:pPr>
                    <w:jc w:val="center"/>
                    <w:rPr>
                      <w:color w:val="auto"/>
                    </w:rPr>
                  </w:pPr>
                  <w:r>
                    <w:rPr>
                      <w:rFonts w:hint="eastAsia"/>
                      <w:color w:val="auto"/>
                    </w:rPr>
                    <w:t>丙酮</w:t>
                  </w:r>
                </w:p>
              </w:tc>
              <w:tc>
                <w:tcPr>
                  <w:tcW w:w="323" w:type="pct"/>
                  <w:vAlign w:val="center"/>
                </w:tcPr>
                <w:p w14:paraId="3B14C9B6">
                  <w:pPr>
                    <w:jc w:val="center"/>
                    <w:rPr>
                      <w:color w:val="auto"/>
                    </w:rPr>
                  </w:pPr>
                  <w:r>
                    <w:rPr>
                      <w:rFonts w:hint="eastAsia"/>
                      <w:color w:val="auto"/>
                    </w:rPr>
                    <w:t>0.72</w:t>
                  </w:r>
                </w:p>
              </w:tc>
              <w:tc>
                <w:tcPr>
                  <w:tcW w:w="715" w:type="pct"/>
                  <w:vAlign w:val="center"/>
                </w:tcPr>
                <w:p w14:paraId="3BA456D5">
                  <w:pPr>
                    <w:jc w:val="center"/>
                    <w:rPr>
                      <w:rFonts w:hint="default" w:eastAsia="宋体"/>
                      <w:color w:val="auto"/>
                      <w:lang w:val="en-US" w:eastAsia="zh-CN"/>
                    </w:rPr>
                  </w:pPr>
                  <w:r>
                    <w:rPr>
                      <w:rFonts w:hint="eastAsia"/>
                      <w:color w:val="auto"/>
                      <w:lang w:val="en-US" w:eastAsia="zh-CN"/>
                    </w:rPr>
                    <w:t>180kg/桶</w:t>
                  </w:r>
                </w:p>
              </w:tc>
              <w:tc>
                <w:tcPr>
                  <w:tcW w:w="715" w:type="pct"/>
                  <w:vAlign w:val="center"/>
                </w:tcPr>
                <w:p w14:paraId="07881346">
                  <w:pPr>
                    <w:jc w:val="center"/>
                    <w:rPr>
                      <w:color w:val="auto"/>
                    </w:rPr>
                  </w:pPr>
                  <w:r>
                    <w:rPr>
                      <w:rFonts w:hint="eastAsia"/>
                      <w:color w:val="auto"/>
                    </w:rPr>
                    <w:t>吨</w:t>
                  </w:r>
                </w:p>
              </w:tc>
              <w:tc>
                <w:tcPr>
                  <w:tcW w:w="1280" w:type="pct"/>
                  <w:vAlign w:val="center"/>
                </w:tcPr>
                <w:p w14:paraId="1DD1588C">
                  <w:pPr>
                    <w:jc w:val="center"/>
                    <w:rPr>
                      <w:color w:val="auto"/>
                    </w:rPr>
                  </w:pPr>
                  <w:r>
                    <w:rPr>
                      <w:rFonts w:hint="eastAsia"/>
                      <w:color w:val="auto"/>
                    </w:rPr>
                    <w:t>是</w:t>
                  </w:r>
                </w:p>
              </w:tc>
              <w:tc>
                <w:tcPr>
                  <w:tcW w:w="749" w:type="pct"/>
                  <w:vMerge w:val="restart"/>
                  <w:vAlign w:val="center"/>
                </w:tcPr>
                <w:p w14:paraId="3CDD17B4">
                  <w:pPr>
                    <w:jc w:val="center"/>
                    <w:rPr>
                      <w:rFonts w:hint="eastAsia"/>
                      <w:color w:val="auto"/>
                    </w:rPr>
                  </w:pPr>
                  <w:r>
                    <w:rPr>
                      <w:rFonts w:hint="eastAsia"/>
                      <w:color w:val="auto"/>
                    </w:rPr>
                    <w:t>《江西劲诚永磁新材料有限公司高效节能电机用磁材基地项目》（赣环审〔2024〕6号）</w:t>
                  </w:r>
                </w:p>
              </w:tc>
            </w:tr>
            <w:tr w14:paraId="4138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4911731">
                  <w:pPr>
                    <w:jc w:val="center"/>
                    <w:rPr>
                      <w:color w:val="auto"/>
                    </w:rPr>
                  </w:pPr>
                  <w:r>
                    <w:rPr>
                      <w:rFonts w:hint="eastAsia"/>
                      <w:color w:val="auto"/>
                    </w:rPr>
                    <w:t>2</w:t>
                  </w:r>
                </w:p>
              </w:tc>
              <w:tc>
                <w:tcPr>
                  <w:tcW w:w="987" w:type="pct"/>
                  <w:vAlign w:val="center"/>
                </w:tcPr>
                <w:p w14:paraId="2D68F4ED">
                  <w:pPr>
                    <w:jc w:val="center"/>
                    <w:rPr>
                      <w:color w:val="auto"/>
                    </w:rPr>
                  </w:pPr>
                  <w:r>
                    <w:rPr>
                      <w:rFonts w:hint="eastAsia"/>
                      <w:color w:val="auto"/>
                    </w:rPr>
                    <w:t>无水乙醇</w:t>
                  </w:r>
                </w:p>
              </w:tc>
              <w:tc>
                <w:tcPr>
                  <w:tcW w:w="323" w:type="pct"/>
                  <w:vAlign w:val="center"/>
                </w:tcPr>
                <w:p w14:paraId="5E4B2AF4">
                  <w:pPr>
                    <w:jc w:val="center"/>
                    <w:rPr>
                      <w:color w:val="auto"/>
                    </w:rPr>
                  </w:pPr>
                  <w:r>
                    <w:rPr>
                      <w:rFonts w:hint="eastAsia"/>
                      <w:color w:val="auto"/>
                    </w:rPr>
                    <w:t>0.03</w:t>
                  </w:r>
                </w:p>
              </w:tc>
              <w:tc>
                <w:tcPr>
                  <w:tcW w:w="715" w:type="pct"/>
                  <w:vAlign w:val="center"/>
                </w:tcPr>
                <w:p w14:paraId="7D8511CA">
                  <w:pPr>
                    <w:jc w:val="center"/>
                    <w:rPr>
                      <w:rFonts w:hint="default" w:eastAsia="宋体"/>
                      <w:color w:val="auto"/>
                      <w:lang w:val="en-US" w:eastAsia="zh-CN"/>
                    </w:rPr>
                  </w:pPr>
                  <w:r>
                    <w:rPr>
                      <w:rFonts w:hint="eastAsia"/>
                      <w:color w:val="auto"/>
                      <w:lang w:val="en-US" w:eastAsia="zh-CN"/>
                    </w:rPr>
                    <w:t>500ml</w:t>
                  </w:r>
                </w:p>
              </w:tc>
              <w:tc>
                <w:tcPr>
                  <w:tcW w:w="715" w:type="pct"/>
                  <w:vAlign w:val="center"/>
                </w:tcPr>
                <w:p w14:paraId="46CC25AE">
                  <w:pPr>
                    <w:jc w:val="center"/>
                    <w:rPr>
                      <w:color w:val="auto"/>
                    </w:rPr>
                  </w:pPr>
                  <w:r>
                    <w:rPr>
                      <w:rFonts w:hint="eastAsia"/>
                      <w:color w:val="auto"/>
                    </w:rPr>
                    <w:t>吨</w:t>
                  </w:r>
                </w:p>
              </w:tc>
              <w:tc>
                <w:tcPr>
                  <w:tcW w:w="1280" w:type="pct"/>
                  <w:vAlign w:val="center"/>
                </w:tcPr>
                <w:p w14:paraId="1C847A4A">
                  <w:pPr>
                    <w:jc w:val="center"/>
                    <w:rPr>
                      <w:color w:val="auto"/>
                    </w:rPr>
                  </w:pPr>
                  <w:r>
                    <w:rPr>
                      <w:rFonts w:hint="eastAsia"/>
                      <w:color w:val="auto"/>
                    </w:rPr>
                    <w:t>是</w:t>
                  </w:r>
                </w:p>
              </w:tc>
              <w:tc>
                <w:tcPr>
                  <w:tcW w:w="749" w:type="pct"/>
                  <w:vMerge w:val="continue"/>
                  <w:vAlign w:val="center"/>
                </w:tcPr>
                <w:p w14:paraId="00C6A225">
                  <w:pPr>
                    <w:jc w:val="center"/>
                    <w:rPr>
                      <w:rFonts w:hint="eastAsia"/>
                      <w:color w:val="auto"/>
                    </w:rPr>
                  </w:pPr>
                </w:p>
              </w:tc>
            </w:tr>
            <w:tr w14:paraId="0371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5FD4DB5">
                  <w:pPr>
                    <w:jc w:val="center"/>
                    <w:rPr>
                      <w:color w:val="auto"/>
                    </w:rPr>
                  </w:pPr>
                  <w:r>
                    <w:rPr>
                      <w:rFonts w:hint="eastAsia"/>
                      <w:color w:val="auto"/>
                    </w:rPr>
                    <w:t>3</w:t>
                  </w:r>
                </w:p>
              </w:tc>
              <w:tc>
                <w:tcPr>
                  <w:tcW w:w="987" w:type="pct"/>
                  <w:vAlign w:val="center"/>
                </w:tcPr>
                <w:p w14:paraId="276847EE">
                  <w:pPr>
                    <w:jc w:val="center"/>
                    <w:rPr>
                      <w:color w:val="auto"/>
                    </w:rPr>
                  </w:pPr>
                  <w:r>
                    <w:rPr>
                      <w:rFonts w:hint="eastAsia"/>
                      <w:color w:val="auto"/>
                    </w:rPr>
                    <w:t>清洁酒精</w:t>
                  </w:r>
                </w:p>
              </w:tc>
              <w:tc>
                <w:tcPr>
                  <w:tcW w:w="323" w:type="pct"/>
                  <w:vAlign w:val="center"/>
                </w:tcPr>
                <w:p w14:paraId="067B69D5">
                  <w:pPr>
                    <w:jc w:val="center"/>
                    <w:rPr>
                      <w:color w:val="auto"/>
                    </w:rPr>
                  </w:pPr>
                  <w:r>
                    <w:rPr>
                      <w:rFonts w:hint="eastAsia"/>
                      <w:color w:val="auto"/>
                    </w:rPr>
                    <w:t>0.25</w:t>
                  </w:r>
                </w:p>
              </w:tc>
              <w:tc>
                <w:tcPr>
                  <w:tcW w:w="715" w:type="pct"/>
                  <w:vAlign w:val="center"/>
                </w:tcPr>
                <w:p w14:paraId="1B323107">
                  <w:pPr>
                    <w:jc w:val="center"/>
                    <w:rPr>
                      <w:rFonts w:hint="default" w:eastAsia="宋体"/>
                      <w:color w:val="auto"/>
                      <w:lang w:val="en-US" w:eastAsia="zh-CN"/>
                    </w:rPr>
                  </w:pPr>
                  <w:r>
                    <w:rPr>
                      <w:rFonts w:hint="eastAsia"/>
                      <w:color w:val="auto"/>
                      <w:lang w:val="en-US" w:eastAsia="zh-CN"/>
                    </w:rPr>
                    <w:t>25kg/桶</w:t>
                  </w:r>
                </w:p>
              </w:tc>
              <w:tc>
                <w:tcPr>
                  <w:tcW w:w="715" w:type="pct"/>
                  <w:vAlign w:val="center"/>
                </w:tcPr>
                <w:p w14:paraId="7D16019C">
                  <w:pPr>
                    <w:jc w:val="center"/>
                    <w:rPr>
                      <w:color w:val="auto"/>
                    </w:rPr>
                  </w:pPr>
                  <w:r>
                    <w:rPr>
                      <w:rFonts w:hint="eastAsia"/>
                      <w:color w:val="auto"/>
                    </w:rPr>
                    <w:t>吨</w:t>
                  </w:r>
                </w:p>
              </w:tc>
              <w:tc>
                <w:tcPr>
                  <w:tcW w:w="1280" w:type="pct"/>
                  <w:vAlign w:val="center"/>
                </w:tcPr>
                <w:p w14:paraId="4EC9051A">
                  <w:pPr>
                    <w:jc w:val="center"/>
                    <w:rPr>
                      <w:color w:val="auto"/>
                    </w:rPr>
                  </w:pPr>
                  <w:r>
                    <w:rPr>
                      <w:rFonts w:hint="eastAsia"/>
                      <w:color w:val="auto"/>
                    </w:rPr>
                    <w:t>是</w:t>
                  </w:r>
                </w:p>
              </w:tc>
              <w:tc>
                <w:tcPr>
                  <w:tcW w:w="749" w:type="pct"/>
                  <w:vMerge w:val="continue"/>
                  <w:vAlign w:val="center"/>
                </w:tcPr>
                <w:p w14:paraId="6E0D1593">
                  <w:pPr>
                    <w:jc w:val="center"/>
                    <w:rPr>
                      <w:rFonts w:hint="eastAsia"/>
                      <w:color w:val="auto"/>
                    </w:rPr>
                  </w:pPr>
                </w:p>
              </w:tc>
            </w:tr>
            <w:tr w14:paraId="36E5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F5296D0">
                  <w:pPr>
                    <w:jc w:val="center"/>
                    <w:rPr>
                      <w:color w:val="auto"/>
                    </w:rPr>
                  </w:pPr>
                  <w:r>
                    <w:rPr>
                      <w:rFonts w:hint="eastAsia"/>
                      <w:color w:val="auto"/>
                    </w:rPr>
                    <w:t>4</w:t>
                  </w:r>
                </w:p>
              </w:tc>
              <w:tc>
                <w:tcPr>
                  <w:tcW w:w="987" w:type="pct"/>
                  <w:vAlign w:val="center"/>
                </w:tcPr>
                <w:p w14:paraId="384EA2B4">
                  <w:pPr>
                    <w:jc w:val="center"/>
                    <w:rPr>
                      <w:color w:val="auto"/>
                    </w:rPr>
                  </w:pPr>
                  <w:r>
                    <w:rPr>
                      <w:rFonts w:hint="eastAsia"/>
                      <w:color w:val="auto"/>
                    </w:rPr>
                    <w:t>硫酸</w:t>
                  </w:r>
                </w:p>
              </w:tc>
              <w:tc>
                <w:tcPr>
                  <w:tcW w:w="323" w:type="pct"/>
                  <w:vAlign w:val="center"/>
                </w:tcPr>
                <w:p w14:paraId="7AB4B8FA">
                  <w:pPr>
                    <w:jc w:val="center"/>
                    <w:rPr>
                      <w:color w:val="auto"/>
                    </w:rPr>
                  </w:pPr>
                  <w:r>
                    <w:rPr>
                      <w:rFonts w:hint="eastAsia"/>
                      <w:color w:val="auto"/>
                    </w:rPr>
                    <w:t>0.3</w:t>
                  </w:r>
                </w:p>
              </w:tc>
              <w:tc>
                <w:tcPr>
                  <w:tcW w:w="715" w:type="pct"/>
                  <w:vAlign w:val="center"/>
                </w:tcPr>
                <w:p w14:paraId="5694546B">
                  <w:pPr>
                    <w:jc w:val="center"/>
                    <w:rPr>
                      <w:rFonts w:hint="default" w:eastAsia="宋体"/>
                      <w:color w:val="auto"/>
                      <w:lang w:val="en-US" w:eastAsia="zh-CN"/>
                    </w:rPr>
                  </w:pPr>
                  <w:r>
                    <w:rPr>
                      <w:rFonts w:hint="eastAsia"/>
                      <w:color w:val="auto"/>
                      <w:lang w:val="en-US" w:eastAsia="zh-CN"/>
                    </w:rPr>
                    <w:t>30kg/桶</w:t>
                  </w:r>
                </w:p>
              </w:tc>
              <w:tc>
                <w:tcPr>
                  <w:tcW w:w="715" w:type="pct"/>
                  <w:vAlign w:val="center"/>
                </w:tcPr>
                <w:p w14:paraId="72044D53">
                  <w:pPr>
                    <w:jc w:val="center"/>
                    <w:rPr>
                      <w:color w:val="auto"/>
                    </w:rPr>
                  </w:pPr>
                  <w:r>
                    <w:rPr>
                      <w:rFonts w:hint="eastAsia"/>
                      <w:color w:val="auto"/>
                    </w:rPr>
                    <w:t>吨</w:t>
                  </w:r>
                </w:p>
              </w:tc>
              <w:tc>
                <w:tcPr>
                  <w:tcW w:w="1280" w:type="pct"/>
                  <w:vAlign w:val="center"/>
                </w:tcPr>
                <w:p w14:paraId="41B83978">
                  <w:pPr>
                    <w:jc w:val="center"/>
                    <w:rPr>
                      <w:color w:val="auto"/>
                    </w:rPr>
                  </w:pPr>
                  <w:r>
                    <w:rPr>
                      <w:rFonts w:hint="eastAsia"/>
                      <w:color w:val="auto"/>
                    </w:rPr>
                    <w:t>是</w:t>
                  </w:r>
                </w:p>
              </w:tc>
              <w:tc>
                <w:tcPr>
                  <w:tcW w:w="749" w:type="pct"/>
                  <w:vMerge w:val="continue"/>
                  <w:vAlign w:val="center"/>
                </w:tcPr>
                <w:p w14:paraId="4228D9C4">
                  <w:pPr>
                    <w:jc w:val="center"/>
                    <w:rPr>
                      <w:rFonts w:hint="eastAsia"/>
                      <w:color w:val="auto"/>
                    </w:rPr>
                  </w:pPr>
                </w:p>
              </w:tc>
            </w:tr>
            <w:tr w14:paraId="7148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BB20761">
                  <w:pPr>
                    <w:jc w:val="center"/>
                    <w:rPr>
                      <w:color w:val="auto"/>
                    </w:rPr>
                  </w:pPr>
                  <w:r>
                    <w:rPr>
                      <w:rFonts w:hint="eastAsia"/>
                      <w:color w:val="auto"/>
                    </w:rPr>
                    <w:t>5</w:t>
                  </w:r>
                </w:p>
              </w:tc>
              <w:tc>
                <w:tcPr>
                  <w:tcW w:w="987" w:type="pct"/>
                  <w:vAlign w:val="center"/>
                </w:tcPr>
                <w:p w14:paraId="0C5BBC1F">
                  <w:pPr>
                    <w:jc w:val="center"/>
                    <w:rPr>
                      <w:color w:val="auto"/>
                    </w:rPr>
                  </w:pPr>
                  <w:r>
                    <w:rPr>
                      <w:rFonts w:hint="eastAsia"/>
                      <w:color w:val="auto"/>
                    </w:rPr>
                    <w:t>冰乙酸</w:t>
                  </w:r>
                </w:p>
              </w:tc>
              <w:tc>
                <w:tcPr>
                  <w:tcW w:w="323" w:type="pct"/>
                  <w:vAlign w:val="center"/>
                </w:tcPr>
                <w:p w14:paraId="64280347">
                  <w:pPr>
                    <w:jc w:val="center"/>
                    <w:rPr>
                      <w:color w:val="auto"/>
                    </w:rPr>
                  </w:pPr>
                  <w:r>
                    <w:rPr>
                      <w:rFonts w:hint="eastAsia"/>
                      <w:color w:val="auto"/>
                    </w:rPr>
                    <w:t>0.002</w:t>
                  </w:r>
                </w:p>
              </w:tc>
              <w:tc>
                <w:tcPr>
                  <w:tcW w:w="715" w:type="pct"/>
                  <w:vAlign w:val="center"/>
                </w:tcPr>
                <w:p w14:paraId="4E046775">
                  <w:pPr>
                    <w:jc w:val="center"/>
                    <w:rPr>
                      <w:rFonts w:hint="default"/>
                      <w:color w:val="auto"/>
                      <w:lang w:val="en-US"/>
                    </w:rPr>
                  </w:pPr>
                  <w:r>
                    <w:rPr>
                      <w:rFonts w:hint="eastAsia"/>
                      <w:color w:val="auto"/>
                      <w:lang w:val="en-US" w:eastAsia="zh-CN"/>
                    </w:rPr>
                    <w:t>500ml/瓶</w:t>
                  </w:r>
                </w:p>
              </w:tc>
              <w:tc>
                <w:tcPr>
                  <w:tcW w:w="715" w:type="pct"/>
                  <w:vAlign w:val="center"/>
                </w:tcPr>
                <w:p w14:paraId="737DBF13">
                  <w:pPr>
                    <w:jc w:val="center"/>
                    <w:rPr>
                      <w:color w:val="auto"/>
                    </w:rPr>
                  </w:pPr>
                  <w:r>
                    <w:rPr>
                      <w:rFonts w:hint="eastAsia"/>
                      <w:color w:val="auto"/>
                    </w:rPr>
                    <w:t>吨</w:t>
                  </w:r>
                </w:p>
              </w:tc>
              <w:tc>
                <w:tcPr>
                  <w:tcW w:w="1280" w:type="pct"/>
                  <w:vAlign w:val="center"/>
                </w:tcPr>
                <w:p w14:paraId="0203FC2E">
                  <w:pPr>
                    <w:jc w:val="center"/>
                    <w:rPr>
                      <w:color w:val="auto"/>
                    </w:rPr>
                  </w:pPr>
                  <w:r>
                    <w:rPr>
                      <w:rFonts w:hint="eastAsia"/>
                      <w:color w:val="auto"/>
                    </w:rPr>
                    <w:t>是</w:t>
                  </w:r>
                </w:p>
              </w:tc>
              <w:tc>
                <w:tcPr>
                  <w:tcW w:w="749" w:type="pct"/>
                  <w:vMerge w:val="continue"/>
                  <w:vAlign w:val="center"/>
                </w:tcPr>
                <w:p w14:paraId="15D60410">
                  <w:pPr>
                    <w:jc w:val="center"/>
                    <w:rPr>
                      <w:rFonts w:hint="eastAsia"/>
                      <w:color w:val="auto"/>
                    </w:rPr>
                  </w:pPr>
                </w:p>
              </w:tc>
            </w:tr>
            <w:tr w14:paraId="6420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400DEB7">
                  <w:pPr>
                    <w:jc w:val="center"/>
                    <w:rPr>
                      <w:color w:val="auto"/>
                    </w:rPr>
                  </w:pPr>
                  <w:r>
                    <w:rPr>
                      <w:rFonts w:hint="eastAsia"/>
                      <w:color w:val="auto"/>
                    </w:rPr>
                    <w:t>6</w:t>
                  </w:r>
                </w:p>
              </w:tc>
              <w:tc>
                <w:tcPr>
                  <w:tcW w:w="987" w:type="pct"/>
                  <w:vAlign w:val="center"/>
                </w:tcPr>
                <w:p w14:paraId="25281E55">
                  <w:pPr>
                    <w:jc w:val="center"/>
                    <w:rPr>
                      <w:color w:val="auto"/>
                    </w:rPr>
                  </w:pPr>
                  <w:r>
                    <w:rPr>
                      <w:rFonts w:hint="eastAsia"/>
                      <w:color w:val="auto"/>
                      <w:lang w:eastAsia="zh-CN"/>
                    </w:rPr>
                    <w:t>活性炭</w:t>
                  </w:r>
                  <w:r>
                    <w:rPr>
                      <w:rFonts w:hint="eastAsia"/>
                      <w:color w:val="auto"/>
                    </w:rPr>
                    <w:t>素</w:t>
                  </w:r>
                </w:p>
              </w:tc>
              <w:tc>
                <w:tcPr>
                  <w:tcW w:w="323" w:type="pct"/>
                  <w:vAlign w:val="center"/>
                </w:tcPr>
                <w:p w14:paraId="29D07FB6">
                  <w:pPr>
                    <w:jc w:val="center"/>
                    <w:rPr>
                      <w:color w:val="auto"/>
                    </w:rPr>
                  </w:pPr>
                  <w:r>
                    <w:rPr>
                      <w:rFonts w:hint="eastAsia"/>
                      <w:color w:val="auto"/>
                    </w:rPr>
                    <w:t>0.2</w:t>
                  </w:r>
                </w:p>
              </w:tc>
              <w:tc>
                <w:tcPr>
                  <w:tcW w:w="715" w:type="pct"/>
                  <w:vAlign w:val="center"/>
                </w:tcPr>
                <w:p w14:paraId="7CA4E1E3">
                  <w:pPr>
                    <w:jc w:val="center"/>
                    <w:rPr>
                      <w:rFonts w:hint="default" w:eastAsia="宋体"/>
                      <w:color w:val="auto"/>
                      <w:lang w:val="en-US" w:eastAsia="zh-CN"/>
                    </w:rPr>
                  </w:pPr>
                  <w:r>
                    <w:rPr>
                      <w:rFonts w:hint="eastAsia"/>
                      <w:color w:val="auto"/>
                      <w:lang w:val="en-US" w:eastAsia="zh-CN"/>
                    </w:rPr>
                    <w:t>10kg/箱</w:t>
                  </w:r>
                </w:p>
              </w:tc>
              <w:tc>
                <w:tcPr>
                  <w:tcW w:w="715" w:type="pct"/>
                  <w:vAlign w:val="center"/>
                </w:tcPr>
                <w:p w14:paraId="31480567">
                  <w:pPr>
                    <w:jc w:val="center"/>
                    <w:rPr>
                      <w:color w:val="auto"/>
                    </w:rPr>
                  </w:pPr>
                  <w:r>
                    <w:rPr>
                      <w:rFonts w:hint="eastAsia"/>
                      <w:color w:val="auto"/>
                    </w:rPr>
                    <w:t>吨</w:t>
                  </w:r>
                </w:p>
              </w:tc>
              <w:tc>
                <w:tcPr>
                  <w:tcW w:w="1280" w:type="pct"/>
                  <w:vAlign w:val="center"/>
                </w:tcPr>
                <w:p w14:paraId="618DC445">
                  <w:pPr>
                    <w:jc w:val="center"/>
                    <w:rPr>
                      <w:color w:val="auto"/>
                    </w:rPr>
                  </w:pPr>
                  <w:r>
                    <w:rPr>
                      <w:rFonts w:hint="eastAsia"/>
                      <w:color w:val="auto"/>
                    </w:rPr>
                    <w:t>否</w:t>
                  </w:r>
                </w:p>
              </w:tc>
              <w:tc>
                <w:tcPr>
                  <w:tcW w:w="749" w:type="pct"/>
                  <w:vMerge w:val="continue"/>
                  <w:vAlign w:val="center"/>
                </w:tcPr>
                <w:p w14:paraId="2C2A55BB">
                  <w:pPr>
                    <w:jc w:val="center"/>
                    <w:rPr>
                      <w:rFonts w:hint="eastAsia"/>
                      <w:color w:val="auto"/>
                    </w:rPr>
                  </w:pPr>
                </w:p>
              </w:tc>
            </w:tr>
            <w:tr w14:paraId="5A8C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E89C98D">
                  <w:pPr>
                    <w:jc w:val="center"/>
                    <w:rPr>
                      <w:color w:val="auto"/>
                    </w:rPr>
                  </w:pPr>
                  <w:r>
                    <w:rPr>
                      <w:rFonts w:hint="eastAsia"/>
                      <w:color w:val="auto"/>
                    </w:rPr>
                    <w:t>7</w:t>
                  </w:r>
                </w:p>
              </w:tc>
              <w:tc>
                <w:tcPr>
                  <w:tcW w:w="987" w:type="pct"/>
                  <w:vAlign w:val="center"/>
                </w:tcPr>
                <w:p w14:paraId="1D22266D">
                  <w:pPr>
                    <w:jc w:val="center"/>
                    <w:rPr>
                      <w:color w:val="auto"/>
                    </w:rPr>
                  </w:pPr>
                  <w:r>
                    <w:rPr>
                      <w:rFonts w:hint="eastAsia"/>
                      <w:color w:val="auto"/>
                    </w:rPr>
                    <w:t>环氧树脂EED-060</w:t>
                  </w:r>
                </w:p>
              </w:tc>
              <w:tc>
                <w:tcPr>
                  <w:tcW w:w="323" w:type="pct"/>
                  <w:vAlign w:val="center"/>
                </w:tcPr>
                <w:p w14:paraId="21716486">
                  <w:pPr>
                    <w:jc w:val="center"/>
                    <w:rPr>
                      <w:color w:val="auto"/>
                    </w:rPr>
                  </w:pPr>
                  <w:r>
                    <w:rPr>
                      <w:rFonts w:hint="eastAsia"/>
                      <w:color w:val="auto"/>
                    </w:rPr>
                    <w:t>2</w:t>
                  </w:r>
                </w:p>
              </w:tc>
              <w:tc>
                <w:tcPr>
                  <w:tcW w:w="715" w:type="pct"/>
                  <w:vAlign w:val="center"/>
                </w:tcPr>
                <w:p w14:paraId="124CEE5A">
                  <w:pPr>
                    <w:jc w:val="center"/>
                    <w:rPr>
                      <w:rFonts w:hint="eastAsia"/>
                      <w:color w:val="auto"/>
                    </w:rPr>
                  </w:pPr>
                  <w:r>
                    <w:rPr>
                      <w:rFonts w:hint="eastAsia"/>
                      <w:color w:val="auto"/>
                    </w:rPr>
                    <w:t>25kg/桶</w:t>
                  </w:r>
                </w:p>
              </w:tc>
              <w:tc>
                <w:tcPr>
                  <w:tcW w:w="715" w:type="pct"/>
                  <w:vAlign w:val="center"/>
                </w:tcPr>
                <w:p w14:paraId="2FB4591B">
                  <w:pPr>
                    <w:jc w:val="center"/>
                    <w:rPr>
                      <w:color w:val="auto"/>
                    </w:rPr>
                  </w:pPr>
                  <w:r>
                    <w:rPr>
                      <w:rFonts w:hint="eastAsia"/>
                      <w:color w:val="auto"/>
                    </w:rPr>
                    <w:t>吨</w:t>
                  </w:r>
                </w:p>
              </w:tc>
              <w:tc>
                <w:tcPr>
                  <w:tcW w:w="1280" w:type="pct"/>
                  <w:vAlign w:val="center"/>
                </w:tcPr>
                <w:p w14:paraId="6C175747">
                  <w:pPr>
                    <w:jc w:val="center"/>
                    <w:rPr>
                      <w:color w:val="auto"/>
                    </w:rPr>
                  </w:pPr>
                  <w:r>
                    <w:rPr>
                      <w:rFonts w:hint="eastAsia"/>
                      <w:color w:val="auto"/>
                    </w:rPr>
                    <w:t>否</w:t>
                  </w:r>
                </w:p>
              </w:tc>
              <w:tc>
                <w:tcPr>
                  <w:tcW w:w="749" w:type="pct"/>
                  <w:vMerge w:val="continue"/>
                  <w:vAlign w:val="center"/>
                </w:tcPr>
                <w:p w14:paraId="7FCF46C2">
                  <w:pPr>
                    <w:jc w:val="center"/>
                    <w:rPr>
                      <w:rFonts w:hint="eastAsia"/>
                      <w:color w:val="auto"/>
                    </w:rPr>
                  </w:pPr>
                </w:p>
              </w:tc>
            </w:tr>
            <w:tr w14:paraId="72BD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79B7996">
                  <w:pPr>
                    <w:jc w:val="center"/>
                    <w:rPr>
                      <w:color w:val="auto"/>
                    </w:rPr>
                  </w:pPr>
                  <w:r>
                    <w:rPr>
                      <w:rFonts w:hint="eastAsia"/>
                      <w:color w:val="auto"/>
                    </w:rPr>
                    <w:t>8</w:t>
                  </w:r>
                </w:p>
              </w:tc>
              <w:tc>
                <w:tcPr>
                  <w:tcW w:w="987" w:type="pct"/>
                  <w:vAlign w:val="center"/>
                </w:tcPr>
                <w:p w14:paraId="5B8F5B81">
                  <w:pPr>
                    <w:jc w:val="center"/>
                    <w:rPr>
                      <w:color w:val="auto"/>
                    </w:rPr>
                  </w:pPr>
                  <w:r>
                    <w:rPr>
                      <w:rFonts w:hint="eastAsia"/>
                      <w:color w:val="auto"/>
                    </w:rPr>
                    <w:t>环氧氨基涂料剥离剂（为香系有机物85%、无机碱盐10%、水5%。）</w:t>
                  </w:r>
                </w:p>
              </w:tc>
              <w:tc>
                <w:tcPr>
                  <w:tcW w:w="323" w:type="pct"/>
                  <w:vAlign w:val="center"/>
                </w:tcPr>
                <w:p w14:paraId="2B2728D5">
                  <w:pPr>
                    <w:jc w:val="center"/>
                    <w:rPr>
                      <w:color w:val="auto"/>
                    </w:rPr>
                  </w:pPr>
                  <w:r>
                    <w:rPr>
                      <w:rFonts w:hint="eastAsia"/>
                      <w:color w:val="auto"/>
                    </w:rPr>
                    <w:t>0.2</w:t>
                  </w:r>
                </w:p>
              </w:tc>
              <w:tc>
                <w:tcPr>
                  <w:tcW w:w="715" w:type="pct"/>
                  <w:vAlign w:val="center"/>
                </w:tcPr>
                <w:p w14:paraId="3DED6079">
                  <w:pPr>
                    <w:jc w:val="center"/>
                    <w:rPr>
                      <w:rFonts w:hint="eastAsia"/>
                      <w:color w:val="auto"/>
                    </w:rPr>
                  </w:pPr>
                  <w:r>
                    <w:rPr>
                      <w:rFonts w:hint="eastAsia"/>
                      <w:color w:val="auto"/>
                    </w:rPr>
                    <w:t>20kg/桶</w:t>
                  </w:r>
                </w:p>
              </w:tc>
              <w:tc>
                <w:tcPr>
                  <w:tcW w:w="715" w:type="pct"/>
                  <w:vAlign w:val="center"/>
                </w:tcPr>
                <w:p w14:paraId="7F65B29C">
                  <w:pPr>
                    <w:jc w:val="center"/>
                    <w:rPr>
                      <w:color w:val="auto"/>
                    </w:rPr>
                  </w:pPr>
                  <w:r>
                    <w:rPr>
                      <w:rFonts w:hint="eastAsia"/>
                      <w:color w:val="auto"/>
                    </w:rPr>
                    <w:t>吨</w:t>
                  </w:r>
                </w:p>
              </w:tc>
              <w:tc>
                <w:tcPr>
                  <w:tcW w:w="1280" w:type="pct"/>
                  <w:shd w:val="clear" w:color="auto" w:fill="auto"/>
                  <w:vAlign w:val="center"/>
                </w:tcPr>
                <w:p w14:paraId="4BD9A2E4">
                  <w:pPr>
                    <w:jc w:val="center"/>
                    <w:rPr>
                      <w:color w:val="auto"/>
                    </w:rPr>
                  </w:pPr>
                  <w:r>
                    <w:rPr>
                      <w:rFonts w:hint="eastAsia"/>
                      <w:color w:val="auto"/>
                    </w:rPr>
                    <w:t>否</w:t>
                  </w:r>
                </w:p>
              </w:tc>
              <w:tc>
                <w:tcPr>
                  <w:tcW w:w="749" w:type="pct"/>
                  <w:vMerge w:val="continue"/>
                  <w:shd w:val="clear" w:color="auto" w:fill="auto"/>
                  <w:vAlign w:val="center"/>
                </w:tcPr>
                <w:p w14:paraId="1B6D0D2B">
                  <w:pPr>
                    <w:jc w:val="center"/>
                    <w:rPr>
                      <w:rFonts w:hint="eastAsia"/>
                      <w:color w:val="auto"/>
                    </w:rPr>
                  </w:pPr>
                </w:p>
              </w:tc>
            </w:tr>
            <w:tr w14:paraId="0AC1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9072634">
                  <w:pPr>
                    <w:jc w:val="center"/>
                    <w:rPr>
                      <w:color w:val="auto"/>
                    </w:rPr>
                  </w:pPr>
                  <w:r>
                    <w:rPr>
                      <w:rFonts w:hint="eastAsia"/>
                      <w:color w:val="auto"/>
                    </w:rPr>
                    <w:t>9</w:t>
                  </w:r>
                </w:p>
              </w:tc>
              <w:tc>
                <w:tcPr>
                  <w:tcW w:w="987" w:type="pct"/>
                  <w:vAlign w:val="center"/>
                </w:tcPr>
                <w:p w14:paraId="22187511">
                  <w:pPr>
                    <w:jc w:val="center"/>
                    <w:rPr>
                      <w:color w:val="auto"/>
                    </w:rPr>
                  </w:pPr>
                  <w:r>
                    <w:rPr>
                      <w:rFonts w:hint="eastAsia"/>
                      <w:color w:val="auto"/>
                    </w:rPr>
                    <w:t>环氧树脂剥离液(乙二胺、硝酸)</w:t>
                  </w:r>
                </w:p>
              </w:tc>
              <w:tc>
                <w:tcPr>
                  <w:tcW w:w="323" w:type="pct"/>
                  <w:vAlign w:val="center"/>
                </w:tcPr>
                <w:p w14:paraId="1CCFD4E7">
                  <w:pPr>
                    <w:jc w:val="center"/>
                    <w:rPr>
                      <w:color w:val="auto"/>
                    </w:rPr>
                  </w:pPr>
                  <w:r>
                    <w:rPr>
                      <w:rFonts w:hint="eastAsia"/>
                      <w:color w:val="auto"/>
                    </w:rPr>
                    <w:t>0.4</w:t>
                  </w:r>
                </w:p>
              </w:tc>
              <w:tc>
                <w:tcPr>
                  <w:tcW w:w="715" w:type="pct"/>
                  <w:vAlign w:val="center"/>
                </w:tcPr>
                <w:p w14:paraId="4EA51F49">
                  <w:pPr>
                    <w:jc w:val="center"/>
                    <w:rPr>
                      <w:rFonts w:hint="eastAsia"/>
                      <w:color w:val="auto"/>
                    </w:rPr>
                  </w:pPr>
                  <w:r>
                    <w:rPr>
                      <w:rFonts w:hint="eastAsia"/>
                      <w:color w:val="auto"/>
                    </w:rPr>
                    <w:t>20L/桶</w:t>
                  </w:r>
                </w:p>
              </w:tc>
              <w:tc>
                <w:tcPr>
                  <w:tcW w:w="715" w:type="pct"/>
                  <w:vAlign w:val="center"/>
                </w:tcPr>
                <w:p w14:paraId="279DAAC5">
                  <w:pPr>
                    <w:jc w:val="center"/>
                    <w:rPr>
                      <w:color w:val="auto"/>
                    </w:rPr>
                  </w:pPr>
                  <w:r>
                    <w:rPr>
                      <w:rFonts w:hint="eastAsia"/>
                      <w:color w:val="auto"/>
                    </w:rPr>
                    <w:t>吨</w:t>
                  </w:r>
                </w:p>
              </w:tc>
              <w:tc>
                <w:tcPr>
                  <w:tcW w:w="1280" w:type="pct"/>
                  <w:shd w:val="clear" w:color="auto" w:fill="auto"/>
                  <w:vAlign w:val="center"/>
                </w:tcPr>
                <w:p w14:paraId="6473A32F">
                  <w:pPr>
                    <w:jc w:val="center"/>
                    <w:rPr>
                      <w:color w:val="auto"/>
                    </w:rPr>
                  </w:pPr>
                  <w:r>
                    <w:rPr>
                      <w:rFonts w:hint="eastAsia"/>
                      <w:color w:val="auto"/>
                    </w:rPr>
                    <w:t>是</w:t>
                  </w:r>
                </w:p>
              </w:tc>
              <w:tc>
                <w:tcPr>
                  <w:tcW w:w="749" w:type="pct"/>
                  <w:vMerge w:val="continue"/>
                  <w:shd w:val="clear" w:color="auto" w:fill="auto"/>
                  <w:vAlign w:val="center"/>
                </w:tcPr>
                <w:p w14:paraId="12AF4915">
                  <w:pPr>
                    <w:jc w:val="center"/>
                    <w:rPr>
                      <w:rFonts w:hint="eastAsia"/>
                      <w:color w:val="auto"/>
                    </w:rPr>
                  </w:pPr>
                </w:p>
              </w:tc>
            </w:tr>
            <w:tr w14:paraId="3270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91794E0">
                  <w:pPr>
                    <w:jc w:val="center"/>
                    <w:rPr>
                      <w:color w:val="auto"/>
                    </w:rPr>
                  </w:pPr>
                  <w:r>
                    <w:rPr>
                      <w:rFonts w:hint="eastAsia"/>
                      <w:color w:val="auto"/>
                    </w:rPr>
                    <w:t>10</w:t>
                  </w:r>
                </w:p>
              </w:tc>
              <w:tc>
                <w:tcPr>
                  <w:tcW w:w="987" w:type="pct"/>
                  <w:vAlign w:val="center"/>
                </w:tcPr>
                <w:p w14:paraId="690DB33E">
                  <w:pPr>
                    <w:jc w:val="center"/>
                    <w:rPr>
                      <w:color w:val="auto"/>
                    </w:rPr>
                  </w:pPr>
                  <w:r>
                    <w:rPr>
                      <w:rFonts w:hint="eastAsia"/>
                      <w:color w:val="auto"/>
                    </w:rPr>
                    <w:t>工业硝酸</w:t>
                  </w:r>
                </w:p>
              </w:tc>
              <w:tc>
                <w:tcPr>
                  <w:tcW w:w="323" w:type="pct"/>
                  <w:vAlign w:val="center"/>
                </w:tcPr>
                <w:p w14:paraId="70A5BCD8">
                  <w:pPr>
                    <w:jc w:val="center"/>
                    <w:rPr>
                      <w:color w:val="auto"/>
                    </w:rPr>
                  </w:pPr>
                  <w:r>
                    <w:rPr>
                      <w:rFonts w:hint="eastAsia"/>
                      <w:color w:val="auto"/>
                    </w:rPr>
                    <w:t>1</w:t>
                  </w:r>
                </w:p>
              </w:tc>
              <w:tc>
                <w:tcPr>
                  <w:tcW w:w="715" w:type="pct"/>
                  <w:vAlign w:val="center"/>
                </w:tcPr>
                <w:p w14:paraId="26D9D997">
                  <w:pPr>
                    <w:jc w:val="center"/>
                    <w:rPr>
                      <w:rFonts w:hint="eastAsia"/>
                      <w:color w:val="auto"/>
                    </w:rPr>
                  </w:pPr>
                  <w:r>
                    <w:rPr>
                      <w:rFonts w:hint="eastAsia"/>
                      <w:color w:val="auto"/>
                    </w:rPr>
                    <w:t>20L/桶</w:t>
                  </w:r>
                </w:p>
              </w:tc>
              <w:tc>
                <w:tcPr>
                  <w:tcW w:w="715" w:type="pct"/>
                  <w:vAlign w:val="center"/>
                </w:tcPr>
                <w:p w14:paraId="226BE7E9">
                  <w:pPr>
                    <w:jc w:val="center"/>
                    <w:rPr>
                      <w:color w:val="auto"/>
                    </w:rPr>
                  </w:pPr>
                  <w:r>
                    <w:rPr>
                      <w:rFonts w:hint="eastAsia"/>
                      <w:color w:val="auto"/>
                    </w:rPr>
                    <w:t>吨</w:t>
                  </w:r>
                </w:p>
              </w:tc>
              <w:tc>
                <w:tcPr>
                  <w:tcW w:w="1280" w:type="pct"/>
                  <w:shd w:val="clear" w:color="auto" w:fill="auto"/>
                  <w:vAlign w:val="center"/>
                </w:tcPr>
                <w:p w14:paraId="14FCE001">
                  <w:pPr>
                    <w:jc w:val="center"/>
                    <w:rPr>
                      <w:color w:val="auto"/>
                    </w:rPr>
                  </w:pPr>
                  <w:r>
                    <w:rPr>
                      <w:rFonts w:hint="eastAsia"/>
                      <w:color w:val="auto"/>
                    </w:rPr>
                    <w:t>是</w:t>
                  </w:r>
                </w:p>
              </w:tc>
              <w:tc>
                <w:tcPr>
                  <w:tcW w:w="749" w:type="pct"/>
                  <w:vMerge w:val="continue"/>
                  <w:shd w:val="clear" w:color="auto" w:fill="auto"/>
                  <w:vAlign w:val="center"/>
                </w:tcPr>
                <w:p w14:paraId="33474124">
                  <w:pPr>
                    <w:jc w:val="center"/>
                    <w:rPr>
                      <w:rFonts w:hint="eastAsia"/>
                      <w:color w:val="auto"/>
                    </w:rPr>
                  </w:pPr>
                </w:p>
              </w:tc>
            </w:tr>
            <w:tr w14:paraId="141F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BA86000">
                  <w:pPr>
                    <w:jc w:val="center"/>
                    <w:rPr>
                      <w:color w:val="auto"/>
                    </w:rPr>
                  </w:pPr>
                  <w:r>
                    <w:rPr>
                      <w:rFonts w:hint="eastAsia"/>
                      <w:color w:val="auto"/>
                    </w:rPr>
                    <w:t>11</w:t>
                  </w:r>
                </w:p>
              </w:tc>
              <w:tc>
                <w:tcPr>
                  <w:tcW w:w="987" w:type="pct"/>
                  <w:vAlign w:val="center"/>
                </w:tcPr>
                <w:p w14:paraId="0FDB7586">
                  <w:pPr>
                    <w:jc w:val="center"/>
                    <w:rPr>
                      <w:color w:val="auto"/>
                    </w:rPr>
                  </w:pPr>
                  <w:r>
                    <w:rPr>
                      <w:rFonts w:hint="eastAsia"/>
                      <w:color w:val="auto"/>
                    </w:rPr>
                    <w:t>硝酸分析纯</w:t>
                  </w:r>
                </w:p>
              </w:tc>
              <w:tc>
                <w:tcPr>
                  <w:tcW w:w="323" w:type="pct"/>
                  <w:vAlign w:val="center"/>
                </w:tcPr>
                <w:p w14:paraId="593B3E0F">
                  <w:pPr>
                    <w:jc w:val="center"/>
                    <w:rPr>
                      <w:color w:val="auto"/>
                    </w:rPr>
                  </w:pPr>
                  <w:r>
                    <w:rPr>
                      <w:rFonts w:hint="eastAsia"/>
                      <w:color w:val="auto"/>
                    </w:rPr>
                    <w:t>0.1</w:t>
                  </w:r>
                </w:p>
              </w:tc>
              <w:tc>
                <w:tcPr>
                  <w:tcW w:w="715" w:type="pct"/>
                  <w:vAlign w:val="center"/>
                </w:tcPr>
                <w:p w14:paraId="5026BEC4">
                  <w:pPr>
                    <w:jc w:val="center"/>
                    <w:rPr>
                      <w:rFonts w:hint="eastAsia"/>
                      <w:color w:val="auto"/>
                    </w:rPr>
                  </w:pPr>
                  <w:r>
                    <w:rPr>
                      <w:rFonts w:hint="eastAsia"/>
                      <w:color w:val="auto"/>
                    </w:rPr>
                    <w:t>2.5L/瓶</w:t>
                  </w:r>
                </w:p>
              </w:tc>
              <w:tc>
                <w:tcPr>
                  <w:tcW w:w="715" w:type="pct"/>
                  <w:vAlign w:val="center"/>
                </w:tcPr>
                <w:p w14:paraId="5C89E34A">
                  <w:pPr>
                    <w:jc w:val="center"/>
                    <w:rPr>
                      <w:color w:val="auto"/>
                    </w:rPr>
                  </w:pPr>
                  <w:r>
                    <w:rPr>
                      <w:rFonts w:hint="eastAsia"/>
                      <w:color w:val="auto"/>
                    </w:rPr>
                    <w:t>吨</w:t>
                  </w:r>
                </w:p>
              </w:tc>
              <w:tc>
                <w:tcPr>
                  <w:tcW w:w="1280" w:type="pct"/>
                  <w:shd w:val="clear" w:color="auto" w:fill="auto"/>
                  <w:vAlign w:val="center"/>
                </w:tcPr>
                <w:p w14:paraId="06F06834">
                  <w:pPr>
                    <w:jc w:val="center"/>
                    <w:rPr>
                      <w:color w:val="auto"/>
                    </w:rPr>
                  </w:pPr>
                  <w:r>
                    <w:rPr>
                      <w:rFonts w:hint="eastAsia"/>
                      <w:color w:val="auto"/>
                    </w:rPr>
                    <w:t>是</w:t>
                  </w:r>
                </w:p>
              </w:tc>
              <w:tc>
                <w:tcPr>
                  <w:tcW w:w="749" w:type="pct"/>
                  <w:vMerge w:val="continue"/>
                  <w:shd w:val="clear" w:color="auto" w:fill="auto"/>
                  <w:vAlign w:val="center"/>
                </w:tcPr>
                <w:p w14:paraId="0645420E">
                  <w:pPr>
                    <w:jc w:val="center"/>
                    <w:rPr>
                      <w:rFonts w:hint="eastAsia"/>
                      <w:color w:val="auto"/>
                    </w:rPr>
                  </w:pPr>
                </w:p>
              </w:tc>
            </w:tr>
            <w:tr w14:paraId="3557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D85FA8A">
                  <w:pPr>
                    <w:jc w:val="center"/>
                    <w:rPr>
                      <w:color w:val="auto"/>
                    </w:rPr>
                  </w:pPr>
                  <w:r>
                    <w:rPr>
                      <w:rFonts w:hint="eastAsia"/>
                      <w:color w:val="auto"/>
                    </w:rPr>
                    <w:t>12</w:t>
                  </w:r>
                </w:p>
              </w:tc>
              <w:tc>
                <w:tcPr>
                  <w:tcW w:w="987" w:type="pct"/>
                  <w:vAlign w:val="center"/>
                </w:tcPr>
                <w:p w14:paraId="23C15F7E">
                  <w:pPr>
                    <w:jc w:val="center"/>
                    <w:rPr>
                      <w:color w:val="auto"/>
                    </w:rPr>
                  </w:pPr>
                  <w:r>
                    <w:rPr>
                      <w:rFonts w:hint="eastAsia"/>
                      <w:color w:val="auto"/>
                    </w:rPr>
                    <w:t>硫酸分析纯</w:t>
                  </w:r>
                </w:p>
              </w:tc>
              <w:tc>
                <w:tcPr>
                  <w:tcW w:w="323" w:type="pct"/>
                  <w:vAlign w:val="center"/>
                </w:tcPr>
                <w:p w14:paraId="692686EB">
                  <w:pPr>
                    <w:jc w:val="center"/>
                    <w:rPr>
                      <w:color w:val="auto"/>
                    </w:rPr>
                  </w:pPr>
                  <w:r>
                    <w:rPr>
                      <w:rFonts w:hint="eastAsia"/>
                      <w:color w:val="auto"/>
                    </w:rPr>
                    <w:t>0.125</w:t>
                  </w:r>
                </w:p>
              </w:tc>
              <w:tc>
                <w:tcPr>
                  <w:tcW w:w="715" w:type="pct"/>
                  <w:vAlign w:val="center"/>
                </w:tcPr>
                <w:p w14:paraId="2257BD9E">
                  <w:pPr>
                    <w:jc w:val="center"/>
                    <w:rPr>
                      <w:rFonts w:hint="eastAsia"/>
                      <w:color w:val="auto"/>
                    </w:rPr>
                  </w:pPr>
                  <w:r>
                    <w:rPr>
                      <w:rFonts w:hint="eastAsia"/>
                      <w:color w:val="auto"/>
                    </w:rPr>
                    <w:t>2.5L/瓶</w:t>
                  </w:r>
                </w:p>
              </w:tc>
              <w:tc>
                <w:tcPr>
                  <w:tcW w:w="715" w:type="pct"/>
                  <w:vAlign w:val="center"/>
                </w:tcPr>
                <w:p w14:paraId="738B1BDD">
                  <w:pPr>
                    <w:jc w:val="center"/>
                    <w:rPr>
                      <w:color w:val="auto"/>
                    </w:rPr>
                  </w:pPr>
                  <w:r>
                    <w:rPr>
                      <w:rFonts w:hint="eastAsia"/>
                      <w:color w:val="auto"/>
                    </w:rPr>
                    <w:t>吨</w:t>
                  </w:r>
                </w:p>
              </w:tc>
              <w:tc>
                <w:tcPr>
                  <w:tcW w:w="1280" w:type="pct"/>
                  <w:shd w:val="clear" w:color="auto" w:fill="auto"/>
                  <w:vAlign w:val="center"/>
                </w:tcPr>
                <w:p w14:paraId="336B92C7">
                  <w:pPr>
                    <w:jc w:val="center"/>
                    <w:rPr>
                      <w:color w:val="auto"/>
                    </w:rPr>
                  </w:pPr>
                  <w:r>
                    <w:rPr>
                      <w:rFonts w:hint="eastAsia"/>
                      <w:color w:val="auto"/>
                    </w:rPr>
                    <w:t>是</w:t>
                  </w:r>
                </w:p>
              </w:tc>
              <w:tc>
                <w:tcPr>
                  <w:tcW w:w="749" w:type="pct"/>
                  <w:vMerge w:val="continue"/>
                  <w:shd w:val="clear" w:color="auto" w:fill="auto"/>
                  <w:vAlign w:val="center"/>
                </w:tcPr>
                <w:p w14:paraId="49ADFED8">
                  <w:pPr>
                    <w:jc w:val="center"/>
                    <w:rPr>
                      <w:rFonts w:hint="eastAsia"/>
                      <w:color w:val="auto"/>
                    </w:rPr>
                  </w:pPr>
                </w:p>
              </w:tc>
            </w:tr>
            <w:tr w14:paraId="58B9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01C4D35">
                  <w:pPr>
                    <w:jc w:val="center"/>
                    <w:rPr>
                      <w:color w:val="auto"/>
                    </w:rPr>
                  </w:pPr>
                  <w:r>
                    <w:rPr>
                      <w:rFonts w:hint="eastAsia"/>
                      <w:color w:val="auto"/>
                    </w:rPr>
                    <w:t>13</w:t>
                  </w:r>
                </w:p>
              </w:tc>
              <w:tc>
                <w:tcPr>
                  <w:tcW w:w="987" w:type="pct"/>
                  <w:vAlign w:val="center"/>
                </w:tcPr>
                <w:p w14:paraId="099610BD">
                  <w:pPr>
                    <w:jc w:val="center"/>
                    <w:rPr>
                      <w:color w:val="auto"/>
                    </w:rPr>
                  </w:pPr>
                  <w:r>
                    <w:rPr>
                      <w:rFonts w:hint="eastAsia"/>
                      <w:color w:val="auto"/>
                    </w:rPr>
                    <w:t>氯化钾</w:t>
                  </w:r>
                </w:p>
              </w:tc>
              <w:tc>
                <w:tcPr>
                  <w:tcW w:w="323" w:type="pct"/>
                  <w:vAlign w:val="center"/>
                </w:tcPr>
                <w:p w14:paraId="7BEF4E2F">
                  <w:pPr>
                    <w:jc w:val="center"/>
                    <w:rPr>
                      <w:color w:val="auto"/>
                    </w:rPr>
                  </w:pPr>
                  <w:r>
                    <w:rPr>
                      <w:rFonts w:hint="eastAsia"/>
                      <w:color w:val="auto"/>
                    </w:rPr>
                    <w:t>1</w:t>
                  </w:r>
                </w:p>
              </w:tc>
              <w:tc>
                <w:tcPr>
                  <w:tcW w:w="715" w:type="pct"/>
                  <w:vAlign w:val="center"/>
                </w:tcPr>
                <w:p w14:paraId="6C6B54E9">
                  <w:pPr>
                    <w:jc w:val="center"/>
                    <w:rPr>
                      <w:rFonts w:hint="eastAsia"/>
                      <w:color w:val="auto"/>
                    </w:rPr>
                  </w:pPr>
                  <w:r>
                    <w:rPr>
                      <w:rFonts w:hint="eastAsia"/>
                      <w:color w:val="auto"/>
                    </w:rPr>
                    <w:t>25KG/包</w:t>
                  </w:r>
                </w:p>
              </w:tc>
              <w:tc>
                <w:tcPr>
                  <w:tcW w:w="715" w:type="pct"/>
                  <w:vAlign w:val="center"/>
                </w:tcPr>
                <w:p w14:paraId="3E109742">
                  <w:pPr>
                    <w:jc w:val="center"/>
                    <w:rPr>
                      <w:color w:val="auto"/>
                    </w:rPr>
                  </w:pPr>
                  <w:r>
                    <w:rPr>
                      <w:rFonts w:hint="eastAsia"/>
                      <w:color w:val="auto"/>
                    </w:rPr>
                    <w:t>吨</w:t>
                  </w:r>
                </w:p>
              </w:tc>
              <w:tc>
                <w:tcPr>
                  <w:tcW w:w="1280" w:type="pct"/>
                  <w:shd w:val="clear" w:color="auto" w:fill="auto"/>
                  <w:vAlign w:val="center"/>
                </w:tcPr>
                <w:p w14:paraId="436840D0">
                  <w:pPr>
                    <w:jc w:val="center"/>
                    <w:rPr>
                      <w:color w:val="auto"/>
                    </w:rPr>
                  </w:pPr>
                  <w:r>
                    <w:rPr>
                      <w:rFonts w:hint="eastAsia"/>
                      <w:color w:val="auto"/>
                    </w:rPr>
                    <w:t>否</w:t>
                  </w:r>
                </w:p>
              </w:tc>
              <w:tc>
                <w:tcPr>
                  <w:tcW w:w="749" w:type="pct"/>
                  <w:vMerge w:val="continue"/>
                  <w:shd w:val="clear" w:color="auto" w:fill="auto"/>
                  <w:vAlign w:val="center"/>
                </w:tcPr>
                <w:p w14:paraId="199A5C6C">
                  <w:pPr>
                    <w:jc w:val="center"/>
                    <w:rPr>
                      <w:rFonts w:hint="eastAsia"/>
                      <w:color w:val="auto"/>
                    </w:rPr>
                  </w:pPr>
                </w:p>
              </w:tc>
            </w:tr>
            <w:tr w14:paraId="61D0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B60A44D">
                  <w:pPr>
                    <w:jc w:val="center"/>
                    <w:rPr>
                      <w:color w:val="auto"/>
                    </w:rPr>
                  </w:pPr>
                  <w:r>
                    <w:rPr>
                      <w:rFonts w:hint="eastAsia"/>
                      <w:color w:val="auto"/>
                    </w:rPr>
                    <w:t>14</w:t>
                  </w:r>
                </w:p>
              </w:tc>
              <w:tc>
                <w:tcPr>
                  <w:tcW w:w="987" w:type="pct"/>
                  <w:vAlign w:val="center"/>
                </w:tcPr>
                <w:p w14:paraId="570311A3">
                  <w:pPr>
                    <w:jc w:val="center"/>
                    <w:rPr>
                      <w:color w:val="auto"/>
                    </w:rPr>
                  </w:pPr>
                  <w:r>
                    <w:rPr>
                      <w:rFonts w:hint="eastAsia"/>
                      <w:color w:val="auto"/>
                    </w:rPr>
                    <w:t>硫酸锌</w:t>
                  </w:r>
                </w:p>
              </w:tc>
              <w:tc>
                <w:tcPr>
                  <w:tcW w:w="323" w:type="pct"/>
                  <w:vAlign w:val="center"/>
                </w:tcPr>
                <w:p w14:paraId="2743B332">
                  <w:pPr>
                    <w:jc w:val="center"/>
                    <w:rPr>
                      <w:color w:val="auto"/>
                    </w:rPr>
                  </w:pPr>
                  <w:r>
                    <w:rPr>
                      <w:rFonts w:hint="eastAsia"/>
                      <w:color w:val="auto"/>
                    </w:rPr>
                    <w:t>1</w:t>
                  </w:r>
                </w:p>
              </w:tc>
              <w:tc>
                <w:tcPr>
                  <w:tcW w:w="715" w:type="pct"/>
                  <w:vAlign w:val="center"/>
                </w:tcPr>
                <w:p w14:paraId="41F89CC6">
                  <w:pPr>
                    <w:jc w:val="center"/>
                    <w:rPr>
                      <w:rFonts w:hint="eastAsia"/>
                      <w:color w:val="auto"/>
                    </w:rPr>
                  </w:pPr>
                  <w:r>
                    <w:rPr>
                      <w:rFonts w:hint="eastAsia"/>
                      <w:color w:val="auto"/>
                    </w:rPr>
                    <w:t>20kg/桶</w:t>
                  </w:r>
                </w:p>
              </w:tc>
              <w:tc>
                <w:tcPr>
                  <w:tcW w:w="715" w:type="pct"/>
                  <w:vAlign w:val="center"/>
                </w:tcPr>
                <w:p w14:paraId="6E8A68BD">
                  <w:pPr>
                    <w:jc w:val="center"/>
                    <w:rPr>
                      <w:color w:val="auto"/>
                    </w:rPr>
                  </w:pPr>
                  <w:r>
                    <w:rPr>
                      <w:rFonts w:hint="eastAsia"/>
                      <w:color w:val="auto"/>
                    </w:rPr>
                    <w:t>吨</w:t>
                  </w:r>
                </w:p>
              </w:tc>
              <w:tc>
                <w:tcPr>
                  <w:tcW w:w="1280" w:type="pct"/>
                  <w:shd w:val="clear" w:color="auto" w:fill="auto"/>
                  <w:vAlign w:val="center"/>
                </w:tcPr>
                <w:p w14:paraId="5052E1CF">
                  <w:pPr>
                    <w:jc w:val="center"/>
                    <w:rPr>
                      <w:color w:val="auto"/>
                    </w:rPr>
                  </w:pPr>
                  <w:r>
                    <w:rPr>
                      <w:rFonts w:hint="eastAsia"/>
                      <w:color w:val="auto"/>
                    </w:rPr>
                    <w:t>否</w:t>
                  </w:r>
                </w:p>
              </w:tc>
              <w:tc>
                <w:tcPr>
                  <w:tcW w:w="749" w:type="pct"/>
                  <w:vMerge w:val="continue"/>
                  <w:shd w:val="clear" w:color="auto" w:fill="auto"/>
                  <w:vAlign w:val="center"/>
                </w:tcPr>
                <w:p w14:paraId="4E3A2202">
                  <w:pPr>
                    <w:jc w:val="center"/>
                    <w:rPr>
                      <w:rFonts w:hint="eastAsia"/>
                      <w:color w:val="auto"/>
                    </w:rPr>
                  </w:pPr>
                </w:p>
              </w:tc>
            </w:tr>
          </w:tbl>
          <w:p w14:paraId="321902B5">
            <w:pPr>
              <w:pStyle w:val="42"/>
              <w:spacing w:line="360" w:lineRule="auto"/>
              <w:ind w:firstLine="482" w:firstLineChars="200"/>
              <w:rPr>
                <w:rFonts w:hint="default" w:ascii="Times New Roman" w:hAnsi="Times New Roman"/>
                <w:b/>
                <w:color w:val="auto"/>
                <w:kern w:val="2"/>
                <w:sz w:val="24"/>
              </w:rPr>
            </w:pPr>
            <w:r>
              <w:rPr>
                <w:rFonts w:ascii="Times New Roman" w:hAnsi="Times New Roman" w:cs="宋体"/>
                <w:b/>
                <w:color w:val="auto"/>
                <w:kern w:val="2"/>
                <w:sz w:val="24"/>
              </w:rPr>
              <w:t>7、原辅材料理化性质</w:t>
            </w:r>
          </w:p>
          <w:p w14:paraId="6789B89D">
            <w:pPr>
              <w:pStyle w:val="23"/>
              <w:tabs>
                <w:tab w:val="left" w:pos="614"/>
              </w:tabs>
              <w:spacing w:after="0" w:line="360" w:lineRule="auto"/>
              <w:ind w:left="0" w:leftChars="0" w:firstLine="480"/>
              <w:rPr>
                <w:rFonts w:hint="default" w:eastAsia="宋体"/>
                <w:b/>
                <w:bCs/>
                <w:color w:val="auto"/>
                <w:sz w:val="24"/>
                <w:lang w:val="en-US" w:eastAsia="zh-CN"/>
              </w:rPr>
            </w:pPr>
            <w:r>
              <w:rPr>
                <w:rFonts w:hint="eastAsia"/>
                <w:b/>
                <w:bCs/>
                <w:color w:val="auto"/>
                <w:sz w:val="24"/>
                <w:lang w:val="en-US" w:eastAsia="zh-CN"/>
              </w:rPr>
              <w:t>本项目原辅材料：</w:t>
            </w:r>
          </w:p>
          <w:p w14:paraId="1B026D64">
            <w:pPr>
              <w:pStyle w:val="23"/>
              <w:tabs>
                <w:tab w:val="left" w:pos="614"/>
              </w:tabs>
              <w:spacing w:after="0" w:line="360" w:lineRule="auto"/>
              <w:ind w:left="0" w:leftChars="0" w:firstLine="480"/>
              <w:rPr>
                <w:color w:val="auto"/>
                <w:sz w:val="24"/>
              </w:rPr>
            </w:pPr>
            <w:r>
              <w:rPr>
                <w:rFonts w:hint="eastAsia"/>
                <w:color w:val="auto"/>
                <w:sz w:val="24"/>
              </w:rPr>
              <w:t>（1）清洗剂</w:t>
            </w:r>
          </w:p>
          <w:p w14:paraId="0557D76F">
            <w:pPr>
              <w:pStyle w:val="23"/>
              <w:tabs>
                <w:tab w:val="left" w:pos="614"/>
              </w:tabs>
              <w:spacing w:after="0" w:line="360" w:lineRule="auto"/>
              <w:ind w:left="0" w:leftChars="0" w:firstLine="480"/>
              <w:rPr>
                <w:color w:val="auto"/>
                <w:sz w:val="24"/>
              </w:rPr>
            </w:pPr>
            <w:r>
              <w:rPr>
                <w:rFonts w:hint="eastAsia"/>
                <w:color w:val="auto"/>
                <w:sz w:val="24"/>
              </w:rPr>
              <w:t>主要由柠檬酸钠、硅酸钠、碳酸钠、葡萄糖酸钠、非离子活性剂组成，为</w:t>
            </w:r>
            <w:r>
              <w:rPr>
                <w:color w:val="auto"/>
                <w:sz w:val="24"/>
              </w:rPr>
              <w:t>白色粉末</w:t>
            </w:r>
            <w:r>
              <w:rPr>
                <w:rFonts w:hint="eastAsia"/>
                <w:color w:val="auto"/>
                <w:sz w:val="24"/>
              </w:rPr>
              <w:t>、无特殊气味、不易燃、完全溶于水。</w:t>
            </w:r>
          </w:p>
          <w:p w14:paraId="0DF4A569">
            <w:pPr>
              <w:pStyle w:val="23"/>
              <w:tabs>
                <w:tab w:val="left" w:pos="614"/>
              </w:tabs>
              <w:spacing w:after="0" w:line="360" w:lineRule="auto"/>
              <w:ind w:left="0" w:leftChars="0" w:firstLine="480"/>
              <w:rPr>
                <w:rFonts w:hint="eastAsia"/>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片碱</w:t>
            </w:r>
          </w:p>
          <w:p w14:paraId="5AFC99A0">
            <w:pPr>
              <w:pStyle w:val="23"/>
              <w:tabs>
                <w:tab w:val="left" w:pos="614"/>
              </w:tabs>
              <w:spacing w:after="0" w:line="360" w:lineRule="auto"/>
              <w:ind w:left="0" w:leftChars="0" w:firstLine="480"/>
              <w:rPr>
                <w:rFonts w:hint="default"/>
                <w:color w:val="auto"/>
                <w:sz w:val="24"/>
                <w:lang w:val="en-US" w:eastAsia="zh-CN"/>
              </w:rPr>
            </w:pPr>
            <w:r>
              <w:rPr>
                <w:rFonts w:hint="eastAsia"/>
                <w:color w:val="auto"/>
                <w:sz w:val="24"/>
              </w:rPr>
              <w:t>无色透明晶体，熔点：318.4℃</w:t>
            </w:r>
            <w:r>
              <w:rPr>
                <w:rFonts w:hint="eastAsia"/>
                <w:color w:val="auto"/>
                <w:sz w:val="24"/>
                <w:lang w:eastAsia="zh-CN"/>
              </w:rPr>
              <w:t>，</w:t>
            </w:r>
            <w:r>
              <w:rPr>
                <w:rFonts w:hint="eastAsia"/>
                <w:color w:val="auto"/>
                <w:sz w:val="24"/>
              </w:rPr>
              <w:t>沸点：1390℃</w:t>
            </w:r>
            <w:r>
              <w:rPr>
                <w:rFonts w:hint="eastAsia"/>
                <w:color w:val="auto"/>
                <w:sz w:val="24"/>
                <w:lang w:eastAsia="zh-CN"/>
              </w:rPr>
              <w:t>，</w:t>
            </w:r>
            <w:r>
              <w:rPr>
                <w:rFonts w:hint="eastAsia"/>
                <w:color w:val="auto"/>
                <w:sz w:val="24"/>
              </w:rPr>
              <w:t>密度2.13g/cm</w:t>
            </w:r>
            <w:r>
              <w:rPr>
                <w:rFonts w:hint="eastAsia"/>
                <w:color w:val="auto"/>
                <w:sz w:val="24"/>
                <w:vertAlign w:val="superscript"/>
              </w:rPr>
              <w:t>3</w:t>
            </w:r>
            <w:r>
              <w:rPr>
                <w:rFonts w:hint="eastAsia"/>
                <w:color w:val="auto"/>
                <w:sz w:val="24"/>
              </w:rPr>
              <w:t>，具有强碱性，腐蚀性极强，可作酸中和剂、配合掩蔽剂、沉淀剂、沉淀掩蔽剂、显色剂、皂化剂、去皮剂、洗涤剂等，用途非常广泛。</w:t>
            </w:r>
          </w:p>
          <w:p w14:paraId="1D399A5C">
            <w:pPr>
              <w:pStyle w:val="23"/>
              <w:tabs>
                <w:tab w:val="left" w:pos="614"/>
              </w:tabs>
              <w:spacing w:after="0" w:line="360" w:lineRule="auto"/>
              <w:ind w:left="0" w:leftChars="0" w:firstLine="480"/>
              <w:rPr>
                <w:b/>
                <w:bCs/>
                <w:color w:val="auto"/>
                <w:sz w:val="24"/>
              </w:rPr>
            </w:pPr>
            <w:r>
              <w:rPr>
                <w:color w:val="auto"/>
                <w:sz w:val="24"/>
              </w:rPr>
              <w:t>（</w:t>
            </w:r>
            <w:r>
              <w:rPr>
                <w:rFonts w:hint="eastAsia"/>
                <w:color w:val="auto"/>
                <w:sz w:val="24"/>
                <w:lang w:val="en-US" w:eastAsia="zh-CN"/>
              </w:rPr>
              <w:t>3</w:t>
            </w:r>
            <w:r>
              <w:rPr>
                <w:color w:val="auto"/>
                <w:sz w:val="24"/>
              </w:rPr>
              <w:t>）</w:t>
            </w:r>
            <w:r>
              <w:rPr>
                <w:rFonts w:hint="eastAsia" w:cs="仿宋"/>
                <w:color w:val="auto"/>
                <w:sz w:val="24"/>
              </w:rPr>
              <w:t>磁材胶</w:t>
            </w:r>
          </w:p>
          <w:p w14:paraId="797353E3">
            <w:pPr>
              <w:pStyle w:val="23"/>
              <w:spacing w:after="0" w:line="360" w:lineRule="auto"/>
              <w:ind w:left="0" w:leftChars="0" w:firstLine="480"/>
              <w:rPr>
                <w:color w:val="auto"/>
                <w:sz w:val="24"/>
              </w:rPr>
            </w:pPr>
            <w:r>
              <w:rPr>
                <w:rFonts w:hint="eastAsia"/>
                <w:color w:val="auto"/>
                <w:sz w:val="24"/>
              </w:rPr>
              <w:t>主要成为</w:t>
            </w:r>
            <w:bookmarkStart w:id="10" w:name="OLE_LINK5"/>
            <w:r>
              <w:rPr>
                <w:color w:val="auto"/>
                <w:sz w:val="24"/>
              </w:rPr>
              <w:t>α-氰基丙烯酸乙酯≥95%</w:t>
            </w:r>
            <w:bookmarkEnd w:id="10"/>
            <w:r>
              <w:rPr>
                <w:rFonts w:hint="eastAsia"/>
                <w:color w:val="auto"/>
                <w:sz w:val="24"/>
              </w:rPr>
              <w:t>，透明液体，有刺激性气味，比重(水=1):0.9，沸点/溶点范围：60℃，蒸气密度(空气压=1)：3gm</w:t>
            </w:r>
            <w:r>
              <w:rPr>
                <w:rFonts w:hint="eastAsia"/>
                <w:color w:val="auto"/>
                <w:sz w:val="24"/>
                <w:vertAlign w:val="superscript"/>
              </w:rPr>
              <w:t>3</w:t>
            </w:r>
            <w:r>
              <w:rPr>
                <w:rFonts w:hint="eastAsia"/>
                <w:color w:val="auto"/>
                <w:sz w:val="24"/>
              </w:rPr>
              <w:t>，根据建设单位提供的挥发性有机物检测报告，</w:t>
            </w:r>
            <w:r>
              <w:rPr>
                <w:rFonts w:hint="eastAsia" w:cs="仿宋"/>
                <w:color w:val="auto"/>
                <w:sz w:val="24"/>
              </w:rPr>
              <w:t>磁材胶挥发性有机物为未检出（详见附件</w:t>
            </w:r>
            <w:r>
              <w:rPr>
                <w:rFonts w:hint="eastAsia" w:cs="仿宋"/>
                <w:color w:val="auto"/>
                <w:sz w:val="24"/>
                <w:lang w:val="en-US" w:eastAsia="zh-CN"/>
              </w:rPr>
              <w:t>10(1)</w:t>
            </w:r>
            <w:r>
              <w:rPr>
                <w:rFonts w:hint="eastAsia" w:cs="仿宋"/>
                <w:color w:val="auto"/>
                <w:sz w:val="24"/>
              </w:rPr>
              <w:t>）。</w:t>
            </w:r>
          </w:p>
          <w:p w14:paraId="723F939D">
            <w:pPr>
              <w:pStyle w:val="42"/>
              <w:spacing w:line="360" w:lineRule="auto"/>
              <w:ind w:firstLine="480" w:firstLineChars="200"/>
              <w:rPr>
                <w:rFonts w:hint="default" w:ascii="Times New Roman" w:hAnsi="Times New Roman"/>
                <w:b/>
                <w:color w:val="auto"/>
                <w:kern w:val="2"/>
                <w:sz w:val="24"/>
              </w:rPr>
            </w:pPr>
            <w:r>
              <w:rPr>
                <w:rFonts w:ascii="Times New Roman" w:hAnsi="Times New Roman" w:cs="宋体"/>
                <w:bCs/>
                <w:color w:val="auto"/>
                <w:kern w:val="2"/>
                <w:sz w:val="24"/>
              </w:rPr>
              <w:t>（3）M型单组份环氧胶粘剂</w:t>
            </w:r>
          </w:p>
          <w:p w14:paraId="145860F4">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主要由双酚F环氧氯丙烷聚合物（30-40%）、环氧增韧剂（15-25%）、</w:t>
            </w:r>
            <w:bookmarkStart w:id="11" w:name="OLE_LINK6"/>
            <w:r>
              <w:rPr>
                <w:rFonts w:ascii="Times New Roman" w:hAnsi="Times New Roman" w:cs="宋体"/>
                <w:bCs/>
                <w:color w:val="auto"/>
                <w:kern w:val="2"/>
                <w:sz w:val="24"/>
              </w:rPr>
              <w:t>碳酸钙</w:t>
            </w:r>
            <w:bookmarkEnd w:id="11"/>
            <w:r>
              <w:rPr>
                <w:rFonts w:ascii="Times New Roman" w:hAnsi="Times New Roman" w:cs="宋体"/>
                <w:bCs/>
                <w:color w:val="auto"/>
                <w:kern w:val="2"/>
                <w:sz w:val="24"/>
              </w:rPr>
              <w:t>（35-45%）、二氢二胺（5-10%）、</w:t>
            </w:r>
            <w:bookmarkStart w:id="12" w:name="OLE_LINK9"/>
            <w:r>
              <w:rPr>
                <w:rFonts w:ascii="Times New Roman" w:hAnsi="Times New Roman" w:cs="宋体"/>
                <w:bCs/>
                <w:color w:val="auto"/>
                <w:kern w:val="2"/>
                <w:sz w:val="24"/>
              </w:rPr>
              <w:t>改性胺</w:t>
            </w:r>
            <w:bookmarkEnd w:id="12"/>
            <w:r>
              <w:rPr>
                <w:rFonts w:ascii="Times New Roman" w:hAnsi="Times New Roman" w:cs="宋体"/>
                <w:bCs/>
                <w:color w:val="auto"/>
                <w:kern w:val="2"/>
                <w:sz w:val="24"/>
              </w:rPr>
              <w:t>（2-5%）、气相二氧化硅组成（1-5%）。</w:t>
            </w:r>
          </w:p>
          <w:p w14:paraId="30797EF4">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（4）切削液</w:t>
            </w:r>
          </w:p>
          <w:p w14:paraId="0040F833">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黄棕色透明液体；pH9.5±0.5，由三乙醇胺、水性防锈剂、防腐剂、极压剂组成。无刺激性气味；密度0.95kg/cm</w:t>
            </w:r>
            <w:r>
              <w:rPr>
                <w:rFonts w:ascii="Times New Roman" w:hAnsi="Times New Roman" w:cs="宋体"/>
                <w:bCs/>
                <w:color w:val="auto"/>
                <w:kern w:val="2"/>
                <w:sz w:val="24"/>
                <w:vertAlign w:val="superscript"/>
              </w:rPr>
              <w:t>3</w:t>
            </w:r>
            <w:r>
              <w:rPr>
                <w:rFonts w:ascii="Times New Roman" w:hAnsi="Times New Roman" w:cs="宋体"/>
                <w:bCs/>
                <w:color w:val="auto"/>
                <w:kern w:val="2"/>
                <w:sz w:val="24"/>
              </w:rPr>
              <w:t>。溶于水。蒸气密度：&gt;1.0(空气=1)。常温下非常稳定。</w:t>
            </w:r>
          </w:p>
          <w:p w14:paraId="209ACA37">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（5）防锈液</w:t>
            </w:r>
          </w:p>
          <w:p w14:paraId="4DCB531C">
            <w:pPr>
              <w:pStyle w:val="42"/>
              <w:spacing w:line="360" w:lineRule="auto"/>
              <w:ind w:firstLine="480" w:firstLineChars="200"/>
              <w:rPr>
                <w:rFonts w:hint="default" w:ascii="Times New Roman" w:hAnsi="Times New Roman" w:cs="宋体"/>
                <w:bCs/>
                <w:color w:val="auto"/>
                <w:kern w:val="2"/>
                <w:sz w:val="24"/>
              </w:rPr>
            </w:pPr>
            <w:r>
              <w:rPr>
                <w:rFonts w:ascii="Times New Roman" w:hAnsi="Times New Roman" w:cs="宋体"/>
                <w:bCs/>
                <w:color w:val="auto"/>
                <w:kern w:val="2"/>
                <w:sz w:val="24"/>
              </w:rPr>
              <w:t>主要成分为</w:t>
            </w:r>
            <w:r>
              <w:rPr>
                <w:rFonts w:hint="default" w:ascii="Times New Roman" w:hAnsi="Times New Roman" w:cs="宋体"/>
                <w:bCs/>
                <w:color w:val="auto"/>
                <w:kern w:val="2"/>
                <w:sz w:val="24"/>
              </w:rPr>
              <w:t>硼砂、丙三醇、苹果酸、丁二酸、磷酸三钠、氢氧化钠、苯甲酸钠</w:t>
            </w:r>
            <w:r>
              <w:rPr>
                <w:rFonts w:ascii="Times New Roman" w:hAnsi="Times New Roman" w:cs="宋体"/>
                <w:bCs/>
                <w:color w:val="auto"/>
                <w:kern w:val="2"/>
                <w:sz w:val="24"/>
              </w:rPr>
              <w:t>、</w:t>
            </w:r>
            <w:r>
              <w:rPr>
                <w:rFonts w:hint="default" w:ascii="Times New Roman" w:hAnsi="Times New Roman" w:cs="宋体"/>
                <w:bCs/>
                <w:color w:val="auto"/>
                <w:kern w:val="2"/>
                <w:sz w:val="24"/>
              </w:rPr>
              <w:t>氨基三乙醇/TEA</w:t>
            </w:r>
            <w:r>
              <w:rPr>
                <w:rFonts w:ascii="Times New Roman" w:hAnsi="Times New Roman" w:cs="宋体"/>
                <w:bCs/>
                <w:color w:val="auto"/>
                <w:kern w:val="2"/>
                <w:sz w:val="24"/>
              </w:rPr>
              <w:t>等。</w:t>
            </w:r>
          </w:p>
          <w:p w14:paraId="67532DC4">
            <w:pPr>
              <w:pStyle w:val="42"/>
              <w:spacing w:line="360" w:lineRule="auto"/>
              <w:ind w:firstLine="480" w:firstLineChars="200"/>
              <w:rPr>
                <w:rFonts w:hint="default" w:ascii="Times New Roman" w:hAnsi="Times New Roman" w:cs="宋体"/>
                <w:bCs/>
                <w:color w:val="auto"/>
                <w:kern w:val="2"/>
                <w:sz w:val="24"/>
              </w:rPr>
            </w:pPr>
            <w:r>
              <w:rPr>
                <w:rFonts w:ascii="Times New Roman" w:hAnsi="Times New Roman" w:cs="宋体"/>
                <w:bCs/>
                <w:color w:val="auto"/>
                <w:kern w:val="2"/>
                <w:sz w:val="24"/>
              </w:rPr>
              <w:t>（6）水基切割液</w:t>
            </w:r>
          </w:p>
          <w:p w14:paraId="1669E8B7">
            <w:pPr>
              <w:pStyle w:val="42"/>
              <w:spacing w:line="360" w:lineRule="auto"/>
              <w:ind w:firstLine="480" w:firstLineChars="200"/>
              <w:rPr>
                <w:rFonts w:ascii="Times New Roman" w:hAnsi="Times New Roman" w:cs="宋体"/>
                <w:color w:val="auto"/>
                <w:sz w:val="24"/>
              </w:rPr>
            </w:pPr>
            <w:r>
              <w:rPr>
                <w:rFonts w:ascii="Times New Roman" w:hAnsi="Times New Roman" w:cs="宋体"/>
                <w:bCs/>
                <w:color w:val="auto"/>
                <w:kern w:val="2"/>
                <w:sz w:val="24"/>
              </w:rPr>
              <w:t>水基切割液由母公司江西金力永磁科技</w:t>
            </w:r>
            <w:r>
              <w:rPr>
                <w:rFonts w:ascii="Times New Roman" w:hAnsi="Times New Roman" w:cs="宋体"/>
                <w:color w:val="auto"/>
                <w:sz w:val="24"/>
              </w:rPr>
              <w:t>股份有限公司进行自主制供给，主要成分为有机酸5-15%、有机胺10-30%、表面活性剂10-30%、其余为水。</w:t>
            </w:r>
          </w:p>
          <w:p w14:paraId="028975AF">
            <w:pPr>
              <w:pStyle w:val="42"/>
              <w:numPr>
                <w:ilvl w:val="0"/>
                <w:numId w:val="0"/>
              </w:numPr>
              <w:spacing w:line="360" w:lineRule="auto"/>
              <w:ind w:firstLine="482" w:firstLineChars="200"/>
              <w:rPr>
                <w:rFonts w:hint="default" w:ascii="Times New Roman" w:hAnsi="Times New Roman" w:eastAsia="宋体" w:cs="宋体"/>
                <w:b/>
                <w:bCs w:val="0"/>
                <w:color w:val="auto"/>
                <w:kern w:val="2"/>
                <w:sz w:val="24"/>
                <w:szCs w:val="24"/>
                <w:lang w:val="en-US" w:eastAsia="zh-CN" w:bidi="ar-SA"/>
              </w:rPr>
            </w:pPr>
            <w:r>
              <w:rPr>
                <w:rFonts w:hint="eastAsia" w:ascii="Times New Roman" w:hAnsi="Times New Roman" w:cs="宋体"/>
                <w:b/>
                <w:bCs w:val="0"/>
                <w:color w:val="auto"/>
                <w:kern w:val="2"/>
                <w:sz w:val="24"/>
                <w:szCs w:val="24"/>
                <w:lang w:val="en-US" w:eastAsia="zh-CN" w:bidi="ar-SA"/>
              </w:rPr>
              <w:t>2#危化品仓库贮存：</w:t>
            </w:r>
          </w:p>
          <w:p w14:paraId="3FB990F0">
            <w:pPr>
              <w:pStyle w:val="42"/>
              <w:spacing w:line="360" w:lineRule="auto"/>
              <w:ind w:firstLine="480" w:firstLineChars="200"/>
              <w:rPr>
                <w:rFonts w:hint="eastAsia" w:ascii="Times New Roman" w:hAnsi="Times New Roman" w:eastAsia="宋体" w:cs="宋体"/>
                <w:bCs/>
                <w:color w:val="auto"/>
                <w:kern w:val="2"/>
                <w:sz w:val="24"/>
                <w:lang w:eastAsia="zh-CN"/>
              </w:rPr>
            </w:pPr>
            <w:r>
              <w:rPr>
                <w:rFonts w:hint="eastAsia" w:ascii="Times New Roman" w:hAnsi="Times New Roman" w:eastAsia="宋体" w:cs="宋体"/>
                <w:bCs/>
                <w:color w:val="auto"/>
                <w:kern w:val="2"/>
                <w:sz w:val="24"/>
                <w:lang w:val="en-US" w:eastAsia="zh-CN"/>
              </w:rPr>
              <w:t>（1）</w:t>
            </w:r>
            <w:r>
              <w:rPr>
                <w:rFonts w:hint="eastAsia" w:ascii="Times New Roman" w:hAnsi="Times New Roman" w:eastAsia="宋体" w:cs="宋体"/>
                <w:bCs/>
                <w:color w:val="auto"/>
                <w:kern w:val="2"/>
                <w:sz w:val="24"/>
                <w:lang w:eastAsia="zh-CN"/>
              </w:rPr>
              <w:t>环氧树脂EED-060</w:t>
            </w:r>
          </w:p>
          <w:p w14:paraId="0AB15319">
            <w:pPr>
              <w:pStyle w:val="42"/>
              <w:spacing w:line="360" w:lineRule="auto"/>
              <w:ind w:firstLine="480" w:firstLineChars="200"/>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eastAsia="zh-CN"/>
              </w:rPr>
              <w:t>液态，主要成分为糊状环氧树脂35%、乙二醇单丁醚8%、纯水57%。乳白色液体pH6.4～6.8，相对密度（水=1）：1.05，完全溶于水，</w:t>
            </w:r>
            <w:r>
              <w:rPr>
                <w:rFonts w:hint="eastAsia" w:ascii="Times New Roman" w:hAnsi="Times New Roman" w:eastAsia="宋体" w:cs="宋体"/>
                <w:bCs/>
                <w:color w:val="auto"/>
                <w:kern w:val="2"/>
                <w:sz w:val="24"/>
                <w:lang w:val="en-US" w:eastAsia="zh-CN"/>
              </w:rPr>
              <w:t>有毒。</w:t>
            </w:r>
          </w:p>
          <w:p w14:paraId="0CCF9837">
            <w:pPr>
              <w:pStyle w:val="42"/>
              <w:numPr>
                <w:ilvl w:val="0"/>
                <w:numId w:val="0"/>
              </w:numPr>
              <w:spacing w:line="360" w:lineRule="auto"/>
              <w:ind w:firstLine="480" w:firstLineChars="200"/>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cs="宋体"/>
                <w:bCs/>
                <w:color w:val="auto"/>
                <w:kern w:val="2"/>
                <w:sz w:val="24"/>
                <w:szCs w:val="24"/>
                <w:lang w:val="en-US" w:eastAsia="zh-CN" w:bidi="ar-SA"/>
              </w:rPr>
              <w:t>2</w:t>
            </w: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eastAsia="宋体" w:cs="宋体"/>
                <w:bCs/>
                <w:color w:val="auto"/>
                <w:kern w:val="2"/>
                <w:sz w:val="24"/>
                <w:lang w:val="en-US" w:eastAsia="zh-CN"/>
              </w:rPr>
              <w:t>环氧氨基涂料剥离剂</w:t>
            </w:r>
          </w:p>
          <w:p w14:paraId="71FB6F06">
            <w:pPr>
              <w:pStyle w:val="42"/>
              <w:numPr>
                <w:ilvl w:val="0"/>
                <w:numId w:val="0"/>
              </w:numPr>
              <w:spacing w:line="360" w:lineRule="auto"/>
              <w:ind w:firstLine="480" w:firstLineChars="200"/>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无色或微黄色黏稠液体，有类似氨的气味。pH11~12（25℃)，熔点350℃（分解）。溶于水、乙醇，不溶于苯、微溶于乙醚。主要成分为芳香系有机物85%、无机碱盐10%、水5%。</w:t>
            </w:r>
          </w:p>
          <w:p w14:paraId="78AA08B3">
            <w:pPr>
              <w:pStyle w:val="42"/>
              <w:numPr>
                <w:ilvl w:val="0"/>
                <w:numId w:val="0"/>
              </w:numPr>
              <w:spacing w:line="360" w:lineRule="auto"/>
              <w:ind w:firstLine="480" w:firstLineChars="200"/>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cs="宋体"/>
                <w:bCs/>
                <w:color w:val="auto"/>
                <w:kern w:val="2"/>
                <w:sz w:val="24"/>
                <w:szCs w:val="24"/>
                <w:lang w:val="en-US" w:eastAsia="zh-CN" w:bidi="ar-SA"/>
              </w:rPr>
              <w:t>3</w:t>
            </w: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eastAsia="宋体" w:cs="宋体"/>
                <w:bCs/>
                <w:color w:val="auto"/>
                <w:kern w:val="2"/>
                <w:sz w:val="24"/>
                <w:lang w:val="en-US" w:eastAsia="zh-CN"/>
              </w:rPr>
              <w:t>环氧树脂剥离液</w:t>
            </w:r>
          </w:p>
          <w:p w14:paraId="7A005610">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无色或微黄色黏稠液体，有类似氨的气味。pH11（25℃)，熔点350℃（分解）。溶于水、乙醇，不溶于苯、微溶于乙醚。主要成分为乙二胺27.8%、硝酸5%、水67.2%。</w:t>
            </w:r>
          </w:p>
          <w:p w14:paraId="06883811">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（4）丙酮</w:t>
            </w:r>
          </w:p>
          <w:p w14:paraId="0AC39DFF">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无色透明易流动液体，有芳香气味，极易挥发。熔点-94.6℃,沸点56.5℃,相对密度（水=1）：0.80，相对蒸汽密度（空气=1）:2.00，饱和蒸气压（kPa）：53.32（39.5℃),闪点-20℃,引燃温度465℃,爆炸上限13.0%，爆炸下限2.5%。与水混溶，可混溶于乙醇、乙醚、氯仿、油类、烃类等多数有机溶剂。</w:t>
            </w:r>
          </w:p>
          <w:p w14:paraId="4BD71CD8">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（5）无水乙醇</w:t>
            </w:r>
          </w:p>
          <w:p w14:paraId="2DB80079">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无水乙醇（Ethanolabsolute）是一种纯度高达99.5%的乙醇溶液，外观为无色透明液体，具有特殊芳香味。‌其物理性质包括：熔点为-114.1℃，沸点为78.5℃，相对密度（水=1）为0.79，闪点为13℃，爆炸极限为3.5%～18.0%（体积）。</w:t>
            </w:r>
          </w:p>
          <w:p w14:paraId="4D4EC221">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（6）清洁酒精</w:t>
            </w:r>
          </w:p>
          <w:p w14:paraId="462B9E7A">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酒精是一种无色、透明的液体，具有特殊的气味，易挥发</w:t>
            </w:r>
            <w:r>
              <w:rPr>
                <w:rFonts w:hint="eastAsia" w:ascii="Times New Roman" w:hAnsi="Times New Roman" w:eastAsia="宋体" w:cs="宋体"/>
                <w:bCs/>
                <w:color w:val="auto"/>
                <w:kern w:val="2"/>
                <w:sz w:val="24"/>
                <w:lang w:val="en-US" w:eastAsia="zh-CN"/>
              </w:rPr>
              <w:t>，酒精具有可燃性。酒精的密度为0.79，相对密度（水=1）为0.79，相对密度（空气=1）为1.59。其沸点为78.3摄氏度‌。</w:t>
            </w:r>
          </w:p>
          <w:p w14:paraId="4711120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（7）硫酸</w:t>
            </w:r>
          </w:p>
          <w:p w14:paraId="33DA6D55">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油状液体，无臭。熔点：10.5℃,沸点：330.0℃。相对密度（水=1）1.83；相对密度（空气=1）3.4。与水混溶。蒸汽压0.13kPa（145.8℃)。用于生产化学肥料，在化工、医药、塑料、染料、石油提炼等工业也有广泛的应用。</w:t>
            </w:r>
          </w:p>
          <w:p w14:paraId="3BB8857C">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（8）冰乙酸</w:t>
            </w:r>
          </w:p>
          <w:p w14:paraId="6EFA9701">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冰乙酸是一种无色透明液体，具有强烈的刺激性气味。它的熔点为16.6℃，沸点为117.9℃，密度为1.05g/cm³，闪点为39℃。冰乙酸在低于熔点时会冻结成冰状晶体，因此也被称为</w:t>
            </w:r>
            <w:r>
              <w:rPr>
                <w:rFonts w:hint="default" w:ascii="Times New Roman" w:hAnsi="Times New Roman" w:eastAsia="宋体" w:cs="宋体"/>
                <w:bCs/>
                <w:color w:val="auto"/>
                <w:kern w:val="2"/>
                <w:sz w:val="24"/>
                <w:lang w:val="en-US" w:eastAsia="zh-CN"/>
              </w:rPr>
              <w:fldChar w:fldCharType="begin"/>
            </w:r>
            <w:r>
              <w:rPr>
                <w:rFonts w:hint="default" w:ascii="Times New Roman" w:hAnsi="Times New Roman" w:eastAsia="宋体" w:cs="宋体"/>
                <w:bCs/>
                <w:color w:val="auto"/>
                <w:kern w:val="2"/>
                <w:sz w:val="24"/>
                <w:lang w:val="en-US" w:eastAsia="zh-CN"/>
              </w:rPr>
              <w:instrText xml:space="preserve"> HYPERLINK "https://www.baidu.com/s?rsv_idx=1&amp;wd=%E5%86%B0%E9%86%8B%E9%85%B8&amp;fenlei=256&amp;usm=3&amp;ie=utf-8&amp;rsv_pq=d93f107300a5aa53&amp;oq=%E5%86%B0%E4%B9%99%E9%85%B8%E7%90%86%E5%8C%96%E6%80%A7%E8%B4%A8&amp;rsv_t=a809hqMvey5vvw2uM9msS+QqFrfOrF0s13+Ieo+XLRt1pHFZlKXa5ni/9x4&amp;rsv_dl=re_dqa_generate&amp;sa=re_dqa_generate" \t "https://www.baidu.com/_self" </w:instrText>
            </w:r>
            <w:r>
              <w:rPr>
                <w:rFonts w:hint="default" w:ascii="Times New Roman" w:hAnsi="Times New Roman" w:eastAsia="宋体" w:cs="宋体"/>
                <w:bCs/>
                <w:color w:val="auto"/>
                <w:kern w:val="2"/>
                <w:sz w:val="24"/>
                <w:lang w:val="en-US" w:eastAsia="zh-CN"/>
              </w:rPr>
              <w:fldChar w:fldCharType="separate"/>
            </w:r>
            <w:r>
              <w:rPr>
                <w:rFonts w:hint="default" w:ascii="Times New Roman" w:hAnsi="Times New Roman" w:eastAsia="宋体" w:cs="宋体"/>
                <w:bCs/>
                <w:color w:val="auto"/>
                <w:kern w:val="2"/>
                <w:sz w:val="24"/>
                <w:lang w:val="en-US" w:eastAsia="zh-CN"/>
              </w:rPr>
              <w:t>冰醋酸</w:t>
            </w:r>
            <w:r>
              <w:rPr>
                <w:rFonts w:hint="default" w:ascii="Times New Roman" w:hAnsi="Times New Roman" w:eastAsia="宋体" w:cs="宋体"/>
                <w:bCs/>
                <w:color w:val="auto"/>
                <w:kern w:val="2"/>
                <w:sz w:val="24"/>
                <w:lang w:val="en-US" w:eastAsia="zh-CN"/>
              </w:rPr>
              <w:fldChar w:fldCharType="end"/>
            </w:r>
            <w:r>
              <w:rPr>
                <w:rFonts w:hint="default" w:ascii="Times New Roman" w:hAnsi="Times New Roman" w:eastAsia="宋体" w:cs="宋体"/>
                <w:bCs/>
                <w:color w:val="auto"/>
                <w:kern w:val="2"/>
                <w:sz w:val="24"/>
                <w:lang w:val="en-US" w:eastAsia="zh-CN"/>
              </w:rPr>
              <w:t>。冰乙酸在低温时凝固成冰状，凝固时体积膨胀可能导致容器破裂。</w:t>
            </w:r>
          </w:p>
          <w:p w14:paraId="692B2F6F">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（9）</w:t>
            </w:r>
            <w:r>
              <w:rPr>
                <w:rFonts w:hint="eastAsia" w:ascii="Times New Roman" w:hAnsi="Times New Roman" w:cs="宋体"/>
                <w:bCs/>
                <w:color w:val="auto"/>
                <w:kern w:val="2"/>
                <w:sz w:val="24"/>
                <w:lang w:val="en-US" w:eastAsia="zh-CN"/>
              </w:rPr>
              <w:t>活性炭</w:t>
            </w:r>
            <w:r>
              <w:rPr>
                <w:rFonts w:hint="eastAsia" w:ascii="Times New Roman" w:hAnsi="Times New Roman" w:eastAsia="宋体" w:cs="宋体"/>
                <w:bCs/>
                <w:color w:val="auto"/>
                <w:kern w:val="2"/>
                <w:sz w:val="24"/>
                <w:lang w:val="en-US" w:eastAsia="zh-CN"/>
              </w:rPr>
              <w:t>素</w:t>
            </w:r>
          </w:p>
          <w:p w14:paraId="788F54B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活性炭素‌是一种多孔性的炭素材料，具有极大的比表面积和强大的吸附能力。其主要成分是碳，通过碳化、活化等工艺制得。活性炭素的制作原料包括木炭、煤炭、果壳等，通过物理或化学方法使其孔隙开放和扩张，从而增加其比表面积，提高吸附性能‌。</w:t>
            </w:r>
          </w:p>
          <w:p w14:paraId="51D2715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（10）硝酸（工业硝酸、硝酸分析纯）</w:t>
            </w:r>
          </w:p>
          <w:p w14:paraId="741F6FFA">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纯品为无色透明发烟液体，有酸味。熔点：-42℃/无水，沸点：86℃/无水，相对密度（水=1）</w:t>
            </w:r>
            <w:r>
              <w:rPr>
                <w:rFonts w:hint="eastAsia" w:ascii="Times New Roman" w:hAnsi="Times New Roman" w:cs="宋体"/>
                <w:bCs/>
                <w:color w:val="auto"/>
                <w:kern w:val="2"/>
                <w:sz w:val="24"/>
                <w:lang w:val="en-US" w:eastAsia="zh-CN"/>
              </w:rPr>
              <w:t>1.5</w:t>
            </w:r>
            <w:r>
              <w:rPr>
                <w:rFonts w:hint="eastAsia" w:ascii="Times New Roman" w:hAnsi="Times New Roman" w:eastAsia="宋体" w:cs="宋体"/>
                <w:bCs/>
                <w:color w:val="auto"/>
                <w:kern w:val="2"/>
                <w:sz w:val="24"/>
                <w:lang w:val="en-US" w:eastAsia="zh-CN"/>
              </w:rPr>
              <w:t>（无水），相对密度（空气=1）2.17。与水混溶，蒸汽压4.4kPa（20℃)。用途极广，主要用于化肥、染料、国防、炸药、冶金、医药等工业。</w:t>
            </w:r>
          </w:p>
          <w:p w14:paraId="03B0E177">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（11）硫酸分析纯</w:t>
            </w:r>
          </w:p>
          <w:p w14:paraId="42BEE3F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油状液体，无臭。熔点：10.5℃,沸点：330.0℃。相对密度（水=1）1.83；相对密度（空气=1）3.4。与水混溶。蒸汽压0.13kPa（145.8℃)。用于生产化学肥料，在化工、医药、塑料、染料、石油提炼等工业也有广泛的应用。</w:t>
            </w:r>
          </w:p>
          <w:p w14:paraId="7C89A98F">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（12）氯化钾</w:t>
            </w:r>
          </w:p>
          <w:p w14:paraId="3DAB3D5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白色结晶小颗粒粉末，熔点770℃,沸点1420℃,密度1.98g/cm³,外观如同食盐，无臭、味咸。易溶于水、醚、甘油及碱类，微溶于乙醇，但不溶于无水乙醇。</w:t>
            </w:r>
          </w:p>
          <w:p w14:paraId="09CBBD0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（13）硫酸锌</w:t>
            </w:r>
          </w:p>
          <w:p w14:paraId="3C260E6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无色斜方晶体、颗粒或粉末，无气味，味涩。熔点为100℃,沸点&gt;500℃（分解），相对密度（水=1）：3.35。易溶于水，水溶液呈酸性，微溶于乙醇和甘油。</w:t>
            </w:r>
            <w:r>
              <w:rPr>
                <w:rFonts w:hint="default" w:ascii="Times New Roman" w:hAnsi="Times New Roman" w:eastAsia="宋体" w:cs="宋体"/>
                <w:bCs/>
                <w:color w:val="auto"/>
                <w:kern w:val="2"/>
                <w:sz w:val="24"/>
                <w:lang w:val="en-US" w:eastAsia="zh-CN"/>
              </w:rPr>
              <w:t>‌‌</w:t>
            </w:r>
          </w:p>
          <w:p w14:paraId="5120A381">
            <w:pPr>
              <w:pStyle w:val="42"/>
              <w:spacing w:line="360" w:lineRule="auto"/>
              <w:ind w:firstLine="482" w:firstLineChars="200"/>
              <w:rPr>
                <w:rFonts w:hint="default" w:ascii="Times New Roman" w:hAnsi="Times New Roman"/>
                <w:b/>
                <w:color w:val="auto"/>
                <w:kern w:val="2"/>
                <w:sz w:val="24"/>
              </w:rPr>
            </w:pPr>
            <w:r>
              <w:rPr>
                <w:rFonts w:ascii="Times New Roman" w:hAnsi="Times New Roman" w:cs="宋体"/>
                <w:b/>
                <w:color w:val="auto"/>
                <w:kern w:val="2"/>
                <w:sz w:val="24"/>
              </w:rPr>
              <w:t>8、平衡</w:t>
            </w:r>
          </w:p>
          <w:p w14:paraId="46C4C41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主要原料物料平衡表</w:t>
            </w:r>
          </w:p>
          <w:p w14:paraId="379615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仿宋"/>
                <w:b w:val="0"/>
                <w:bCs w:val="0"/>
                <w:color w:val="auto"/>
                <w:sz w:val="24"/>
                <w:szCs w:val="24"/>
              </w:rPr>
            </w:pPr>
            <w:r>
              <w:rPr>
                <w:rFonts w:hint="eastAsia"/>
                <w:color w:val="auto"/>
                <w:sz w:val="24"/>
                <w:szCs w:val="24"/>
                <w:lang w:val="en-US" w:eastAsia="zh-CN"/>
              </w:rPr>
              <w:t>1）</w:t>
            </w:r>
            <w:r>
              <w:rPr>
                <w:rFonts w:hint="eastAsia" w:cs="仿宋"/>
                <w:b w:val="0"/>
                <w:bCs w:val="0"/>
                <w:color w:val="auto"/>
                <w:sz w:val="24"/>
                <w:szCs w:val="24"/>
              </w:rPr>
              <w:t>钕铁硼材料机加工半成品</w:t>
            </w:r>
          </w:p>
          <w:p w14:paraId="188097EB">
            <w:pPr>
              <w:jc w:val="center"/>
              <w:rPr>
                <w:rFonts w:hint="default" w:cs="仿宋"/>
                <w:b/>
                <w:bCs/>
                <w:color w:val="auto"/>
                <w:sz w:val="24"/>
                <w:szCs w:val="24"/>
                <w:lang w:val="en-US" w:eastAsia="zh-CN"/>
              </w:rPr>
            </w:pPr>
            <w:r>
              <w:rPr>
                <w:rFonts w:hint="eastAsia" w:cs="仿宋"/>
                <w:b/>
                <w:bCs/>
                <w:color w:val="auto"/>
                <w:sz w:val="24"/>
                <w:szCs w:val="24"/>
                <w:lang w:val="en-US" w:eastAsia="zh-CN"/>
              </w:rPr>
              <w:t>表2-7</w:t>
            </w:r>
            <w:r>
              <w:rPr>
                <w:rFonts w:hint="eastAsia" w:cs="仿宋"/>
                <w:b/>
                <w:bCs/>
                <w:color w:val="auto"/>
                <w:sz w:val="24"/>
                <w:szCs w:val="24"/>
              </w:rPr>
              <w:t>钕铁硼材料机加工半成品</w:t>
            </w:r>
            <w:r>
              <w:rPr>
                <w:rFonts w:hint="eastAsia"/>
                <w:b/>
                <w:bCs/>
                <w:color w:val="auto"/>
                <w:sz w:val="24"/>
                <w:szCs w:val="24"/>
                <w:lang w:val="en-US" w:eastAsia="zh-CN"/>
              </w:rPr>
              <w:t>主要原料物料平衡一览表</w:t>
            </w:r>
          </w:p>
          <w:tbl>
            <w:tblPr>
              <w:tblStyle w:val="2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6"/>
              <w:gridCol w:w="1806"/>
              <w:gridCol w:w="3613"/>
              <w:gridCol w:w="2084"/>
            </w:tblGrid>
            <w:tr w14:paraId="10C3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7B2D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入方（</w:t>
                  </w:r>
                  <w:r>
                    <w:rPr>
                      <w:rFonts w:hint="default" w:ascii="Times New Roman" w:hAnsi="Times New Roman" w:eastAsia="宋体" w:cs="Times New Roman"/>
                      <w:b/>
                      <w:bCs/>
                      <w:i w:val="0"/>
                      <w:iCs w:val="0"/>
                      <w:color w:val="auto"/>
                      <w:kern w:val="0"/>
                      <w:sz w:val="21"/>
                      <w:szCs w:val="21"/>
                      <w:u w:val="none"/>
                      <w:vertAlign w:val="baseline"/>
                      <w:lang w:val="en-US" w:eastAsia="zh-CN" w:bidi="ar"/>
                    </w:rPr>
                    <w:t>t/a</w:t>
                  </w:r>
                  <w:r>
                    <w:rPr>
                      <w:rFonts w:hint="eastAsia" w:ascii="宋体" w:hAnsi="宋体" w:eastAsia="宋体" w:cs="宋体"/>
                      <w:b/>
                      <w:bCs/>
                      <w:i w:val="0"/>
                      <w:iCs w:val="0"/>
                      <w:color w:val="auto"/>
                      <w:kern w:val="0"/>
                      <w:sz w:val="21"/>
                      <w:szCs w:val="21"/>
                      <w:u w:val="none"/>
                      <w:lang w:val="en-US" w:eastAsia="zh-CN" w:bidi="ar"/>
                    </w:rPr>
                    <w:t>）</w:t>
                  </w:r>
                </w:p>
              </w:tc>
              <w:tc>
                <w:tcPr>
                  <w:tcW w:w="30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B5E0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出方</w:t>
                  </w:r>
                  <w:r>
                    <w:rPr>
                      <w:rFonts w:hint="default" w:ascii="Times New Roman" w:hAnsi="Times New Roman" w:eastAsia="宋体" w:cs="Times New Roman"/>
                      <w:b/>
                      <w:bCs/>
                      <w:i w:val="0"/>
                      <w:iCs w:val="0"/>
                      <w:color w:val="auto"/>
                      <w:kern w:val="0"/>
                      <w:sz w:val="21"/>
                      <w:szCs w:val="21"/>
                      <w:u w:val="none"/>
                      <w:vertAlign w:val="baseline"/>
                      <w:lang w:val="en-US" w:eastAsia="zh-CN" w:bidi="ar"/>
                    </w:rPr>
                    <w:t>(t/a</w:t>
                  </w:r>
                  <w:r>
                    <w:rPr>
                      <w:rStyle w:val="99"/>
                      <w:color w:val="auto"/>
                      <w:vertAlign w:val="baseline"/>
                      <w:lang w:val="en-US" w:eastAsia="zh-CN" w:bidi="ar"/>
                    </w:rPr>
                    <w:t>）</w:t>
                  </w:r>
                </w:p>
              </w:tc>
            </w:tr>
            <w:tr w14:paraId="73A6C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C80B4">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物料名称</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77392">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数量</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9517">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物料名称</w:t>
                  </w:r>
                </w:p>
              </w:tc>
              <w:tc>
                <w:tcPr>
                  <w:tcW w:w="11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7F10">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数量</w:t>
                  </w:r>
                </w:p>
              </w:tc>
            </w:tr>
            <w:tr w14:paraId="233DD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73BC1">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钕铁硼毛配料</w:t>
                  </w:r>
                </w:p>
              </w:tc>
              <w:tc>
                <w:tcPr>
                  <w:tcW w:w="9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8ED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DD1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产品</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6B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4600</w:t>
                  </w:r>
                </w:p>
              </w:tc>
            </w:tr>
            <w:tr w14:paraId="2331C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B4705">
                  <w:pPr>
                    <w:jc w:val="center"/>
                    <w:rPr>
                      <w:rFonts w:hint="eastAsia" w:ascii="Times New Roman" w:hAnsi="Times New Roman" w:eastAsia="宋体" w:cs="宋体"/>
                      <w:i w:val="0"/>
                      <w:iCs w:val="0"/>
                      <w:color w:val="auto"/>
                      <w:sz w:val="21"/>
                      <w:szCs w:val="21"/>
                      <w:u w:val="none"/>
                    </w:rPr>
                  </w:pP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E1684">
                  <w:pPr>
                    <w:jc w:val="center"/>
                    <w:rPr>
                      <w:rFonts w:hint="default" w:ascii="Times New Roman" w:hAnsi="Times New Roman" w:eastAsia="宋体" w:cs="Times New Roman"/>
                      <w:i w:val="0"/>
                      <w:iCs w:val="0"/>
                      <w:color w:val="auto"/>
                      <w:sz w:val="21"/>
                      <w:szCs w:val="21"/>
                      <w:u w:val="none"/>
                    </w:rPr>
                  </w:pP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022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废边角料</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C61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r>
            <w:tr w14:paraId="17F1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0CD9A">
                  <w:pPr>
                    <w:jc w:val="center"/>
                    <w:rPr>
                      <w:rFonts w:hint="eastAsia" w:ascii="Times New Roman" w:hAnsi="Times New Roman" w:eastAsia="宋体" w:cs="宋体"/>
                      <w:i w:val="0"/>
                      <w:iCs w:val="0"/>
                      <w:color w:val="auto"/>
                      <w:sz w:val="21"/>
                      <w:szCs w:val="21"/>
                      <w:u w:val="none"/>
                    </w:rPr>
                  </w:pP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29AB4">
                  <w:pPr>
                    <w:jc w:val="center"/>
                    <w:rPr>
                      <w:rFonts w:hint="default" w:ascii="Times New Roman" w:hAnsi="Times New Roman" w:eastAsia="宋体" w:cs="Times New Roman"/>
                      <w:i w:val="0"/>
                      <w:iCs w:val="0"/>
                      <w:color w:val="auto"/>
                      <w:sz w:val="21"/>
                      <w:szCs w:val="21"/>
                      <w:u w:val="none"/>
                    </w:rPr>
                  </w:pP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460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磁泥</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DEE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795.4</w:t>
                  </w:r>
                </w:p>
              </w:tc>
            </w:tr>
            <w:tr w14:paraId="6ECB0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26E8A">
                  <w:pPr>
                    <w:jc w:val="center"/>
                    <w:rPr>
                      <w:rFonts w:hint="eastAsia" w:ascii="Times New Roman" w:hAnsi="Times New Roman" w:eastAsia="宋体" w:cs="宋体"/>
                      <w:i w:val="0"/>
                      <w:iCs w:val="0"/>
                      <w:color w:val="auto"/>
                      <w:sz w:val="21"/>
                      <w:szCs w:val="21"/>
                      <w:u w:val="none"/>
                    </w:rPr>
                  </w:pP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17260">
                  <w:pPr>
                    <w:jc w:val="center"/>
                    <w:rPr>
                      <w:rFonts w:hint="default" w:ascii="Times New Roman" w:hAnsi="Times New Roman" w:eastAsia="宋体" w:cs="Times New Roman"/>
                      <w:i w:val="0"/>
                      <w:iCs w:val="0"/>
                      <w:color w:val="auto"/>
                      <w:sz w:val="21"/>
                      <w:szCs w:val="21"/>
                      <w:u w:val="none"/>
                    </w:rPr>
                  </w:pP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9D6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不合格品</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0A4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r>
            <w:tr w14:paraId="57392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9DB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合计</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F247">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6000</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0449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合计</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A0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6000</w:t>
                  </w:r>
                </w:p>
              </w:tc>
            </w:tr>
          </w:tbl>
          <w:p w14:paraId="0D6284A4">
            <w:pPr>
              <w:pStyle w:val="23"/>
              <w:spacing w:after="0" w:line="360" w:lineRule="auto"/>
              <w:ind w:left="0" w:leftChars="0" w:firstLine="480"/>
              <w:rPr>
                <w:rFonts w:hint="eastAsia" w:cs="宋体"/>
                <w:color w:val="auto"/>
                <w:kern w:val="0"/>
                <w:szCs w:val="21"/>
                <w:lang w:bidi="ar"/>
              </w:rPr>
            </w:pPr>
            <w:r>
              <w:rPr>
                <w:rFonts w:hint="eastAsia"/>
                <w:color w:val="auto"/>
                <w:sz w:val="24"/>
                <w:lang w:val="en-US" w:eastAsia="zh-CN"/>
              </w:rPr>
              <w:t>2</w:t>
            </w:r>
            <w:r>
              <w:rPr>
                <w:rFonts w:hint="eastAsia"/>
                <w:color w:val="auto"/>
                <w:sz w:val="24"/>
                <w:lang w:eastAsia="zh-CN"/>
              </w:rPr>
              <w:t>）</w:t>
            </w:r>
            <w:r>
              <w:rPr>
                <w:rFonts w:hint="eastAsia" w:cs="宋体"/>
                <w:color w:val="auto"/>
                <w:kern w:val="0"/>
                <w:szCs w:val="21"/>
                <w:lang w:bidi="ar"/>
              </w:rPr>
              <w:t>粘胶组件</w:t>
            </w:r>
          </w:p>
          <w:p w14:paraId="4CD2604A">
            <w:pPr>
              <w:jc w:val="center"/>
              <w:rPr>
                <w:rFonts w:hint="default" w:cs="仿宋"/>
                <w:b/>
                <w:bCs/>
                <w:color w:val="auto"/>
                <w:sz w:val="24"/>
                <w:szCs w:val="24"/>
                <w:lang w:val="en-US" w:eastAsia="zh-CN"/>
              </w:rPr>
            </w:pPr>
            <w:r>
              <w:rPr>
                <w:rFonts w:hint="eastAsia" w:cs="仿宋"/>
                <w:b/>
                <w:bCs/>
                <w:color w:val="auto"/>
                <w:sz w:val="24"/>
                <w:szCs w:val="24"/>
                <w:lang w:val="en-US" w:eastAsia="zh-CN"/>
              </w:rPr>
              <w:t>表2-8粘胶组件</w:t>
            </w:r>
            <w:r>
              <w:rPr>
                <w:rFonts w:hint="eastAsia"/>
                <w:b/>
                <w:bCs/>
                <w:color w:val="auto"/>
                <w:sz w:val="24"/>
                <w:szCs w:val="24"/>
                <w:lang w:val="en-US" w:eastAsia="zh-CN"/>
              </w:rPr>
              <w:t>主要原料物料平衡一览表</w:t>
            </w:r>
          </w:p>
          <w:tbl>
            <w:tblPr>
              <w:tblStyle w:val="24"/>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5"/>
              <w:gridCol w:w="1806"/>
              <w:gridCol w:w="3611"/>
              <w:gridCol w:w="2083"/>
            </w:tblGrid>
            <w:tr w14:paraId="557B7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481B2">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入方（</w:t>
                  </w:r>
                  <w:r>
                    <w:rPr>
                      <w:rFonts w:hint="default" w:ascii="Times New Roman" w:hAnsi="Times New Roman" w:eastAsia="宋体" w:cs="Times New Roman"/>
                      <w:b/>
                      <w:bCs/>
                      <w:i w:val="0"/>
                      <w:iCs w:val="0"/>
                      <w:color w:val="auto"/>
                      <w:kern w:val="0"/>
                      <w:sz w:val="21"/>
                      <w:szCs w:val="21"/>
                      <w:u w:val="none"/>
                      <w:vertAlign w:val="baseline"/>
                      <w:lang w:val="en-US" w:eastAsia="zh-CN" w:bidi="ar"/>
                    </w:rPr>
                    <w:t>t/a</w:t>
                  </w:r>
                  <w:r>
                    <w:rPr>
                      <w:rFonts w:hint="eastAsia" w:ascii="宋体" w:hAnsi="宋体" w:eastAsia="宋体" w:cs="宋体"/>
                      <w:b/>
                      <w:bCs/>
                      <w:i w:val="0"/>
                      <w:iCs w:val="0"/>
                      <w:color w:val="auto"/>
                      <w:kern w:val="0"/>
                      <w:sz w:val="21"/>
                      <w:szCs w:val="21"/>
                      <w:u w:val="none"/>
                      <w:lang w:val="en-US" w:eastAsia="zh-CN" w:bidi="ar"/>
                    </w:rPr>
                    <w:t>）</w:t>
                  </w:r>
                </w:p>
              </w:tc>
              <w:tc>
                <w:tcPr>
                  <w:tcW w:w="30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8A8C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出方</w:t>
                  </w:r>
                  <w:r>
                    <w:rPr>
                      <w:rFonts w:hint="default" w:ascii="Times New Roman" w:hAnsi="Times New Roman" w:eastAsia="宋体" w:cs="Times New Roman"/>
                      <w:b/>
                      <w:bCs/>
                      <w:i w:val="0"/>
                      <w:iCs w:val="0"/>
                      <w:color w:val="auto"/>
                      <w:kern w:val="0"/>
                      <w:sz w:val="21"/>
                      <w:szCs w:val="21"/>
                      <w:u w:val="none"/>
                      <w:vertAlign w:val="baseline"/>
                      <w:lang w:val="en-US" w:eastAsia="zh-CN" w:bidi="ar"/>
                    </w:rPr>
                    <w:t>(t/a</w:t>
                  </w:r>
                  <w:r>
                    <w:rPr>
                      <w:rStyle w:val="99"/>
                      <w:color w:val="auto"/>
                      <w:vertAlign w:val="baseline"/>
                      <w:lang w:val="en-US" w:eastAsia="zh-CN" w:bidi="ar"/>
                    </w:rPr>
                    <w:t>）</w:t>
                  </w:r>
                </w:p>
              </w:tc>
            </w:tr>
            <w:tr w14:paraId="398E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2EE52">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物料名称</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888C3">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数量</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93AC">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物料名称</w:t>
                  </w:r>
                </w:p>
              </w:tc>
              <w:tc>
                <w:tcPr>
                  <w:tcW w:w="1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0612B">
                  <w:pPr>
                    <w:keepNext w:val="0"/>
                    <w:keepLines w:val="0"/>
                    <w:widowControl/>
                    <w:suppressLineNumbers w:val="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color w:val="auto"/>
                      <w:kern w:val="0"/>
                      <w:sz w:val="21"/>
                      <w:szCs w:val="21"/>
                      <w:u w:val="none"/>
                      <w:lang w:val="en-US" w:eastAsia="zh-CN" w:bidi="ar"/>
                    </w:rPr>
                    <w:t>数量</w:t>
                  </w:r>
                </w:p>
              </w:tc>
            </w:tr>
            <w:tr w14:paraId="17B8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A9B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五金件</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FB9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2254.6755</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098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粘胶组件</w:t>
                  </w:r>
                </w:p>
              </w:tc>
              <w:tc>
                <w:tcPr>
                  <w:tcW w:w="1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C1A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400</w:t>
                  </w:r>
                </w:p>
              </w:tc>
            </w:tr>
            <w:tr w14:paraId="0BE55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4261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磁瓦</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DB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130.5325</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305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废边角料</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B5B1">
                  <w:pPr>
                    <w:keepNext w:val="0"/>
                    <w:keepLines w:val="0"/>
                    <w:widowControl/>
                    <w:suppressLineNumbers w:val="0"/>
                    <w:jc w:val="center"/>
                    <w:textAlignment w:val="center"/>
                    <w:rPr>
                      <w:rFonts w:hint="default" w:ascii="Times New Roman" w:hAnsi="Times New Roman" w:eastAsia="宋体" w:cs="宋体"/>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2009.</w:t>
                  </w:r>
                  <w:r>
                    <w:rPr>
                      <w:rFonts w:hint="eastAsia" w:cs="Times New Roman"/>
                      <w:i w:val="0"/>
                      <w:iCs w:val="0"/>
                      <w:color w:val="auto"/>
                      <w:kern w:val="0"/>
                      <w:sz w:val="21"/>
                      <w:szCs w:val="21"/>
                      <w:u w:val="none"/>
                      <w:lang w:val="en-US" w:eastAsia="zh-CN" w:bidi="ar"/>
                    </w:rPr>
                    <w:t>177</w:t>
                  </w:r>
                </w:p>
              </w:tc>
            </w:tr>
            <w:tr w14:paraId="774F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42D7">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磁环</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77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24.61</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C840">
                  <w:pPr>
                    <w:jc w:val="center"/>
                    <w:rPr>
                      <w:rFonts w:hint="default" w:ascii="Times New Roman" w:hAnsi="Times New Roman" w:eastAsia="宋体" w:cs="宋体"/>
                      <w:i w:val="0"/>
                      <w:iCs w:val="0"/>
                      <w:color w:val="auto"/>
                      <w:kern w:val="2"/>
                      <w:sz w:val="21"/>
                      <w:szCs w:val="21"/>
                      <w:u w:val="none"/>
                      <w:lang w:val="en-US" w:eastAsia="zh-CN" w:bidi="ar-SA"/>
                    </w:rPr>
                  </w:pPr>
                  <w:r>
                    <w:rPr>
                      <w:rFonts w:hint="default" w:ascii="Times New Roman" w:hAnsi="Times New Roman" w:eastAsia="宋体" w:cs="宋体"/>
                      <w:i w:val="0"/>
                      <w:iCs w:val="0"/>
                      <w:color w:val="auto"/>
                      <w:kern w:val="2"/>
                      <w:sz w:val="21"/>
                      <w:szCs w:val="21"/>
                      <w:u w:val="none"/>
                      <w:lang w:val="en-US" w:eastAsia="zh-CN" w:bidi="ar-SA"/>
                    </w:rPr>
                    <w:t>机加工粉尘</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8349">
                  <w:pPr>
                    <w:jc w:val="center"/>
                    <w:rPr>
                      <w:rFonts w:hint="default" w:ascii="Times New Roman" w:hAnsi="Times New Roman" w:eastAsia="宋体" w:cs="宋体"/>
                      <w:i w:val="0"/>
                      <w:iCs w:val="0"/>
                      <w:color w:val="auto"/>
                      <w:kern w:val="2"/>
                      <w:sz w:val="21"/>
                      <w:szCs w:val="21"/>
                      <w:u w:val="none"/>
                      <w:lang w:val="en-US" w:eastAsia="zh-CN" w:bidi="ar-SA"/>
                    </w:rPr>
                  </w:pPr>
                  <w:r>
                    <w:rPr>
                      <w:rFonts w:hint="default" w:ascii="Times New Roman" w:hAnsi="Times New Roman" w:eastAsia="宋体" w:cs="宋体"/>
                      <w:i w:val="0"/>
                      <w:iCs w:val="0"/>
                      <w:color w:val="auto"/>
                      <w:kern w:val="2"/>
                      <w:sz w:val="21"/>
                      <w:szCs w:val="21"/>
                      <w:u w:val="none"/>
                      <w:lang w:val="en-US" w:eastAsia="zh-CN" w:bidi="ar-SA"/>
                    </w:rPr>
                    <w:t>0.641</w:t>
                  </w:r>
                </w:p>
              </w:tc>
            </w:tr>
            <w:tr w14:paraId="46E19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A9FE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B484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2409.818</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3C8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898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2409.818</w:t>
                  </w:r>
                </w:p>
              </w:tc>
            </w:tr>
          </w:tbl>
          <w:p w14:paraId="2FF0BA2E">
            <w:pPr>
              <w:pStyle w:val="23"/>
              <w:spacing w:after="0" w:line="360" w:lineRule="auto"/>
              <w:ind w:left="0" w:leftChars="0" w:firstLine="480"/>
              <w:rPr>
                <w:color w:val="auto"/>
                <w:sz w:val="24"/>
              </w:rPr>
            </w:pPr>
            <w:r>
              <w:rPr>
                <w:rFonts w:hint="eastAsia"/>
                <w:color w:val="auto"/>
                <w:sz w:val="24"/>
              </w:rPr>
              <w:t>（</w:t>
            </w:r>
            <w:r>
              <w:rPr>
                <w:rFonts w:hint="eastAsia"/>
                <w:color w:val="auto"/>
                <w:sz w:val="24"/>
                <w:lang w:val="en-US" w:eastAsia="zh-CN"/>
              </w:rPr>
              <w:t>2</w:t>
            </w:r>
            <w:r>
              <w:rPr>
                <w:rFonts w:hint="eastAsia"/>
                <w:color w:val="auto"/>
                <w:sz w:val="24"/>
              </w:rPr>
              <w:t>）水平衡</w:t>
            </w:r>
          </w:p>
          <w:p w14:paraId="46202511">
            <w:pPr>
              <w:pStyle w:val="23"/>
              <w:spacing w:after="0" w:line="360" w:lineRule="auto"/>
              <w:ind w:left="0" w:leftChars="0" w:firstLine="480"/>
              <w:rPr>
                <w:color w:val="auto"/>
                <w:sz w:val="24"/>
              </w:rPr>
            </w:pPr>
            <w:r>
              <w:rPr>
                <w:color w:val="auto"/>
                <w:sz w:val="24"/>
              </w:rPr>
              <w:t>给水：项目用水主要为生活用水</w:t>
            </w:r>
            <w:r>
              <w:rPr>
                <w:rFonts w:hint="eastAsia"/>
                <w:color w:val="auto"/>
                <w:sz w:val="24"/>
              </w:rPr>
              <w:t>、循环用水、清洗用水</w:t>
            </w:r>
            <w:r>
              <w:rPr>
                <w:color w:val="auto"/>
                <w:sz w:val="24"/>
              </w:rPr>
              <w:t>。</w:t>
            </w:r>
          </w:p>
          <w:p w14:paraId="4788F258">
            <w:pPr>
              <w:adjustRightInd w:val="0"/>
              <w:snapToGrid w:val="0"/>
              <w:spacing w:line="360" w:lineRule="auto"/>
              <w:ind w:firstLine="480" w:firstLineChars="200"/>
              <w:rPr>
                <w:color w:val="auto"/>
                <w:sz w:val="24"/>
              </w:rPr>
            </w:pPr>
            <w:r>
              <w:rPr>
                <w:color w:val="auto"/>
                <w:sz w:val="24"/>
              </w:rPr>
              <w:t>排水：</w:t>
            </w:r>
            <w:r>
              <w:rPr>
                <w:rFonts w:hint="eastAsia"/>
                <w:color w:val="auto"/>
                <w:sz w:val="24"/>
              </w:rPr>
              <w:t>项目外排废水为</w:t>
            </w:r>
            <w:r>
              <w:rPr>
                <w:color w:val="auto"/>
                <w:sz w:val="24"/>
              </w:rPr>
              <w:t>生活污水</w:t>
            </w:r>
            <w:r>
              <w:rPr>
                <w:rFonts w:hint="eastAsia"/>
                <w:color w:val="auto"/>
                <w:sz w:val="24"/>
              </w:rPr>
              <w:t>，循环水循环使用、清洗废水排污一期污水处理站。</w:t>
            </w:r>
          </w:p>
          <w:p w14:paraId="25FB9FAA">
            <w:pPr>
              <w:pStyle w:val="23"/>
              <w:spacing w:after="0" w:line="360" w:lineRule="auto"/>
              <w:ind w:left="0" w:leftChars="0" w:firstLine="480"/>
              <w:rPr>
                <w:color w:val="auto"/>
                <w:sz w:val="24"/>
              </w:rPr>
            </w:pPr>
            <w:r>
              <w:rPr>
                <w:rFonts w:hint="eastAsia"/>
                <w:color w:val="auto"/>
                <w:sz w:val="24"/>
              </w:rPr>
              <w:t>1）生活污水</w:t>
            </w:r>
          </w:p>
          <w:p w14:paraId="2A640882">
            <w:pPr>
              <w:pStyle w:val="23"/>
              <w:spacing w:after="0" w:line="360" w:lineRule="auto"/>
              <w:ind w:left="0" w:leftChars="0" w:firstLine="480"/>
              <w:rPr>
                <w:color w:val="auto"/>
                <w:sz w:val="24"/>
              </w:rPr>
            </w:pPr>
            <w:r>
              <w:rPr>
                <w:color w:val="auto"/>
                <w:sz w:val="24"/>
              </w:rPr>
              <w:t>本项目劳动定员员工人数为</w:t>
            </w:r>
            <w:r>
              <w:rPr>
                <w:rFonts w:hint="eastAsia"/>
                <w:color w:val="auto"/>
                <w:sz w:val="24"/>
              </w:rPr>
              <w:t>213</w:t>
            </w:r>
            <w:r>
              <w:rPr>
                <w:color w:val="auto"/>
                <w:sz w:val="24"/>
              </w:rPr>
              <w:t>人，</w:t>
            </w:r>
            <w:r>
              <w:rPr>
                <w:rFonts w:hint="eastAsia"/>
                <w:color w:val="auto"/>
                <w:sz w:val="24"/>
              </w:rPr>
              <w:t>员工约60人在厂区内食宿，非食宿生活用水量按46</w:t>
            </w:r>
            <w:r>
              <w:rPr>
                <w:color w:val="auto"/>
                <w:sz w:val="24"/>
              </w:rPr>
              <w:t>L/人·d</w:t>
            </w:r>
            <w:r>
              <w:rPr>
                <w:rFonts w:hint="eastAsia"/>
                <w:color w:val="auto"/>
                <w:sz w:val="24"/>
              </w:rPr>
              <w:t>计，食宿</w:t>
            </w:r>
            <w:r>
              <w:rPr>
                <w:color w:val="auto"/>
                <w:sz w:val="24"/>
              </w:rPr>
              <w:t>生活用水量按</w:t>
            </w:r>
            <w:r>
              <w:rPr>
                <w:rFonts w:hint="eastAsia"/>
                <w:color w:val="auto"/>
                <w:sz w:val="24"/>
              </w:rPr>
              <w:t>137</w:t>
            </w:r>
            <w:r>
              <w:rPr>
                <w:color w:val="auto"/>
                <w:sz w:val="24"/>
              </w:rPr>
              <w:t>L/人·d</w:t>
            </w:r>
            <w:r>
              <w:rPr>
                <w:rFonts w:hint="eastAsia"/>
                <w:color w:val="auto"/>
                <w:sz w:val="24"/>
              </w:rPr>
              <w:t>计</w:t>
            </w:r>
            <w:r>
              <w:rPr>
                <w:color w:val="auto"/>
                <w:sz w:val="24"/>
              </w:rPr>
              <w:t>，则生活</w:t>
            </w:r>
            <w:r>
              <w:rPr>
                <w:rFonts w:hint="eastAsia"/>
                <w:color w:val="auto"/>
                <w:sz w:val="24"/>
              </w:rPr>
              <w:t>用水</w:t>
            </w:r>
            <w:r>
              <w:rPr>
                <w:color w:val="auto"/>
                <w:sz w:val="24"/>
              </w:rPr>
              <w:t>产生量为</w:t>
            </w:r>
            <w:r>
              <w:rPr>
                <w:rFonts w:hint="eastAsia"/>
                <w:color w:val="auto"/>
                <w:sz w:val="24"/>
              </w:rPr>
              <w:t>15.258</w:t>
            </w:r>
            <w:r>
              <w:rPr>
                <w:color w:val="auto"/>
                <w:sz w:val="24"/>
              </w:rPr>
              <w:t>m</w:t>
            </w:r>
            <w:r>
              <w:rPr>
                <w:color w:val="auto"/>
                <w:sz w:val="24"/>
                <w:vertAlign w:val="superscript"/>
              </w:rPr>
              <w:t>3</w:t>
            </w:r>
            <w:r>
              <w:rPr>
                <w:color w:val="auto"/>
                <w:sz w:val="24"/>
              </w:rPr>
              <w:t>/d</w:t>
            </w:r>
            <w:r>
              <w:rPr>
                <w:rFonts w:hint="eastAsia"/>
                <w:color w:val="auto"/>
                <w:sz w:val="24"/>
              </w:rPr>
              <w:t>（4577.4</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）。排污系数按0.8计，则生活污水产生量为</w:t>
            </w:r>
            <w:r>
              <w:rPr>
                <w:rFonts w:hint="eastAsia"/>
                <w:color w:val="auto"/>
                <w:sz w:val="24"/>
              </w:rPr>
              <w:t>12.206</w:t>
            </w:r>
            <w:r>
              <w:rPr>
                <w:color w:val="auto"/>
                <w:sz w:val="24"/>
              </w:rPr>
              <w:t>m</w:t>
            </w:r>
            <w:r>
              <w:rPr>
                <w:color w:val="auto"/>
                <w:sz w:val="24"/>
                <w:vertAlign w:val="superscript"/>
              </w:rPr>
              <w:t>3</w:t>
            </w:r>
            <w:r>
              <w:rPr>
                <w:color w:val="auto"/>
                <w:sz w:val="24"/>
              </w:rPr>
              <w:t>/d（</w:t>
            </w:r>
            <w:r>
              <w:rPr>
                <w:rFonts w:hint="eastAsia"/>
                <w:color w:val="auto"/>
                <w:sz w:val="24"/>
              </w:rPr>
              <w:t>3661.92</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w:t>
            </w:r>
            <w:r>
              <w:rPr>
                <w:rFonts w:hint="eastAsia"/>
                <w:color w:val="auto"/>
                <w:sz w:val="24"/>
              </w:rPr>
              <w:t>。</w:t>
            </w:r>
          </w:p>
          <w:p w14:paraId="0BBC3BF8">
            <w:pPr>
              <w:adjustRightInd w:val="0"/>
              <w:snapToGrid w:val="0"/>
              <w:spacing w:line="360" w:lineRule="auto"/>
              <w:ind w:firstLine="480" w:firstLineChars="200"/>
              <w:rPr>
                <w:rFonts w:ascii="宋体" w:hAnsi="宋体" w:cs="宋体"/>
                <w:color w:val="auto"/>
                <w:sz w:val="24"/>
              </w:rPr>
            </w:pPr>
            <w:r>
              <w:rPr>
                <w:rFonts w:hint="eastAsia"/>
                <w:color w:val="auto"/>
                <w:sz w:val="24"/>
              </w:rPr>
              <w:t>2）</w:t>
            </w:r>
            <w:r>
              <w:rPr>
                <w:rFonts w:hint="eastAsia" w:ascii="宋体" w:hAnsi="宋体" w:cs="宋体"/>
                <w:color w:val="auto"/>
                <w:sz w:val="24"/>
              </w:rPr>
              <w:t>粗磨、切割、精磨、成型用水</w:t>
            </w:r>
          </w:p>
          <w:p w14:paraId="48DB2254">
            <w:pPr>
              <w:adjustRightInd w:val="0"/>
              <w:snapToGrid w:val="0"/>
              <w:spacing w:line="360" w:lineRule="auto"/>
              <w:ind w:firstLine="480" w:firstLineChars="200"/>
              <w:rPr>
                <w:rFonts w:cs="宋体"/>
                <w:color w:val="auto"/>
                <w:sz w:val="24"/>
              </w:rPr>
            </w:pPr>
            <w:r>
              <w:rPr>
                <w:rFonts w:hint="eastAsia" w:cs="宋体"/>
                <w:color w:val="auto"/>
                <w:sz w:val="24"/>
              </w:rPr>
              <w:t>项目在粗磨、多线切割、倒边精磨、振动倒角（成型）共配有7个循环水池进行湿法作业和降温，水池均位于7#车间1F，粗磨、切割、精磨、成型磨废水循环使用，不外排，</w:t>
            </w:r>
            <w:r>
              <w:rPr>
                <w:rFonts w:hint="eastAsia"/>
                <w:color w:val="auto"/>
                <w:kern w:val="0"/>
                <w:sz w:val="24"/>
              </w:rPr>
              <w:t>循环水在循环和使用的过程中水会产生损耗，损耗量按3%计，定期补充新鲜水，根据建设单位提供资料，损耗本项目按3%计。</w:t>
            </w:r>
          </w:p>
          <w:p w14:paraId="4ECBF9C9">
            <w:pPr>
              <w:adjustRightInd w:val="0"/>
              <w:snapToGrid w:val="0"/>
              <w:jc w:val="center"/>
              <w:rPr>
                <w:b/>
                <w:bCs/>
                <w:snapToGrid w:val="0"/>
                <w:color w:val="auto"/>
                <w:kern w:val="0"/>
                <w:sz w:val="24"/>
              </w:rPr>
            </w:pPr>
            <w:r>
              <w:rPr>
                <w:rFonts w:hint="eastAsia"/>
                <w:b/>
                <w:bCs/>
                <w:snapToGrid w:val="0"/>
                <w:color w:val="auto"/>
                <w:kern w:val="0"/>
                <w:sz w:val="24"/>
              </w:rPr>
              <w:t>表2-</w:t>
            </w:r>
            <w:r>
              <w:rPr>
                <w:rFonts w:hint="eastAsia"/>
                <w:b/>
                <w:bCs/>
                <w:snapToGrid w:val="0"/>
                <w:color w:val="auto"/>
                <w:kern w:val="0"/>
                <w:sz w:val="24"/>
                <w:lang w:val="en-US" w:eastAsia="zh-CN"/>
              </w:rPr>
              <w:t>9</w:t>
            </w:r>
            <w:r>
              <w:rPr>
                <w:rFonts w:hint="eastAsia"/>
                <w:b/>
                <w:bCs/>
                <w:snapToGrid w:val="0"/>
                <w:color w:val="auto"/>
                <w:kern w:val="0"/>
                <w:sz w:val="24"/>
              </w:rPr>
              <w:t>项目水池用水情况表</w:t>
            </w:r>
          </w:p>
          <w:tbl>
            <w:tblPr>
              <w:tblStyle w:val="24"/>
              <w:tblW w:w="9050" w:type="dxa"/>
              <w:jc w:val="center"/>
              <w:tblLayout w:type="autofit"/>
              <w:tblCellMar>
                <w:top w:w="0" w:type="dxa"/>
                <w:left w:w="108" w:type="dxa"/>
                <w:bottom w:w="0" w:type="dxa"/>
                <w:right w:w="108" w:type="dxa"/>
              </w:tblCellMar>
            </w:tblPr>
            <w:tblGrid>
              <w:gridCol w:w="1252"/>
              <w:gridCol w:w="1730"/>
              <w:gridCol w:w="1343"/>
              <w:gridCol w:w="638"/>
              <w:gridCol w:w="1258"/>
              <w:gridCol w:w="1250"/>
              <w:gridCol w:w="1579"/>
            </w:tblGrid>
            <w:tr w14:paraId="69FC821A">
              <w:tblPrEx>
                <w:tblCellMar>
                  <w:top w:w="0" w:type="dxa"/>
                  <w:left w:w="108" w:type="dxa"/>
                  <w:bottom w:w="0" w:type="dxa"/>
                  <w:right w:w="108" w:type="dxa"/>
                </w:tblCellMar>
              </w:tblPrEx>
              <w:trPr>
                <w:trHeight w:val="260"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44F74DF2">
                  <w:pPr>
                    <w:jc w:val="center"/>
                    <w:textAlignment w:val="center"/>
                    <w:rPr>
                      <w:b/>
                      <w:bCs/>
                      <w:color w:val="auto"/>
                      <w:szCs w:val="21"/>
                    </w:rPr>
                  </w:pPr>
                  <w:r>
                    <w:rPr>
                      <w:rFonts w:hint="eastAsia"/>
                      <w:b/>
                      <w:bCs/>
                      <w:color w:val="auto"/>
                      <w:kern w:val="0"/>
                      <w:szCs w:val="21"/>
                      <w:lang w:bidi="ar"/>
                    </w:rPr>
                    <w:t>名称</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46E7062F">
                  <w:pPr>
                    <w:jc w:val="center"/>
                    <w:textAlignment w:val="center"/>
                    <w:rPr>
                      <w:b/>
                      <w:bCs/>
                      <w:color w:val="auto"/>
                      <w:szCs w:val="21"/>
                    </w:rPr>
                  </w:pPr>
                  <w:r>
                    <w:rPr>
                      <w:rFonts w:hint="eastAsia"/>
                      <w:b/>
                      <w:bCs/>
                      <w:color w:val="auto"/>
                      <w:kern w:val="0"/>
                      <w:szCs w:val="21"/>
                      <w:lang w:bidi="ar"/>
                    </w:rPr>
                    <w:t>水池尺寸</w:t>
                  </w:r>
                </w:p>
              </w:tc>
              <w:tc>
                <w:tcPr>
                  <w:tcW w:w="760" w:type="pct"/>
                  <w:tcBorders>
                    <w:top w:val="single" w:color="000000" w:sz="4" w:space="0"/>
                    <w:left w:val="single" w:color="000000" w:sz="4" w:space="0"/>
                    <w:bottom w:val="single" w:color="000000" w:sz="4" w:space="0"/>
                    <w:right w:val="single" w:color="auto" w:sz="4" w:space="0"/>
                  </w:tcBorders>
                  <w:vAlign w:val="center"/>
                </w:tcPr>
                <w:p w14:paraId="231B1466">
                  <w:pPr>
                    <w:jc w:val="center"/>
                    <w:textAlignment w:val="center"/>
                    <w:rPr>
                      <w:b/>
                      <w:bCs/>
                      <w:color w:val="auto"/>
                      <w:szCs w:val="21"/>
                    </w:rPr>
                  </w:pPr>
                  <w:r>
                    <w:rPr>
                      <w:rFonts w:hint="eastAsia"/>
                      <w:b/>
                      <w:bCs/>
                      <w:color w:val="auto"/>
                      <w:kern w:val="0"/>
                      <w:szCs w:val="21"/>
                      <w:lang w:bidi="ar"/>
                    </w:rPr>
                    <w:t>单个水池的有效容积</w:t>
                  </w:r>
                  <w:r>
                    <w:rPr>
                      <w:rFonts w:hint="eastAsia"/>
                      <w:color w:val="auto"/>
                      <w:szCs w:val="21"/>
                    </w:rPr>
                    <w:t>m</w:t>
                  </w:r>
                  <w:r>
                    <w:rPr>
                      <w:rFonts w:hint="eastAsia"/>
                      <w:color w:val="auto"/>
                      <w:szCs w:val="21"/>
                      <w:vertAlign w:val="superscript"/>
                    </w:rPr>
                    <w:t>3</w:t>
                  </w:r>
                </w:p>
              </w:tc>
              <w:tc>
                <w:tcPr>
                  <w:tcW w:w="244" w:type="pct"/>
                  <w:tcBorders>
                    <w:top w:val="single" w:color="auto" w:sz="4" w:space="0"/>
                    <w:left w:val="single" w:color="auto" w:sz="4" w:space="0"/>
                    <w:bottom w:val="single" w:color="auto" w:sz="4" w:space="0"/>
                    <w:right w:val="single" w:color="auto" w:sz="4" w:space="0"/>
                  </w:tcBorders>
                  <w:noWrap/>
                  <w:vAlign w:val="center"/>
                </w:tcPr>
                <w:p w14:paraId="317BBBE9">
                  <w:pPr>
                    <w:jc w:val="center"/>
                    <w:textAlignment w:val="center"/>
                    <w:rPr>
                      <w:b/>
                      <w:bCs/>
                      <w:color w:val="auto"/>
                      <w:szCs w:val="21"/>
                    </w:rPr>
                  </w:pPr>
                  <w:r>
                    <w:rPr>
                      <w:rFonts w:hint="eastAsia"/>
                      <w:b/>
                      <w:bCs/>
                      <w:color w:val="auto"/>
                      <w:kern w:val="0"/>
                      <w:szCs w:val="21"/>
                      <w:lang w:bidi="ar"/>
                    </w:rPr>
                    <w:t>个数</w:t>
                  </w:r>
                </w:p>
              </w:tc>
              <w:tc>
                <w:tcPr>
                  <w:tcW w:w="710" w:type="pct"/>
                  <w:tcBorders>
                    <w:top w:val="single" w:color="000000" w:sz="4" w:space="0"/>
                    <w:left w:val="single" w:color="000000" w:sz="4" w:space="0"/>
                    <w:bottom w:val="single" w:color="000000" w:sz="4" w:space="0"/>
                    <w:right w:val="single" w:color="000000" w:sz="4" w:space="0"/>
                  </w:tcBorders>
                  <w:vAlign w:val="center"/>
                </w:tcPr>
                <w:p w14:paraId="3B1E2B91">
                  <w:pPr>
                    <w:jc w:val="center"/>
                    <w:textAlignment w:val="center"/>
                    <w:rPr>
                      <w:rFonts w:hint="default" w:eastAsia="宋体"/>
                      <w:b/>
                      <w:bCs/>
                      <w:color w:val="auto"/>
                      <w:kern w:val="0"/>
                      <w:szCs w:val="21"/>
                      <w:lang w:val="en-US" w:eastAsia="zh-CN" w:bidi="ar"/>
                    </w:rPr>
                  </w:pPr>
                  <w:r>
                    <w:rPr>
                      <w:rFonts w:hint="eastAsia"/>
                      <w:b/>
                      <w:bCs/>
                      <w:color w:val="auto"/>
                      <w:kern w:val="0"/>
                      <w:szCs w:val="21"/>
                      <w:lang w:bidi="ar"/>
                    </w:rPr>
                    <w:t>水池总有效容积</w:t>
                  </w:r>
                  <w:r>
                    <w:rPr>
                      <w:rFonts w:hint="eastAsia"/>
                      <w:b/>
                      <w:bCs/>
                      <w:color w:val="auto"/>
                      <w:kern w:val="0"/>
                      <w:szCs w:val="21"/>
                      <w:lang w:val="en-US" w:eastAsia="zh-CN" w:bidi="ar"/>
                    </w:rPr>
                    <w:t>m</w:t>
                  </w:r>
                  <w:r>
                    <w:rPr>
                      <w:rFonts w:hint="eastAsia"/>
                      <w:b/>
                      <w:bCs/>
                      <w:color w:val="auto"/>
                      <w:kern w:val="0"/>
                      <w:szCs w:val="21"/>
                      <w:vertAlign w:val="superscript"/>
                      <w:lang w:val="en-US" w:eastAsia="zh-CN" w:bidi="ar"/>
                    </w:rPr>
                    <w:t>3</w:t>
                  </w:r>
                </w:p>
              </w:tc>
              <w:tc>
                <w:tcPr>
                  <w:tcW w:w="708" w:type="pct"/>
                  <w:tcBorders>
                    <w:top w:val="single" w:color="000000" w:sz="4" w:space="0"/>
                    <w:left w:val="single" w:color="000000" w:sz="4" w:space="0"/>
                    <w:bottom w:val="single" w:color="000000" w:sz="4" w:space="0"/>
                    <w:right w:val="single" w:color="000000" w:sz="4" w:space="0"/>
                  </w:tcBorders>
                  <w:vAlign w:val="center"/>
                </w:tcPr>
                <w:p w14:paraId="7039A14B">
                  <w:pPr>
                    <w:jc w:val="center"/>
                    <w:textAlignment w:val="center"/>
                    <w:rPr>
                      <w:b/>
                      <w:bCs/>
                      <w:color w:val="auto"/>
                      <w:kern w:val="0"/>
                      <w:szCs w:val="21"/>
                      <w:lang w:bidi="ar"/>
                    </w:rPr>
                  </w:pPr>
                  <w:r>
                    <w:rPr>
                      <w:rFonts w:hint="eastAsia"/>
                      <w:b/>
                      <w:bCs/>
                      <w:color w:val="auto"/>
                      <w:kern w:val="0"/>
                      <w:szCs w:val="21"/>
                      <w:lang w:bidi="ar"/>
                    </w:rPr>
                    <w:t>补充蒸发损耗量（</w:t>
                  </w:r>
                  <w:r>
                    <w:rPr>
                      <w:b/>
                      <w:bCs/>
                      <w:color w:val="auto"/>
                      <w:kern w:val="0"/>
                      <w:szCs w:val="21"/>
                      <w:lang w:bidi="ar"/>
                    </w:rPr>
                    <w:t>m</w:t>
                  </w:r>
                  <w:r>
                    <w:rPr>
                      <w:b/>
                      <w:bCs/>
                      <w:color w:val="auto"/>
                      <w:kern w:val="0"/>
                      <w:szCs w:val="21"/>
                      <w:vertAlign w:val="superscript"/>
                      <w:lang w:bidi="ar"/>
                    </w:rPr>
                    <w:t>3</w:t>
                  </w:r>
                  <w:r>
                    <w:rPr>
                      <w:b/>
                      <w:bCs/>
                      <w:color w:val="auto"/>
                      <w:kern w:val="0"/>
                      <w:szCs w:val="21"/>
                      <w:lang w:bidi="ar"/>
                    </w:rPr>
                    <w:t>/</w:t>
                  </w:r>
                  <w:r>
                    <w:rPr>
                      <w:rFonts w:hint="eastAsia"/>
                      <w:b/>
                      <w:bCs/>
                      <w:color w:val="auto"/>
                      <w:kern w:val="0"/>
                      <w:szCs w:val="21"/>
                      <w:lang w:bidi="ar"/>
                    </w:rPr>
                    <w:t>d）</w:t>
                  </w:r>
                </w:p>
              </w:tc>
              <w:tc>
                <w:tcPr>
                  <w:tcW w:w="890" w:type="pct"/>
                  <w:tcBorders>
                    <w:top w:val="single" w:color="000000" w:sz="4" w:space="0"/>
                    <w:left w:val="single" w:color="000000" w:sz="4" w:space="0"/>
                    <w:bottom w:val="single" w:color="000000" w:sz="4" w:space="0"/>
                    <w:right w:val="single" w:color="000000" w:sz="4" w:space="0"/>
                  </w:tcBorders>
                  <w:vAlign w:val="center"/>
                </w:tcPr>
                <w:p w14:paraId="7F25AE18">
                  <w:pPr>
                    <w:jc w:val="center"/>
                    <w:textAlignment w:val="center"/>
                    <w:rPr>
                      <w:b/>
                      <w:bCs/>
                      <w:color w:val="auto"/>
                      <w:szCs w:val="21"/>
                    </w:rPr>
                  </w:pPr>
                  <w:r>
                    <w:rPr>
                      <w:rFonts w:hint="eastAsia"/>
                      <w:b/>
                      <w:bCs/>
                      <w:color w:val="auto"/>
                      <w:kern w:val="0"/>
                      <w:szCs w:val="21"/>
                      <w:lang w:bidi="ar"/>
                    </w:rPr>
                    <w:t>补充蒸发损耗量（</w:t>
                  </w:r>
                  <w:r>
                    <w:rPr>
                      <w:b/>
                      <w:bCs/>
                      <w:color w:val="auto"/>
                      <w:kern w:val="0"/>
                      <w:szCs w:val="21"/>
                      <w:lang w:bidi="ar"/>
                    </w:rPr>
                    <w:t>m</w:t>
                  </w:r>
                  <w:r>
                    <w:rPr>
                      <w:b/>
                      <w:bCs/>
                      <w:color w:val="auto"/>
                      <w:kern w:val="0"/>
                      <w:szCs w:val="21"/>
                      <w:vertAlign w:val="superscript"/>
                      <w:lang w:bidi="ar"/>
                    </w:rPr>
                    <w:t>3</w:t>
                  </w:r>
                  <w:r>
                    <w:rPr>
                      <w:b/>
                      <w:bCs/>
                      <w:color w:val="auto"/>
                      <w:kern w:val="0"/>
                      <w:szCs w:val="21"/>
                      <w:lang w:bidi="ar"/>
                    </w:rPr>
                    <w:t>/a</w:t>
                  </w:r>
                  <w:r>
                    <w:rPr>
                      <w:rFonts w:hint="eastAsia"/>
                      <w:b/>
                      <w:bCs/>
                      <w:color w:val="auto"/>
                      <w:kern w:val="0"/>
                      <w:szCs w:val="21"/>
                      <w:lang w:bidi="ar"/>
                    </w:rPr>
                    <w:t>）</w:t>
                  </w:r>
                </w:p>
              </w:tc>
            </w:tr>
            <w:tr w14:paraId="01A52586">
              <w:tblPrEx>
                <w:tblCellMar>
                  <w:top w:w="0" w:type="dxa"/>
                  <w:left w:w="108" w:type="dxa"/>
                  <w:bottom w:w="0" w:type="dxa"/>
                  <w:right w:w="108" w:type="dxa"/>
                </w:tblCellMar>
              </w:tblPrEx>
              <w:trPr>
                <w:trHeight w:val="191"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080843A">
                  <w:pPr>
                    <w:jc w:val="center"/>
                    <w:textAlignment w:val="center"/>
                    <w:rPr>
                      <w:color w:val="auto"/>
                      <w:szCs w:val="21"/>
                    </w:rPr>
                  </w:pPr>
                  <w:r>
                    <w:rPr>
                      <w:rFonts w:hint="eastAsia"/>
                      <w:color w:val="auto"/>
                      <w:szCs w:val="21"/>
                    </w:rPr>
                    <w:t>粗磨水池1</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7EEFCFAF">
                  <w:pPr>
                    <w:jc w:val="center"/>
                    <w:textAlignment w:val="center"/>
                    <w:rPr>
                      <w:color w:val="auto"/>
                      <w:szCs w:val="21"/>
                    </w:rPr>
                  </w:pPr>
                  <w:r>
                    <w:rPr>
                      <w:rFonts w:hint="eastAsia"/>
                      <w:color w:val="auto"/>
                      <w:szCs w:val="21"/>
                    </w:rPr>
                    <w:t>3.05m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67FB6863">
                  <w:pPr>
                    <w:widowControl/>
                    <w:jc w:val="center"/>
                    <w:textAlignment w:val="center"/>
                    <w:rPr>
                      <w:color w:val="auto"/>
                      <w:szCs w:val="21"/>
                    </w:rPr>
                  </w:pPr>
                  <w:r>
                    <w:rPr>
                      <w:color w:val="auto"/>
                      <w:kern w:val="0"/>
                      <w:szCs w:val="21"/>
                      <w:lang w:bidi="ar"/>
                    </w:rPr>
                    <w:t>64.05</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708E37D2">
                  <w:pPr>
                    <w:widowControl/>
                    <w:jc w:val="center"/>
                    <w:textAlignment w:val="center"/>
                    <w:rPr>
                      <w:color w:val="auto"/>
                      <w:szCs w:val="21"/>
                    </w:rPr>
                  </w:pPr>
                  <w:r>
                    <w:rPr>
                      <w:color w:val="auto"/>
                      <w:kern w:val="0"/>
                      <w:szCs w:val="21"/>
                      <w:lang w:bidi="ar"/>
                    </w:rPr>
                    <w:t>1</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AC69">
                  <w:pPr>
                    <w:jc w:val="center"/>
                    <w:rPr>
                      <w:color w:val="auto"/>
                    </w:rPr>
                  </w:pPr>
                  <w:r>
                    <w:rPr>
                      <w:color w:val="auto"/>
                    </w:rPr>
                    <w:t>64.05</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02F391E8">
                  <w:pPr>
                    <w:jc w:val="center"/>
                    <w:rPr>
                      <w:color w:val="auto"/>
                    </w:rPr>
                  </w:pPr>
                  <w:r>
                    <w:rPr>
                      <w:rFonts w:hint="eastAsia"/>
                      <w:color w:val="auto"/>
                    </w:rPr>
                    <w:t>1.922</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7C08771E">
                  <w:pPr>
                    <w:jc w:val="center"/>
                    <w:rPr>
                      <w:color w:val="auto"/>
                    </w:rPr>
                  </w:pPr>
                  <w:r>
                    <w:rPr>
                      <w:color w:val="auto"/>
                    </w:rPr>
                    <w:t>576.45</w:t>
                  </w:r>
                </w:p>
              </w:tc>
            </w:tr>
            <w:tr w14:paraId="050C5C1F">
              <w:tblPrEx>
                <w:tblCellMar>
                  <w:top w:w="0" w:type="dxa"/>
                  <w:left w:w="108" w:type="dxa"/>
                  <w:bottom w:w="0" w:type="dxa"/>
                  <w:right w:w="108" w:type="dxa"/>
                </w:tblCellMar>
              </w:tblPrEx>
              <w:trPr>
                <w:trHeight w:val="261"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061FBDE9">
                  <w:pPr>
                    <w:jc w:val="center"/>
                    <w:textAlignment w:val="center"/>
                    <w:rPr>
                      <w:color w:val="auto"/>
                      <w:kern w:val="0"/>
                      <w:szCs w:val="21"/>
                      <w:lang w:bidi="ar"/>
                    </w:rPr>
                  </w:pPr>
                  <w:r>
                    <w:rPr>
                      <w:rFonts w:hint="eastAsia"/>
                      <w:color w:val="auto"/>
                      <w:szCs w:val="21"/>
                    </w:rPr>
                    <w:t>粗磨水池2</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1DFAFBBF">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6CF4015C">
                  <w:pPr>
                    <w:widowControl/>
                    <w:jc w:val="center"/>
                    <w:textAlignment w:val="center"/>
                    <w:rPr>
                      <w:color w:val="auto"/>
                      <w:szCs w:val="21"/>
                    </w:rPr>
                  </w:pPr>
                  <w:r>
                    <w:rPr>
                      <w:color w:val="auto"/>
                      <w:kern w:val="0"/>
                      <w:szCs w:val="21"/>
                      <w:lang w:bidi="ar"/>
                    </w:rPr>
                    <w:t>60.9</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46EB06DB">
                  <w:pPr>
                    <w:widowControl/>
                    <w:jc w:val="center"/>
                    <w:textAlignment w:val="center"/>
                    <w:rPr>
                      <w:color w:val="auto"/>
                      <w:szCs w:val="21"/>
                    </w:rPr>
                  </w:pPr>
                  <w:r>
                    <w:rPr>
                      <w:color w:val="auto"/>
                      <w:kern w:val="0"/>
                      <w:szCs w:val="21"/>
                      <w:lang w:bidi="ar"/>
                    </w:rPr>
                    <w:t>1</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E2B1">
                  <w:pPr>
                    <w:jc w:val="center"/>
                    <w:rPr>
                      <w:color w:val="auto"/>
                    </w:rPr>
                  </w:pPr>
                  <w:r>
                    <w:rPr>
                      <w:color w:val="auto"/>
                    </w:rPr>
                    <w:t>60.9</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0B14393F">
                  <w:pPr>
                    <w:jc w:val="center"/>
                    <w:rPr>
                      <w:color w:val="auto"/>
                    </w:rPr>
                  </w:pPr>
                  <w:r>
                    <w:rPr>
                      <w:rFonts w:hint="eastAsia"/>
                      <w:color w:val="auto"/>
                    </w:rPr>
                    <w:t>1.827</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0A93430D">
                  <w:pPr>
                    <w:jc w:val="center"/>
                    <w:rPr>
                      <w:color w:val="auto"/>
                    </w:rPr>
                  </w:pPr>
                  <w:r>
                    <w:rPr>
                      <w:color w:val="auto"/>
                    </w:rPr>
                    <w:t>548.1</w:t>
                  </w:r>
                </w:p>
              </w:tc>
            </w:tr>
            <w:tr w14:paraId="63F664B4">
              <w:tblPrEx>
                <w:tblCellMar>
                  <w:top w:w="0" w:type="dxa"/>
                  <w:left w:w="108" w:type="dxa"/>
                  <w:bottom w:w="0" w:type="dxa"/>
                  <w:right w:w="108" w:type="dxa"/>
                </w:tblCellMar>
              </w:tblPrEx>
              <w:trPr>
                <w:trHeight w:val="215"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4B7EB3A4">
                  <w:pPr>
                    <w:jc w:val="center"/>
                    <w:textAlignment w:val="center"/>
                    <w:rPr>
                      <w:color w:val="auto"/>
                      <w:kern w:val="0"/>
                      <w:szCs w:val="21"/>
                      <w:lang w:bidi="ar"/>
                    </w:rPr>
                  </w:pPr>
                  <w:r>
                    <w:rPr>
                      <w:rFonts w:hint="eastAsia"/>
                      <w:color w:val="auto"/>
                      <w:kern w:val="0"/>
                      <w:szCs w:val="21"/>
                      <w:lang w:bidi="ar"/>
                    </w:rPr>
                    <w:t>多线水池</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7423A597">
                  <w:pPr>
                    <w:jc w:val="center"/>
                    <w:textAlignment w:val="center"/>
                    <w:rPr>
                      <w:color w:val="auto"/>
                      <w:szCs w:val="21"/>
                    </w:rPr>
                  </w:pPr>
                  <w:r>
                    <w:rPr>
                      <w:rFonts w:hint="eastAsia"/>
                      <w:color w:val="auto"/>
                      <w:szCs w:val="21"/>
                    </w:rPr>
                    <w:t>3.6m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3376D1EE">
                  <w:pPr>
                    <w:widowControl/>
                    <w:jc w:val="center"/>
                    <w:textAlignment w:val="center"/>
                    <w:rPr>
                      <w:color w:val="auto"/>
                      <w:szCs w:val="21"/>
                    </w:rPr>
                  </w:pPr>
                  <w:r>
                    <w:rPr>
                      <w:color w:val="auto"/>
                      <w:kern w:val="0"/>
                      <w:szCs w:val="21"/>
                      <w:lang w:bidi="ar"/>
                    </w:rPr>
                    <w:t>75.6</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58008154">
                  <w:pPr>
                    <w:widowControl/>
                    <w:jc w:val="center"/>
                    <w:textAlignment w:val="center"/>
                    <w:rPr>
                      <w:color w:val="auto"/>
                      <w:szCs w:val="21"/>
                    </w:rPr>
                  </w:pPr>
                  <w:r>
                    <w:rPr>
                      <w:color w:val="auto"/>
                      <w:kern w:val="0"/>
                      <w:szCs w:val="21"/>
                      <w:lang w:bidi="ar"/>
                    </w:rPr>
                    <w:t>3</w:t>
                  </w:r>
                </w:p>
              </w:tc>
              <w:tc>
                <w:tcPr>
                  <w:tcW w:w="710" w:type="pct"/>
                  <w:tcBorders>
                    <w:top w:val="single" w:color="000000" w:sz="4" w:space="0"/>
                    <w:left w:val="single" w:color="000000" w:sz="4" w:space="0"/>
                    <w:bottom w:val="single" w:color="000000" w:sz="4" w:space="0"/>
                    <w:right w:val="single" w:color="000000" w:sz="4" w:space="0"/>
                  </w:tcBorders>
                  <w:noWrap/>
                  <w:vAlign w:val="center"/>
                </w:tcPr>
                <w:p w14:paraId="75960A4C">
                  <w:pPr>
                    <w:jc w:val="center"/>
                    <w:rPr>
                      <w:color w:val="auto"/>
                    </w:rPr>
                  </w:pPr>
                  <w:r>
                    <w:rPr>
                      <w:color w:val="auto"/>
                    </w:rPr>
                    <w:t>226.8</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21C38FD9">
                  <w:pPr>
                    <w:jc w:val="center"/>
                    <w:rPr>
                      <w:color w:val="auto"/>
                    </w:rPr>
                  </w:pPr>
                  <w:r>
                    <w:rPr>
                      <w:rFonts w:hint="eastAsia"/>
                      <w:color w:val="auto"/>
                    </w:rPr>
                    <w:t>6.804</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387E1AED">
                  <w:pPr>
                    <w:jc w:val="center"/>
                    <w:rPr>
                      <w:color w:val="auto"/>
                    </w:rPr>
                  </w:pPr>
                  <w:r>
                    <w:rPr>
                      <w:color w:val="auto"/>
                    </w:rPr>
                    <w:t>2041.2</w:t>
                  </w:r>
                </w:p>
              </w:tc>
            </w:tr>
            <w:tr w14:paraId="4CFE880D">
              <w:tblPrEx>
                <w:tblCellMar>
                  <w:top w:w="0" w:type="dxa"/>
                  <w:left w:w="108" w:type="dxa"/>
                  <w:bottom w:w="0" w:type="dxa"/>
                  <w:right w:w="108" w:type="dxa"/>
                </w:tblCellMar>
              </w:tblPrEx>
              <w:trPr>
                <w:trHeight w:val="173"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392DB6E0">
                  <w:pPr>
                    <w:jc w:val="center"/>
                    <w:textAlignment w:val="center"/>
                    <w:rPr>
                      <w:color w:val="auto"/>
                      <w:kern w:val="0"/>
                      <w:szCs w:val="21"/>
                      <w:lang w:bidi="ar"/>
                    </w:rPr>
                  </w:pPr>
                  <w:r>
                    <w:rPr>
                      <w:rFonts w:hint="eastAsia"/>
                      <w:color w:val="auto"/>
                      <w:kern w:val="0"/>
                      <w:szCs w:val="21"/>
                      <w:lang w:bidi="ar"/>
                    </w:rPr>
                    <w:t>渗前水池</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312A5215">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01A026F2">
                  <w:pPr>
                    <w:widowControl/>
                    <w:jc w:val="center"/>
                    <w:textAlignment w:val="center"/>
                    <w:rPr>
                      <w:color w:val="auto"/>
                      <w:szCs w:val="21"/>
                    </w:rPr>
                  </w:pPr>
                  <w:r>
                    <w:rPr>
                      <w:color w:val="auto"/>
                      <w:kern w:val="0"/>
                      <w:szCs w:val="21"/>
                      <w:lang w:bidi="ar"/>
                    </w:rPr>
                    <w:t>60.9</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6A17BB2C">
                  <w:pPr>
                    <w:widowControl/>
                    <w:jc w:val="center"/>
                    <w:textAlignment w:val="center"/>
                    <w:rPr>
                      <w:color w:val="auto"/>
                      <w:szCs w:val="21"/>
                    </w:rPr>
                  </w:pPr>
                  <w:r>
                    <w:rPr>
                      <w:color w:val="auto"/>
                      <w:kern w:val="0"/>
                      <w:szCs w:val="21"/>
                      <w:lang w:bidi="ar"/>
                    </w:rPr>
                    <w:t>2</w:t>
                  </w:r>
                </w:p>
              </w:tc>
              <w:tc>
                <w:tcPr>
                  <w:tcW w:w="710" w:type="pct"/>
                  <w:tcBorders>
                    <w:top w:val="single" w:color="000000" w:sz="4" w:space="0"/>
                    <w:left w:val="single" w:color="000000" w:sz="4" w:space="0"/>
                    <w:bottom w:val="single" w:color="000000" w:sz="4" w:space="0"/>
                    <w:right w:val="single" w:color="000000" w:sz="4" w:space="0"/>
                  </w:tcBorders>
                  <w:noWrap/>
                  <w:vAlign w:val="center"/>
                </w:tcPr>
                <w:p w14:paraId="768ACEC9">
                  <w:pPr>
                    <w:jc w:val="center"/>
                    <w:rPr>
                      <w:color w:val="auto"/>
                    </w:rPr>
                  </w:pPr>
                  <w:r>
                    <w:rPr>
                      <w:color w:val="auto"/>
                    </w:rPr>
                    <w:t>121.8</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1297C458">
                  <w:pPr>
                    <w:jc w:val="center"/>
                    <w:rPr>
                      <w:color w:val="auto"/>
                    </w:rPr>
                  </w:pPr>
                  <w:r>
                    <w:rPr>
                      <w:rFonts w:hint="eastAsia"/>
                      <w:color w:val="auto"/>
                    </w:rPr>
                    <w:t>3.654</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00B03A10">
                  <w:pPr>
                    <w:jc w:val="center"/>
                    <w:rPr>
                      <w:color w:val="auto"/>
                    </w:rPr>
                  </w:pPr>
                  <w:r>
                    <w:rPr>
                      <w:color w:val="auto"/>
                    </w:rPr>
                    <w:t>1096.2</w:t>
                  </w:r>
                </w:p>
              </w:tc>
            </w:tr>
            <w:tr w14:paraId="5A1ED842">
              <w:tblPrEx>
                <w:tblCellMar>
                  <w:top w:w="0" w:type="dxa"/>
                  <w:left w:w="108" w:type="dxa"/>
                  <w:bottom w:w="0" w:type="dxa"/>
                  <w:right w:w="108" w:type="dxa"/>
                </w:tblCellMar>
              </w:tblPrEx>
              <w:trPr>
                <w:trHeight w:val="295"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388A846D">
                  <w:pPr>
                    <w:jc w:val="center"/>
                    <w:textAlignment w:val="center"/>
                    <w:rPr>
                      <w:color w:val="auto"/>
                      <w:kern w:val="0"/>
                      <w:szCs w:val="21"/>
                      <w:lang w:bidi="ar"/>
                    </w:rPr>
                  </w:pPr>
                  <w:r>
                    <w:rPr>
                      <w:rFonts w:hint="eastAsia"/>
                      <w:color w:val="auto"/>
                      <w:kern w:val="0"/>
                      <w:szCs w:val="21"/>
                      <w:lang w:bidi="ar"/>
                    </w:rPr>
                    <w:t>渗后水池</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5BE064F2">
                  <w:pPr>
                    <w:jc w:val="center"/>
                    <w:textAlignment w:val="center"/>
                    <w:rPr>
                      <w:color w:val="auto"/>
                      <w:szCs w:val="21"/>
                    </w:rPr>
                  </w:pPr>
                  <w:r>
                    <w:rPr>
                      <w:rFonts w:hint="eastAsia"/>
                      <w:color w:val="auto"/>
                      <w:szCs w:val="21"/>
                    </w:rPr>
                    <w:t>3.1m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157E478D">
                  <w:pPr>
                    <w:widowControl/>
                    <w:jc w:val="center"/>
                    <w:textAlignment w:val="center"/>
                    <w:rPr>
                      <w:color w:val="auto"/>
                      <w:szCs w:val="21"/>
                    </w:rPr>
                  </w:pPr>
                  <w:r>
                    <w:rPr>
                      <w:color w:val="auto"/>
                      <w:kern w:val="0"/>
                      <w:szCs w:val="21"/>
                      <w:lang w:bidi="ar"/>
                    </w:rPr>
                    <w:t>65.1</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3863CF2B">
                  <w:pPr>
                    <w:widowControl/>
                    <w:jc w:val="center"/>
                    <w:textAlignment w:val="center"/>
                    <w:rPr>
                      <w:color w:val="auto"/>
                      <w:szCs w:val="21"/>
                    </w:rPr>
                  </w:pPr>
                  <w:r>
                    <w:rPr>
                      <w:color w:val="auto"/>
                      <w:kern w:val="0"/>
                      <w:szCs w:val="21"/>
                      <w:lang w:bidi="ar"/>
                    </w:rPr>
                    <w:t>2</w:t>
                  </w:r>
                </w:p>
              </w:tc>
              <w:tc>
                <w:tcPr>
                  <w:tcW w:w="710" w:type="pct"/>
                  <w:tcBorders>
                    <w:top w:val="single" w:color="000000" w:sz="4" w:space="0"/>
                    <w:left w:val="single" w:color="000000" w:sz="4" w:space="0"/>
                    <w:bottom w:val="single" w:color="000000" w:sz="4" w:space="0"/>
                    <w:right w:val="single" w:color="000000" w:sz="4" w:space="0"/>
                  </w:tcBorders>
                  <w:noWrap/>
                  <w:vAlign w:val="center"/>
                </w:tcPr>
                <w:p w14:paraId="1197D6AA">
                  <w:pPr>
                    <w:jc w:val="center"/>
                    <w:rPr>
                      <w:color w:val="auto"/>
                    </w:rPr>
                  </w:pPr>
                  <w:r>
                    <w:rPr>
                      <w:color w:val="auto"/>
                    </w:rPr>
                    <w:t>130.2</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6CD96995">
                  <w:pPr>
                    <w:jc w:val="center"/>
                    <w:rPr>
                      <w:color w:val="auto"/>
                    </w:rPr>
                  </w:pPr>
                  <w:r>
                    <w:rPr>
                      <w:rFonts w:hint="eastAsia"/>
                      <w:color w:val="auto"/>
                    </w:rPr>
                    <w:t>3.906</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0BA73CEC">
                  <w:pPr>
                    <w:jc w:val="center"/>
                    <w:rPr>
                      <w:color w:val="auto"/>
                    </w:rPr>
                  </w:pPr>
                  <w:r>
                    <w:rPr>
                      <w:color w:val="auto"/>
                    </w:rPr>
                    <w:t>1171.8</w:t>
                  </w:r>
                </w:p>
              </w:tc>
            </w:tr>
            <w:tr w14:paraId="5207E8A5">
              <w:tblPrEx>
                <w:tblCellMar>
                  <w:top w:w="0" w:type="dxa"/>
                  <w:left w:w="108" w:type="dxa"/>
                  <w:bottom w:w="0" w:type="dxa"/>
                  <w:right w:w="108" w:type="dxa"/>
                </w:tblCellMar>
              </w:tblPrEx>
              <w:trPr>
                <w:trHeight w:val="323"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14E639AF">
                  <w:pPr>
                    <w:jc w:val="center"/>
                    <w:textAlignment w:val="center"/>
                    <w:rPr>
                      <w:color w:val="auto"/>
                      <w:kern w:val="0"/>
                      <w:szCs w:val="21"/>
                      <w:lang w:bidi="ar"/>
                    </w:rPr>
                  </w:pPr>
                  <w:r>
                    <w:rPr>
                      <w:rFonts w:hint="eastAsia"/>
                      <w:color w:val="auto"/>
                      <w:kern w:val="0"/>
                      <w:szCs w:val="21"/>
                      <w:lang w:bidi="ar"/>
                    </w:rPr>
                    <w:t>成型磨水池1</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12D1">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4AAD1C11">
                  <w:pPr>
                    <w:widowControl/>
                    <w:jc w:val="center"/>
                    <w:textAlignment w:val="center"/>
                    <w:rPr>
                      <w:color w:val="auto"/>
                      <w:szCs w:val="21"/>
                    </w:rPr>
                  </w:pPr>
                  <w:r>
                    <w:rPr>
                      <w:color w:val="auto"/>
                      <w:kern w:val="0"/>
                      <w:szCs w:val="21"/>
                      <w:lang w:bidi="ar"/>
                    </w:rPr>
                    <w:t>60.9</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10B26B72">
                  <w:pPr>
                    <w:widowControl/>
                    <w:jc w:val="center"/>
                    <w:textAlignment w:val="center"/>
                    <w:rPr>
                      <w:color w:val="auto"/>
                      <w:szCs w:val="21"/>
                    </w:rPr>
                  </w:pPr>
                  <w:r>
                    <w:rPr>
                      <w:color w:val="auto"/>
                      <w:kern w:val="0"/>
                      <w:szCs w:val="21"/>
                      <w:lang w:bidi="ar"/>
                    </w:rPr>
                    <w:t>1</w:t>
                  </w:r>
                </w:p>
              </w:tc>
              <w:tc>
                <w:tcPr>
                  <w:tcW w:w="710" w:type="pct"/>
                  <w:tcBorders>
                    <w:top w:val="single" w:color="000000" w:sz="4" w:space="0"/>
                    <w:left w:val="single" w:color="000000" w:sz="4" w:space="0"/>
                    <w:bottom w:val="single" w:color="000000" w:sz="4" w:space="0"/>
                    <w:right w:val="single" w:color="000000" w:sz="4" w:space="0"/>
                  </w:tcBorders>
                  <w:noWrap/>
                  <w:vAlign w:val="center"/>
                </w:tcPr>
                <w:p w14:paraId="29F00486">
                  <w:pPr>
                    <w:jc w:val="center"/>
                    <w:rPr>
                      <w:color w:val="auto"/>
                    </w:rPr>
                  </w:pPr>
                  <w:r>
                    <w:rPr>
                      <w:color w:val="auto"/>
                    </w:rPr>
                    <w:t>60.9</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17863902">
                  <w:pPr>
                    <w:jc w:val="center"/>
                    <w:rPr>
                      <w:color w:val="auto"/>
                    </w:rPr>
                  </w:pPr>
                  <w:r>
                    <w:rPr>
                      <w:rFonts w:hint="eastAsia"/>
                      <w:color w:val="auto"/>
                    </w:rPr>
                    <w:t>1.827</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60D4CA34">
                  <w:pPr>
                    <w:jc w:val="center"/>
                    <w:rPr>
                      <w:color w:val="auto"/>
                    </w:rPr>
                  </w:pPr>
                  <w:r>
                    <w:rPr>
                      <w:color w:val="auto"/>
                    </w:rPr>
                    <w:t>548.1</w:t>
                  </w:r>
                </w:p>
              </w:tc>
            </w:tr>
            <w:tr w14:paraId="5C4757C7">
              <w:tblPrEx>
                <w:tblCellMar>
                  <w:top w:w="0" w:type="dxa"/>
                  <w:left w:w="108" w:type="dxa"/>
                  <w:bottom w:w="0" w:type="dxa"/>
                  <w:right w:w="108" w:type="dxa"/>
                </w:tblCellMar>
              </w:tblPrEx>
              <w:trPr>
                <w:trHeight w:val="503"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62B4E08E">
                  <w:pPr>
                    <w:jc w:val="center"/>
                    <w:textAlignment w:val="center"/>
                    <w:rPr>
                      <w:color w:val="auto"/>
                      <w:kern w:val="0"/>
                      <w:szCs w:val="21"/>
                      <w:lang w:bidi="ar"/>
                    </w:rPr>
                  </w:pPr>
                  <w:r>
                    <w:rPr>
                      <w:rFonts w:hint="eastAsia"/>
                      <w:color w:val="auto"/>
                      <w:kern w:val="0"/>
                      <w:szCs w:val="21"/>
                      <w:lang w:bidi="ar"/>
                    </w:rPr>
                    <w:t>成型磨水池2</w:t>
                  </w:r>
                </w:p>
              </w:tc>
              <w:tc>
                <w:tcPr>
                  <w:tcW w:w="974" w:type="pct"/>
                  <w:tcBorders>
                    <w:top w:val="single" w:color="000000" w:sz="4" w:space="0"/>
                    <w:left w:val="single" w:color="000000" w:sz="4" w:space="0"/>
                    <w:bottom w:val="single" w:color="000000" w:sz="4" w:space="0"/>
                    <w:right w:val="single" w:color="000000" w:sz="4" w:space="0"/>
                  </w:tcBorders>
                  <w:noWrap/>
                  <w:vAlign w:val="center"/>
                </w:tcPr>
                <w:p w14:paraId="206F2090">
                  <w:pPr>
                    <w:jc w:val="center"/>
                    <w:textAlignment w:val="center"/>
                    <w:rPr>
                      <w:color w:val="auto"/>
                      <w:szCs w:val="21"/>
                    </w:rPr>
                  </w:pPr>
                  <w:r>
                    <w:rPr>
                      <w:rFonts w:hint="eastAsia"/>
                      <w:color w:val="auto"/>
                      <w:szCs w:val="21"/>
                    </w:rPr>
                    <w:t>2.85m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760" w:type="pct"/>
                  <w:tcBorders>
                    <w:top w:val="single" w:color="000000" w:sz="4" w:space="0"/>
                    <w:left w:val="single" w:color="000000" w:sz="4" w:space="0"/>
                    <w:bottom w:val="single" w:color="000000" w:sz="4" w:space="0"/>
                    <w:right w:val="single" w:color="000000" w:sz="4" w:space="0"/>
                  </w:tcBorders>
                  <w:vAlign w:val="center"/>
                </w:tcPr>
                <w:p w14:paraId="5AEA41EC">
                  <w:pPr>
                    <w:widowControl/>
                    <w:jc w:val="center"/>
                    <w:textAlignment w:val="center"/>
                    <w:rPr>
                      <w:color w:val="auto"/>
                      <w:szCs w:val="21"/>
                    </w:rPr>
                  </w:pPr>
                  <w:r>
                    <w:rPr>
                      <w:color w:val="auto"/>
                      <w:kern w:val="0"/>
                      <w:szCs w:val="21"/>
                      <w:lang w:bidi="ar"/>
                    </w:rPr>
                    <w:t>59.85</w:t>
                  </w:r>
                </w:p>
              </w:tc>
              <w:tc>
                <w:tcPr>
                  <w:tcW w:w="244" w:type="pct"/>
                  <w:tcBorders>
                    <w:top w:val="single" w:color="auto" w:sz="4" w:space="0"/>
                    <w:left w:val="single" w:color="000000" w:sz="4" w:space="0"/>
                    <w:bottom w:val="single" w:color="auto" w:sz="4" w:space="0"/>
                    <w:right w:val="single" w:color="000000" w:sz="4" w:space="0"/>
                  </w:tcBorders>
                  <w:noWrap/>
                  <w:vAlign w:val="center"/>
                </w:tcPr>
                <w:p w14:paraId="3748F22E">
                  <w:pPr>
                    <w:widowControl/>
                    <w:jc w:val="center"/>
                    <w:textAlignment w:val="center"/>
                    <w:rPr>
                      <w:color w:val="auto"/>
                      <w:szCs w:val="21"/>
                    </w:rPr>
                  </w:pPr>
                  <w:r>
                    <w:rPr>
                      <w:rFonts w:hint="eastAsia"/>
                      <w:color w:val="auto"/>
                      <w:kern w:val="0"/>
                      <w:szCs w:val="21"/>
                      <w:lang w:bidi="ar"/>
                    </w:rPr>
                    <w:t>1</w:t>
                  </w:r>
                </w:p>
              </w:tc>
              <w:tc>
                <w:tcPr>
                  <w:tcW w:w="710" w:type="pct"/>
                  <w:tcBorders>
                    <w:top w:val="single" w:color="000000" w:sz="4" w:space="0"/>
                    <w:left w:val="single" w:color="000000" w:sz="4" w:space="0"/>
                    <w:bottom w:val="single" w:color="000000" w:sz="4" w:space="0"/>
                    <w:right w:val="single" w:color="000000" w:sz="4" w:space="0"/>
                  </w:tcBorders>
                  <w:noWrap/>
                  <w:vAlign w:val="center"/>
                </w:tcPr>
                <w:p w14:paraId="1CC025DA">
                  <w:pPr>
                    <w:jc w:val="center"/>
                    <w:rPr>
                      <w:color w:val="auto"/>
                    </w:rPr>
                  </w:pPr>
                  <w:r>
                    <w:rPr>
                      <w:color w:val="auto"/>
                    </w:rPr>
                    <w:t>59.85</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7102FEFD">
                  <w:pPr>
                    <w:jc w:val="center"/>
                    <w:rPr>
                      <w:color w:val="auto"/>
                    </w:rPr>
                  </w:pPr>
                  <w:r>
                    <w:rPr>
                      <w:rFonts w:hint="eastAsia"/>
                      <w:color w:val="auto"/>
                    </w:rPr>
                    <w:t>1.796</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58B5E65B">
                  <w:pPr>
                    <w:jc w:val="center"/>
                    <w:rPr>
                      <w:color w:val="auto"/>
                    </w:rPr>
                  </w:pPr>
                  <w:r>
                    <w:rPr>
                      <w:color w:val="auto"/>
                    </w:rPr>
                    <w:t>538.65</w:t>
                  </w:r>
                </w:p>
              </w:tc>
            </w:tr>
            <w:tr w14:paraId="0DBBD584">
              <w:tblPrEx>
                <w:tblCellMar>
                  <w:top w:w="0" w:type="dxa"/>
                  <w:left w:w="108" w:type="dxa"/>
                  <w:bottom w:w="0" w:type="dxa"/>
                  <w:right w:w="108" w:type="dxa"/>
                </w:tblCellMar>
              </w:tblPrEx>
              <w:trPr>
                <w:trHeight w:val="149" w:hRule="atLeast"/>
                <w:jc w:val="center"/>
              </w:trPr>
              <w:tc>
                <w:tcPr>
                  <w:tcW w:w="3401" w:type="pct"/>
                  <w:gridSpan w:val="5"/>
                  <w:tcBorders>
                    <w:top w:val="single" w:color="000000" w:sz="4" w:space="0"/>
                    <w:left w:val="single" w:color="000000" w:sz="4" w:space="0"/>
                    <w:bottom w:val="single" w:color="000000" w:sz="4" w:space="0"/>
                    <w:right w:val="single" w:color="000000" w:sz="4" w:space="0"/>
                  </w:tcBorders>
                  <w:vAlign w:val="center"/>
                </w:tcPr>
                <w:p w14:paraId="59CF7221">
                  <w:pPr>
                    <w:widowControl/>
                    <w:jc w:val="center"/>
                    <w:textAlignment w:val="center"/>
                    <w:rPr>
                      <w:color w:val="auto"/>
                      <w:kern w:val="0"/>
                      <w:szCs w:val="21"/>
                      <w:lang w:bidi="ar"/>
                    </w:rPr>
                  </w:pPr>
                  <w:r>
                    <w:rPr>
                      <w:rFonts w:hint="eastAsia"/>
                      <w:color w:val="auto"/>
                      <w:kern w:val="0"/>
                      <w:szCs w:val="21"/>
                      <w:lang w:bidi="ar"/>
                    </w:rPr>
                    <w:t>合计</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14A9AE0">
                  <w:pPr>
                    <w:jc w:val="center"/>
                    <w:rPr>
                      <w:color w:val="auto"/>
                    </w:rPr>
                  </w:pPr>
                  <w:r>
                    <w:rPr>
                      <w:rFonts w:hint="eastAsia"/>
                      <w:color w:val="auto"/>
                    </w:rPr>
                    <w:t>21.735</w:t>
                  </w:r>
                </w:p>
              </w:tc>
              <w:tc>
                <w:tcPr>
                  <w:tcW w:w="890" w:type="pct"/>
                  <w:tcBorders>
                    <w:top w:val="single" w:color="000000" w:sz="4" w:space="0"/>
                    <w:left w:val="single" w:color="000000" w:sz="4" w:space="0"/>
                    <w:bottom w:val="single" w:color="000000" w:sz="4" w:space="0"/>
                    <w:right w:val="single" w:color="000000" w:sz="4" w:space="0"/>
                  </w:tcBorders>
                  <w:noWrap/>
                  <w:vAlign w:val="center"/>
                </w:tcPr>
                <w:p w14:paraId="3E937CEA">
                  <w:pPr>
                    <w:jc w:val="center"/>
                    <w:rPr>
                      <w:color w:val="auto"/>
                    </w:rPr>
                  </w:pPr>
                  <w:r>
                    <w:rPr>
                      <w:rFonts w:hint="eastAsia"/>
                      <w:color w:val="auto"/>
                    </w:rPr>
                    <w:t>6520.5</w:t>
                  </w:r>
                </w:p>
              </w:tc>
            </w:tr>
          </w:tbl>
          <w:p w14:paraId="096AE75D">
            <w:pPr>
              <w:spacing w:line="360" w:lineRule="auto"/>
              <w:ind w:firstLine="480" w:firstLineChars="200"/>
              <w:rPr>
                <w:rFonts w:hint="default" w:ascii="Times New Roman" w:hAnsi="Times New Roman" w:eastAsia="宋体" w:cs="宋体"/>
                <w:color w:val="auto"/>
                <w:sz w:val="24"/>
                <w:lang w:val="en-US" w:eastAsia="zh-CN"/>
              </w:rPr>
            </w:pPr>
            <w:r>
              <w:rPr>
                <w:rFonts w:hint="eastAsia" w:cs="宋体"/>
                <w:color w:val="auto"/>
                <w:sz w:val="24"/>
                <w:lang w:val="en-US" w:eastAsia="zh-CN"/>
              </w:rPr>
              <w:t>5</w:t>
            </w:r>
            <w:r>
              <w:rPr>
                <w:rFonts w:hint="eastAsia" w:cs="宋体"/>
                <w:color w:val="auto"/>
                <w:sz w:val="24"/>
                <w:lang w:eastAsia="zh-CN"/>
              </w:rPr>
              <w:t>）</w:t>
            </w:r>
            <w:r>
              <w:rPr>
                <w:rFonts w:hint="eastAsia" w:ascii="Times New Roman" w:hAnsi="Times New Roman" w:eastAsia="宋体" w:cs="宋体"/>
                <w:color w:val="auto"/>
                <w:sz w:val="24"/>
                <w:lang w:val="en-US" w:eastAsia="zh-CN"/>
              </w:rPr>
              <w:t>煮胶蒸汽水喷淋用水</w:t>
            </w:r>
          </w:p>
          <w:p w14:paraId="6300F71E">
            <w:pPr>
              <w:adjustRightInd w:val="0"/>
              <w:snapToGrid w:val="0"/>
              <w:spacing w:line="360" w:lineRule="auto"/>
              <w:ind w:firstLine="480" w:firstLineChars="200"/>
              <w:rPr>
                <w:rFonts w:hint="eastAsia"/>
                <w:color w:val="auto"/>
                <w:sz w:val="24"/>
                <w:lang w:val="en-US" w:eastAsia="zh-CN"/>
              </w:rPr>
            </w:pPr>
            <w:r>
              <w:rPr>
                <w:rFonts w:hint="eastAsia" w:ascii="Times New Roman" w:hAnsi="Times New Roman" w:eastAsia="宋体" w:cs="宋体"/>
                <w:color w:val="auto"/>
                <w:sz w:val="24"/>
                <w:lang w:val="en-US" w:eastAsia="zh-CN"/>
              </w:rPr>
              <w:t>本项目在煮胶采用</w:t>
            </w:r>
            <w:r>
              <w:rPr>
                <w:rFonts w:hint="eastAsia" w:ascii="Times New Roman" w:hAnsi="Times New Roman" w:eastAsia="宋体" w:cs="仿宋"/>
                <w:color w:val="auto"/>
                <w:sz w:val="24"/>
              </w:rPr>
              <w:t>蒸汽</w:t>
            </w:r>
            <w:r>
              <w:rPr>
                <w:rFonts w:hint="eastAsia" w:ascii="Times New Roman" w:hAnsi="Times New Roman" w:eastAsia="宋体" w:cs="宋体"/>
                <w:color w:val="auto"/>
                <w:sz w:val="24"/>
                <w:lang w:val="en-US" w:eastAsia="zh-CN"/>
              </w:rPr>
              <w:t>进行煮胶，同时加入片碱进行脱胶，多余</w:t>
            </w:r>
            <w:r>
              <w:rPr>
                <w:rFonts w:hint="eastAsia" w:ascii="Times New Roman" w:hAnsi="Times New Roman" w:eastAsia="宋体" w:cs="仿宋"/>
                <w:color w:val="auto"/>
                <w:sz w:val="24"/>
              </w:rPr>
              <w:t>蒸汽</w:t>
            </w:r>
            <w:r>
              <w:rPr>
                <w:rFonts w:hint="eastAsia" w:ascii="Times New Roman" w:hAnsi="Times New Roman" w:eastAsia="宋体" w:cs="宋体"/>
                <w:color w:val="auto"/>
                <w:sz w:val="24"/>
                <w:lang w:val="en-US" w:eastAsia="zh-CN"/>
              </w:rPr>
              <w:t>中含碱，项目采用风机将蒸汽引至楼顶水喷淋进行稀释处理，水喷淋配有循环水箱</w:t>
            </w:r>
            <w:r>
              <w:rPr>
                <w:rFonts w:hint="eastAsia" w:cs="宋体"/>
                <w:color w:val="auto"/>
                <w:sz w:val="24"/>
                <w:lang w:val="en-US" w:eastAsia="zh-CN"/>
              </w:rPr>
              <w:t>4</w:t>
            </w:r>
            <w:r>
              <w:rPr>
                <w:rFonts w:hint="eastAsia" w:ascii="Times New Roman" w:hAnsi="Times New Roman" w:eastAsia="宋体" w:cs="宋体"/>
                <w:color w:val="auto"/>
                <w:sz w:val="24"/>
                <w:lang w:val="en-US" w:eastAsia="zh-CN"/>
              </w:rPr>
              <w:t>m</w:t>
            </w:r>
            <w:r>
              <w:rPr>
                <w:rFonts w:hint="eastAsia" w:ascii="Times New Roman" w:hAnsi="Times New Roman" w:eastAsia="宋体" w:cs="宋体"/>
                <w:color w:val="auto"/>
                <w:sz w:val="24"/>
                <w:vertAlign w:val="superscript"/>
                <w:lang w:val="en-US" w:eastAsia="zh-CN"/>
              </w:rPr>
              <w:t>3</w:t>
            </w:r>
            <w:r>
              <w:rPr>
                <w:rFonts w:hint="eastAsia" w:ascii="Times New Roman" w:hAnsi="Times New Roman" w:eastAsia="宋体" w:cs="宋体"/>
                <w:color w:val="auto"/>
                <w:sz w:val="24"/>
                <w:vertAlign w:val="baseline"/>
                <w:lang w:val="en-US" w:eastAsia="zh-CN"/>
              </w:rPr>
              <w:t>，循环水量为</w:t>
            </w:r>
            <w:r>
              <w:rPr>
                <w:rFonts w:hint="eastAsia" w:cs="宋体"/>
                <w:color w:val="auto"/>
                <w:sz w:val="24"/>
                <w:vertAlign w:val="baseline"/>
                <w:lang w:val="en-US" w:eastAsia="zh-CN"/>
              </w:rPr>
              <w:t>4</w:t>
            </w:r>
            <w:r>
              <w:rPr>
                <w:rFonts w:hint="eastAsia" w:ascii="Times New Roman" w:hAnsi="Times New Roman" w:eastAsia="宋体" w:cs="宋体"/>
                <w:color w:val="auto"/>
                <w:sz w:val="24"/>
                <w:vertAlign w:val="baseline"/>
                <w:lang w:val="en-US" w:eastAsia="zh-CN"/>
              </w:rPr>
              <w:t>t，循环使用</w:t>
            </w:r>
            <w:r>
              <w:rPr>
                <w:rFonts w:hint="eastAsia" w:cs="宋体"/>
                <w:color w:val="auto"/>
                <w:sz w:val="24"/>
              </w:rPr>
              <w:t>，不外排</w:t>
            </w:r>
            <w:r>
              <w:rPr>
                <w:rFonts w:hint="eastAsia" w:cs="宋体"/>
                <w:color w:val="auto"/>
                <w:sz w:val="24"/>
                <w:lang w:eastAsia="zh-CN"/>
              </w:rPr>
              <w:t>；</w:t>
            </w:r>
            <w:r>
              <w:rPr>
                <w:rFonts w:hint="eastAsia"/>
                <w:color w:val="auto"/>
                <w:kern w:val="0"/>
                <w:sz w:val="24"/>
              </w:rPr>
              <w:t>在循环和使用的过程中水会产生损耗，定期补充新鲜水，</w:t>
            </w:r>
            <w:r>
              <w:rPr>
                <w:rFonts w:hint="eastAsia"/>
                <w:color w:val="auto"/>
                <w:kern w:val="0"/>
                <w:sz w:val="24"/>
                <w:lang w:val="en-US" w:eastAsia="zh-CN"/>
              </w:rPr>
              <w:t>损耗量按3%计，补充0.12t/d（36t/a）。</w:t>
            </w:r>
          </w:p>
          <w:p w14:paraId="75E475D4">
            <w:pPr>
              <w:adjustRightInd w:val="0"/>
              <w:snapToGrid w:val="0"/>
              <w:spacing w:line="360" w:lineRule="auto"/>
              <w:ind w:firstLine="480" w:firstLineChars="200"/>
              <w:rPr>
                <w:color w:val="auto"/>
                <w:sz w:val="24"/>
              </w:rPr>
            </w:pPr>
            <w:r>
              <w:rPr>
                <w:rFonts w:hint="eastAsia"/>
                <w:color w:val="auto"/>
                <w:sz w:val="24"/>
                <w:lang w:val="en-US" w:eastAsia="zh-CN"/>
              </w:rPr>
              <w:t>4</w:t>
            </w:r>
            <w:r>
              <w:rPr>
                <w:rFonts w:hint="eastAsia"/>
                <w:color w:val="auto"/>
                <w:sz w:val="24"/>
              </w:rPr>
              <w:t>）清洗废水</w:t>
            </w:r>
          </w:p>
          <w:p w14:paraId="3FCA2462">
            <w:pPr>
              <w:adjustRightInd w:val="0"/>
              <w:snapToGrid w:val="0"/>
              <w:spacing w:line="360" w:lineRule="auto"/>
              <w:ind w:firstLine="480" w:firstLineChars="200"/>
              <w:rPr>
                <w:color w:val="auto"/>
                <w:sz w:val="24"/>
              </w:rPr>
            </w:pPr>
            <w:r>
              <w:rPr>
                <w:rFonts w:hint="eastAsia"/>
                <w:color w:val="auto"/>
                <w:sz w:val="24"/>
              </w:rPr>
              <w:t>项目在清洗工序会用来水进行清洗，清洗废水循环3天后进行更换，根据建设单位提供资料，</w:t>
            </w:r>
            <w:bookmarkStart w:id="13" w:name="OLE_LINK12"/>
            <w:r>
              <w:rPr>
                <w:rFonts w:hint="eastAsia" w:cs="宋体"/>
                <w:color w:val="auto"/>
                <w:sz w:val="24"/>
                <w:lang w:val="en-US" w:eastAsia="zh-CN"/>
              </w:rPr>
              <w:t>清洗水总水量为</w:t>
            </w:r>
            <w:r>
              <w:rPr>
                <w:rFonts w:hint="eastAsia" w:cs="宋体"/>
                <w:color w:val="auto"/>
                <w:sz w:val="24"/>
              </w:rPr>
              <w:t>4吨</w:t>
            </w:r>
            <w:r>
              <w:rPr>
                <w:rFonts w:hint="eastAsia" w:cs="宋体"/>
                <w:color w:val="auto"/>
                <w:sz w:val="24"/>
                <w:lang w:eastAsia="zh-CN"/>
              </w:rPr>
              <w:t>，</w:t>
            </w:r>
            <w:r>
              <w:rPr>
                <w:rFonts w:hint="eastAsia" w:cs="宋体"/>
                <w:color w:val="auto"/>
                <w:sz w:val="24"/>
                <w:lang w:val="en-US" w:eastAsia="zh-CN"/>
              </w:rPr>
              <w:t>故</w:t>
            </w:r>
            <w:r>
              <w:rPr>
                <w:rFonts w:hint="eastAsia" w:cs="宋体"/>
                <w:color w:val="auto"/>
                <w:sz w:val="24"/>
              </w:rPr>
              <w:t>每次更换量为4吨，一年更换100次，则清洗废水产生量为400t/a（约1.333t/d）。</w:t>
            </w:r>
            <w:r>
              <w:rPr>
                <w:rFonts w:hint="eastAsia"/>
                <w:color w:val="auto"/>
                <w:sz w:val="24"/>
              </w:rPr>
              <w:t>损耗量按</w:t>
            </w:r>
            <w:r>
              <w:rPr>
                <w:rFonts w:hint="eastAsia"/>
                <w:color w:val="auto"/>
                <w:sz w:val="24"/>
                <w:lang w:val="en-US" w:eastAsia="zh-CN"/>
              </w:rPr>
              <w:t>清洗水总水量的</w:t>
            </w:r>
            <w:r>
              <w:rPr>
                <w:rFonts w:hint="eastAsia"/>
                <w:color w:val="auto"/>
                <w:sz w:val="24"/>
              </w:rPr>
              <w:t>3%计，定期补充新鲜水，补充水量为</w:t>
            </w:r>
            <w:r>
              <w:rPr>
                <w:rFonts w:hint="eastAsia"/>
                <w:color w:val="auto"/>
                <w:sz w:val="24"/>
                <w:lang w:val="en-US" w:eastAsia="zh-CN"/>
              </w:rPr>
              <w:t>4t*</w:t>
            </w:r>
            <w:r>
              <w:rPr>
                <w:rFonts w:hint="eastAsia"/>
                <w:color w:val="auto"/>
                <w:sz w:val="24"/>
              </w:rPr>
              <w:t>3%</w:t>
            </w:r>
            <w:r>
              <w:rPr>
                <w:rFonts w:hint="eastAsia"/>
                <w:color w:val="auto"/>
                <w:sz w:val="24"/>
                <w:lang w:val="en-US" w:eastAsia="zh-CN"/>
              </w:rPr>
              <w:t>=</w:t>
            </w:r>
            <w:r>
              <w:rPr>
                <w:rFonts w:hint="eastAsia"/>
                <w:color w:val="auto"/>
                <w:sz w:val="24"/>
              </w:rPr>
              <w:t>0.12t/d（36t/a）。</w:t>
            </w:r>
            <w:bookmarkEnd w:id="13"/>
            <w:r>
              <w:rPr>
                <w:rFonts w:hint="eastAsia"/>
                <w:color w:val="auto"/>
                <w:sz w:val="24"/>
              </w:rPr>
              <w:t>更换的清洗废水通过管道排入污水池收集，定期通过厂区管网排入一期污水处理站进行处理。</w:t>
            </w:r>
          </w:p>
          <w:p w14:paraId="3FF40AEE">
            <w:pPr>
              <w:pStyle w:val="70"/>
              <w:topLinePunct/>
              <w:autoSpaceDE/>
              <w:autoSpaceDN/>
              <w:spacing w:after="0" w:line="360" w:lineRule="auto"/>
              <w:ind w:left="0" w:leftChars="0" w:firstLine="480" w:firstLineChars="200"/>
              <w:rPr>
                <w:rFonts w:hint="eastAsia" w:eastAsia="宋体" w:cs="宋体"/>
                <w:bCs/>
                <w:color w:val="auto"/>
                <w:kern w:val="2"/>
                <w:sz w:val="24"/>
                <w:szCs w:val="24"/>
              </w:rPr>
            </w:pPr>
            <w:r>
              <w:rPr>
                <w:rFonts w:hint="eastAsia" w:eastAsia="宋体" w:cs="宋体"/>
                <w:bCs/>
                <w:color w:val="auto"/>
                <w:kern w:val="2"/>
                <w:sz w:val="24"/>
                <w:szCs w:val="24"/>
              </w:rPr>
              <w:t>项目水平衡图见下图2-1。</w:t>
            </w:r>
          </w:p>
          <w:p w14:paraId="3D310108">
            <w:pPr>
              <w:adjustRightInd w:val="0"/>
              <w:snapToGrid w:val="0"/>
              <w:spacing w:line="360" w:lineRule="auto"/>
              <w:jc w:val="center"/>
              <w:rPr>
                <w:rFonts w:hint="eastAsia" w:hAnsi="宋体" w:eastAsia="宋体"/>
                <w:b/>
                <w:bCs/>
                <w:color w:val="auto"/>
                <w:sz w:val="24"/>
                <w:lang w:eastAsia="zh-CN"/>
              </w:rPr>
            </w:pPr>
            <w:r>
              <w:rPr>
                <w:rFonts w:hint="eastAsia" w:eastAsia="宋体" w:cs="宋体"/>
                <w:bCs/>
                <w:color w:val="auto"/>
                <w:kern w:val="2"/>
                <w:sz w:val="24"/>
                <w:szCs w:val="24"/>
              </w:rPr>
              <w:object>
                <v:shape id="_x0000_i1025" o:spt="75" type="#_x0000_t75" style="height:467.05pt;width:468.4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r>
              <w:rPr>
                <w:rFonts w:hint="eastAsia" w:hAnsi="宋体"/>
                <w:b/>
                <w:bCs/>
                <w:color w:val="auto"/>
                <w:sz w:val="24"/>
              </w:rPr>
              <w:t>图2-1项目</w:t>
            </w:r>
            <w:r>
              <w:rPr>
                <w:rFonts w:hint="eastAsia" w:hAnsi="宋体"/>
                <w:b/>
                <w:bCs/>
                <w:color w:val="auto"/>
                <w:sz w:val="24"/>
                <w:lang w:val="en-US" w:eastAsia="zh-CN"/>
              </w:rPr>
              <w:t>全厂</w:t>
            </w:r>
            <w:r>
              <w:rPr>
                <w:rFonts w:hint="eastAsia" w:hAnsi="宋体"/>
                <w:b/>
                <w:bCs/>
                <w:color w:val="auto"/>
                <w:sz w:val="24"/>
              </w:rPr>
              <w:t>水平衡图（</w:t>
            </w:r>
            <w:r>
              <w:rPr>
                <w:b/>
                <w:color w:val="auto"/>
                <w:sz w:val="24"/>
              </w:rPr>
              <w:t>m</w:t>
            </w:r>
            <w:r>
              <w:rPr>
                <w:b/>
                <w:color w:val="auto"/>
                <w:sz w:val="24"/>
                <w:vertAlign w:val="superscript"/>
              </w:rPr>
              <w:t>3</w:t>
            </w:r>
            <w:r>
              <w:rPr>
                <w:b/>
                <w:color w:val="auto"/>
                <w:sz w:val="24"/>
              </w:rPr>
              <w:t>/d</w:t>
            </w:r>
            <w:r>
              <w:rPr>
                <w:rFonts w:hint="eastAsia" w:hAnsi="宋体"/>
                <w:b/>
                <w:bCs/>
                <w:color w:val="auto"/>
                <w:sz w:val="24"/>
              </w:rPr>
              <w:t>）</w:t>
            </w:r>
            <w:r>
              <w:rPr>
                <w:rFonts w:hint="eastAsia" w:hAnsi="宋体"/>
                <w:b/>
                <w:bCs/>
                <w:color w:val="auto"/>
                <w:sz w:val="24"/>
                <w:lang w:eastAsia="zh-CN"/>
              </w:rPr>
              <w:t>（</w:t>
            </w:r>
            <w:r>
              <w:rPr>
                <w:rFonts w:hint="eastAsia" w:hAnsi="宋体"/>
                <w:b/>
                <w:bCs/>
                <w:color w:val="auto"/>
                <w:sz w:val="24"/>
                <w:lang w:val="en-US" w:eastAsia="zh-CN"/>
              </w:rPr>
              <w:t>含一期</w:t>
            </w:r>
            <w:r>
              <w:rPr>
                <w:rFonts w:hint="eastAsia" w:hAnsi="宋体"/>
                <w:b/>
                <w:bCs/>
                <w:color w:val="auto"/>
                <w:sz w:val="24"/>
                <w:lang w:eastAsia="zh-CN"/>
              </w:rPr>
              <w:t>）</w:t>
            </w:r>
          </w:p>
          <w:p w14:paraId="5CC41666">
            <w:pPr>
              <w:pStyle w:val="6"/>
              <w:rPr>
                <w:color w:val="auto"/>
                <w:sz w:val="21"/>
                <w:szCs w:val="21"/>
              </w:rPr>
            </w:pPr>
            <w:r>
              <w:rPr>
                <w:rFonts w:hint="eastAsia" w:hAnsi="宋体"/>
                <w:color w:val="auto"/>
                <w:sz w:val="21"/>
                <w:szCs w:val="21"/>
              </w:rPr>
              <w:t>注：循环水量为池体总有效容积</w:t>
            </w:r>
          </w:p>
          <w:p w14:paraId="04AC5B42">
            <w:pPr>
              <w:adjustRightInd w:val="0"/>
              <w:snapToGrid w:val="0"/>
              <w:spacing w:line="360" w:lineRule="auto"/>
              <w:ind w:firstLine="480" w:firstLineChars="200"/>
              <w:rPr>
                <w:rFonts w:hint="default" w:eastAsia="宋体" w:cs="宋体"/>
                <w:b w:val="0"/>
                <w:bCs/>
                <w:color w:val="auto"/>
                <w:sz w:val="24"/>
                <w:lang w:val="en-US" w:eastAsia="zh-CN"/>
              </w:rPr>
            </w:pPr>
            <w:r>
              <w:rPr>
                <w:rFonts w:hint="eastAsia" w:cs="宋体"/>
                <w:b w:val="0"/>
                <w:bCs/>
                <w:color w:val="auto"/>
                <w:sz w:val="24"/>
                <w:lang w:eastAsia="zh-CN"/>
              </w:rPr>
              <w:t>（</w:t>
            </w:r>
            <w:r>
              <w:rPr>
                <w:rFonts w:hint="eastAsia" w:cs="宋体"/>
                <w:b w:val="0"/>
                <w:bCs/>
                <w:color w:val="auto"/>
                <w:sz w:val="24"/>
                <w:lang w:val="en-US" w:eastAsia="zh-CN"/>
              </w:rPr>
              <w:t>3</w:t>
            </w:r>
            <w:r>
              <w:rPr>
                <w:rFonts w:hint="eastAsia" w:cs="宋体"/>
                <w:b w:val="0"/>
                <w:bCs/>
                <w:color w:val="auto"/>
                <w:sz w:val="24"/>
                <w:lang w:eastAsia="zh-CN"/>
              </w:rPr>
              <w:t>）</w:t>
            </w:r>
            <w:r>
              <w:rPr>
                <w:rFonts w:hint="eastAsia" w:cs="宋体"/>
                <w:b w:val="0"/>
                <w:bCs/>
                <w:color w:val="auto"/>
                <w:sz w:val="24"/>
                <w:lang w:val="en-US" w:eastAsia="zh-CN"/>
              </w:rPr>
              <w:t>蒸汽平衡</w:t>
            </w:r>
          </w:p>
          <w:p w14:paraId="4477C2E2">
            <w:pPr>
              <w:adjustRightInd w:val="0"/>
              <w:snapToGrid w:val="0"/>
              <w:spacing w:line="360" w:lineRule="auto"/>
              <w:ind w:firstLine="480" w:firstLineChars="200"/>
              <w:rPr>
                <w:rStyle w:val="31"/>
                <w:rFonts w:hint="eastAsia"/>
                <w:color w:val="auto"/>
                <w:sz w:val="24"/>
                <w:szCs w:val="24"/>
                <w:lang w:val="en-US" w:eastAsia="zh-CN"/>
              </w:rPr>
            </w:pPr>
            <w:r>
              <w:rPr>
                <w:rFonts w:hint="eastAsia"/>
                <w:color w:val="auto"/>
                <w:sz w:val="24"/>
                <w:lang w:val="en-US" w:eastAsia="zh-CN"/>
              </w:rPr>
              <w:t>根据</w:t>
            </w:r>
            <w:r>
              <w:rPr>
                <w:rStyle w:val="31"/>
                <w:rFonts w:hint="eastAsia" w:hAnsi="Times New Roman"/>
                <w:color w:val="auto"/>
                <w:sz w:val="24"/>
                <w:szCs w:val="24"/>
              </w:rPr>
              <w:t>《江西劲诚永磁新材料有限公司高效节能电机用磁材基地项目》（赣环审〔2024〕6号）</w:t>
            </w:r>
            <w:r>
              <w:rPr>
                <w:rStyle w:val="31"/>
                <w:rFonts w:hint="eastAsia"/>
                <w:color w:val="auto"/>
                <w:sz w:val="24"/>
                <w:szCs w:val="24"/>
                <w:lang w:eastAsia="zh-CN"/>
              </w:rPr>
              <w:t>（</w:t>
            </w:r>
            <w:r>
              <w:rPr>
                <w:rStyle w:val="31"/>
                <w:rFonts w:hint="eastAsia"/>
                <w:color w:val="auto"/>
                <w:sz w:val="24"/>
                <w:szCs w:val="24"/>
                <w:lang w:val="en-US" w:eastAsia="zh-CN"/>
              </w:rPr>
              <w:t>一期工程</w:t>
            </w:r>
            <w:r>
              <w:rPr>
                <w:rStyle w:val="31"/>
                <w:rFonts w:hint="eastAsia"/>
                <w:color w:val="auto"/>
                <w:sz w:val="24"/>
                <w:szCs w:val="24"/>
                <w:lang w:eastAsia="zh-CN"/>
              </w:rPr>
              <w:t>）</w:t>
            </w:r>
            <w:r>
              <w:rPr>
                <w:rStyle w:val="31"/>
                <w:rFonts w:hint="eastAsia"/>
                <w:color w:val="auto"/>
                <w:sz w:val="24"/>
                <w:szCs w:val="24"/>
                <w:lang w:val="en-US" w:eastAsia="zh-CN"/>
              </w:rPr>
              <w:t>环评影响报告书内容，蒸汽锅炉每天工作16小时，每天产生32t蒸汽，</w:t>
            </w:r>
          </w:p>
          <w:p w14:paraId="6C59C9C7">
            <w:pPr>
              <w:adjustRightInd w:val="0"/>
              <w:snapToGrid w:val="0"/>
              <w:spacing w:line="360" w:lineRule="auto"/>
              <w:rPr>
                <w:rStyle w:val="31"/>
                <w:rFonts w:hint="eastAsia"/>
                <w:color w:val="auto"/>
                <w:sz w:val="24"/>
                <w:szCs w:val="24"/>
                <w:lang w:val="en-US" w:eastAsia="zh-CN"/>
              </w:rPr>
            </w:pPr>
            <w:r>
              <w:rPr>
                <w:rStyle w:val="31"/>
                <w:rFonts w:hint="eastAsia"/>
                <w:color w:val="auto"/>
                <w:sz w:val="24"/>
                <w:szCs w:val="24"/>
                <w:lang w:val="en-US" w:eastAsia="zh-CN"/>
              </w:rPr>
              <w:t>原污泥烘干使用蒸汽量为12.8t/d，现采购设备为电加热污泥烘干机，根据建设单位提供资料，本项目所需年蒸汽量为96t，由下表可知一期工程满足本项目供给。</w:t>
            </w:r>
          </w:p>
          <w:p w14:paraId="04797E78">
            <w:pPr>
              <w:adjustRightInd w:val="0"/>
              <w:snapToGrid w:val="0"/>
              <w:spacing w:line="240" w:lineRule="auto"/>
              <w:jc w:val="center"/>
              <w:rPr>
                <w:rStyle w:val="31"/>
                <w:rFonts w:hint="default"/>
                <w:b/>
                <w:bCs/>
                <w:color w:val="auto"/>
                <w:sz w:val="24"/>
                <w:szCs w:val="24"/>
                <w:lang w:val="en-US" w:eastAsia="zh-CN"/>
              </w:rPr>
            </w:pPr>
            <w:r>
              <w:rPr>
                <w:rStyle w:val="31"/>
                <w:rFonts w:hint="default"/>
                <w:b/>
                <w:bCs/>
                <w:color w:val="auto"/>
                <w:sz w:val="24"/>
                <w:szCs w:val="24"/>
                <w:lang w:val="en-US" w:eastAsia="zh-CN"/>
              </w:rPr>
              <w:t>表</w:t>
            </w:r>
            <w:r>
              <w:rPr>
                <w:rStyle w:val="31"/>
                <w:rFonts w:hint="eastAsia"/>
                <w:b/>
                <w:bCs/>
                <w:color w:val="auto"/>
                <w:sz w:val="24"/>
                <w:szCs w:val="24"/>
                <w:lang w:val="en-US" w:eastAsia="zh-CN"/>
              </w:rPr>
              <w:t xml:space="preserve">2-10 </w:t>
            </w:r>
            <w:r>
              <w:rPr>
                <w:rStyle w:val="31"/>
                <w:rFonts w:hint="default"/>
                <w:b/>
                <w:bCs/>
                <w:color w:val="auto"/>
                <w:sz w:val="24"/>
                <w:szCs w:val="24"/>
                <w:lang w:val="en-US" w:eastAsia="zh-CN"/>
              </w:rPr>
              <w:t>项目蒸汽平衡表</w:t>
            </w:r>
          </w:p>
          <w:tbl>
            <w:tblPr>
              <w:tblStyle w:val="7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33"/>
              <w:gridCol w:w="1411"/>
              <w:gridCol w:w="526"/>
              <w:gridCol w:w="1947"/>
              <w:gridCol w:w="2283"/>
              <w:gridCol w:w="2294"/>
            </w:tblGrid>
            <w:tr w14:paraId="18F0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48" w:type="pct"/>
                  <w:vMerge w:val="restart"/>
                  <w:shd w:val="clear" w:color="auto" w:fill="auto"/>
                  <w:vAlign w:val="center"/>
                </w:tcPr>
                <w:p w14:paraId="5682ADE9">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2"/>
                      <w:sz w:val="21"/>
                      <w:szCs w:val="21"/>
                    </w:rPr>
                    <w:t>类别</w:t>
                  </w:r>
                </w:p>
              </w:tc>
              <w:tc>
                <w:tcPr>
                  <w:tcW w:w="2088" w:type="pct"/>
                  <w:gridSpan w:val="3"/>
                  <w:shd w:val="clear" w:color="auto" w:fill="auto"/>
                  <w:vAlign w:val="center"/>
                </w:tcPr>
                <w:p w14:paraId="19C77E41">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3"/>
                      <w:sz w:val="21"/>
                      <w:szCs w:val="21"/>
                    </w:rPr>
                    <w:t>项目</w:t>
                  </w:r>
                </w:p>
              </w:tc>
              <w:tc>
                <w:tcPr>
                  <w:tcW w:w="1228" w:type="pct"/>
                  <w:vMerge w:val="restart"/>
                  <w:shd w:val="clear" w:color="auto" w:fill="auto"/>
                  <w:vAlign w:val="center"/>
                </w:tcPr>
                <w:p w14:paraId="0E5EFAE4">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b/>
                      <w:bCs/>
                      <w:color w:val="auto"/>
                      <w:spacing w:val="-2"/>
                      <w:sz w:val="21"/>
                      <w:szCs w:val="21"/>
                    </w:rPr>
                    <w:t>蒸汽量（</w:t>
                  </w:r>
                  <w:r>
                    <w:rPr>
                      <w:rFonts w:ascii="Times New Roman" w:hAnsi="Times New Roman" w:eastAsia="Times New Roman" w:cs="Times New Roman"/>
                      <w:b/>
                      <w:bCs/>
                      <w:color w:val="auto"/>
                      <w:spacing w:val="-2"/>
                      <w:sz w:val="21"/>
                      <w:szCs w:val="21"/>
                    </w:rPr>
                    <w:t>t/d</w:t>
                  </w:r>
                  <w:r>
                    <w:rPr>
                      <w:b/>
                      <w:bCs/>
                      <w:color w:val="auto"/>
                      <w:spacing w:val="-2"/>
                      <w:sz w:val="21"/>
                      <w:szCs w:val="21"/>
                    </w:rPr>
                    <w:t>）</w:t>
                  </w:r>
                </w:p>
              </w:tc>
              <w:tc>
                <w:tcPr>
                  <w:tcW w:w="1234" w:type="pct"/>
                  <w:vMerge w:val="restart"/>
                  <w:shd w:val="clear" w:color="auto" w:fill="auto"/>
                  <w:vAlign w:val="center"/>
                </w:tcPr>
                <w:p w14:paraId="6757A53E">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b/>
                      <w:bCs/>
                      <w:color w:val="auto"/>
                      <w:spacing w:val="-2"/>
                      <w:sz w:val="21"/>
                      <w:szCs w:val="21"/>
                      <w:lang w:val="en-US" w:eastAsia="zh-CN"/>
                    </w:rPr>
                  </w:pPr>
                  <w:r>
                    <w:rPr>
                      <w:rFonts w:hint="eastAsia"/>
                      <w:b/>
                      <w:bCs/>
                      <w:color w:val="auto"/>
                      <w:spacing w:val="-2"/>
                      <w:sz w:val="21"/>
                      <w:szCs w:val="21"/>
                      <w:lang w:val="en-US" w:eastAsia="zh-CN"/>
                    </w:rPr>
                    <w:t>备注</w:t>
                  </w:r>
                </w:p>
              </w:tc>
            </w:tr>
            <w:tr w14:paraId="3221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 w:hRule="atLeast"/>
              </w:trPr>
              <w:tc>
                <w:tcPr>
                  <w:tcW w:w="448" w:type="pct"/>
                  <w:vMerge w:val="continue"/>
                  <w:shd w:val="clear" w:color="auto" w:fill="auto"/>
                  <w:vAlign w:val="center"/>
                </w:tcPr>
                <w:p w14:paraId="69CF80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b/>
                      <w:bCs/>
                      <w:color w:val="auto"/>
                      <w:sz w:val="21"/>
                    </w:rPr>
                  </w:pPr>
                </w:p>
              </w:tc>
              <w:tc>
                <w:tcPr>
                  <w:tcW w:w="1042" w:type="pct"/>
                  <w:gridSpan w:val="2"/>
                  <w:shd w:val="clear" w:color="auto" w:fill="auto"/>
                  <w:vAlign w:val="center"/>
                </w:tcPr>
                <w:p w14:paraId="2602BA06">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3"/>
                      <w:sz w:val="21"/>
                      <w:szCs w:val="21"/>
                    </w:rPr>
                    <w:t>工序</w:t>
                  </w:r>
                </w:p>
              </w:tc>
              <w:tc>
                <w:tcPr>
                  <w:tcW w:w="1046" w:type="pct"/>
                  <w:shd w:val="clear" w:color="auto" w:fill="auto"/>
                  <w:vAlign w:val="center"/>
                </w:tcPr>
                <w:p w14:paraId="3AE47E6D">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3"/>
                      <w:sz w:val="21"/>
                      <w:szCs w:val="21"/>
                    </w:rPr>
                    <w:t>设备</w:t>
                  </w:r>
                </w:p>
              </w:tc>
              <w:tc>
                <w:tcPr>
                  <w:tcW w:w="1228" w:type="pct"/>
                  <w:vMerge w:val="continue"/>
                  <w:shd w:val="clear" w:color="auto" w:fill="auto"/>
                  <w:vAlign w:val="center"/>
                </w:tcPr>
                <w:p w14:paraId="3F327F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rPr>
                  </w:pPr>
                </w:p>
              </w:tc>
              <w:tc>
                <w:tcPr>
                  <w:tcW w:w="1234" w:type="pct"/>
                  <w:vMerge w:val="continue"/>
                  <w:shd w:val="clear" w:color="auto" w:fill="auto"/>
                  <w:vAlign w:val="center"/>
                </w:tcPr>
                <w:p w14:paraId="53692C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rPr>
                  </w:pPr>
                </w:p>
              </w:tc>
            </w:tr>
            <w:tr w14:paraId="2F91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1" w:hRule="atLeast"/>
              </w:trPr>
              <w:tc>
                <w:tcPr>
                  <w:tcW w:w="448" w:type="pct"/>
                  <w:vMerge w:val="restart"/>
                  <w:shd w:val="clear" w:color="auto" w:fill="auto"/>
                  <w:vAlign w:val="center"/>
                </w:tcPr>
                <w:p w14:paraId="4DBC3F8D">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rFonts w:hint="eastAsia"/>
                      <w:color w:val="auto"/>
                      <w:spacing w:val="-2"/>
                      <w:sz w:val="21"/>
                      <w:szCs w:val="21"/>
                      <w:lang w:val="en-US" w:eastAsia="zh-CN"/>
                    </w:rPr>
                    <w:t>一期</w:t>
                  </w:r>
                  <w:r>
                    <w:rPr>
                      <w:color w:val="auto"/>
                      <w:spacing w:val="-2"/>
                      <w:sz w:val="21"/>
                      <w:szCs w:val="21"/>
                    </w:rPr>
                    <w:t>用汽</w:t>
                  </w:r>
                </w:p>
              </w:tc>
              <w:tc>
                <w:tcPr>
                  <w:tcW w:w="1042" w:type="pct"/>
                  <w:gridSpan w:val="2"/>
                  <w:shd w:val="clear" w:color="auto" w:fill="auto"/>
                  <w:vAlign w:val="center"/>
                </w:tcPr>
                <w:p w14:paraId="0666CA0D">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滚镀镍铜镍</w:t>
                  </w:r>
                  <w:r>
                    <w:rPr>
                      <w:rFonts w:ascii="Times New Roman" w:hAnsi="Times New Roman" w:eastAsia="Times New Roman" w:cs="Times New Roman"/>
                      <w:color w:val="auto"/>
                      <w:spacing w:val="-1"/>
                      <w:sz w:val="21"/>
                      <w:szCs w:val="21"/>
                    </w:rPr>
                    <w:t>+</w:t>
                  </w:r>
                  <w:r>
                    <w:rPr>
                      <w:color w:val="auto"/>
                      <w:spacing w:val="-1"/>
                      <w:sz w:val="21"/>
                      <w:szCs w:val="21"/>
                    </w:rPr>
                    <w:t>化学镀镍线</w:t>
                  </w:r>
                </w:p>
              </w:tc>
              <w:tc>
                <w:tcPr>
                  <w:tcW w:w="1046" w:type="pct"/>
                  <w:shd w:val="clear" w:color="auto" w:fill="auto"/>
                  <w:vAlign w:val="center"/>
                </w:tcPr>
                <w:p w14:paraId="26FFBEA7">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化学镀槽</w:t>
                  </w:r>
                </w:p>
              </w:tc>
              <w:tc>
                <w:tcPr>
                  <w:tcW w:w="1228" w:type="pct"/>
                  <w:shd w:val="clear" w:color="auto" w:fill="auto"/>
                  <w:vAlign w:val="center"/>
                </w:tcPr>
                <w:p w14:paraId="254151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234" w:type="pct"/>
                  <w:shd w:val="clear" w:color="auto" w:fill="auto"/>
                  <w:vAlign w:val="center"/>
                </w:tcPr>
                <w:p w14:paraId="1B8663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6"/>
                      <w:sz w:val="21"/>
                      <w:szCs w:val="21"/>
                    </w:rPr>
                  </w:pPr>
                </w:p>
              </w:tc>
            </w:tr>
            <w:tr w14:paraId="0E53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448" w:type="pct"/>
                  <w:vMerge w:val="continue"/>
                  <w:shd w:val="clear" w:color="auto" w:fill="auto"/>
                  <w:vAlign w:val="center"/>
                </w:tcPr>
                <w:p w14:paraId="7D0DDA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rPr>
                  </w:pPr>
                </w:p>
              </w:tc>
              <w:tc>
                <w:tcPr>
                  <w:tcW w:w="1042" w:type="pct"/>
                  <w:gridSpan w:val="2"/>
                  <w:shd w:val="clear" w:color="auto" w:fill="auto"/>
                  <w:vAlign w:val="center"/>
                </w:tcPr>
                <w:p w14:paraId="58ADA6A4">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污泥烘干</w:t>
                  </w:r>
                </w:p>
              </w:tc>
              <w:tc>
                <w:tcPr>
                  <w:tcW w:w="1046" w:type="pct"/>
                  <w:shd w:val="clear" w:color="auto" w:fill="auto"/>
                  <w:vAlign w:val="center"/>
                </w:tcPr>
                <w:p w14:paraId="1F81438D">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污泥烘干机</w:t>
                  </w:r>
                </w:p>
              </w:tc>
              <w:tc>
                <w:tcPr>
                  <w:tcW w:w="1228" w:type="pct"/>
                  <w:shd w:val="clear" w:color="auto" w:fill="auto"/>
                  <w:vAlign w:val="center"/>
                </w:tcPr>
                <w:p w14:paraId="3CAE6F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pacing w:val="-5"/>
                      <w:sz w:val="21"/>
                      <w:szCs w:val="21"/>
                      <w:lang w:val="en-US" w:eastAsia="zh-CN"/>
                    </w:rPr>
                    <w:t>0</w:t>
                  </w:r>
                </w:p>
              </w:tc>
              <w:tc>
                <w:tcPr>
                  <w:tcW w:w="1234" w:type="pct"/>
                  <w:shd w:val="clear" w:color="auto" w:fill="auto"/>
                  <w:vAlign w:val="center"/>
                </w:tcPr>
                <w:p w14:paraId="447008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5"/>
                      <w:sz w:val="21"/>
                      <w:szCs w:val="21"/>
                      <w:lang w:val="en-US" w:eastAsia="zh-CN"/>
                    </w:rPr>
                  </w:pPr>
                  <w:r>
                    <w:rPr>
                      <w:rFonts w:hint="eastAsia" w:ascii="Times New Roman" w:hAnsi="Times New Roman" w:eastAsia="宋体" w:cs="Times New Roman"/>
                      <w:color w:val="auto"/>
                      <w:spacing w:val="-5"/>
                      <w:sz w:val="21"/>
                      <w:szCs w:val="21"/>
                      <w:lang w:val="en-US" w:eastAsia="zh-CN"/>
                    </w:rPr>
                    <w:t>已改为电加热，调出12.8t/d</w:t>
                  </w:r>
                </w:p>
              </w:tc>
            </w:tr>
            <w:tr w14:paraId="5E63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448" w:type="pct"/>
                  <w:vMerge w:val="continue"/>
                  <w:shd w:val="clear" w:color="auto" w:fill="auto"/>
                  <w:vAlign w:val="center"/>
                </w:tcPr>
                <w:p w14:paraId="0A75E9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rPr>
                  </w:pPr>
                </w:p>
              </w:tc>
              <w:tc>
                <w:tcPr>
                  <w:tcW w:w="2088" w:type="pct"/>
                  <w:gridSpan w:val="3"/>
                  <w:shd w:val="clear" w:color="auto" w:fill="auto"/>
                  <w:vAlign w:val="center"/>
                </w:tcPr>
                <w:p w14:paraId="0870671F">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蒸汽锅炉除氧器自用汽</w:t>
                  </w:r>
                </w:p>
              </w:tc>
              <w:tc>
                <w:tcPr>
                  <w:tcW w:w="1228" w:type="pct"/>
                  <w:shd w:val="clear" w:color="auto" w:fill="auto"/>
                  <w:vAlign w:val="center"/>
                </w:tcPr>
                <w:p w14:paraId="7F209D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2.24</w:t>
                  </w:r>
                </w:p>
              </w:tc>
              <w:tc>
                <w:tcPr>
                  <w:tcW w:w="1234" w:type="pct"/>
                  <w:shd w:val="clear" w:color="auto" w:fill="auto"/>
                  <w:vAlign w:val="center"/>
                </w:tcPr>
                <w:p w14:paraId="4A5EA6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1"/>
                      <w:sz w:val="21"/>
                      <w:szCs w:val="21"/>
                    </w:rPr>
                  </w:pPr>
                </w:p>
              </w:tc>
            </w:tr>
            <w:tr w14:paraId="4F0F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 w:hRule="atLeast"/>
              </w:trPr>
              <w:tc>
                <w:tcPr>
                  <w:tcW w:w="448" w:type="pct"/>
                  <w:shd w:val="clear" w:color="auto" w:fill="auto"/>
                  <w:vAlign w:val="center"/>
                </w:tcPr>
                <w:p w14:paraId="5D96591F">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pacing w:val="-2"/>
                      <w:sz w:val="21"/>
                      <w:szCs w:val="21"/>
                      <w:lang w:val="en-US" w:eastAsia="zh-CN"/>
                    </w:rPr>
                  </w:pPr>
                  <w:r>
                    <w:rPr>
                      <w:rFonts w:hint="eastAsia"/>
                      <w:color w:val="auto"/>
                      <w:spacing w:val="-2"/>
                      <w:sz w:val="21"/>
                      <w:szCs w:val="21"/>
                      <w:lang w:val="en-US" w:eastAsia="zh-CN"/>
                    </w:rPr>
                    <w:t>二期用</w:t>
                  </w:r>
                  <w:r>
                    <w:rPr>
                      <w:color w:val="auto"/>
                      <w:spacing w:val="-2"/>
                      <w:sz w:val="21"/>
                      <w:szCs w:val="21"/>
                    </w:rPr>
                    <w:t>汽</w:t>
                  </w:r>
                </w:p>
              </w:tc>
              <w:tc>
                <w:tcPr>
                  <w:tcW w:w="2088" w:type="pct"/>
                  <w:gridSpan w:val="3"/>
                  <w:shd w:val="clear" w:color="auto" w:fill="auto"/>
                  <w:vAlign w:val="center"/>
                </w:tcPr>
                <w:p w14:paraId="50DDB2EF">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pacing w:val="-2"/>
                      <w:sz w:val="21"/>
                      <w:szCs w:val="21"/>
                      <w:lang w:val="en-US" w:eastAsia="zh-CN"/>
                    </w:rPr>
                  </w:pPr>
                  <w:r>
                    <w:rPr>
                      <w:rFonts w:hint="eastAsia"/>
                      <w:color w:val="auto"/>
                      <w:spacing w:val="-2"/>
                      <w:sz w:val="21"/>
                      <w:szCs w:val="21"/>
                      <w:lang w:val="en-US" w:eastAsia="zh-CN"/>
                    </w:rPr>
                    <w:t>煮胶</w:t>
                  </w:r>
                </w:p>
              </w:tc>
              <w:tc>
                <w:tcPr>
                  <w:tcW w:w="1228" w:type="pct"/>
                  <w:shd w:val="clear" w:color="auto" w:fill="auto"/>
                  <w:vAlign w:val="center"/>
                </w:tcPr>
                <w:p w14:paraId="09F454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1"/>
                      <w:sz w:val="21"/>
                      <w:szCs w:val="21"/>
                      <w:lang w:val="en-US" w:eastAsia="zh-CN"/>
                    </w:rPr>
                  </w:pPr>
                  <w:r>
                    <w:rPr>
                      <w:rFonts w:hint="eastAsia" w:ascii="Times New Roman" w:hAnsi="Times New Roman" w:eastAsia="宋体" w:cs="Times New Roman"/>
                      <w:color w:val="auto"/>
                      <w:spacing w:val="-1"/>
                      <w:sz w:val="21"/>
                      <w:szCs w:val="21"/>
                      <w:lang w:val="en-US" w:eastAsia="zh-CN"/>
                    </w:rPr>
                    <w:t>0.32</w:t>
                  </w:r>
                </w:p>
              </w:tc>
              <w:tc>
                <w:tcPr>
                  <w:tcW w:w="1234" w:type="pct"/>
                  <w:shd w:val="clear" w:color="auto" w:fill="auto"/>
                  <w:vAlign w:val="center"/>
                </w:tcPr>
                <w:p w14:paraId="4F29CD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1"/>
                      <w:sz w:val="21"/>
                      <w:szCs w:val="21"/>
                      <w:lang w:val="en-US" w:eastAsia="zh-CN"/>
                    </w:rPr>
                  </w:pPr>
                </w:p>
              </w:tc>
            </w:tr>
            <w:tr w14:paraId="4AA9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2537" w:type="pct"/>
                  <w:gridSpan w:val="4"/>
                  <w:shd w:val="clear" w:color="auto" w:fill="auto"/>
                  <w:vAlign w:val="center"/>
                </w:tcPr>
                <w:p w14:paraId="667E628C">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pacing w:val="-2"/>
                      <w:sz w:val="21"/>
                      <w:szCs w:val="21"/>
                      <w:lang w:val="en-US" w:eastAsia="zh-CN"/>
                    </w:rPr>
                  </w:pPr>
                  <w:r>
                    <w:rPr>
                      <w:rFonts w:hint="eastAsia"/>
                      <w:color w:val="auto"/>
                      <w:spacing w:val="-2"/>
                      <w:sz w:val="21"/>
                      <w:szCs w:val="21"/>
                      <w:lang w:val="en-US" w:eastAsia="zh-CN"/>
                    </w:rPr>
                    <w:t>一期和二期小计</w:t>
                  </w:r>
                </w:p>
              </w:tc>
              <w:tc>
                <w:tcPr>
                  <w:tcW w:w="1228" w:type="pct"/>
                  <w:shd w:val="clear" w:color="auto" w:fill="auto"/>
                  <w:vAlign w:val="center"/>
                </w:tcPr>
                <w:p w14:paraId="629660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1"/>
                      <w:sz w:val="21"/>
                      <w:szCs w:val="21"/>
                      <w:lang w:val="en-US" w:eastAsia="zh-CN"/>
                    </w:rPr>
                  </w:pPr>
                  <w:r>
                    <w:rPr>
                      <w:rFonts w:hint="eastAsia" w:ascii="Times New Roman" w:hAnsi="Times New Roman" w:eastAsia="宋体" w:cs="Times New Roman"/>
                      <w:color w:val="auto"/>
                      <w:spacing w:val="-1"/>
                      <w:sz w:val="21"/>
                      <w:szCs w:val="21"/>
                      <w:lang w:val="en-US" w:eastAsia="zh-CN"/>
                    </w:rPr>
                    <w:t>18.56</w:t>
                  </w:r>
                </w:p>
              </w:tc>
              <w:tc>
                <w:tcPr>
                  <w:tcW w:w="1234" w:type="pct"/>
                  <w:shd w:val="clear" w:color="auto" w:fill="auto"/>
                  <w:vAlign w:val="center"/>
                </w:tcPr>
                <w:p w14:paraId="6C784C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1"/>
                      <w:sz w:val="21"/>
                      <w:szCs w:val="21"/>
                    </w:rPr>
                  </w:pPr>
                </w:p>
              </w:tc>
            </w:tr>
            <w:tr w14:paraId="325B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 w:hRule="atLeast"/>
              </w:trPr>
              <w:tc>
                <w:tcPr>
                  <w:tcW w:w="448" w:type="pct"/>
                  <w:shd w:val="clear" w:color="auto" w:fill="auto"/>
                  <w:vAlign w:val="center"/>
                </w:tcPr>
                <w:p w14:paraId="5BAC4098">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损失</w:t>
                  </w:r>
                </w:p>
              </w:tc>
              <w:tc>
                <w:tcPr>
                  <w:tcW w:w="2088" w:type="pct"/>
                  <w:gridSpan w:val="3"/>
                  <w:shd w:val="clear" w:color="auto" w:fill="auto"/>
                  <w:vAlign w:val="center"/>
                </w:tcPr>
                <w:p w14:paraId="00E3FB7B">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蒸发损失</w:t>
                  </w:r>
                </w:p>
              </w:tc>
              <w:tc>
                <w:tcPr>
                  <w:tcW w:w="1228" w:type="pct"/>
                  <w:shd w:val="clear" w:color="auto" w:fill="auto"/>
                  <w:vAlign w:val="center"/>
                </w:tcPr>
                <w:p w14:paraId="3A8D31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0.96</w:t>
                  </w:r>
                </w:p>
              </w:tc>
              <w:tc>
                <w:tcPr>
                  <w:tcW w:w="1234" w:type="pct"/>
                  <w:shd w:val="clear" w:color="auto" w:fill="auto"/>
                  <w:vAlign w:val="center"/>
                </w:tcPr>
                <w:p w14:paraId="0DB9DE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1"/>
                      <w:sz w:val="21"/>
                      <w:szCs w:val="21"/>
                    </w:rPr>
                  </w:pPr>
                </w:p>
              </w:tc>
            </w:tr>
            <w:tr w14:paraId="1EA6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2537" w:type="pct"/>
                  <w:gridSpan w:val="4"/>
                  <w:shd w:val="clear" w:color="auto" w:fill="auto"/>
                  <w:vAlign w:val="center"/>
                </w:tcPr>
                <w:p w14:paraId="7A2BE886">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预留蒸汽量</w:t>
                  </w:r>
                </w:p>
              </w:tc>
              <w:tc>
                <w:tcPr>
                  <w:tcW w:w="1228" w:type="pct"/>
                  <w:shd w:val="clear" w:color="auto" w:fill="auto"/>
                  <w:vAlign w:val="center"/>
                </w:tcPr>
                <w:p w14:paraId="4181F9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12.48</w:t>
                  </w:r>
                </w:p>
              </w:tc>
              <w:tc>
                <w:tcPr>
                  <w:tcW w:w="1234" w:type="pct"/>
                  <w:shd w:val="clear" w:color="auto" w:fill="auto"/>
                  <w:vAlign w:val="center"/>
                </w:tcPr>
                <w:p w14:paraId="3B5C2D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2"/>
                      <w:sz w:val="21"/>
                      <w:szCs w:val="21"/>
                    </w:rPr>
                  </w:pPr>
                </w:p>
              </w:tc>
            </w:tr>
            <w:tr w14:paraId="3908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448" w:type="pct"/>
                  <w:vMerge w:val="restart"/>
                  <w:shd w:val="clear" w:color="auto" w:fill="auto"/>
                  <w:vAlign w:val="center"/>
                </w:tcPr>
                <w:p w14:paraId="1864E2C2">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产汽</w:t>
                  </w:r>
                </w:p>
              </w:tc>
              <w:tc>
                <w:tcPr>
                  <w:tcW w:w="759" w:type="pct"/>
                  <w:shd w:val="clear" w:color="auto" w:fill="auto"/>
                  <w:vAlign w:val="center"/>
                </w:tcPr>
                <w:p w14:paraId="277E8E3A">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蒸汽锅炉产汽</w:t>
                  </w:r>
                </w:p>
              </w:tc>
              <w:tc>
                <w:tcPr>
                  <w:tcW w:w="1329" w:type="pct"/>
                  <w:gridSpan w:val="2"/>
                  <w:shd w:val="clear" w:color="auto" w:fill="auto"/>
                  <w:vAlign w:val="center"/>
                </w:tcPr>
                <w:p w14:paraId="4608A680">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rFonts w:ascii="Times New Roman" w:hAnsi="Times New Roman" w:eastAsia="Times New Roman" w:cs="Times New Roman"/>
                      <w:color w:val="auto"/>
                      <w:spacing w:val="-3"/>
                      <w:sz w:val="21"/>
                      <w:szCs w:val="21"/>
                    </w:rPr>
                    <w:t>2t/h</w:t>
                  </w:r>
                  <w:r>
                    <w:rPr>
                      <w:color w:val="auto"/>
                      <w:spacing w:val="-3"/>
                      <w:sz w:val="21"/>
                      <w:szCs w:val="21"/>
                    </w:rPr>
                    <w:t>蒸汽锅炉</w:t>
                  </w:r>
                  <w:r>
                    <w:rPr>
                      <w:rFonts w:ascii="Times New Roman" w:hAnsi="Times New Roman" w:eastAsia="Times New Roman" w:cs="Times New Roman"/>
                      <w:color w:val="auto"/>
                      <w:spacing w:val="-3"/>
                      <w:sz w:val="21"/>
                      <w:szCs w:val="21"/>
                    </w:rPr>
                    <w:t>1</w:t>
                  </w:r>
                  <w:r>
                    <w:rPr>
                      <w:color w:val="auto"/>
                      <w:spacing w:val="-3"/>
                      <w:sz w:val="21"/>
                      <w:szCs w:val="21"/>
                    </w:rPr>
                    <w:t>台</w:t>
                  </w:r>
                </w:p>
              </w:tc>
              <w:tc>
                <w:tcPr>
                  <w:tcW w:w="1228" w:type="pct"/>
                  <w:shd w:val="clear" w:color="auto" w:fill="auto"/>
                  <w:vAlign w:val="center"/>
                </w:tcPr>
                <w:p w14:paraId="05C7E5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32</w:t>
                  </w:r>
                </w:p>
              </w:tc>
              <w:tc>
                <w:tcPr>
                  <w:tcW w:w="1234" w:type="pct"/>
                  <w:shd w:val="clear" w:color="auto" w:fill="auto"/>
                  <w:vAlign w:val="center"/>
                </w:tcPr>
                <w:p w14:paraId="5F501B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2"/>
                      <w:sz w:val="21"/>
                      <w:szCs w:val="21"/>
                    </w:rPr>
                  </w:pPr>
                </w:p>
              </w:tc>
            </w:tr>
            <w:tr w14:paraId="1E0C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 w:hRule="atLeast"/>
              </w:trPr>
              <w:tc>
                <w:tcPr>
                  <w:tcW w:w="448" w:type="pct"/>
                  <w:vMerge w:val="continue"/>
                  <w:shd w:val="clear" w:color="auto" w:fill="auto"/>
                  <w:vAlign w:val="center"/>
                </w:tcPr>
                <w:p w14:paraId="6A2B35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rPr>
                  </w:pPr>
                </w:p>
              </w:tc>
              <w:tc>
                <w:tcPr>
                  <w:tcW w:w="2088" w:type="pct"/>
                  <w:gridSpan w:val="3"/>
                  <w:shd w:val="clear" w:color="auto" w:fill="auto"/>
                  <w:vAlign w:val="center"/>
                </w:tcPr>
                <w:p w14:paraId="5DA6BA69">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3"/>
                      <w:sz w:val="21"/>
                      <w:szCs w:val="21"/>
                    </w:rPr>
                    <w:t>小计</w:t>
                  </w:r>
                </w:p>
              </w:tc>
              <w:tc>
                <w:tcPr>
                  <w:tcW w:w="1228" w:type="pct"/>
                  <w:shd w:val="clear" w:color="auto" w:fill="auto"/>
                  <w:vAlign w:val="center"/>
                </w:tcPr>
                <w:p w14:paraId="7C6956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32</w:t>
                  </w:r>
                </w:p>
              </w:tc>
              <w:tc>
                <w:tcPr>
                  <w:tcW w:w="1234" w:type="pct"/>
                  <w:shd w:val="clear" w:color="auto" w:fill="auto"/>
                  <w:vAlign w:val="center"/>
                </w:tcPr>
                <w:p w14:paraId="5BEC0F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pacing w:val="-2"/>
                      <w:sz w:val="21"/>
                      <w:szCs w:val="21"/>
                    </w:rPr>
                  </w:pPr>
                </w:p>
              </w:tc>
            </w:tr>
            <w:tr w14:paraId="20F0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832" w:type="dxa"/>
                  <w:shd w:val="clear" w:color="auto" w:fill="auto"/>
                  <w:vAlign w:val="center"/>
                </w:tcPr>
                <w:p w14:paraId="5181D4EC">
                  <w:pPr>
                    <w:jc w:val="center"/>
                    <w:rPr>
                      <w:color w:val="auto"/>
                    </w:rPr>
                  </w:pPr>
                  <w:r>
                    <w:rPr>
                      <w:color w:val="auto"/>
                    </w:rPr>
                    <w:t>平衡结果</w:t>
                  </w:r>
                </w:p>
              </w:tc>
              <w:tc>
                <w:tcPr>
                  <w:tcW w:w="8462" w:type="dxa"/>
                  <w:gridSpan w:val="5"/>
                  <w:shd w:val="clear" w:color="auto" w:fill="auto"/>
                  <w:vAlign w:val="center"/>
                </w:tcPr>
                <w:p w14:paraId="2EC73EC2">
                  <w:pPr>
                    <w:jc w:val="center"/>
                    <w:rPr>
                      <w:rFonts w:hint="eastAsia" w:eastAsia="宋体"/>
                      <w:color w:val="auto"/>
                      <w:lang w:val="en-US" w:eastAsia="zh-CN"/>
                    </w:rPr>
                  </w:pPr>
                  <w:r>
                    <w:rPr>
                      <w:color w:val="auto"/>
                    </w:rPr>
                    <w:t>产汽=用汽+损失</w:t>
                  </w:r>
                  <w:r>
                    <w:rPr>
                      <w:rFonts w:hint="eastAsia"/>
                      <w:color w:val="auto"/>
                      <w:lang w:val="en-US" w:eastAsia="zh-CN"/>
                    </w:rPr>
                    <w:t>+预留蒸汽量</w:t>
                  </w:r>
                </w:p>
              </w:tc>
            </w:tr>
          </w:tbl>
          <w:p w14:paraId="4ECA8414">
            <w:pPr>
              <w:adjustRightInd w:val="0"/>
              <w:snapToGrid w:val="0"/>
              <w:spacing w:line="360" w:lineRule="auto"/>
              <w:ind w:firstLine="482" w:firstLineChars="200"/>
              <w:rPr>
                <w:rFonts w:hint="default" w:cs="宋体"/>
                <w:b/>
                <w:color w:val="auto"/>
                <w:sz w:val="24"/>
                <w:lang w:val="en-US" w:eastAsia="zh-CN"/>
              </w:rPr>
            </w:pPr>
            <w:r>
              <w:rPr>
                <w:rFonts w:hint="eastAsia" w:cs="宋体"/>
                <w:b/>
                <w:color w:val="auto"/>
                <w:sz w:val="24"/>
                <w:lang w:val="en-US" w:eastAsia="zh-CN"/>
              </w:rPr>
              <w:t>9、公用工程</w:t>
            </w:r>
          </w:p>
          <w:p w14:paraId="3F7F2238">
            <w:pPr>
              <w:adjustRightInd w:val="0"/>
              <w:snapToGrid w:val="0"/>
              <w:spacing w:line="360" w:lineRule="auto"/>
              <w:ind w:firstLine="480" w:firstLineChars="200"/>
              <w:rPr>
                <w:rFonts w:hint="eastAsia" w:cs="宋体"/>
                <w:b w:val="0"/>
                <w:bCs/>
                <w:color w:val="auto"/>
                <w:sz w:val="24"/>
                <w:lang w:val="en-US" w:eastAsia="zh-CN"/>
              </w:rPr>
            </w:pPr>
            <w:r>
              <w:rPr>
                <w:rFonts w:hint="eastAsia" w:cs="宋体"/>
                <w:b w:val="0"/>
                <w:bCs/>
                <w:color w:val="auto"/>
                <w:sz w:val="24"/>
                <w:lang w:val="en-US" w:eastAsia="zh-CN"/>
              </w:rPr>
              <w:t>（1）供水系统</w:t>
            </w:r>
          </w:p>
          <w:p w14:paraId="15F983F1">
            <w:pPr>
              <w:adjustRightInd w:val="0"/>
              <w:snapToGrid w:val="0"/>
              <w:spacing w:line="360" w:lineRule="auto"/>
              <w:ind w:firstLine="480" w:firstLineChars="200"/>
              <w:rPr>
                <w:rFonts w:hint="eastAsia" w:cs="宋体"/>
                <w:b w:val="0"/>
                <w:bCs/>
                <w:color w:val="auto"/>
                <w:sz w:val="24"/>
                <w:lang w:val="en-US" w:eastAsia="zh-CN"/>
              </w:rPr>
            </w:pPr>
            <w:r>
              <w:rPr>
                <w:rFonts w:hint="eastAsia" w:cs="宋体"/>
                <w:b w:val="0"/>
                <w:bCs/>
                <w:color w:val="auto"/>
                <w:sz w:val="24"/>
                <w:lang w:val="en-US" w:eastAsia="zh-CN"/>
              </w:rPr>
              <w:t>本项目生产、生活和消防用水来自园区供水管网，从园区供水管网中引一路DN200给水管至厂区内，厂区内设置两组独立供水管网系统，一组是生产、生活给水管网，另一组为消防专用供水管系统。</w:t>
            </w:r>
          </w:p>
          <w:p w14:paraId="74BE7230">
            <w:pPr>
              <w:adjustRightInd w:val="0"/>
              <w:snapToGrid w:val="0"/>
              <w:spacing w:line="360" w:lineRule="auto"/>
              <w:ind w:firstLine="480" w:firstLineChars="200"/>
              <w:rPr>
                <w:rFonts w:hint="eastAsia" w:cs="宋体"/>
                <w:b w:val="0"/>
                <w:bCs/>
                <w:color w:val="auto"/>
                <w:sz w:val="24"/>
                <w:lang w:val="en-US" w:eastAsia="zh-CN"/>
              </w:rPr>
            </w:pPr>
            <w:r>
              <w:rPr>
                <w:rFonts w:hint="eastAsia" w:cs="宋体"/>
                <w:b w:val="0"/>
                <w:bCs/>
                <w:color w:val="auto"/>
                <w:sz w:val="24"/>
                <w:lang w:val="en-US" w:eastAsia="zh-CN"/>
              </w:rPr>
              <w:t>（2）排水系统</w:t>
            </w:r>
          </w:p>
          <w:p w14:paraId="11FFC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宋体"/>
                <w:b w:val="0"/>
                <w:bCs/>
                <w:color w:val="auto"/>
                <w:sz w:val="24"/>
                <w:lang w:val="en-US" w:eastAsia="zh-CN"/>
              </w:rPr>
            </w:pPr>
            <w:r>
              <w:rPr>
                <w:rFonts w:hint="default" w:cs="宋体"/>
                <w:b w:val="0"/>
                <w:bCs/>
                <w:color w:val="auto"/>
                <w:sz w:val="24"/>
                <w:lang w:val="en-US" w:eastAsia="zh-CN"/>
              </w:rPr>
              <w:t>采用雨水、污水分流体制。厂区内雨水经厂区雨水管网收集后接入市政雨水管网，通过市政雨水管网就近排入自然水系。厂区内废水经厂区废水处理设施预处理达标后经厂区废水总排口排入园区污水管网，通过园区污水管网接入新能源汽车科技城污水处理厂（一期）进一步处理，新能源汽车科技城污水处理厂（一期）尾水处理达《城镇污水处理厂污染物排放标准》（GB18918-2002）一级A标准后通过市政污水管网接入白塔污水处理厂（城市生活污水处理厂），尾水最终排入赣江。白塔污水处理厂是城市生活污水处理厂，本评价不考虑白塔污水处理厂对本项目废水的处理能力，仅作为本项目废水的排水途径。</w:t>
            </w:r>
          </w:p>
          <w:p w14:paraId="178D9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宋体"/>
                <w:b w:val="0"/>
                <w:bCs/>
                <w:color w:val="auto"/>
                <w:sz w:val="24"/>
                <w:lang w:val="en-US" w:eastAsia="zh-CN"/>
              </w:rPr>
            </w:pPr>
            <w:r>
              <w:rPr>
                <w:rFonts w:hint="default" w:cs="宋体"/>
                <w:b w:val="0"/>
                <w:bCs/>
                <w:color w:val="auto"/>
                <w:sz w:val="24"/>
                <w:lang w:val="en-US" w:eastAsia="zh-CN"/>
              </w:rPr>
              <w:t>（</w:t>
            </w:r>
            <w:r>
              <w:rPr>
                <w:rFonts w:hint="eastAsia" w:cs="宋体"/>
                <w:b w:val="0"/>
                <w:bCs/>
                <w:color w:val="auto"/>
                <w:sz w:val="24"/>
                <w:lang w:val="en-US" w:eastAsia="zh-CN"/>
              </w:rPr>
              <w:t>3</w:t>
            </w:r>
            <w:r>
              <w:rPr>
                <w:rFonts w:hint="default" w:cs="宋体"/>
                <w:b w:val="0"/>
                <w:bCs/>
                <w:color w:val="auto"/>
                <w:sz w:val="24"/>
                <w:lang w:val="en-US" w:eastAsia="zh-CN"/>
              </w:rPr>
              <w:t>）供配电系统</w:t>
            </w:r>
          </w:p>
          <w:p w14:paraId="23A5E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宋体"/>
                <w:b w:val="0"/>
                <w:bCs/>
                <w:color w:val="auto"/>
                <w:sz w:val="24"/>
                <w:lang w:val="en-US" w:eastAsia="zh-CN"/>
              </w:rPr>
            </w:pPr>
            <w:r>
              <w:rPr>
                <w:rFonts w:hint="default" w:cs="宋体"/>
                <w:b w:val="0"/>
                <w:bCs/>
                <w:color w:val="auto"/>
                <w:sz w:val="24"/>
                <w:lang w:val="en-US" w:eastAsia="zh-CN"/>
              </w:rPr>
              <w:t>本项目供电电源由新能源汽车科技城供电站提供，由厂区外市政供电线路引入进厂，进线电压10kV。</w:t>
            </w:r>
          </w:p>
          <w:p w14:paraId="6FB27113">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10</w:t>
            </w:r>
            <w:r>
              <w:rPr>
                <w:rFonts w:hint="eastAsia" w:cs="宋体"/>
                <w:b/>
                <w:color w:val="auto"/>
                <w:sz w:val="24"/>
              </w:rPr>
              <w:t>、劳动定员及工作制度</w:t>
            </w:r>
          </w:p>
          <w:p w14:paraId="7DCB0C9C">
            <w:pPr>
              <w:adjustRightInd w:val="0"/>
              <w:snapToGrid w:val="0"/>
              <w:spacing w:line="360" w:lineRule="auto"/>
              <w:ind w:firstLine="480" w:firstLineChars="200"/>
              <w:rPr>
                <w:rFonts w:cs="宋体"/>
                <w:bCs/>
                <w:color w:val="auto"/>
                <w:sz w:val="24"/>
              </w:rPr>
            </w:pPr>
            <w:r>
              <w:rPr>
                <w:rFonts w:hint="eastAsia" w:cs="宋体"/>
                <w:bCs/>
                <w:color w:val="auto"/>
                <w:sz w:val="24"/>
                <w:lang w:val="en-US" w:eastAsia="zh-CN"/>
              </w:rPr>
              <w:t>本项目新增劳定员</w:t>
            </w:r>
            <w:r>
              <w:rPr>
                <w:rFonts w:hint="eastAsia"/>
                <w:color w:val="auto"/>
                <w:sz w:val="24"/>
              </w:rPr>
              <w:t>213</w:t>
            </w:r>
            <w:r>
              <w:rPr>
                <w:rFonts w:cs="宋体"/>
                <w:bCs/>
                <w:color w:val="auto"/>
                <w:sz w:val="24"/>
              </w:rPr>
              <w:t>人</w:t>
            </w:r>
            <w:r>
              <w:rPr>
                <w:rFonts w:hint="eastAsia" w:cs="宋体"/>
                <w:bCs/>
                <w:color w:val="auto"/>
                <w:sz w:val="24"/>
              </w:rPr>
              <w:t>，</w:t>
            </w:r>
            <w:r>
              <w:rPr>
                <w:rFonts w:hint="eastAsia"/>
                <w:color w:val="auto"/>
                <w:sz w:val="24"/>
              </w:rPr>
              <w:t>员工约60人在厂区内食宿</w:t>
            </w:r>
            <w:r>
              <w:rPr>
                <w:rFonts w:hint="eastAsia" w:cs="宋体"/>
                <w:bCs/>
                <w:color w:val="auto"/>
                <w:sz w:val="24"/>
              </w:rPr>
              <w:t>，</w:t>
            </w:r>
            <w:r>
              <w:rPr>
                <w:rFonts w:cs="宋体"/>
                <w:bCs/>
                <w:color w:val="auto"/>
                <w:sz w:val="24"/>
              </w:rPr>
              <w:t>项目年工作天数为</w:t>
            </w:r>
            <w:r>
              <w:rPr>
                <w:rFonts w:hint="eastAsia"/>
                <w:color w:val="auto"/>
                <w:sz w:val="24"/>
              </w:rPr>
              <w:t>300</w:t>
            </w:r>
            <w:r>
              <w:rPr>
                <w:rFonts w:cs="宋体"/>
                <w:bCs/>
                <w:color w:val="auto"/>
                <w:sz w:val="24"/>
              </w:rPr>
              <w:t>天，工作制度为每天</w:t>
            </w:r>
            <w:r>
              <w:rPr>
                <w:rFonts w:hint="eastAsia" w:cs="宋体"/>
                <w:bCs/>
                <w:color w:val="auto"/>
                <w:sz w:val="24"/>
              </w:rPr>
              <w:t>1</w:t>
            </w:r>
            <w:r>
              <w:rPr>
                <w:rFonts w:cs="宋体"/>
                <w:bCs/>
                <w:color w:val="auto"/>
                <w:sz w:val="24"/>
              </w:rPr>
              <w:t>班制，</w:t>
            </w:r>
            <w:r>
              <w:rPr>
                <w:rFonts w:hint="eastAsia" w:cs="宋体"/>
                <w:bCs/>
                <w:color w:val="auto"/>
                <w:sz w:val="24"/>
              </w:rPr>
              <w:t>每班8小时，全年共计2400小时</w:t>
            </w:r>
            <w:r>
              <w:rPr>
                <w:rFonts w:cs="宋体"/>
                <w:bCs/>
                <w:color w:val="auto"/>
                <w:sz w:val="24"/>
              </w:rPr>
              <w:t>。</w:t>
            </w:r>
          </w:p>
          <w:p w14:paraId="54E80898">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11</w:t>
            </w:r>
            <w:r>
              <w:rPr>
                <w:rFonts w:hint="eastAsia" w:cs="宋体"/>
                <w:b/>
                <w:color w:val="auto"/>
                <w:sz w:val="24"/>
              </w:rPr>
              <w:t>、</w:t>
            </w:r>
            <w:r>
              <w:rPr>
                <w:rFonts w:cs="宋体"/>
                <w:b/>
                <w:color w:val="auto"/>
                <w:sz w:val="24"/>
              </w:rPr>
              <w:t>厂区平面布置</w:t>
            </w:r>
          </w:p>
          <w:p w14:paraId="1AC7DAE4">
            <w:pPr>
              <w:adjustRightInd w:val="0"/>
              <w:snapToGrid w:val="0"/>
              <w:spacing w:line="360" w:lineRule="auto"/>
              <w:ind w:firstLine="480" w:firstLineChars="200"/>
              <w:rPr>
                <w:rFonts w:cs="宋体"/>
                <w:bCs/>
                <w:color w:val="auto"/>
                <w:szCs w:val="21"/>
              </w:rPr>
            </w:pPr>
            <w:r>
              <w:rPr>
                <w:rFonts w:hint="eastAsia" w:cs="宋体"/>
                <w:bCs/>
                <w:color w:val="auto"/>
                <w:sz w:val="24"/>
              </w:rPr>
              <w:t>本项目7#生产厂房为3层的标准厂房，呈现为U形，</w:t>
            </w:r>
            <w:r>
              <w:rPr>
                <w:rFonts w:ascii="宋体" w:hAnsi="宋体" w:cs="宋体"/>
                <w:color w:val="auto"/>
                <w:sz w:val="24"/>
              </w:rPr>
              <w:t>项目结构布局合理</w:t>
            </w:r>
            <w:r>
              <w:rPr>
                <w:rFonts w:hint="eastAsia" w:ascii="宋体" w:hAnsi="宋体" w:cs="宋体"/>
                <w:color w:val="auto"/>
                <w:sz w:val="24"/>
              </w:rPr>
              <w:t>，</w:t>
            </w:r>
            <w:r>
              <w:rPr>
                <w:rFonts w:hint="eastAsia" w:cs="宋体"/>
                <w:bCs/>
                <w:color w:val="auto"/>
                <w:sz w:val="24"/>
              </w:rPr>
              <w:t>一至三层主要生产为机加工生产：一层为上料区、清洗区、烘干区、倒边区等，二层为清洗区、精磨区、检验区等，三层为上料区、清洗区、脱胶区等；9#生产厂房为3层的标准厂房，呈现为矩形，</w:t>
            </w:r>
            <w:r>
              <w:rPr>
                <w:rFonts w:ascii="宋体" w:hAnsi="宋体" w:cs="宋体"/>
                <w:color w:val="auto"/>
                <w:sz w:val="24"/>
              </w:rPr>
              <w:t>项目结构布局合理</w:t>
            </w:r>
            <w:r>
              <w:rPr>
                <w:rFonts w:hint="eastAsia" w:ascii="宋体" w:hAnsi="宋体" w:cs="宋体"/>
                <w:color w:val="auto"/>
                <w:sz w:val="24"/>
              </w:rPr>
              <w:t>，</w:t>
            </w:r>
            <w:r>
              <w:rPr>
                <w:rFonts w:hint="eastAsia" w:cs="宋体"/>
                <w:bCs/>
                <w:color w:val="auto"/>
                <w:sz w:val="24"/>
              </w:rPr>
              <w:t>一至三层主要生产粘胶组件：一层为检测室、车削中心等；二层为组装区、内外圆磨区、磁环磁瓦加工区；三层为预留车间；2#危化品仓库呈现为矩形。</w:t>
            </w:r>
            <w:r>
              <w:rPr>
                <w:rFonts w:hint="eastAsia"/>
                <w:color w:val="auto"/>
                <w:sz w:val="24"/>
              </w:rPr>
              <w:t>因此，总体布局功能分区明确，布局合理，具体布局见附图6。</w:t>
            </w:r>
          </w:p>
        </w:tc>
      </w:tr>
      <w:tr w14:paraId="294C6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13299ECF">
            <w:pPr>
              <w:pStyle w:val="20"/>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Cs w:val="24"/>
              </w:rPr>
              <w:t>工艺流程和产排污环节</w:t>
            </w:r>
          </w:p>
        </w:tc>
        <w:tc>
          <w:tcPr>
            <w:tcW w:w="9504" w:type="dxa"/>
          </w:tcPr>
          <w:p w14:paraId="24D9C059">
            <w:pPr>
              <w:topLinePunct/>
              <w:spacing w:line="360" w:lineRule="auto"/>
              <w:ind w:firstLine="482" w:firstLineChars="200"/>
              <w:rPr>
                <w:b/>
                <w:color w:val="auto"/>
                <w:sz w:val="24"/>
              </w:rPr>
            </w:pPr>
            <w:r>
              <w:rPr>
                <w:b/>
                <w:color w:val="auto"/>
                <w:sz w:val="24"/>
              </w:rPr>
              <w:t>1、施工期工艺流程</w:t>
            </w:r>
          </w:p>
          <w:p w14:paraId="42ED7408">
            <w:pPr>
              <w:topLinePunct/>
              <w:adjustRightInd w:val="0"/>
              <w:snapToGrid w:val="0"/>
              <w:spacing w:line="360" w:lineRule="auto"/>
              <w:ind w:firstLine="480" w:firstLineChars="200"/>
              <w:rPr>
                <w:color w:val="auto"/>
                <w:sz w:val="24"/>
              </w:rPr>
            </w:pPr>
            <w:r>
              <w:rPr>
                <w:color w:val="auto"/>
                <w:sz w:val="24"/>
              </w:rPr>
              <w:t>本项目施工期间的主要环境污染工序包括有：基础工程、主体工程、装饰工程等工序产生的施工机械噪声、车辆运输噪声、扬尘、施工机械柴油燃烧废气、装修废气、建筑垃圾、施工废水、施工人员生活垃圾、施工人员生活污水及土地开挖造成水土流失等，施工流程图及产污环节见图</w:t>
            </w:r>
            <w:r>
              <w:rPr>
                <w:rFonts w:hint="eastAsia"/>
                <w:color w:val="auto"/>
                <w:sz w:val="24"/>
              </w:rPr>
              <w:t>2-2</w:t>
            </w:r>
            <w:r>
              <w:rPr>
                <w:color w:val="auto"/>
                <w:sz w:val="24"/>
              </w:rPr>
              <w:t>所示。</w:t>
            </w:r>
          </w:p>
          <w:p w14:paraId="442D88D6">
            <w:pPr>
              <w:topLinePunct/>
              <w:spacing w:line="360" w:lineRule="auto"/>
              <w:jc w:val="center"/>
              <w:rPr>
                <w:color w:val="auto"/>
              </w:rPr>
            </w:pPr>
            <w:r>
              <w:rPr>
                <w:color w:val="auto"/>
              </w:rPr>
              <mc:AlternateContent>
                <mc:Choice Requires="wpc">
                  <w:drawing>
                    <wp:inline distT="0" distB="0" distL="114300" distR="114300">
                      <wp:extent cx="5325110" cy="929640"/>
                      <wp:effectExtent l="0" t="0" r="0" b="3810"/>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文本框 2"/>
                              <wps:cNvSpPr txBox="1"/>
                              <wps:spPr>
                                <a:xfrm>
                                  <a:off x="471170" y="449252"/>
                                  <a:ext cx="1014730" cy="4473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54C284">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场地清理及平整施工现场</w:t>
                                    </w:r>
                                  </w:p>
                                  <w:p w14:paraId="50975A21">
                                    <w:pPr>
                                      <w:adjustRightInd w:val="0"/>
                                      <w:snapToGrid w:val="0"/>
                                      <w:jc w:val="center"/>
                                      <w:rPr>
                                        <w:szCs w:val="21"/>
                                      </w:rPr>
                                    </w:pPr>
                                  </w:p>
                                </w:txbxContent>
                              </wps:txbx>
                              <wps:bodyPr upright="1"/>
                            </wps:wsp>
                            <wps:wsp>
                              <wps:cNvPr id="3" name="文本框 3"/>
                              <wps:cNvSpPr txBox="1"/>
                              <wps:spPr>
                                <a:xfrm>
                                  <a:off x="1702435" y="420657"/>
                                  <a:ext cx="1063625" cy="434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45A03E">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结构施工、内外装修等</w:t>
                                    </w:r>
                                  </w:p>
                                </w:txbxContent>
                              </wps:txbx>
                              <wps:bodyPr upright="1"/>
                            </wps:wsp>
                            <wps:wsp>
                              <wps:cNvPr id="16" name="文本框 16"/>
                              <wps:cNvSpPr txBox="1"/>
                              <wps:spPr>
                                <a:xfrm>
                                  <a:off x="4027170" y="412397"/>
                                  <a:ext cx="802640" cy="446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C0943D">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竣工</w:t>
                                    </w:r>
                                  </w:p>
                                  <w:p w14:paraId="51881684">
                                    <w:pPr>
                                      <w:pStyle w:val="73"/>
                                      <w:tabs>
                                        <w:tab w:val="right" w:leader="dot" w:pos="9345"/>
                                        <w:tab w:val="clear" w:pos="420"/>
                                        <w:tab w:val="clear" w:pos="8303"/>
                                        <w:tab w:val="clear" w:pos="9061"/>
                                      </w:tabs>
                                      <w:spacing w:line="240" w:lineRule="auto"/>
                                      <w:outlineLvl w:val="9"/>
                                      <w:rPr>
                                        <w:sz w:val="21"/>
                                        <w:szCs w:val="21"/>
                                      </w:rPr>
                                    </w:pPr>
                                    <w:r>
                                      <w:rPr>
                                        <w:rFonts w:hint="eastAsia" w:cs="Calibri"/>
                                        <w:sz w:val="21"/>
                                        <w:szCs w:val="21"/>
                                      </w:rPr>
                                      <w:t>交付使用</w:t>
                                    </w:r>
                                  </w:p>
                                </w:txbxContent>
                              </wps:txbx>
                              <wps:bodyPr upright="1"/>
                            </wps:wsp>
                            <wps:wsp>
                              <wps:cNvPr id="17" name="文本框 17"/>
                              <wps:cNvSpPr txBox="1"/>
                              <wps:spPr>
                                <a:xfrm>
                                  <a:off x="2973070" y="432731"/>
                                  <a:ext cx="863600" cy="4181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3C2F13">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清理施工场地</w:t>
                                    </w:r>
                                  </w:p>
                                </w:txbxContent>
                              </wps:txbx>
                              <wps:bodyPr upright="1"/>
                            </wps:wsp>
                            <wps:wsp>
                              <wps:cNvPr id="18" name="文本框 18"/>
                              <wps:cNvSpPr txBox="1"/>
                              <wps:spPr>
                                <a:xfrm>
                                  <a:off x="285115" y="0"/>
                                  <a:ext cx="1355090" cy="310092"/>
                                </a:xfrm>
                                <a:prstGeom prst="rect">
                                  <a:avLst/>
                                </a:prstGeom>
                                <a:solidFill>
                                  <a:srgbClr val="FFFFFF"/>
                                </a:solidFill>
                                <a:ln>
                                  <a:noFill/>
                                </a:ln>
                              </wps:spPr>
                              <wps:txbx>
                                <w:txbxContent>
                                  <w:p w14:paraId="6A566BE0">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噪声、固废、扬尘</w:t>
                                    </w:r>
                                  </w:p>
                                </w:txbxContent>
                              </wps:txbx>
                              <wps:bodyPr upright="1"/>
                            </wps:wsp>
                            <wps:wsp>
                              <wps:cNvPr id="19" name="文本框 19"/>
                              <wps:cNvSpPr txBox="1"/>
                              <wps:spPr>
                                <a:xfrm>
                                  <a:off x="1980565" y="0"/>
                                  <a:ext cx="2125345" cy="310092"/>
                                </a:xfrm>
                                <a:prstGeom prst="rect">
                                  <a:avLst/>
                                </a:prstGeom>
                                <a:solidFill>
                                  <a:srgbClr val="FFFFFF"/>
                                </a:solidFill>
                                <a:ln>
                                  <a:noFill/>
                                </a:ln>
                              </wps:spPr>
                              <wps:txbx>
                                <w:txbxContent>
                                  <w:p w14:paraId="1A8048B0">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噪声、废水、固废、扬尘、渣土</w:t>
                                    </w:r>
                                  </w:p>
                                </w:txbxContent>
                              </wps:txbx>
                              <wps:bodyPr upright="1"/>
                            </wps:wsp>
                            <wps:wsp>
                              <wps:cNvPr id="20" name="直接连接符 20"/>
                              <wps:cNvCnPr/>
                              <wps:spPr>
                                <a:xfrm>
                                  <a:off x="1502410" y="685633"/>
                                  <a:ext cx="200025" cy="635"/>
                                </a:xfrm>
                                <a:prstGeom prst="line">
                                  <a:avLst/>
                                </a:prstGeom>
                                <a:ln w="9525" cap="flat" cmpd="sng">
                                  <a:solidFill>
                                    <a:srgbClr val="000000"/>
                                  </a:solidFill>
                                  <a:prstDash val="solid"/>
                                  <a:headEnd type="none" w="med" len="med"/>
                                  <a:tailEnd type="stealth" w="med" len="med"/>
                                </a:ln>
                              </wps:spPr>
                              <wps:bodyPr/>
                            </wps:wsp>
                            <wps:wsp>
                              <wps:cNvPr id="21" name="直接连接符 21"/>
                              <wps:cNvCnPr/>
                              <wps:spPr>
                                <a:xfrm>
                                  <a:off x="2766060" y="653226"/>
                                  <a:ext cx="200025" cy="1271"/>
                                </a:xfrm>
                                <a:prstGeom prst="line">
                                  <a:avLst/>
                                </a:prstGeom>
                                <a:ln w="9525" cap="flat" cmpd="sng">
                                  <a:solidFill>
                                    <a:srgbClr val="000000"/>
                                  </a:solidFill>
                                  <a:prstDash val="solid"/>
                                  <a:headEnd type="none" w="med" len="med"/>
                                  <a:tailEnd type="stealth" w="med" len="med"/>
                                </a:ln>
                              </wps:spPr>
                              <wps:bodyPr/>
                            </wps:wsp>
                            <wps:wsp>
                              <wps:cNvPr id="22" name="直接连接符 22"/>
                              <wps:cNvCnPr/>
                              <wps:spPr>
                                <a:xfrm>
                                  <a:off x="3849370" y="656403"/>
                                  <a:ext cx="199390" cy="635"/>
                                </a:xfrm>
                                <a:prstGeom prst="line">
                                  <a:avLst/>
                                </a:prstGeom>
                                <a:ln w="9525" cap="flat" cmpd="sng">
                                  <a:solidFill>
                                    <a:srgbClr val="000000"/>
                                  </a:solidFill>
                                  <a:prstDash val="solid"/>
                                  <a:headEnd type="none" w="med" len="med"/>
                                  <a:tailEnd type="stealth" w="med" len="med"/>
                                </a:ln>
                              </wps:spPr>
                              <wps:bodyPr/>
                            </wps:wsp>
                            <wps:wsp>
                              <wps:cNvPr id="23" name="上箭头 23"/>
                              <wps:cNvSpPr/>
                              <wps:spPr>
                                <a:xfrm>
                                  <a:off x="835025" y="244642"/>
                                  <a:ext cx="266700" cy="167119"/>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4" name="上箭头 24"/>
                              <wps:cNvSpPr/>
                              <wps:spPr>
                                <a:xfrm>
                                  <a:off x="2164715" y="222402"/>
                                  <a:ext cx="267335" cy="181099"/>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5" name="上箭头 25"/>
                              <wps:cNvSpPr/>
                              <wps:spPr>
                                <a:xfrm>
                                  <a:off x="3284855" y="226850"/>
                                  <a:ext cx="266700" cy="193807"/>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73.2pt;width:419.3pt;" coordsize="5325110,929640" editas="canvas" o:gfxdata="UEsDBAoAAAAAAIdO4kAAAAAAAAAAAAAAAAAEAAAAZHJzL1BLAwQUAAAACACHTuJArYK36dcAAAAF&#10;AQAADwAAAGRycy9kb3ducmV2LnhtbE2PQWvCQBCF74L/YRmhF9GNrYQQs/EglEopSGPrec1Ok9Ds&#10;bMyuif33nfbSXh4M7/HeN9n2ZlsxYO8bRwpWywgEUulMQ5WCt+PjIgHhgyajW0eo4As9bPPpJNOp&#10;cSO94lCESnAJ+VQrqEPoUil9WaPVfuk6JPY+XG914LOvpOn1yOW2lfdRFEurG+KFWne4q7H8LK5W&#10;wVgehtPx5Uke5qe9o8v+siven5W6m62iDYiAt/AXhh98Roecmc7uSsaLVgE/En6VveQhiUGcObSO&#10;1yDzTP6nz78BUEsDBBQAAAAIAIdO4kBhcKpb8wQAAOcdAAAOAAAAZHJzL2Uyb0RvYy54bWztWUtv&#10;5EQQviPxHyzfybjbj7FHmaxgs8kFwUoLP6Bjtx/IL3U7mckZCSQOe0JcQEhIwGnhtIeVOPBn2ISf&#10;wdftx0wmM0kYRDaKJodJu10ud1d9XVVfef/JvMiNMy5kVpVTk+xZpsHLsIqyMpman3929IFvGrJh&#10;ZcTyquRT85xL88nB++/tz+oJp1Va5REXBpSUcjKrp2baNPVkNJJhygsm96qal7gZV6JgDS5FMooE&#10;m0F7kY+oZXmjWSWiWlQhlxKzh+1Ns9Mo7qKwiuMs5IdVeFrwsmm1Cp6zBluSaVZL80CvNo552Hwa&#10;x5I3Rj41sdNG/+IlGJ+o39HBPpskgtVpFnZLYHdZwsqeCpaVeOmg6pA1zDgV2TVVRRaKSlZxsxdW&#10;xajdiLYIdkGsFdsci+q01ntJJrOkHowOR61YfWu14Sdnz4WRRVOTeqZRsgIev/z2j7dvvjQwAevM&#10;6mQCoWNRv6ifi24iaa/UhuexKNR/bMWYa7ueD3bl88YIMena1CUEJg9xL6CB53SGD1N459pjYfrs&#10;5gdH/WtHanXDYmY1ECkXZpL/zUwvUlZzbX2pLNCbqbfSxXdfX/zw6uKnrwza2klLKSMZzfyjCtsm&#10;/bzE5BpbOWNCxrAKjOI4AXW1HjbprUYs4oztzmoOho52yLB5NqmFbI55VRhqMDUF0K5ByM4+lg1c&#10;BdFeRL1eVnkWHWV5ri9EcvI0F8YZw8k40n9quXjkilheGjP4zKUuvMdw3GMcMwyLGpCRZaLfd+UJ&#10;uazY0n/rFKuFHTKZtgvQGpQYmxRZw4UepZxFz8rIaM5roLJENDLVYgoemUbOEbzUSEs2LMvvIond&#10;5SU2qZDSOkWNmvnJHGrU8KSKzuHA01pkSQqTahdqcQCrFfnfEWZfR5ittqnWBxz+G4QBXtSx4ToF&#10;MWp57ri11wJinu1p1yoBAMzWAjuIPXKIkSHWL6IY5rYDmWPR8RDHCLWDFZD5FlUBXwd/x/HGSAR4&#10;0Q5jjx1j4+txjGhobBHIaIBM2OdKm45tHZgXudJHHLN6jBGftGDeYeyxYwxcpa1Zl+KYv2Ucoz6K&#10;1DZXduXpkCZt17WCDl42saxAl2r3DS9VHZWVKuDa+PnwSxkSrPFPsKV/SOBbrrfWQZRQ13ZwSxGM&#10;nYPWcckNbAag7kjf968vXv7y958/4vfy1a8G1WegC9VPy4769WVzT8AG3kdcVJqK4sEBnu96ti5Z&#10;FwEazN/qC00PFemNFUCeodRXaN9AZO6flGxLRWTDWd6k63kL4seaI9xSEGUfZfz7ox2UbITCQGRB&#10;P26HAh17nuV1UAD1b/sI66FAUDrusLAxnL8zLNCNWFhudtyOBdt3Arur2zwXNGAlLJAgsPvEugsL&#10;bTvjgYWFoR3x15tvLn//7e3Prw262o8AgFWw2tDn8m0khzZvUxBAZ6XPRT1v3NfuBPQQRcON2eG0&#10;/lCIarZIECpTJFGXx1j0BQJZXORo46K3ZbiqA6UUXpUBwBcyVAl1L9UpR9PTXetsucl2Eyrfbb+M&#10;On2wWkKoo9y5RDRvRiglHpqxHUQpRUejRUxPAKg3tlUbTZWXYJdWsIOoahurozUcnCtN4AfU3X0I&#10;LV0V/doyewmiugi+M0Rt6ju+20MUJfYKR70SRQPbt27p5O6i6MP5AHELRPVXLnz/01mp+1apPjAu&#10;X2u6sPg+e/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rYK36dcAAAAFAQAADwAAAAAAAAABACAA&#10;AAAiAAAAZHJzL2Rvd25yZXYueG1sUEsBAhQAFAAAAAgAh07iQGFwqlvzBAAA5x0AAA4AAAAAAAAA&#10;AQAgAAAAJgEAAGRycy9lMm9Eb2MueG1sUEsFBgAAAAAGAAYAWQEAAIsIAAAAAA==&#10;">
                      <o:lock v:ext="edit" aspectratio="f"/>
                      <v:shape id="_x0000_s1026" o:spid="_x0000_s1026" style="position:absolute;left:0;top:0;height:929640;width:5325110;" filled="f" stroked="f" coordsize="21600,21600" o:gfxdata="UEsDBAoAAAAAAIdO4kAAAAAAAAAAAAAAAAAEAAAAZHJzL1BLAwQUAAAACACHTuJArYK36dcAAAAF&#10;AQAADwAAAGRycy9kb3ducmV2LnhtbE2PQWvCQBCF74L/YRmhF9GNrYQQs/EglEopSGPrec1Ok9Ds&#10;bMyuif33nfbSXh4M7/HeN9n2ZlsxYO8bRwpWywgEUulMQ5WCt+PjIgHhgyajW0eo4As9bPPpJNOp&#10;cSO94lCESnAJ+VQrqEPoUil9WaPVfuk6JPY+XG914LOvpOn1yOW2lfdRFEurG+KFWne4q7H8LK5W&#10;wVgehtPx5Uke5qe9o8v+siven5W6m62iDYiAt/AXhh98Roecmc7uSsaLVgE/En6VveQhiUGcObSO&#10;1yDzTP6nz78BUEsDBBQAAAAIAIdO4kBjQXq8qgQAAGQdAAAOAAAAZHJzL2Uyb0RvYy54bWztmc1u&#10;60QUgPdIvIPlPY1nxh7bUdMraCkbBFe68AATe5wY+U8z0yZ9AZBYsGQDQkICVhdWd8GOl4GWx+Cc&#10;sZ2/Jm0VoJQqWTgT++R4fOab8+fjF/OycC6l0nldjVxy5LmOrJI6zavJyP30k/N3ItfRRlSpKOpK&#10;jtwrqd0XJ2+/dTxrhpLW07pIpXJASaWHs2bkTo1phoOBTqayFPqobmQFF7NalcLATzUZpErMQHtZ&#10;DKjn8cGsVmmj6kRqDWfP2otup1E9RGGdZXkiz+rkopSVabUqWQgDj6SneaPdEzvbLJOJ+TjLtDRO&#10;MXLhSY09wk1gPMbj4ORYDCdKNNM86aYgHjKFjWcqRV7BTReqzoQRzoXKb6kq80TVus7MUVKXg/ZB&#10;rEXgKYi3YZtTUV2K9mESsHU/QRj9g3rHE5x3VZ/nRQHWGID2IZ7D7xmstsTLRbUu1J6xsp3MrAEc&#10;dLMAQ/+9Kb6aikbaZdTD5KPLl8rJ05FLXacSJUB5/fUX19++vv7+c4fiEuLNQepVA3Jm/l49B7D7&#10;8xpO4uTnmSrxG2zuwHU/JCQECq5g6Mc0sHrEUM6Nk+DfPeKHDK4nViBkPkeFg6WeRmnzgaxLBwcj&#10;VwFqlgBx+aE2rWgvgrfVdZGnaGP7Q03Gp4VyLgVgeW4/nfY1saJyZiM3DmgA8xCw1zJgHIZlA7bQ&#10;1cTeb+0felWxZz/bFOPEzoSethOwGlBMDMvcSGVHUynS96vUMVcN2LsCV+DiZEqZuk4hwXPgyEoa&#10;kRcPkQTbIUYAjR62i4IjMx/PQQ0Ox3V6BQt40ah8MgWT2iW04gBWK/KvE8ZuE8bwMfcgDPCiPoOl&#10;Q4Kox4OwtdcSMc64XVoUAMCYFTgg9swRI/w2Y3BuP8h8j4YLP0YoizcgizzK/YUb4yGxIe/A2HNn&#10;LNzCmEVjD0dGY4iEfaxkNGTWMS9jZQR+zOsZIxFpYT4w9twZg0JhMxsj0Z5+jEYBIW2s7JLyRZhk&#10;QeDFHV6MeF5sU7XHxguzo2WS/H9IZUi8ZX3iPdeHxJEX8K0LRAkNmA+XMFU+LNC2Qm5HNQNQtxvo&#10;5ps311/9+Odv38Hx5vVPDrV7oHPVp9VL1SUHO2oZEkCmCZEdM00eBZzZlHXpoKHs9vpEk0NGCtp2&#10;b58ih1Qfad9RyDx+UbJvKaKNFIWZbq9bwABbqpG2BEH7oPEfr+ygZCcKi0IWCtz7UaAh5x7vUAgY&#10;pTax3I4CgdTxwEK7GZ4SC4suxy23sNrsuJ8FFvkx6/I2HkAZsOEWSByzPrAe3ELbznhibmHRjvj9&#10;1y9vfvn5jx/eOHSzH3F3bIgYBIc2blPf5/5Gn4tyHva5O4HyEJKGO6PDRfOuUvVsGSAwUkzSLo6J&#10;9DNwZFlZQA8VeltOgB0oVLguA4AvZSgKdTe1IccGp0PrbLXJdheV/22/jPp94Foh1MflXCk07yaU&#10;Eg7N2A5RSqGj0RLTFwCUhwzbaJheQnXpxQdEsW2MW2uxcdaawE+ou/sUWrro/do0ewVRmwQ/GFFG&#10;Iz8KekQhxd6oUde8aMwi755O7sGLPp0XEPcg2r7jahIblboXhfh2b/W3LReWL0dP/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tgrfp1wAAAAUBAAAPAAAAAAAAAAEAIAAAACIAAABkcnMvZG93bnJl&#10;di54bWxQSwECFAAUAAAACACHTuJAY0F6vKoEAABkHQAADgAAAAAAAAABACAAAAAmAQAAZHJzL2Uy&#10;b0RvYy54bWxQSwUGAAAAAAYABgBZAQAAQggAAAAA&#10;">
                        <v:fill on="f" focussize="0,0"/>
                        <v:stroke on="f"/>
                        <v:imagedata o:title=""/>
                        <o:lock v:ext="edit" aspectratio="t"/>
                      </v:shape>
                      <v:shape id="_x0000_s1026" o:spid="_x0000_s1026" o:spt="202" type="#_x0000_t202" style="position:absolute;left:471170;top:449252;height:447346;width:1014730;" fillcolor="#FFFFFF" filled="t" stroked="t" coordsize="21600,21600" o:gfxdata="UEsDBAoAAAAAAIdO4kAAAAAAAAAAAAAAAAAEAAAAZHJzL1BLAwQUAAAACACHTuJA8m6Slt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osc&#10;ZFPL//TNN1BLAwQUAAAACACHTuJAlb58vxMCAABABAAADgAAAGRycy9lMm9Eb2MueG1srVPNjtMw&#10;EL4j8Q6W7zRptt2yUdOVoJQLAqSFB3AdJ7HkP3ncJn0BeANOXLjzXH0Oxk73lz30sDk4Y/vzNzPf&#10;zCyvB63IXniQ1lR0OskpEYbbWpq2ot+/bd68pQQCMzVT1oiKHgTQ69XrV8velaKwnVW18ARJDJS9&#10;q2gXgiuzDHgnNIOJdcLgZWO9ZgG3vs1qz3pk1yor8vwy662vnbdcAODperykJ0Z/DqFtGsnF2vKd&#10;FiaMrF4oFjAl6KQDukrRNo3g4UvTgAhEVRQzDWlFJ2hv45qtlqxsPXOd5KcQ2DkhPMlJM2nQ6R3V&#10;mgVGdl7+R6Ul9xZsEybc6mxMJCmCWUzzJ9rcdMyJlAtKDe5OdHg5Wv55/9UTWVe0oMQwjQU//vp5&#10;/P33+OcHKaI8vYMSUTcOcWF4ZwdsmttzwMOY9dB4Hf+YD8H72WI6XaDCBzRnV8U88bBSDIHw+Dyf&#10;zhYXeM8TYHExu4yE2T2P8xA+CqtJNCrqsYxJXbb/BGGE3kKiW7BK1hupVNr4dvteebJnWPJN+k7s&#10;j2DKkL6iV/NijnEw7OMG+wdN7VALMG3y9+gFPCTO0/cccQxszaAbA0gMEcZKLYPwyeoEqz+YmoSD&#10;Q70NjhmNwWhRU6IETmW0EjIwqc5BonbKoISxWGNRohWG7YA00dza+oAF3Dkv2w4lTSVMcGyspP1p&#10;CGLnPtwn0vvBX/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m6SltUAAAAFAQAADwAAAAAAAAAB&#10;ACAAAAAiAAAAZHJzL2Rvd25yZXYueG1sUEsBAhQAFAAAAAgAh07iQJW+fL8TAgAAQAQAAA4AAAAA&#10;AAAAAQAgAAAAJAEAAGRycy9lMm9Eb2MueG1sUEsFBgAAAAAGAAYAWQEAAKkFAAAAAA==&#10;">
                        <v:fill on="t" focussize="0,0"/>
                        <v:stroke color="#000000" joinstyle="miter"/>
                        <v:imagedata o:title=""/>
                        <o:lock v:ext="edit" aspectratio="f"/>
                        <v:textbox>
                          <w:txbxContent>
                            <w:p w14:paraId="1054C284">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场地清理及平整施工现场</w:t>
                              </w:r>
                            </w:p>
                            <w:p w14:paraId="50975A21">
                              <w:pPr>
                                <w:adjustRightInd w:val="0"/>
                                <w:snapToGrid w:val="0"/>
                                <w:jc w:val="center"/>
                                <w:rPr>
                                  <w:szCs w:val="21"/>
                                </w:rPr>
                              </w:pPr>
                            </w:p>
                          </w:txbxContent>
                        </v:textbox>
                      </v:shape>
                      <v:shape id="_x0000_s1026" o:spid="_x0000_s1026" o:spt="202" type="#_x0000_t202" style="position:absolute;left:1702435;top:420657;height:434637;width:1063625;" fillcolor="#FFFFFF" filled="t" stroked="t" coordsize="21600,21600" o:gfxdata="UEsDBAoAAAAAAIdO4kAAAAAAAAAAAAAAAAAEAAAAZHJzL1BLAwQUAAAACACHTuJA8m6Slt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osc&#10;ZFPL//TNN1BLAwQUAAAACACHTuJA2AWkbhUCAABBBAAADgAAAGRycy9lMm9Eb2MueG1srVNLktMw&#10;EN1TxR1U2hN74iQDqThTBSFsKKBq4ACKJNuq0q/USuxcAG7Aig17zpVzTEvOfGExC7ywW9Lz636v&#10;W6urwWhykAGUszW9mJSUSMudULat6bev21evKYHIrGDaWVnTowR6tX75YtX7pZy6zmkhA0ESC8ve&#10;17SL0S+LAngnDYOJ89LiYeOCYRGXoS1EYD2yG11My3JR9C4IHxyXALi7GQ/pmTE8h9A1jeJy4/je&#10;SBtH1iA1iygJOuWBrnO1TSN5/Nw0ICPRNUWlMb8xCca79C7WK7ZsA/Od4ucS2HNKeKLJMGUx6R3V&#10;hkVG9kH9RWUUDw5cEyfcmWIUkh1BFRflE2+uO+Zl1oJWg78zHf4fLf90+BKIEjWtKLHMYMNPP3+c&#10;fv05/f5OqmRP72GJqGuPuDi8dQMOze0+4GZSPTTBpC/qIen8spzOqjklx5rOpuVifjn6LIdIeDov&#10;F9Viiuc8AarZosqA4p7IB4gfpDMkBTUN2MdsLzt8hIhFIfQWkvKC00psldZ5EdrdOx3IgWHPt/lJ&#10;6fGXRzBtSV/TN/NcB8NBbnCAsCTj0Qywbc736A94SFzm51/EqbANg24sIDOM8o2KMuSB6yQT760g&#10;8ejRcIv3jKZijBSUaInXMkUZGZnSz0GiOm1RZOrW2JUUxWE3IE0Kd04csYN7H1TboaW5hxmOk5Xd&#10;Od+CNLoP15n0/uavb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bpKW1QAAAAUBAAAPAAAAAAAA&#10;AAEAIAAAACIAAABkcnMvZG93bnJldi54bWxQSwECFAAUAAAACACHTuJA2AWkbhUCAABBBAAADgAA&#10;AAAAAAABACAAAAAkAQAAZHJzL2Uyb0RvYy54bWxQSwUGAAAAAAYABgBZAQAAqwUAAAAA&#10;">
                        <v:fill on="t" focussize="0,0"/>
                        <v:stroke color="#000000" joinstyle="miter"/>
                        <v:imagedata o:title=""/>
                        <o:lock v:ext="edit" aspectratio="f"/>
                        <v:textbox>
                          <w:txbxContent>
                            <w:p w14:paraId="1045A03E">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结构施工、内外装修等</w:t>
                              </w:r>
                            </w:p>
                          </w:txbxContent>
                        </v:textbox>
                      </v:shape>
                      <v:shape id="_x0000_s1026" o:spid="_x0000_s1026" o:spt="202" type="#_x0000_t202" style="position:absolute;left:4027170;top:412397;height:446710;width:802640;" fillcolor="#FFFFFF" filled="t" stroked="t" coordsize="21600,21600" o:gfxdata="UEsDBAoAAAAAAIdO4kAAAAAAAAAAAAAAAAAEAAAAZHJzL1BLAwQUAAAACACHTuJA8m6Slt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osc&#10;ZFPL//TNN1BLAwQUAAAACACHTuJAymNn2hYCAABCBAAADgAAAGRycy9lMm9Eb2MueG1srVPNjtMw&#10;EL4j8Q6W7zRp6La7VdOVoJQLAqSFB3BtJ7HkP3ncJn0BeANOXLjzXH0Oxk73Fw57IAdn7Bl/M983&#10;49X1YDQ5yADK2ZpOJyUl0nInlG1r+vXL9tUlJRCZFUw7K2t6lECv1y9frHq/lJXrnBYyEASxsOx9&#10;TbsY/bIogHfSMJg4Ly06GxcMi7gNbSEC6xHd6KIqy3nRuyB8cFwC4OlmdNIzYngOoGsaxeXG8b2R&#10;No6oQWoWkRJ0ygNd52qbRvL4qWlARqJrikxjXjEJ2ru0FusVW7aB+U7xcwnsOSU84WSYspj0DmrD&#10;IiP7oP6CMooHB66JE+5MMRLJiiCLaflEm5uOeZm5oNTg70SH/wfLPx4+B6IETsKcEssMdvz04/vp&#10;5+/Tr28Ez1Cg3sMS4248RsbhjRsw+PYc8DDxHppg0h8ZEfTPymoxXaDIR7Sn1eurxai0HCLh6L8s&#10;q/kM3Tz5Z/PFNHeiuMfxAeJ76QxJRk0DNjLryw4fIGJNGHobktKC00psldZ5E9rdWx3IgWHTt/lL&#10;2fHKozBtSV/Tq4vqAutgOMkNThCaxqMaYNuc79ENeAhc5u9fwKmwDYNuLCAjjOyNijLkieskE++s&#10;IPHoUXCLD42mYowUlGiJ7zJZOTIypZ8Tiey0RZKpWWNTkhWH3YAwydw5ccQG7n1QbYeS5hbmcByt&#10;rM75GaTZfbjPoPdPf/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m6SltUAAAAFAQAADwAAAAAA&#10;AAABACAAAAAiAAAAZHJzL2Rvd25yZXYueG1sUEsBAhQAFAAAAAgAh07iQMpjZ9oWAgAAQgQAAA4A&#10;AAAAAAAAAQAgAAAAJAEAAGRycy9lMm9Eb2MueG1sUEsFBgAAAAAGAAYAWQEAAKwFAAAAAA==&#10;">
                        <v:fill on="t" focussize="0,0"/>
                        <v:stroke color="#000000" joinstyle="miter"/>
                        <v:imagedata o:title=""/>
                        <o:lock v:ext="edit" aspectratio="f"/>
                        <v:textbox>
                          <w:txbxContent>
                            <w:p w14:paraId="32C0943D">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竣工</w:t>
                              </w:r>
                            </w:p>
                            <w:p w14:paraId="51881684">
                              <w:pPr>
                                <w:pStyle w:val="73"/>
                                <w:tabs>
                                  <w:tab w:val="right" w:leader="dot" w:pos="9345"/>
                                  <w:tab w:val="clear" w:pos="420"/>
                                  <w:tab w:val="clear" w:pos="8303"/>
                                  <w:tab w:val="clear" w:pos="9061"/>
                                </w:tabs>
                                <w:spacing w:line="240" w:lineRule="auto"/>
                                <w:outlineLvl w:val="9"/>
                                <w:rPr>
                                  <w:sz w:val="21"/>
                                  <w:szCs w:val="21"/>
                                </w:rPr>
                              </w:pPr>
                              <w:r>
                                <w:rPr>
                                  <w:rFonts w:hint="eastAsia" w:cs="Calibri"/>
                                  <w:sz w:val="21"/>
                                  <w:szCs w:val="21"/>
                                </w:rPr>
                                <w:t>交付使用</w:t>
                              </w:r>
                            </w:p>
                          </w:txbxContent>
                        </v:textbox>
                      </v:shape>
                      <v:shape id="_x0000_s1026" o:spid="_x0000_s1026" o:spt="202" type="#_x0000_t202" style="position:absolute;left:2973070;top:432731;height:418116;width:863600;" fillcolor="#FFFFFF" filled="t" stroked="t" coordsize="21600,21600" o:gfxdata="UEsDBAoAAAAAAIdO4kAAAAAAAAAAAAAAAAAEAAAAZHJzL1BLAwQUAAAACACHTuJA8m6Slt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osc&#10;ZFPL//TNN1BLAwQUAAAACACHTuJA2JrxohUCAABCBAAADgAAAGRycy9lMm9Eb2MueG1srVNNrtMw&#10;EN4jcQfLe5qk5bV9UdMnQSkbBEgPDuA6TmLJf/K4TXoBuAErNuw5V8/B2On7hUUXZOGMPZ8/z3wz&#10;s7oZtCIH4UFaU9FiklMiDLe1NG1Fv37ZvlpSAoGZmilrREWPAujN+uWLVe9KMbWdVbXwBEkMlL2r&#10;aBeCK7MMeCc0g4l1wqCzsV6zgFvfZrVnPbJrlU3zfJ711tfOWy4A8HQzOumZ0V9CaJtGcrGxfK+F&#10;CSOrF4oFTAk66YCuU7RNI3j41DQgAlEVxUxDWvERtHdxzdYrVraeuU7ycwjskhCe5aSZNPjoPdWG&#10;BUb2Xv5FpSX3FmwTJtzqbEwkKYJZFPkzbW475kTKBaUGdy86/D9a/vHw2RNZYycsKDFMY8VPP76f&#10;fv4+/fpG8AwF6h2UiLt1iAzDGzsg+O4c8DDmPTRexz9mRNA/vV7M8gWKfKzo69l0MUsXWCmGQDj6&#10;l/PZPEc3j/5iWRTzSJg98DgP4b2wmkSjoh4LmfRlhw8QRugdJD4LVsl6K5VKG9/u3ipPDgyLvk3f&#10;mf0JTBnSV/T6anqFcTDs5AY7CE3tUA0wbXrvyQ14TJyn71/EMbANg24MIDFEGCu1DMInqxOsfmdq&#10;Eo4OBTc4aDQGo0VNiRI4l9FKyMCkugSJ2imDEsZijUWJVhh2A9JEc2frIxZw77xsO5Q0VSTBsbWS&#10;9ucxiL37eJ9IH0Z//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bpKW1QAAAAUBAAAPAAAAAAAA&#10;AAEAIAAAACIAAABkcnMvZG93bnJldi54bWxQSwECFAAUAAAACACHTuJA2JrxohUCAABCBAAADgAA&#10;AAAAAAABACAAAAAkAQAAZHJzL2Uyb0RvYy54bWxQSwUGAAAAAAYABgBZAQAAqwUAAAAA&#10;">
                        <v:fill on="t" focussize="0,0"/>
                        <v:stroke color="#000000" joinstyle="miter"/>
                        <v:imagedata o:title=""/>
                        <o:lock v:ext="edit" aspectratio="f"/>
                        <v:textbox>
                          <w:txbxContent>
                            <w:p w14:paraId="483C2F13">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清理施工场地</w:t>
                              </w:r>
                            </w:p>
                          </w:txbxContent>
                        </v:textbox>
                      </v:shape>
                      <v:shape id="_x0000_s1026" o:spid="_x0000_s1026" o:spt="202" type="#_x0000_t202" style="position:absolute;left:285115;top:0;height:310092;width:1355090;" fillcolor="#FFFFFF" filled="t" stroked="f" coordsize="21600,21600" o:gfxdata="UEsDBAoAAAAAAIdO4kAAAAAAAAAAAAAAAAAEAAAAZHJzL1BLAwQUAAAACACHTuJA/CXVodQAAAAF&#10;AQAADwAAAGRycy9kb3ducmV2LnhtbE2PwU7DMBBE70j8g7VIXBB1CiENIU4lkEBcW/oBm3ibRMTr&#10;KHab9u9ZuNDLSKsZzbwt1yc3qCNNofdsYLlIQBE33vbcGth9vd/noEJEtjh4JgNnCrCurq9KLKyf&#10;eUPHbWyVlHAo0EAX41hoHZqOHIaFH4nF2/vJYZRzarWdcJZyN+iHJMm0w55locOR3jpqvrcHZ2D/&#10;Od89Pc/1R9ytNmn2iv2q9mdjbm+WyQuoSKf4H4ZffEGHSphqf2Ab1GBAHol/Kl7+mGegagmlWQq6&#10;KvUlffUDUEsDBBQAAAAIAIdO4kB8WQ8nxQEAAH4DAAAOAAAAZHJzL2Uyb0RvYy54bWytU0tu2zAQ&#10;3RfoHQjua0oOXCSC5QCp4W6KtkDaA9AUJRHgD0Paki/Q3qCrbrrvuXyODinFadNNFtGCImceH+e9&#10;Ide3o9HkKCEoZ2taLgpKpBWuUbar6dcvuzfXlITIbcO1s7KmJxno7eb1q/XgK7l0vdONBIIkNlSD&#10;r2kfo68YC6KXhoeF89JisnVgeMQldKwBPiC70WxZFG/Z4KDx4IQMAaPbKUlnRngOoWtbJeTWiYOR&#10;Nk6sIDWPKCn0yge6ydW2rRTxU9sGGYmuKSqNecRDcL5PI9usedUB970Scwn8OSU80WS4snjohWrL&#10;IycHUP9RGSXABdfGhXCGTUKyI6iiLJ54c99zL7MWtDr4i+nh5WjFx+NnIKrBm4B9t9xgx88/vp9/&#10;/j7/+kYwhgYNPlSIu/eIjOOdGxH8EA8YTLrHFkz6oyKC+eX1qixXlJwuHssxEpF2Xq1WxQ3aLzB3&#10;VRbFzTJxsUcKDyG+l86QNKkpYA+ztfz4IcQJ+gBJJwanVbNTWucFdPt3GsiRY793+ZvZ/4Fpm8DW&#10;pW0TY4qwJHQSlGZx3I+z+r1rTij+4EF1PdaU5Wc4tiUXP1+h1Pe/15n08dl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8JdWh1AAAAAUBAAAPAAAAAAAAAAEAIAAAACIAAABkcnMvZG93bnJldi54&#10;bWxQSwECFAAUAAAACACHTuJAfFkPJ8UBAAB+AwAADgAAAAAAAAABACAAAAAjAQAAZHJzL2Uyb0Rv&#10;Yy54bWxQSwUGAAAAAAYABgBZAQAAWgUAAAAA&#10;">
                        <v:fill on="t" focussize="0,0"/>
                        <v:stroke on="f"/>
                        <v:imagedata o:title=""/>
                        <o:lock v:ext="edit" aspectratio="f"/>
                        <v:textbox>
                          <w:txbxContent>
                            <w:p w14:paraId="6A566BE0">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噪声、固废、扬尘</w:t>
                              </w:r>
                            </w:p>
                          </w:txbxContent>
                        </v:textbox>
                      </v:shape>
                      <v:shape id="_x0000_s1026" o:spid="_x0000_s1026" o:spt="202" type="#_x0000_t202" style="position:absolute;left:1980565;top:0;height:310092;width:2125345;" fillcolor="#FFFFFF" filled="t" stroked="f" coordsize="21600,21600" o:gfxdata="UEsDBAoAAAAAAIdO4kAAAAAAAAAAAAAAAAAEAAAAZHJzL1BLAwQUAAAACACHTuJA/CXVodQAAAAF&#10;AQAADwAAAGRycy9kb3ducmV2LnhtbE2PwU7DMBBE70j8g7VIXBB1CiENIU4lkEBcW/oBm3ibRMTr&#10;KHab9u9ZuNDLSKsZzbwt1yc3qCNNofdsYLlIQBE33vbcGth9vd/noEJEtjh4JgNnCrCurq9KLKyf&#10;eUPHbWyVlHAo0EAX41hoHZqOHIaFH4nF2/vJYZRzarWdcJZyN+iHJMm0w55locOR3jpqvrcHZ2D/&#10;Od89Pc/1R9ytNmn2iv2q9mdjbm+WyQuoSKf4H4ZffEGHSphqf2Ab1GBAHol/Kl7+mGegagmlWQq6&#10;KvUlffUDUEsDBBQAAAAIAIdO4kD4XnxjxQEAAH8DAAAOAAAAZHJzL2Uyb0RvYy54bWytU0tu2zAQ&#10;3RfoHQjua8lKHcSC5QCJ4W6KtkDaA9AUJRHgD0Paki/Q3qCrbrrvuXyODinF+W2yiBbUcObpcd4b&#10;anU9aEUOAry0pqLzWU6JMNzW0rQV/fF9++GKEh+YqZmyRlT0KDy9Xr9/t+pdKQrbWVULIEhifNm7&#10;inYhuDLLPO+EZn5mnTBYbCxoFnALbVYD65Fdq6zI88ust1A7sFx4j9nNWKQTI7yG0DaN5GJj+V4L&#10;E0ZWEIoFlOQ76Txdp26bRvDwtWm8CERVFJWGtOIhGO/imq1XrGyBuU7yqQX2mhaeadJMGjz0TLVh&#10;gZE9yBdUWnKw3jZhxq3ORiHJEVQxz595c9cxJ5IWtNq7s+n+7Wj5l8M3ILLGm7CkxDCNEz/9/nX6&#10;8+/09yfBHBrUO18i7s4hMgw3dkDwfd5jMuoeGtDxjYpIrC+v8sXlgpLj2WQxBMKxVMyLxcVHLHGs&#10;XczzfFlEsuyBw4EPn4TVJAYVBRxi8pYdPvswQu8h8Uhvlay3Uqm0gXZ3q4AcGA58m56J/QlMmQg2&#10;Nn42MsZMFpWOimIUht0wyd/Z+ojq9w5k22FPSX+C41xS89MdioN/vE+kD//N+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8JdWh1AAAAAUBAAAPAAAAAAAAAAEAIAAAACIAAABkcnMvZG93bnJldi54&#10;bWxQSwECFAAUAAAACACHTuJA+F58Y8UBAAB/AwAADgAAAAAAAAABACAAAAAjAQAAZHJzL2Uyb0Rv&#10;Yy54bWxQSwUGAAAAAAYABgBZAQAAWgUAAAAA&#10;">
                        <v:fill on="t" focussize="0,0"/>
                        <v:stroke on="f"/>
                        <v:imagedata o:title=""/>
                        <o:lock v:ext="edit" aspectratio="f"/>
                        <v:textbox>
                          <w:txbxContent>
                            <w:p w14:paraId="1A8048B0">
                              <w:pPr>
                                <w:pStyle w:val="73"/>
                                <w:tabs>
                                  <w:tab w:val="right" w:leader="dot" w:pos="9345"/>
                                  <w:tab w:val="clear" w:pos="420"/>
                                  <w:tab w:val="clear" w:pos="8303"/>
                                  <w:tab w:val="clear" w:pos="9061"/>
                                </w:tabs>
                                <w:spacing w:line="240" w:lineRule="auto"/>
                                <w:outlineLvl w:val="9"/>
                                <w:rPr>
                                  <w:rFonts w:cs="Calibri"/>
                                  <w:sz w:val="21"/>
                                  <w:szCs w:val="21"/>
                                </w:rPr>
                              </w:pPr>
                              <w:r>
                                <w:rPr>
                                  <w:rFonts w:hint="eastAsia" w:cs="Calibri"/>
                                  <w:sz w:val="21"/>
                                  <w:szCs w:val="21"/>
                                </w:rPr>
                                <w:t>噪声、废水、固废、扬尘、渣土</w:t>
                              </w:r>
                            </w:p>
                          </w:txbxContent>
                        </v:textbox>
                      </v:shape>
                      <v:line id="_x0000_s1026" o:spid="_x0000_s1026" o:spt="20" style="position:absolute;left:1502410;top:685633;height:635;width:200025;" filled="f" stroked="t" coordsize="21600,21600" o:gfxdata="UEsDBAoAAAAAAIdO4kAAAAAAAAAAAAAAAAAEAAAAZHJzL1BLAwQUAAAACACHTuJA8IJS5tMAAAAF&#10;AQAADwAAAGRycy9kb3ducmV2LnhtbE2PwW7CMBBE75X6D9ZW6q04oSiKQhwOCC69VA2Fs4mXOBCv&#10;o9hA+vfd9tJeRlrNaOZtuZpcL244hs6TgnSWgEBqvOmoVfC5277kIELUZHTvCRV8YYBV9fhQ6sL4&#10;O33grY6t4BIKhVZgYxwKKUNj0ekw8wMSeyc/Oh35HFtpRn3nctfLeZJk0umOeMHqAdcWm0t9dQo2&#10;WL/Z3Qk32ftUn6d8j/tDiko9P6XJEkTEKf6F4Qef0aFipqO/kgmiV8CPxF9lL3/NMxBHDi2yBciq&#10;lP/pq29QSwMEFAAAAAgAh07iQA6tRpz+AQAA6QMAAA4AAABkcnMvZTJvRG9jLnhtbK1TzY7TMBC+&#10;I/EOlu80aUurJWq6hy3LBUEl4AGmjtNY8p883qZ9CV4AiRucOHLnbVgeg7ETtrBw2AM5OGPP+PN8&#10;nz+vLo9Gs4MMqJyt+XRSciatcI2y+5q/e3v95IIzjGAb0M7Kmp8k8sv140er3ldy5jqnGxkYgVis&#10;el/zLkZfFQWKThrAifPSUrJ1wUCkadgXTYCe0I0uZmW5LHoXGh+ckIi0uhmSfEQMDwF0bauE3Dhx&#10;Y6SNA2qQGiJRwk555OvcbdtKEV+3LcrIdM2JacwjHULxLo3FegXVPoDvlBhbgIe0cI+TAWXp0Duo&#10;DURgN0H9BWWUCA5dGyfCmWIgkhUhFtPynjZvOvAycyGp0d+Jjv8PVrw6bANTTc1nJIkFQzd+++Hr&#10;9/effnz7SOPtl8+MMiRT77Gi6iu7DeMM/TYkzsc2mPQnNuxIllqUs6dTQjvVfHmxWM7ng8ryGJmg&#10;PJmgnC04Eyk/X6RkcQbxAeML6QxLQc21skkBqODwEuNQ+qskLWvL+po/W2RAIDu2ZAPCNp4ood3n&#10;vei0aq6V1mkHhv3uSgd2gGSJ/I0t/FGWDtkAdkNdTg00OgnNc9uwePKklaU3wlMLRjacaUlPKkXU&#10;KFQRlD5XYpSgY/fvYhJAW9IhiTzImqKda05Z7bxODshKjW5NFvt9nnefX+j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CCUubTAAAABQEAAA8AAAAAAAAAAQAgAAAAIgAAAGRycy9kb3ducmV2Lnht&#10;bFBLAQIUABQAAAAIAIdO4kAOrUac/gEAAOkDAAAOAAAAAAAAAAEAIAAAACIBAABkcnMvZTJvRG9j&#10;LnhtbFBLBQYAAAAABgAGAFkBAACSBQAAAAA=&#10;">
                        <v:fill on="f" focussize="0,0"/>
                        <v:stroke color="#000000" joinstyle="round" endarrow="classic"/>
                        <v:imagedata o:title=""/>
                        <o:lock v:ext="edit" aspectratio="f"/>
                      </v:line>
                      <v:line id="_x0000_s1026" o:spid="_x0000_s1026" o:spt="20" style="position:absolute;left:2766060;top:653226;height:1271;width:200025;" filled="f" stroked="t" coordsize="21600,21600" o:gfxdata="UEsDBAoAAAAAAIdO4kAAAAAAAAAAAAAAAAAEAAAAZHJzL1BLAwQUAAAACACHTuJA8IJS5tMAAAAF&#10;AQAADwAAAGRycy9kb3ducmV2LnhtbE2PwW7CMBBE75X6D9ZW6q04oSiKQhwOCC69VA2Fs4mXOBCv&#10;o9hA+vfd9tJeRlrNaOZtuZpcL244hs6TgnSWgEBqvOmoVfC5277kIELUZHTvCRV8YYBV9fhQ6sL4&#10;O33grY6t4BIKhVZgYxwKKUNj0ekw8wMSeyc/Oh35HFtpRn3nctfLeZJk0umOeMHqAdcWm0t9dQo2&#10;WL/Z3Qk32ftUn6d8j/tDiko9P6XJEkTEKf6F4Qef0aFipqO/kgmiV8CPxF9lL3/NMxBHDi2yBciq&#10;lP/pq29QSwMEFAAAAAgAh07iQBoLuCcBAgAA6gMAAA4AAABkcnMvZTJvRG9jLnhtbK1TzY7TMBC+&#10;I/EOlu80aVCzEDXdw5blgqAS8ABTx2ks+U8eb9O+BC+AxA1OHLnzNrs8BmOn7MLCYQ/04I4942++&#10;78t4eX4wmu1lQOVsy+ezkjNpheuU3bX8/bvLJ884wwi2A+2sbPlRIj9fPX60HH0jKzc43cnACMRi&#10;M/qWDzH6pihQDNIAzpyXlpK9CwYibcOu6AKMhG50UZVlXYwudD44IRHpdD0l+QkxPATQ9b0Scu3E&#10;lZE2TqhBaogkCQflka8y276XIr7pe5SR6ZaT0phXakLxNq3FagnNLoAflDhRgIdQuKfJgLLU9BZq&#10;DRHYVVB/QRklgkPXx5lwppiEZEdIxby8583bAbzMWshq9Lem4/+DFa/3m8BU1/JqzpkFQ1/85uO3&#10;6w+ff3z/ROvN1y+MMmTT6LGh6gu7Cacd+k1Img99MOmf1LADAZ3VdVmTwceW14unVVVPLstDZCLl&#10;y7KsFpwJys+rswxe3KH4gPGldIaloOVa2WQBNLB/hZE6U+mvknSsLRtb/nyREYHmsac5IHDjSRPa&#10;Xb6LTqvuUmmdbmDYbS90YHtIM5F/iSDh/lGWmqwBh6kupyYdg4Tuhe1YPHoyy9Ij4YmCkR1nWtKb&#10;ShEBQhNB6btKjBJ0HP5dTN21JRLJ5cnXFG1dd8x253MagUzzNK5pxn7f59t3T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CCUubTAAAABQEAAA8AAAAAAAAAAQAgAAAAIgAAAGRycy9kb3ducmV2&#10;LnhtbFBLAQIUABQAAAAIAIdO4kAaC7gnAQIAAOoDAAAOAAAAAAAAAAEAIAAAACIBAABkcnMvZTJv&#10;RG9jLnhtbFBLBQYAAAAABgAGAFkBAACVBQAAAAA=&#10;">
                        <v:fill on="f" focussize="0,0"/>
                        <v:stroke color="#000000" joinstyle="round" endarrow="classic"/>
                        <v:imagedata o:title=""/>
                        <o:lock v:ext="edit" aspectratio="f"/>
                      </v:line>
                      <v:line id="_x0000_s1026" o:spid="_x0000_s1026" o:spt="20" style="position:absolute;left:3849370;top:656403;height:635;width:199390;" filled="f" stroked="t" coordsize="21600,21600" o:gfxdata="UEsDBAoAAAAAAIdO4kAAAAAAAAAAAAAAAAAEAAAAZHJzL1BLAwQUAAAACACHTuJA8IJS5tMAAAAF&#10;AQAADwAAAGRycy9kb3ducmV2LnhtbE2PwW7CMBBE75X6D9ZW6q04oSiKQhwOCC69VA2Fs4mXOBCv&#10;o9hA+vfd9tJeRlrNaOZtuZpcL244hs6TgnSWgEBqvOmoVfC5277kIELUZHTvCRV8YYBV9fhQ6sL4&#10;O33grY6t4BIKhVZgYxwKKUNj0ekw8wMSeyc/Oh35HFtpRn3nctfLeZJk0umOeMHqAdcWm0t9dQo2&#10;WL/Z3Qk32ftUn6d8j/tDiko9P6XJEkTEKf6F4Qef0aFipqO/kgmiV8CPxF9lL3/NMxBHDi2yBciq&#10;lP/pq29QSwMEFAAAAAgAh07iQJgzwrECAgAA6QMAAA4AAABkcnMvZTJvRG9jLnhtbK1TS3ITMRDd&#10;U8UdVNrj8Sc28ZTHWcSEDQWughygrdF4VKVfqRWPfQkuQBU7WLFkn9sQjpGWxsQQWGTBLDQtvdZT&#10;v6fW4mJvNNvJgMrZio8GQ86kFa5Wdlvx6w9XL845wwi2Bu2srPhBIr9YPn+26Hwpx651upaBEYnF&#10;svMVb2P0ZVGgaKUBHDgvLYGNCwYiTcO2qAN0xG50MR4OZ0XnQu2DExKRVlc9yI+M4SmErmmUkCsn&#10;boy0sWcNUkMkSdgqj3yZq20aKeK7pkEZma44KY15pEMo3qSxWC6g3AbwrRLHEuApJTzSZEBZOvSB&#10;agUR2E1Qf1EZJYJD18SBcKbohWRHSMVo+Mib9y14mbWQ1egfTMf/Ryve7taBqbri4zFnFgzd+N2n&#10;7z8+fvl5+5nGu29fGSFkU+expOxLuw7HGfp1SJr3TTDpT2rYvuKT87P55CUZfKj4bDo7G056l+U+&#10;MkH4aD6fzAkWCZ9ME1icSHzA+Fo6w1JQca1scgBK2L3B2Kf+SknL2rKu4vPpeEqEQO3YUBtQaDxJ&#10;QrvNe9FpVV8prdMODNvNpQ5sB6kl8ncs4Y+0dMgKsO3zMtTLaCXUr2zN4sGTV5beCE8lGFlzpiU9&#10;qRRRoVBGUPqUiVGCju2/k8kAbcmHZHJva4o2rj5kt/M6dUB26titqcV+n+fdpxe6v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glLm0wAAAAUBAAAPAAAAAAAAAAEAIAAAACIAAABkcnMvZG93bnJl&#10;di54bWxQSwECFAAUAAAACACHTuJAmDPCsQICAADpAwAADgAAAAAAAAABACAAAAAiAQAAZHJzL2Uy&#10;b0RvYy54bWxQSwUGAAAAAAYABgBZAQAAlgUAAAAA&#10;">
                        <v:fill on="f" focussize="0,0"/>
                        <v:stroke color="#000000" joinstyle="round" endarrow="classic"/>
                        <v:imagedata o:title=""/>
                        <o:lock v:ext="edit" aspectratio="f"/>
                      </v:line>
                      <v:shape id="_x0000_s1026" o:spid="_x0000_s1026" o:spt="68" type="#_x0000_t68" style="position:absolute;left:835025;top:244642;height:167119;width:266700;" fillcolor="#FFFFFF" filled="t" stroked="t" coordsize="21600,21600" o:gfxdata="UEsDBAoAAAAAAIdO4kAAAAAAAAAAAAAAAAAEAAAAZHJzL1BLAwQUAAAACACHTuJAUAygCdQAAAAF&#10;AQAADwAAAGRycy9kb3ducmV2LnhtbE2PwU7DMBBE70j8g7VI3KhTqEIU4vSA1EOROFCinrexm6S1&#10;15HtpuHvWbjAZaTVjGbeVuvZWTGZEAdPCpaLDISh1uuBOgXN5+ahABETkkbrySj4MhHW9e1NhaX2&#10;V/ow0y51gksolqigT2kspYxtbxzGhR8NsXf0wWHiM3RSB7xyubPyMcty6XAgXuhxNK+9ac+7i1PQ&#10;2mkfnrfv+jifNrJ5C80Wi0ap+7tl9gIimTn9heEHn9GhZqaDv5COwirgR9Kvslc8FTmIA4dW+Qpk&#10;Xcn/9PU3UEsDBBQAAAAIAIdO4kD1xLlxMQIAAIAEAAAOAAAAZHJzL2Uyb0RvYy54bWytVM2O0zAQ&#10;viPxDpbvND/bdnejpitEKRcEKy08gGs7iZH/ZLtN+wo8B1c4ceCBQLwGYyd02+XSAz4kY8/km/m+&#10;GWdxt1cS7bjzwugaF5McI66pYUK3Nf74Yf3iBiMfiGZEGs1rfOAe3y2fP1v0tuKl6Yxk3CEA0b7q&#10;bY27EGyVZZ52XBE/MZZrcDbGKRJg69qMOdIDupJZmefzrDeOWWco9x5OV4MTj4juEkDTNILylaFb&#10;xXUYUB2XJAAl3wnr8TJV2zSchvdN43lAssbANKQnJAF7E5/ZckGq1hHbCTqWQC4p4QknRYSGpEeo&#10;FQkEbZ34B0oJ6ow3TZhQo7KBSFIEWBT5E20eOmJ54gJSe3sU3f8/WPpud++QYDUurzDSREHHf/74&#10;/Pvb119fviM4A4F66yuIe7D3btx5MCPbfeNUfAMPtK/xzdUsL2cYHQBtOp1Py0Fevg+Igrucz69z&#10;EJ6Cv5hfF8Vt9GePMNb58IYbhaJR46196Zzpk65k99aHJDAbqyTsU4FRoyT0a0ckmuWwhoTtSUx5&#10;GlPGoDHpiAjp/6aN8N5IwdZCyrRx7eaVdAjga7xOa/z4LExq1Nf4dhapUwJXooFRBFNZkNXrNhE4&#10;+8KfAse6j1WdhcXCVsR3QwHJNRBUInCXRrfjhL3WDIWDhc5puLE4FqM4w0hyuODRSpGBCHlJJAgi&#10;NbQldn3oc7Q2hh1gULbWibaD3hRJiOiBwUxNHC9RnPzTfUJ6/HE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DKAJ1AAAAAUBAAAPAAAAAAAAAAEAIAAAACIAAABkcnMvZG93bnJldi54bWxQSwEC&#10;FAAUAAAACACHTuJA9cS5cTECAACABAAADgAAAAAAAAABACAAAAAjAQAAZHJzL2Uyb0RvYy54bWxQ&#10;SwUGAAAAAAYABgBZAQAAxgUAAAAA&#10;" adj="5400,5400">
                        <v:fill on="t" focussize="0,0"/>
                        <v:stroke color="#000000" joinstyle="miter"/>
                        <v:imagedata o:title=""/>
                        <o:lock v:ext="edit" aspectratio="f"/>
                      </v:shape>
                      <v:shape id="_x0000_s1026" o:spid="_x0000_s1026" o:spt="68" type="#_x0000_t68" style="position:absolute;left:2164715;top:222402;height:181099;width:267335;" fillcolor="#FFFFFF" filled="t" stroked="t" coordsize="21600,21600" o:gfxdata="UEsDBAoAAAAAAIdO4kAAAAAAAAAAAAAAAAAEAAAAZHJzL1BLAwQUAAAACACHTuJAUAygCdQAAAAF&#10;AQAADwAAAGRycy9kb3ducmV2LnhtbE2PwU7DMBBE70j8g7VI3KhTqEIU4vSA1EOROFCinrexm6S1&#10;15HtpuHvWbjAZaTVjGbeVuvZWTGZEAdPCpaLDISh1uuBOgXN5+ahABETkkbrySj4MhHW9e1NhaX2&#10;V/ow0y51gksolqigT2kspYxtbxzGhR8NsXf0wWHiM3RSB7xyubPyMcty6XAgXuhxNK+9ac+7i1PQ&#10;2mkfnrfv+jifNrJ5C80Wi0ap+7tl9gIimTn9heEHn9GhZqaDv5COwirgR9Kvslc8FTmIA4dW+Qpk&#10;Xcn/9PU3UEsDBBQAAAAIAIdO4kB008X9MAIAAIEEAAAOAAAAZHJzL2Uyb0RvYy54bWytVM2O0zAQ&#10;viPxDpbvND/bdrdV0xWilAuClZZ9ANd2EiP/yXab9hV4Dq5w4sADgXgNxk622y6XHvAhGXsm38z3&#10;zTiL272SaMedF0ZXuBjlGHFNDRO6qfDDp/WrG4x8IJoRaTSv8IF7fLt8+WLR2TkvTWsk4w4BiPbz&#10;zla4DcHOs8zTliviR8ZyDc7aOEUCbF2TMUc6QFcyK/N8mnXGMesM5d7D6ap34gHRXQJo6lpQvjJ0&#10;q7gOParjkgSg5FthPV6mauua0/Cxrj0PSFYYmIb0hCRgb+IzWy7IvHHEtoIOJZBLSnjGSRGhIekR&#10;akUCQVsn/oFSgjrjTR1G1KisJ5IUARZF/kyb+5ZYnriA1N4eRff/D5Z+2N05JFiFyzFGmijo+K+f&#10;X/58//b76w8EZyBQZ/0c4u7tnRt2HszIdl87Fd/AA+0BopiOr4sJRgewy3Kcl72+fB8Qjf7p9dUV&#10;uCn4i5sin82iP3vCsc6Hd9woFI0Kb+1r50yXhCW79z4khdlQJmGfC4xqJaFhOyLRJIfVJ2xOYsrT&#10;mDIGDUkHREj/mDbCeyMFWwsp08Y1mzfSIYCv8Dqt4eOzMKlRV+HZpIzcCNyJGmYRTGVBV6+bRODs&#10;C38KHOs+VnUWFgtbEd/2BSRXT1CJwF2a3ZYT9lYzFA4WWqfhyuJYjOIMI8nhhkcrRQYi5CWRIIjU&#10;0JbY9r7R0doYdoBJ2VonmhZ6UyQhogcmMzVxuEVx9E/3Cenpz7H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MoAnUAAAABQEAAA8AAAAAAAAAAQAgAAAAIgAAAGRycy9kb3ducmV2LnhtbFBLAQIU&#10;ABQAAAAIAIdO4kB008X9MAIAAIEEAAAOAAAAAAAAAAEAIAAAACMBAABkcnMvZTJvRG9jLnhtbFBL&#10;BQYAAAAABgAGAFkBAADFBQAAAAA=&#10;" adj="5400,5400">
                        <v:fill on="t" focussize="0,0"/>
                        <v:stroke color="#000000" joinstyle="miter"/>
                        <v:imagedata o:title=""/>
                        <o:lock v:ext="edit" aspectratio="f"/>
                      </v:shape>
                      <v:shape id="_x0000_s1026" o:spid="_x0000_s1026" o:spt="68" type="#_x0000_t68" style="position:absolute;left:3284855;top:226850;height:193807;width:266700;" fillcolor="#FFFFFF" filled="t" stroked="t" coordsize="21600,21600" o:gfxdata="UEsDBAoAAAAAAIdO4kAAAAAAAAAAAAAAAAAEAAAAZHJzL1BLAwQUAAAACACHTuJAUAygCdQAAAAF&#10;AQAADwAAAGRycy9kb3ducmV2LnhtbE2PwU7DMBBE70j8g7VI3KhTqEIU4vSA1EOROFCinrexm6S1&#10;15HtpuHvWbjAZaTVjGbeVuvZWTGZEAdPCpaLDISh1uuBOgXN5+ahABETkkbrySj4MhHW9e1NhaX2&#10;V/ow0y51gksolqigT2kspYxtbxzGhR8NsXf0wWHiM3RSB7xyubPyMcty6XAgXuhxNK+9ac+7i1PQ&#10;2mkfnrfv+jifNrJ5C80Wi0ap+7tl9gIimTn9heEHn9GhZqaDv5COwirgR9Kvslc8FTmIA4dW+Qpk&#10;Xcn/9PU3UEsDBBQAAAAIAIdO4kC+PPLpMAIAAIEEAAAOAAAAZHJzL2Uyb0RvYy54bWytVM2O0zAQ&#10;viPxDpbvNGmWdrtV0xWilAuClRYewPVPYuQ/2W7TvgLPwRVOHPaBQLwGYyd02+XSAz4kY8/km/m+&#10;GWdxu9cK7bgP0poaj0clRtxQy6Rpavzp4/rFDKMQiWFEWcNrfOAB3y6fP1t0bs4r21rFuEcAYsK8&#10;czVuY3Tzogi05ZqEkXXcgFNYr0mErW8K5kkH6FoVVVlOi8565rylPAQ4XfVOPCD6SwCtEJLylaVb&#10;zU3sUT1XJAKl0EoX8DJXKwSn8YMQgUekagxMY35CErA36VksF2TeeOJaSYcSyCUlPOGkiTSQ9Ai1&#10;IpGgrZf/QGlJvQ1WxBG1uuiJZEWAxbh8os19SxzPXEDq4I6ih/8HS9/v7jySrMbVBCNDNHT858OX&#10;39+//fr6A8EZCNS5MIe4e3fnh10AM7HdC6/TG3igfY2vqtnL2QRwDgBXTWeTQV++j4iCv5pOr0tQ&#10;noJ/fHM1K68TfPGI43yIb7nVKBk13rpX3tsuC0t270LMCrOhTMI+jzESWkHDdkShSQlraOhJTHUa&#10;U6WgIemACOn/pk3wwSrJ1lKpvPHN5rXyCOBrvM5r+PgsTBnU1fhmkiSkBO6EgFkEUzvQNZgmEzj7&#10;IpwCp7qPVZ2FpcJWJLR9AdnVE9Qycp9nt+WEvTEMxYOD1hm4sjgVoznDSHG44cnKkZFIdUkkCKIM&#10;tCW1vW90sjaWHWBSts7LpoXejLMQyQOTmZs43KI0+qf7jPT45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MoAnUAAAABQEAAA8AAAAAAAAAAQAgAAAAIgAAAGRycy9kb3ducmV2LnhtbFBLAQIU&#10;ABQAAAAIAIdO4kC+PPLpMAIAAIEEAAAOAAAAAAAAAAEAIAAAACMBAABkcnMvZTJvRG9jLnhtbFBL&#10;BQYAAAAABgAGAFkBAADFBQAAAAA=&#10;" adj="5400,5400">
                        <v:fill on="t" focussize="0,0"/>
                        <v:stroke color="#000000" joinstyle="miter"/>
                        <v:imagedata o:title=""/>
                        <o:lock v:ext="edit" aspectratio="f"/>
                      </v:shape>
                      <w10:wrap type="none"/>
                      <w10:anchorlock/>
                    </v:group>
                  </w:pict>
                </mc:Fallback>
              </mc:AlternateContent>
            </w:r>
          </w:p>
          <w:p w14:paraId="4FE06DD6">
            <w:pPr>
              <w:topLinePunct/>
              <w:spacing w:line="360" w:lineRule="auto"/>
              <w:jc w:val="center"/>
              <w:rPr>
                <w:b/>
                <w:bCs/>
                <w:color w:val="auto"/>
                <w:sz w:val="24"/>
              </w:rPr>
            </w:pPr>
            <w:r>
              <w:rPr>
                <w:b/>
                <w:bCs/>
                <w:color w:val="auto"/>
                <w:sz w:val="24"/>
              </w:rPr>
              <w:t>图</w:t>
            </w:r>
            <w:r>
              <w:rPr>
                <w:rFonts w:hint="eastAsia"/>
                <w:b/>
                <w:bCs/>
                <w:color w:val="auto"/>
                <w:sz w:val="24"/>
              </w:rPr>
              <w:t>2-2</w:t>
            </w:r>
            <w:r>
              <w:rPr>
                <w:b/>
                <w:bCs/>
                <w:color w:val="auto"/>
                <w:sz w:val="24"/>
              </w:rPr>
              <w:t>施工期工艺流程及产污环节图</w:t>
            </w:r>
          </w:p>
          <w:p w14:paraId="0294ED76">
            <w:pPr>
              <w:spacing w:line="360" w:lineRule="auto"/>
              <w:ind w:firstLine="482" w:firstLineChars="200"/>
              <w:rPr>
                <w:b/>
                <w:bCs/>
                <w:color w:val="auto"/>
                <w:sz w:val="24"/>
              </w:rPr>
            </w:pPr>
            <w:r>
              <w:rPr>
                <w:rFonts w:hint="eastAsia"/>
                <w:b/>
                <w:bCs/>
                <w:color w:val="auto"/>
                <w:sz w:val="24"/>
              </w:rPr>
              <w:t>2、</w:t>
            </w:r>
            <w:r>
              <w:rPr>
                <w:b/>
                <w:bCs/>
                <w:color w:val="auto"/>
                <w:sz w:val="24"/>
              </w:rPr>
              <w:t>运营期工艺流程</w:t>
            </w:r>
          </w:p>
          <w:p w14:paraId="412A6D49">
            <w:pPr>
              <w:pStyle w:val="78"/>
              <w:spacing w:line="360" w:lineRule="auto"/>
              <w:ind w:firstLine="480"/>
              <w:jc w:val="left"/>
              <w:rPr>
                <w:rFonts w:ascii="Times New Roman" w:hAnsi="Times New Roman" w:eastAsia="宋体"/>
                <w:b w:val="0"/>
                <w:color w:val="auto"/>
                <w:kern w:val="0"/>
                <w:sz w:val="24"/>
                <w:szCs w:val="24"/>
              </w:rPr>
            </w:pPr>
            <w:r>
              <w:rPr>
                <w:rFonts w:hint="eastAsia" w:ascii="Times New Roman" w:hAnsi="Times New Roman" w:eastAsia="宋体"/>
                <w:b w:val="0"/>
                <w:color w:val="auto"/>
                <w:kern w:val="0"/>
                <w:sz w:val="24"/>
                <w:szCs w:val="24"/>
              </w:rPr>
              <w:t>本项目分为机加工生产工艺和组件生产工艺。</w:t>
            </w:r>
          </w:p>
          <w:p w14:paraId="0D577DF7">
            <w:pPr>
              <w:pStyle w:val="78"/>
              <w:spacing w:line="360" w:lineRule="auto"/>
              <w:ind w:firstLine="480"/>
              <w:jc w:val="left"/>
              <w:rPr>
                <w:rStyle w:val="31"/>
                <w:rFonts w:ascii="Times New Roman" w:hAnsi="Times New Roman" w:eastAsia="宋体"/>
                <w:b w:val="0"/>
                <w:color w:val="auto"/>
                <w:sz w:val="24"/>
                <w:szCs w:val="24"/>
              </w:rPr>
            </w:pPr>
            <w:r>
              <w:rPr>
                <w:rStyle w:val="31"/>
                <w:rFonts w:hint="eastAsia" w:ascii="Times New Roman" w:hAnsi="Times New Roman" w:eastAsia="宋体"/>
                <w:b w:val="0"/>
                <w:color w:val="auto"/>
                <w:sz w:val="24"/>
                <w:szCs w:val="24"/>
              </w:rPr>
              <w:t>1、机加工产品工艺流程</w:t>
            </w:r>
          </w:p>
          <w:p w14:paraId="6BD9367D">
            <w:pPr>
              <w:pStyle w:val="78"/>
              <w:spacing w:line="360" w:lineRule="auto"/>
              <w:ind w:firstLine="420"/>
              <w:jc w:val="left"/>
              <w:rPr>
                <w:rStyle w:val="31"/>
                <w:rFonts w:ascii="Times New Roman" w:hAnsi="Times New Roman" w:eastAsia="宋体"/>
                <w:b w:val="0"/>
                <w:color w:val="auto"/>
              </w:rPr>
            </w:pPr>
            <w:r>
              <w:rPr>
                <w:rFonts w:hint="eastAsia" w:ascii="Times New Roman" w:hAnsi="Times New Roman" w:eastAsia="宋体"/>
                <w:b w:val="0"/>
                <w:color w:val="auto"/>
                <w:kern w:val="0"/>
                <w:sz w:val="24"/>
                <w:szCs w:val="24"/>
              </w:rPr>
              <w:t>根据建设单位提供资料，其工艺流程图及产污环节详见图2-3</w:t>
            </w:r>
            <w:r>
              <w:rPr>
                <w:rStyle w:val="31"/>
                <w:rFonts w:hint="eastAsia" w:ascii="Times New Roman" w:hAnsi="Times New Roman" w:eastAsia="宋体"/>
                <w:b w:val="0"/>
                <w:color w:val="auto"/>
              </w:rPr>
              <w:t>。</w:t>
            </w:r>
          </w:p>
          <w:p w14:paraId="457B3DD1">
            <w:pPr>
              <w:pStyle w:val="23"/>
              <w:spacing w:after="0"/>
              <w:ind w:left="0" w:leftChars="0" w:firstLine="0" w:firstLineChars="0"/>
              <w:jc w:val="center"/>
              <w:rPr>
                <w:b/>
                <w:bCs/>
                <w:color w:val="auto"/>
                <w:sz w:val="24"/>
              </w:rPr>
            </w:pPr>
            <w:r>
              <w:rPr>
                <w:rFonts w:hint="eastAsia" w:ascii="仿宋" w:hAnsi="仿宋" w:eastAsia="仿宋" w:cs="仿宋"/>
                <w:color w:val="auto"/>
                <w:sz w:val="28"/>
                <w:szCs w:val="28"/>
              </w:rPr>
              <w:object>
                <v:shape id="_x0000_i1026" o:spt="75" type="#_x0000_t75" style="height:456pt;width:342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723DF564">
            <w:pPr>
              <w:pStyle w:val="23"/>
              <w:spacing w:after="0" w:line="360" w:lineRule="auto"/>
              <w:ind w:left="0" w:leftChars="0" w:firstLine="0" w:firstLineChars="0"/>
              <w:jc w:val="center"/>
              <w:rPr>
                <w:b/>
                <w:bCs/>
                <w:color w:val="auto"/>
                <w:sz w:val="24"/>
              </w:rPr>
            </w:pPr>
            <w:r>
              <w:rPr>
                <w:rFonts w:hint="eastAsia"/>
                <w:b/>
                <w:bCs/>
                <w:color w:val="auto"/>
                <w:sz w:val="24"/>
              </w:rPr>
              <w:t>图2-3钕铁硼材料机加工半成品生产</w:t>
            </w:r>
            <w:r>
              <w:rPr>
                <w:b/>
                <w:bCs/>
                <w:color w:val="auto"/>
                <w:sz w:val="24"/>
              </w:rPr>
              <w:t>工艺流程及产污节点图</w:t>
            </w:r>
          </w:p>
          <w:p w14:paraId="1122B183">
            <w:pPr>
              <w:pStyle w:val="9"/>
              <w:spacing w:line="360" w:lineRule="auto"/>
              <w:ind w:firstLine="482" w:firstLineChars="200"/>
              <w:jc w:val="left"/>
              <w:rPr>
                <w:rFonts w:hAnsi="Times New Roman" w:cs="Times New Roman"/>
                <w:b/>
                <w:color w:val="auto"/>
                <w:sz w:val="24"/>
                <w:szCs w:val="24"/>
              </w:rPr>
            </w:pPr>
            <w:r>
              <w:rPr>
                <w:rFonts w:hint="eastAsia" w:hAnsi="Times New Roman" w:cs="Times New Roman"/>
                <w:b/>
                <w:color w:val="auto"/>
                <w:sz w:val="24"/>
                <w:szCs w:val="24"/>
              </w:rPr>
              <w:t>工艺流程及产污环节说明：</w:t>
            </w:r>
          </w:p>
          <w:p w14:paraId="4D7F2B5A">
            <w:pPr>
              <w:spacing w:line="360" w:lineRule="auto"/>
              <w:ind w:firstLine="480" w:firstLineChars="200"/>
              <w:rPr>
                <w:color w:val="auto"/>
              </w:rPr>
            </w:pPr>
            <w:r>
              <w:rPr>
                <w:rFonts w:hint="eastAsia" w:cs="仿宋"/>
                <w:color w:val="auto"/>
                <w:sz w:val="24"/>
              </w:rPr>
              <w:t>（1）毛胚粗磨：根据工艺要求，使用双端面磨床对毛坯产品的长、宽、厚进行磨削，工件通过两个端面相对平行并高速旋转的金刚石砂轮，两个端面同时被砂轮磨出相互平行的两个端面，形成粗磨加工。粗磨完的毛坯进行人工检验，查看是否存在未打磨到的位置，如存在需进行手工打磨。配有2个粗磨水池，粗磨水池采用自来水，项目为湿法作业，不产生机加工粉尘。粗磨和打磨工序会产生机械噪声、粗磨废水、磁泥。</w:t>
            </w:r>
          </w:p>
          <w:p w14:paraId="5230BBC6">
            <w:pPr>
              <w:spacing w:line="360" w:lineRule="auto"/>
              <w:ind w:firstLine="480" w:firstLineChars="200"/>
              <w:rPr>
                <w:rFonts w:cs="仿宋"/>
                <w:color w:val="auto"/>
                <w:sz w:val="24"/>
              </w:rPr>
            </w:pPr>
            <w:r>
              <w:rPr>
                <w:rFonts w:hint="eastAsia" w:cs="仿宋"/>
                <w:color w:val="auto"/>
                <w:sz w:val="24"/>
              </w:rPr>
              <w:t>（3）烘干：粗磨完的毛坯需要进行烘干，为粘胶做准备，烘干采用电加热。</w:t>
            </w:r>
          </w:p>
          <w:p w14:paraId="1C336093">
            <w:pPr>
              <w:spacing w:line="360" w:lineRule="auto"/>
              <w:ind w:firstLine="480" w:firstLineChars="200"/>
              <w:rPr>
                <w:rFonts w:cs="仿宋"/>
                <w:color w:val="auto"/>
                <w:sz w:val="24"/>
              </w:rPr>
            </w:pPr>
            <w:r>
              <w:rPr>
                <w:rFonts w:hint="eastAsia" w:cs="仿宋"/>
                <w:color w:val="auto"/>
                <w:sz w:val="24"/>
              </w:rPr>
              <w:t>（4）打孔：采用自动打孔机对毛坯进行打孔，打孔根据产品订单及设备加入切削液或防锈液兑水，打孔设备为加盖密闭设备，打孔时因有切削液故产生打孔油雾。此工序会产生打孔油雾、废边角料、机械噪声、磁泥。</w:t>
            </w:r>
          </w:p>
          <w:p w14:paraId="02BCE405">
            <w:pPr>
              <w:spacing w:line="360" w:lineRule="auto"/>
              <w:ind w:firstLine="480" w:firstLineChars="200"/>
              <w:rPr>
                <w:rFonts w:cs="仿宋"/>
                <w:color w:val="auto"/>
                <w:sz w:val="24"/>
              </w:rPr>
            </w:pPr>
            <w:r>
              <w:rPr>
                <w:rFonts w:hint="eastAsia" w:cs="宋体"/>
                <w:color w:val="auto"/>
                <w:sz w:val="24"/>
              </w:rPr>
              <w:t>（4）</w:t>
            </w:r>
            <w:r>
              <w:rPr>
                <w:rFonts w:hint="eastAsia" w:cs="仿宋"/>
                <w:color w:val="auto"/>
                <w:sz w:val="24"/>
              </w:rPr>
              <w:t>粘胶：粘胶设备为密闭设备，将粗磨加工后的毛坯通过磁材胶粘接固定在大理石板上，保证多线切割过程中产品不散料、滑刀。此工序会产生废胶水瓶</w:t>
            </w:r>
            <w:r>
              <w:rPr>
                <w:rFonts w:hint="eastAsia" w:cs="仿宋"/>
                <w:color w:val="auto"/>
                <w:sz w:val="24"/>
                <w:lang w:eastAsia="zh-CN"/>
              </w:rPr>
              <w:t>、</w:t>
            </w:r>
            <w:r>
              <w:rPr>
                <w:rFonts w:hint="eastAsia" w:cs="仿宋"/>
                <w:color w:val="auto"/>
                <w:sz w:val="24"/>
                <w:lang w:val="en-US" w:eastAsia="zh-CN"/>
              </w:rPr>
              <w:t>废石板</w:t>
            </w:r>
            <w:r>
              <w:rPr>
                <w:rFonts w:hint="eastAsia" w:cs="仿宋"/>
                <w:color w:val="auto"/>
                <w:sz w:val="24"/>
              </w:rPr>
              <w:t>。</w:t>
            </w:r>
          </w:p>
          <w:p w14:paraId="7BFF4F73">
            <w:pPr>
              <w:spacing w:line="360" w:lineRule="auto"/>
              <w:ind w:firstLine="480" w:firstLineChars="200"/>
              <w:rPr>
                <w:rFonts w:hint="default" w:eastAsia="宋体" w:cs="仿宋"/>
                <w:color w:val="auto"/>
                <w:sz w:val="24"/>
                <w:lang w:val="en-US" w:eastAsia="zh-CN"/>
              </w:rPr>
            </w:pPr>
            <w:r>
              <w:rPr>
                <w:rFonts w:hint="eastAsia" w:cs="宋体"/>
                <w:color w:val="auto"/>
                <w:sz w:val="24"/>
              </w:rPr>
              <w:t>（4）</w:t>
            </w:r>
            <w:r>
              <w:rPr>
                <w:rFonts w:hint="eastAsia" w:cs="仿宋"/>
                <w:color w:val="auto"/>
                <w:sz w:val="24"/>
              </w:rPr>
              <w:t>多线切割：根据产品切割工艺，加入多线切割液并配有3个多线水池，由高速运动的钢丝带动附着在钢丝上的金刚石材料与产品摩擦，从而达到切割效果，确保切割后的尺寸符合要求。</w:t>
            </w:r>
            <w:bookmarkStart w:id="14" w:name="OLE_LINK3"/>
            <w:r>
              <w:rPr>
                <w:rFonts w:hint="eastAsia" w:cs="仿宋"/>
                <w:color w:val="auto"/>
                <w:sz w:val="24"/>
              </w:rPr>
              <w:t>多线切割为密闭设备湿法作业，同时使用的为水基切割液，不产生机加工粉尘和油雾。此工序会产生</w:t>
            </w:r>
            <w:bookmarkEnd w:id="14"/>
            <w:r>
              <w:rPr>
                <w:rFonts w:hint="eastAsia" w:cs="仿宋"/>
                <w:color w:val="auto"/>
                <w:sz w:val="24"/>
              </w:rPr>
              <w:t>切割废水、废边角料、机械噪声、磁泥。</w:t>
            </w:r>
            <w:r>
              <w:rPr>
                <w:rFonts w:hint="eastAsia" w:cs="仿宋"/>
                <w:color w:val="auto"/>
                <w:sz w:val="24"/>
                <w:lang w:val="en-US" w:eastAsia="zh-CN"/>
              </w:rPr>
              <w:t>水基切割液循环时间，损耗后定期补充，不产生废切割液。</w:t>
            </w:r>
          </w:p>
          <w:p w14:paraId="48B88AF0">
            <w:pPr>
              <w:spacing w:line="360" w:lineRule="auto"/>
              <w:ind w:firstLine="480" w:firstLineChars="200"/>
              <w:rPr>
                <w:rFonts w:cs="仿宋"/>
                <w:color w:val="auto"/>
                <w:sz w:val="24"/>
              </w:rPr>
            </w:pPr>
            <w:r>
              <w:rPr>
                <w:rFonts w:hint="eastAsia" w:cs="宋体"/>
                <w:color w:val="auto"/>
                <w:sz w:val="24"/>
              </w:rPr>
              <w:t>（5）</w:t>
            </w:r>
            <w:r>
              <w:rPr>
                <w:rFonts w:cs="仿宋"/>
                <w:color w:val="auto"/>
                <w:sz w:val="24"/>
              </w:rPr>
              <w:t>清洗</w:t>
            </w:r>
            <w:r>
              <w:rPr>
                <w:rFonts w:hint="eastAsia" w:cs="仿宋"/>
                <w:color w:val="auto"/>
                <w:sz w:val="24"/>
              </w:rPr>
              <w:t>、烘干：使用蒸汽进行煮胶，蒸汽为一期锅炉供给，本项目不新增锅炉和天然气用量。</w:t>
            </w:r>
            <w:r>
              <w:rPr>
                <w:rFonts w:cs="仿宋"/>
                <w:color w:val="auto"/>
                <w:sz w:val="24"/>
              </w:rPr>
              <w:t>将切割后的产品</w:t>
            </w:r>
            <w:r>
              <w:rPr>
                <w:rFonts w:hint="eastAsia" w:cs="仿宋"/>
                <w:color w:val="auto"/>
                <w:sz w:val="24"/>
              </w:rPr>
              <w:t>与</w:t>
            </w:r>
            <w:r>
              <w:rPr>
                <w:rFonts w:cs="仿宋"/>
                <w:color w:val="auto"/>
                <w:sz w:val="24"/>
              </w:rPr>
              <w:t>大理石板剥离、分散，</w:t>
            </w:r>
            <w:r>
              <w:rPr>
                <w:rFonts w:hint="eastAsia" w:cs="仿宋"/>
                <w:color w:val="auto"/>
                <w:sz w:val="24"/>
              </w:rPr>
              <w:t>加入清洗剂、片碱，</w:t>
            </w:r>
            <w:r>
              <w:rPr>
                <w:rFonts w:cs="仿宋"/>
                <w:color w:val="auto"/>
                <w:sz w:val="24"/>
              </w:rPr>
              <w:t>通过自动超声清洗线，将产品表面的脏污、磁粉、磁材胶等进行清洗、脱胶</w:t>
            </w:r>
            <w:r>
              <w:rPr>
                <w:rFonts w:hint="eastAsia" w:cs="仿宋"/>
                <w:color w:val="auto"/>
                <w:sz w:val="24"/>
              </w:rPr>
              <w:t>。清洗完后进入超声烘道进行水分烘干。此工序会产生清洗废水、磁泥。</w:t>
            </w:r>
          </w:p>
          <w:p w14:paraId="42F6CCFF">
            <w:pPr>
              <w:spacing w:line="360" w:lineRule="auto"/>
              <w:ind w:firstLine="480" w:firstLineChars="200"/>
              <w:rPr>
                <w:rFonts w:cs="仿宋"/>
                <w:color w:val="auto"/>
                <w:sz w:val="24"/>
              </w:rPr>
            </w:pPr>
            <w:r>
              <w:rPr>
                <w:rFonts w:hint="eastAsia" w:cs="宋体"/>
                <w:color w:val="auto"/>
                <w:sz w:val="24"/>
              </w:rPr>
              <w:t>（6）</w:t>
            </w:r>
            <w:r>
              <w:rPr>
                <w:rFonts w:cs="仿宋"/>
                <w:color w:val="auto"/>
                <w:sz w:val="24"/>
              </w:rPr>
              <w:t>倒边精磨</w:t>
            </w:r>
            <w:r>
              <w:rPr>
                <w:rFonts w:hint="eastAsia" w:cs="仿宋"/>
                <w:color w:val="auto"/>
                <w:sz w:val="24"/>
              </w:rPr>
              <w:t>（成型）：</w:t>
            </w:r>
            <w:r>
              <w:rPr>
                <w:rFonts w:cs="仿宋"/>
                <w:color w:val="auto"/>
                <w:sz w:val="24"/>
              </w:rPr>
              <w:t>根据切割后的产品进行精磨加工，使用双端面磨床对产品的长、宽、厚进行磨削，磨削后的产品符合尺寸、外观、形位要求，并按工艺要求对产品的C角进行预倒边，确保倒角后的产品边缘圆滑、易于装配</w:t>
            </w:r>
            <w:r>
              <w:rPr>
                <w:rFonts w:hint="eastAsia" w:cs="仿宋"/>
                <w:color w:val="auto"/>
                <w:sz w:val="24"/>
              </w:rPr>
              <w:t>。打磨需要用自来水冷却，故精磨配有4个渗前渗后水池和2个成型磨水池。倒边精磨为湿法作业，不产生机加工粉尘。此工序会产生精磨废水、机械噪声、磁泥。</w:t>
            </w:r>
          </w:p>
          <w:p w14:paraId="38E6BC8C">
            <w:pPr>
              <w:spacing w:line="360" w:lineRule="auto"/>
              <w:ind w:firstLine="480" w:firstLineChars="200"/>
              <w:rPr>
                <w:rFonts w:cs="仿宋"/>
                <w:color w:val="auto"/>
                <w:sz w:val="24"/>
              </w:rPr>
            </w:pPr>
            <w:r>
              <w:rPr>
                <w:rFonts w:hint="eastAsia" w:cs="宋体"/>
                <w:color w:val="auto"/>
                <w:sz w:val="24"/>
              </w:rPr>
              <w:t>（7）</w:t>
            </w:r>
            <w:r>
              <w:rPr>
                <w:rFonts w:hint="eastAsia" w:cs="仿宋"/>
                <w:color w:val="auto"/>
                <w:sz w:val="24"/>
              </w:rPr>
              <w:t>检验：采用自制的检验设备进行检验，此工序产生不合格品。</w:t>
            </w:r>
          </w:p>
          <w:p w14:paraId="3C2F1472">
            <w:pPr>
              <w:spacing w:line="360" w:lineRule="auto"/>
              <w:ind w:firstLine="480" w:firstLineChars="200"/>
              <w:rPr>
                <w:rFonts w:cs="仿宋"/>
                <w:color w:val="auto"/>
                <w:sz w:val="24"/>
              </w:rPr>
            </w:pPr>
            <w:r>
              <w:rPr>
                <w:rFonts w:hint="eastAsia" w:cs="宋体"/>
                <w:color w:val="auto"/>
                <w:sz w:val="24"/>
              </w:rPr>
              <w:t>（8）振动倒角、</w:t>
            </w:r>
            <w:r>
              <w:rPr>
                <w:rFonts w:cs="仿宋"/>
                <w:color w:val="auto"/>
                <w:sz w:val="24"/>
              </w:rPr>
              <w:t>磷化、电镀（一期）</w:t>
            </w:r>
            <w:r>
              <w:rPr>
                <w:rFonts w:hint="eastAsia" w:cs="仿宋"/>
                <w:color w:val="auto"/>
                <w:sz w:val="24"/>
              </w:rPr>
              <w:t>：根据订单需求，如需要</w:t>
            </w:r>
            <w:r>
              <w:rPr>
                <w:rFonts w:hint="eastAsia" w:cs="宋体"/>
                <w:color w:val="auto"/>
                <w:sz w:val="24"/>
              </w:rPr>
              <w:t>振动倒角</w:t>
            </w:r>
            <w:r>
              <w:rPr>
                <w:rFonts w:hint="eastAsia" w:cs="仿宋"/>
                <w:color w:val="auto"/>
                <w:sz w:val="24"/>
              </w:rPr>
              <w:t>、磷化、电镀则产品运往一期工程进行处理。</w:t>
            </w:r>
          </w:p>
          <w:p w14:paraId="4E5C0E3F">
            <w:pPr>
              <w:pStyle w:val="9"/>
              <w:spacing w:line="360" w:lineRule="auto"/>
              <w:ind w:firstLine="480" w:firstLineChars="200"/>
              <w:jc w:val="left"/>
              <w:rPr>
                <w:rFonts w:hAnsi="Times New Roman" w:cs="Times New Roman"/>
                <w:b/>
                <w:color w:val="auto"/>
                <w:sz w:val="24"/>
                <w:szCs w:val="24"/>
              </w:rPr>
            </w:pPr>
            <w:r>
              <w:rPr>
                <w:rStyle w:val="31"/>
                <w:rFonts w:hint="eastAsia" w:hAnsi="Times New Roman"/>
                <w:color w:val="auto"/>
                <w:sz w:val="24"/>
                <w:szCs w:val="24"/>
              </w:rPr>
              <w:t>本项目机加工产品会根据订单要求是否进行振动倒角、磷化、电镀，磷化、电镀为《江西劲诚永磁新材料有限公司高效节能电机用磁材基地项目》（赣环审〔2024〕6号）（以下简称“一期工程”）。</w:t>
            </w:r>
          </w:p>
          <w:p w14:paraId="0622809B">
            <w:pPr>
              <w:spacing w:line="360" w:lineRule="auto"/>
              <w:ind w:firstLine="480" w:firstLineChars="200"/>
              <w:rPr>
                <w:b/>
                <w:bCs/>
                <w:color w:val="auto"/>
                <w:sz w:val="24"/>
              </w:rPr>
            </w:pPr>
            <w:r>
              <w:rPr>
                <w:rFonts w:hint="eastAsia"/>
                <w:color w:val="auto"/>
                <w:sz w:val="24"/>
              </w:rPr>
              <w:t>2、粘胶组件工艺流程</w:t>
            </w:r>
          </w:p>
          <w:p w14:paraId="4DD358B4">
            <w:pPr>
              <w:spacing w:line="360" w:lineRule="auto"/>
              <w:jc w:val="center"/>
              <w:rPr>
                <w:b/>
                <w:bCs/>
                <w:color w:val="auto"/>
                <w:sz w:val="24"/>
              </w:rPr>
            </w:pPr>
            <w:r>
              <w:rPr>
                <w:rFonts w:hint="eastAsia"/>
                <w:b/>
                <w:bCs/>
                <w:color w:val="auto"/>
                <w:sz w:val="24"/>
              </w:rPr>
              <w:object>
                <v:shape id="_x0000_i1027" o:spt="75" type="#_x0000_t75" style="height:337.5pt;width:389.55pt;" o:ole="t" filled="f" o:preferrelative="t" stroked="f" coordsize="21600,21600">
                  <v:path/>
                  <v:fill on="f" focussize="0,0"/>
                  <v:stroke on="f"/>
                  <v:imagedata r:id="rId19" o:title=""/>
                  <o:lock v:ext="edit" aspectratio="f"/>
                  <w10:wrap type="none"/>
                  <w10:anchorlock/>
                </v:shape>
                <o:OLEObject Type="Embed" ProgID="Visio.Drawing.11" ShapeID="_x0000_i1027" DrawAspect="Content" ObjectID="_1468075727" r:id="rId18">
                  <o:LockedField>false</o:LockedField>
                </o:OLEObject>
              </w:object>
            </w:r>
          </w:p>
          <w:p w14:paraId="7BEBAB22">
            <w:pPr>
              <w:pStyle w:val="23"/>
              <w:spacing w:after="0"/>
              <w:ind w:left="0" w:leftChars="0" w:firstLine="0" w:firstLineChars="0"/>
              <w:jc w:val="center"/>
              <w:rPr>
                <w:b/>
                <w:bCs/>
                <w:color w:val="auto"/>
                <w:sz w:val="24"/>
              </w:rPr>
            </w:pPr>
            <w:r>
              <w:rPr>
                <w:rFonts w:hint="eastAsia"/>
                <w:b/>
                <w:bCs/>
                <w:color w:val="auto"/>
                <w:sz w:val="24"/>
              </w:rPr>
              <w:t>图2-4粘胶组件</w:t>
            </w:r>
            <w:r>
              <w:rPr>
                <w:b/>
                <w:bCs/>
                <w:color w:val="auto"/>
                <w:sz w:val="24"/>
              </w:rPr>
              <w:t>工艺流程及产污节点图</w:t>
            </w:r>
          </w:p>
          <w:p w14:paraId="0F08CEDF">
            <w:pPr>
              <w:pStyle w:val="9"/>
              <w:spacing w:line="360" w:lineRule="auto"/>
              <w:ind w:firstLine="482" w:firstLineChars="200"/>
              <w:jc w:val="left"/>
              <w:rPr>
                <w:rFonts w:hAnsi="Times New Roman" w:cs="Times New Roman"/>
                <w:b/>
                <w:color w:val="auto"/>
                <w:sz w:val="24"/>
                <w:szCs w:val="24"/>
              </w:rPr>
            </w:pPr>
            <w:r>
              <w:rPr>
                <w:rFonts w:hint="eastAsia" w:hAnsi="Times New Roman" w:cs="Times New Roman"/>
                <w:b/>
                <w:color w:val="auto"/>
                <w:sz w:val="24"/>
                <w:szCs w:val="24"/>
              </w:rPr>
              <w:t>工艺流程及产污环节说明：</w:t>
            </w:r>
          </w:p>
          <w:p w14:paraId="65900272">
            <w:pPr>
              <w:spacing w:line="360" w:lineRule="auto"/>
              <w:ind w:firstLine="480" w:firstLineChars="200"/>
              <w:rPr>
                <w:rFonts w:hint="eastAsia" w:eastAsia="宋体" w:cs="仿宋"/>
                <w:color w:val="auto"/>
                <w:sz w:val="24"/>
                <w:lang w:eastAsia="zh-CN"/>
              </w:rPr>
            </w:pPr>
            <w:r>
              <w:rPr>
                <w:rFonts w:hint="eastAsia" w:cs="仿宋"/>
                <w:color w:val="auto"/>
                <w:sz w:val="24"/>
              </w:rPr>
              <w:t>（1）磁瓦</w:t>
            </w:r>
            <w:r>
              <w:rPr>
                <w:rFonts w:hint="eastAsia" w:cs="仿宋"/>
                <w:color w:val="auto"/>
                <w:sz w:val="24"/>
                <w:lang w:eastAsia="zh-CN"/>
              </w:rPr>
              <w:t>：</w:t>
            </w:r>
            <w:r>
              <w:rPr>
                <w:rFonts w:hint="eastAsia" w:cs="仿宋"/>
                <w:color w:val="auto"/>
                <w:sz w:val="24"/>
              </w:rPr>
              <w:t>本项目为磁</w:t>
            </w:r>
            <w:r>
              <w:rPr>
                <w:rFonts w:hint="eastAsia" w:cs="仿宋"/>
                <w:color w:val="auto"/>
                <w:sz w:val="24"/>
                <w:lang w:val="en-US" w:eastAsia="zh-CN"/>
              </w:rPr>
              <w:t>瓦</w:t>
            </w:r>
            <w:r>
              <w:rPr>
                <w:rFonts w:hint="eastAsia" w:cs="仿宋"/>
                <w:color w:val="auto"/>
                <w:sz w:val="24"/>
              </w:rPr>
              <w:t>成品使用。</w:t>
            </w:r>
          </w:p>
          <w:p w14:paraId="0510CFEF">
            <w:pPr>
              <w:spacing w:line="360" w:lineRule="auto"/>
              <w:ind w:firstLine="480" w:firstLineChars="200"/>
              <w:rPr>
                <w:rFonts w:cs="仿宋"/>
                <w:color w:val="auto"/>
                <w:sz w:val="24"/>
              </w:rPr>
            </w:pPr>
            <w:r>
              <w:rPr>
                <w:rFonts w:hint="eastAsia" w:cs="仿宋"/>
                <w:color w:val="auto"/>
                <w:sz w:val="24"/>
              </w:rPr>
              <w:t>（2）转轴</w:t>
            </w:r>
          </w:p>
          <w:p w14:paraId="3B646751">
            <w:pPr>
              <w:spacing w:line="360" w:lineRule="auto"/>
              <w:ind w:firstLine="480" w:firstLineChars="200"/>
              <w:rPr>
                <w:rFonts w:cs="仿宋"/>
                <w:color w:val="auto"/>
                <w:sz w:val="24"/>
              </w:rPr>
            </w:pPr>
            <w:r>
              <w:rPr>
                <w:rFonts w:hint="eastAsia" w:cs="宋体"/>
                <w:color w:val="auto"/>
                <w:sz w:val="24"/>
              </w:rPr>
              <w:t>①</w:t>
            </w:r>
            <w:r>
              <w:rPr>
                <w:rFonts w:hint="eastAsia" w:cs="仿宋"/>
                <w:color w:val="auto"/>
                <w:sz w:val="24"/>
              </w:rPr>
              <w:t>转轴机加工：</w:t>
            </w:r>
            <w:r>
              <w:rPr>
                <w:rFonts w:cs="仿宋"/>
                <w:color w:val="auto"/>
                <w:sz w:val="24"/>
              </w:rPr>
              <w:t>使用</w:t>
            </w:r>
            <w:r>
              <w:rPr>
                <w:rFonts w:hint="eastAsia" w:cs="仿宋"/>
                <w:color w:val="auto"/>
                <w:sz w:val="24"/>
              </w:rPr>
              <w:t>车铣复合加工中心及内外圆磨床</w:t>
            </w:r>
            <w:r>
              <w:rPr>
                <w:rFonts w:cs="仿宋"/>
                <w:color w:val="auto"/>
                <w:sz w:val="24"/>
              </w:rPr>
              <w:t>对</w:t>
            </w:r>
            <w:r>
              <w:rPr>
                <w:rFonts w:hint="eastAsia" w:cs="仿宋"/>
                <w:color w:val="auto"/>
                <w:sz w:val="24"/>
              </w:rPr>
              <w:t>转轴</w:t>
            </w:r>
            <w:r>
              <w:rPr>
                <w:rFonts w:cs="仿宋"/>
                <w:color w:val="auto"/>
                <w:sz w:val="24"/>
              </w:rPr>
              <w:t>的长</w:t>
            </w:r>
            <w:r>
              <w:rPr>
                <w:rFonts w:hint="eastAsia" w:cs="仿宋"/>
                <w:color w:val="auto"/>
                <w:sz w:val="24"/>
              </w:rPr>
              <w:t>度</w:t>
            </w:r>
            <w:r>
              <w:rPr>
                <w:rFonts w:cs="仿宋"/>
                <w:color w:val="auto"/>
                <w:sz w:val="24"/>
              </w:rPr>
              <w:t>、</w:t>
            </w:r>
            <w:r>
              <w:rPr>
                <w:rFonts w:hint="eastAsia" w:cs="仿宋"/>
                <w:color w:val="auto"/>
                <w:sz w:val="24"/>
              </w:rPr>
              <w:t>外径</w:t>
            </w:r>
            <w:r>
              <w:rPr>
                <w:rFonts w:cs="仿宋"/>
                <w:color w:val="auto"/>
                <w:sz w:val="24"/>
              </w:rPr>
              <w:t>、</w:t>
            </w:r>
            <w:r>
              <w:rPr>
                <w:rFonts w:hint="eastAsia" w:cs="仿宋"/>
                <w:color w:val="auto"/>
                <w:sz w:val="24"/>
              </w:rPr>
              <w:t>内孔、螺纹等特征进行机械加工</w:t>
            </w:r>
            <w:r>
              <w:rPr>
                <w:rFonts w:cs="仿宋"/>
                <w:color w:val="auto"/>
                <w:sz w:val="24"/>
              </w:rPr>
              <w:t>，</w:t>
            </w:r>
            <w:r>
              <w:rPr>
                <w:rFonts w:hint="eastAsia" w:cs="仿宋"/>
                <w:color w:val="auto"/>
                <w:sz w:val="24"/>
              </w:rPr>
              <w:t>并通过粗、精加工等工步以达到图纸要求，完</w:t>
            </w:r>
            <w:r>
              <w:rPr>
                <w:rFonts w:cs="仿宋"/>
                <w:color w:val="auto"/>
                <w:sz w:val="24"/>
              </w:rPr>
              <w:t>成</w:t>
            </w:r>
            <w:r>
              <w:rPr>
                <w:rFonts w:hint="eastAsia" w:cs="仿宋"/>
                <w:color w:val="auto"/>
                <w:sz w:val="24"/>
              </w:rPr>
              <w:t>转轴</w:t>
            </w:r>
            <w:r>
              <w:rPr>
                <w:rFonts w:cs="仿宋"/>
                <w:color w:val="auto"/>
                <w:sz w:val="24"/>
              </w:rPr>
              <w:t>加工</w:t>
            </w:r>
            <w:r>
              <w:rPr>
                <w:rFonts w:hint="eastAsia" w:cs="仿宋"/>
                <w:color w:val="auto"/>
                <w:sz w:val="24"/>
              </w:rPr>
              <w:t>。此工序会产生机加工粉尘、机械噪声。</w:t>
            </w:r>
          </w:p>
          <w:p w14:paraId="3A3F6F8C">
            <w:pPr>
              <w:spacing w:line="360" w:lineRule="auto"/>
              <w:ind w:firstLine="480" w:firstLineChars="200"/>
              <w:rPr>
                <w:rFonts w:cs="仿宋"/>
                <w:color w:val="auto"/>
                <w:sz w:val="24"/>
              </w:rPr>
            </w:pPr>
            <w:r>
              <w:rPr>
                <w:rFonts w:hint="eastAsia" w:cs="宋体"/>
                <w:color w:val="auto"/>
                <w:sz w:val="24"/>
              </w:rPr>
              <w:t>②</w:t>
            </w:r>
            <w:r>
              <w:rPr>
                <w:rFonts w:hint="eastAsia" w:cs="仿宋"/>
                <w:color w:val="auto"/>
                <w:sz w:val="24"/>
              </w:rPr>
              <w:t>转轴钝化：运往一期工程进行处理。</w:t>
            </w:r>
          </w:p>
          <w:p w14:paraId="25150AB3">
            <w:pPr>
              <w:spacing w:line="360" w:lineRule="auto"/>
              <w:ind w:firstLine="480" w:firstLineChars="200"/>
              <w:rPr>
                <w:rFonts w:cs="仿宋"/>
                <w:color w:val="auto"/>
                <w:sz w:val="24"/>
              </w:rPr>
            </w:pPr>
            <w:r>
              <w:rPr>
                <w:rFonts w:hint="eastAsia" w:cs="仿宋"/>
                <w:color w:val="auto"/>
                <w:sz w:val="24"/>
              </w:rPr>
              <w:t>（3）磁环：本项目为磁环成品使用。</w:t>
            </w:r>
          </w:p>
          <w:p w14:paraId="1D5763F7">
            <w:pPr>
              <w:spacing w:line="360" w:lineRule="auto"/>
              <w:ind w:firstLine="480" w:firstLineChars="200"/>
              <w:rPr>
                <w:color w:val="auto"/>
                <w:sz w:val="24"/>
              </w:rPr>
            </w:pPr>
            <w:r>
              <w:rPr>
                <w:color w:val="auto"/>
                <w:sz w:val="24"/>
              </w:rPr>
              <w:t>（</w:t>
            </w:r>
            <w:r>
              <w:rPr>
                <w:rFonts w:hint="eastAsia"/>
                <w:color w:val="auto"/>
                <w:sz w:val="24"/>
              </w:rPr>
              <w:t>4</w:t>
            </w:r>
            <w:r>
              <w:rPr>
                <w:color w:val="auto"/>
                <w:sz w:val="24"/>
              </w:rPr>
              <w:t>）</w:t>
            </w:r>
            <w:r>
              <w:rPr>
                <w:rFonts w:hint="eastAsia"/>
                <w:color w:val="auto"/>
                <w:sz w:val="24"/>
              </w:rPr>
              <w:t>组装</w:t>
            </w:r>
          </w:p>
          <w:p w14:paraId="5156342B">
            <w:pPr>
              <w:spacing w:line="360" w:lineRule="auto"/>
              <w:ind w:firstLine="480" w:firstLineChars="200"/>
              <w:rPr>
                <w:color w:val="auto"/>
                <w:sz w:val="24"/>
              </w:rPr>
            </w:pPr>
            <w:r>
              <w:rPr>
                <w:rFonts w:hint="eastAsia" w:ascii="宋体" w:hAnsi="宋体" w:cs="宋体"/>
                <w:color w:val="auto"/>
                <w:sz w:val="24"/>
              </w:rPr>
              <w:t>①</w:t>
            </w:r>
            <w:r>
              <w:rPr>
                <w:color w:val="auto"/>
                <w:sz w:val="24"/>
              </w:rPr>
              <w:t>磁瓦和转轴粘胶：通过专用工装将转轴固定，将涂好胶的磁瓦定位到转轴上，利用螺栓将磁瓦及转轴固定在一起，再放至烘箱内进行固化，完成磁瓦粘胶。</w:t>
            </w:r>
          </w:p>
          <w:p w14:paraId="55BAA0C3">
            <w:pPr>
              <w:spacing w:line="360" w:lineRule="auto"/>
              <w:ind w:firstLine="480" w:firstLineChars="200"/>
              <w:rPr>
                <w:color w:val="auto"/>
                <w:sz w:val="24"/>
              </w:rPr>
            </w:pPr>
            <w:r>
              <w:rPr>
                <w:rFonts w:hint="eastAsia" w:ascii="宋体" w:hAnsi="宋体" w:cs="宋体"/>
                <w:color w:val="auto"/>
                <w:sz w:val="24"/>
              </w:rPr>
              <w:t>②</w:t>
            </w:r>
            <w:r>
              <w:rPr>
                <w:color w:val="auto"/>
                <w:sz w:val="24"/>
              </w:rPr>
              <w:t>磁环粘胶：将胶水均匀</w:t>
            </w:r>
            <w:r>
              <w:rPr>
                <w:rFonts w:hint="eastAsia"/>
                <w:color w:val="auto"/>
                <w:sz w:val="24"/>
                <w:lang w:val="en-US" w:eastAsia="zh-CN"/>
              </w:rPr>
              <w:t>地</w:t>
            </w:r>
            <w:r>
              <w:rPr>
                <w:color w:val="auto"/>
                <w:sz w:val="24"/>
              </w:rPr>
              <w:t>涂抹在转轴内圈，使用压力机将磁环均衡</w:t>
            </w:r>
            <w:r>
              <w:rPr>
                <w:rFonts w:hint="eastAsia"/>
                <w:color w:val="auto"/>
                <w:sz w:val="24"/>
                <w:lang w:val="en-US" w:eastAsia="zh-CN"/>
              </w:rPr>
              <w:t>地</w:t>
            </w:r>
            <w:r>
              <w:rPr>
                <w:color w:val="auto"/>
                <w:sz w:val="24"/>
              </w:rPr>
              <w:t>压入转轴内圈后放入烘箱内固化，完成磁环粘胶。</w:t>
            </w:r>
          </w:p>
          <w:p w14:paraId="4DEB2A1C">
            <w:pPr>
              <w:pStyle w:val="6"/>
              <w:snapToGrid/>
              <w:spacing w:before="0" w:after="0" w:line="360" w:lineRule="auto"/>
              <w:ind w:right="0" w:firstLine="480" w:firstLineChars="200"/>
              <w:rPr>
                <w:color w:val="auto"/>
              </w:rPr>
            </w:pPr>
            <w:r>
              <w:rPr>
                <w:rFonts w:hint="eastAsia"/>
                <w:color w:val="auto"/>
                <w:sz w:val="24"/>
              </w:rPr>
              <w:t>此工序会产生组装废气、机械噪声。</w:t>
            </w:r>
          </w:p>
          <w:p w14:paraId="261B3A7A">
            <w:pPr>
              <w:spacing w:line="360" w:lineRule="auto"/>
              <w:ind w:firstLine="480" w:firstLineChars="200"/>
              <w:rPr>
                <w:color w:val="auto"/>
                <w:sz w:val="24"/>
              </w:rPr>
            </w:pPr>
            <w:r>
              <w:rPr>
                <w:rFonts w:hint="eastAsia"/>
                <w:color w:val="auto"/>
                <w:sz w:val="24"/>
              </w:rPr>
              <w:t>（5）表面处理：</w:t>
            </w:r>
            <w:r>
              <w:rPr>
                <w:rFonts w:hint="eastAsia" w:cs="仿宋"/>
                <w:color w:val="auto"/>
                <w:sz w:val="24"/>
              </w:rPr>
              <w:t>运往一期工程进行喷涂等处理。</w:t>
            </w:r>
          </w:p>
          <w:p w14:paraId="035C6DBA">
            <w:pPr>
              <w:spacing w:line="360" w:lineRule="auto"/>
              <w:ind w:firstLine="480" w:firstLineChars="200"/>
              <w:rPr>
                <w:color w:val="auto"/>
                <w:sz w:val="24"/>
              </w:rPr>
            </w:pPr>
            <w:r>
              <w:rPr>
                <w:rFonts w:hint="eastAsia"/>
                <w:color w:val="auto"/>
                <w:sz w:val="24"/>
              </w:rPr>
              <w:t>（6）整体充磁：将磁组件装入工装后使用充磁机对磁组件进行充磁加工，达到磁性能要求，完成整体充磁。</w:t>
            </w:r>
          </w:p>
          <w:p w14:paraId="43957159">
            <w:pPr>
              <w:spacing w:line="360" w:lineRule="auto"/>
              <w:ind w:firstLine="480" w:firstLineChars="200"/>
              <w:rPr>
                <w:color w:val="auto"/>
                <w:sz w:val="24"/>
              </w:rPr>
            </w:pPr>
            <w:r>
              <w:rPr>
                <w:rFonts w:hint="eastAsia"/>
                <w:color w:val="auto"/>
                <w:sz w:val="24"/>
              </w:rPr>
              <w:t>（7）检验包装，使用检测设备对粘胶组件成品进行检测，满足客户图纸要求后进行真空包装、装箱、标签张贴等工作，完成成品包装。此工序会产生废包装材料。</w:t>
            </w:r>
          </w:p>
          <w:p w14:paraId="418E4995">
            <w:pPr>
              <w:spacing w:line="360" w:lineRule="auto"/>
              <w:ind w:firstLine="482" w:firstLineChars="200"/>
              <w:rPr>
                <w:b/>
                <w:bCs/>
                <w:color w:val="auto"/>
                <w:sz w:val="24"/>
              </w:rPr>
            </w:pPr>
            <w:r>
              <w:rPr>
                <w:rFonts w:hint="eastAsia"/>
                <w:b/>
                <w:bCs/>
                <w:color w:val="auto"/>
                <w:sz w:val="24"/>
              </w:rPr>
              <w:t>项目主要产污情况见下表：</w:t>
            </w:r>
          </w:p>
          <w:p w14:paraId="1C64DA05">
            <w:pPr>
              <w:widowControl/>
              <w:jc w:val="center"/>
              <w:rPr>
                <w:b/>
                <w:bCs/>
                <w:color w:val="auto"/>
                <w:kern w:val="0"/>
                <w:sz w:val="24"/>
                <w:lang w:bidi="ar"/>
              </w:rPr>
            </w:pPr>
            <w:r>
              <w:rPr>
                <w:rFonts w:hint="eastAsia"/>
                <w:b/>
                <w:bCs/>
                <w:color w:val="auto"/>
                <w:kern w:val="0"/>
                <w:sz w:val="24"/>
                <w:lang w:bidi="ar"/>
              </w:rPr>
              <w:t>表2-</w:t>
            </w:r>
            <w:r>
              <w:rPr>
                <w:rFonts w:hint="eastAsia"/>
                <w:b/>
                <w:bCs/>
                <w:color w:val="auto"/>
                <w:kern w:val="0"/>
                <w:sz w:val="24"/>
                <w:lang w:val="en-US" w:eastAsia="zh-CN" w:bidi="ar"/>
              </w:rPr>
              <w:t>11</w:t>
            </w:r>
            <w:r>
              <w:rPr>
                <w:rFonts w:hint="eastAsia"/>
                <w:b/>
                <w:bCs/>
                <w:color w:val="auto"/>
                <w:kern w:val="0"/>
                <w:sz w:val="24"/>
                <w:lang w:bidi="ar"/>
              </w:rPr>
              <w:t>产排污环节一览表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6"/>
              <w:gridCol w:w="848"/>
              <w:gridCol w:w="857"/>
              <w:gridCol w:w="1663"/>
              <w:gridCol w:w="2444"/>
              <w:gridCol w:w="2706"/>
            </w:tblGrid>
            <w:tr w14:paraId="7D7B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Align w:val="center"/>
                </w:tcPr>
                <w:p w14:paraId="7AFFC4D6">
                  <w:pPr>
                    <w:pStyle w:val="63"/>
                    <w:rPr>
                      <w:b/>
                      <w:bCs/>
                      <w:color w:val="auto"/>
                    </w:rPr>
                  </w:pPr>
                  <w:r>
                    <w:rPr>
                      <w:b/>
                      <w:bCs/>
                      <w:color w:val="auto"/>
                    </w:rPr>
                    <w:t>类别</w:t>
                  </w:r>
                </w:p>
              </w:tc>
              <w:tc>
                <w:tcPr>
                  <w:tcW w:w="917" w:type="pct"/>
                  <w:gridSpan w:val="2"/>
                  <w:vAlign w:val="center"/>
                </w:tcPr>
                <w:p w14:paraId="471AD724">
                  <w:pPr>
                    <w:pStyle w:val="63"/>
                    <w:rPr>
                      <w:b/>
                      <w:bCs/>
                      <w:color w:val="auto"/>
                    </w:rPr>
                  </w:pPr>
                  <w:r>
                    <w:rPr>
                      <w:b/>
                      <w:bCs/>
                      <w:color w:val="auto"/>
                    </w:rPr>
                    <w:t>污染源</w:t>
                  </w:r>
                </w:p>
              </w:tc>
              <w:tc>
                <w:tcPr>
                  <w:tcW w:w="894" w:type="pct"/>
                  <w:vAlign w:val="center"/>
                </w:tcPr>
                <w:p w14:paraId="02CC8516">
                  <w:pPr>
                    <w:pStyle w:val="63"/>
                    <w:rPr>
                      <w:b/>
                      <w:bCs/>
                      <w:color w:val="auto"/>
                    </w:rPr>
                  </w:pPr>
                  <w:r>
                    <w:rPr>
                      <w:b/>
                      <w:bCs/>
                      <w:color w:val="auto"/>
                    </w:rPr>
                    <w:t>产污节点</w:t>
                  </w:r>
                </w:p>
              </w:tc>
              <w:tc>
                <w:tcPr>
                  <w:tcW w:w="1314" w:type="pct"/>
                  <w:vAlign w:val="center"/>
                </w:tcPr>
                <w:p w14:paraId="3A2C7539">
                  <w:pPr>
                    <w:pStyle w:val="63"/>
                    <w:rPr>
                      <w:b/>
                      <w:bCs/>
                      <w:color w:val="auto"/>
                    </w:rPr>
                  </w:pPr>
                  <w:r>
                    <w:rPr>
                      <w:b/>
                      <w:bCs/>
                      <w:color w:val="auto"/>
                    </w:rPr>
                    <w:t>污染物</w:t>
                  </w:r>
                </w:p>
              </w:tc>
              <w:tc>
                <w:tcPr>
                  <w:tcW w:w="1455" w:type="pct"/>
                  <w:vAlign w:val="center"/>
                </w:tcPr>
                <w:p w14:paraId="455A4415">
                  <w:pPr>
                    <w:pStyle w:val="63"/>
                    <w:rPr>
                      <w:b/>
                      <w:bCs/>
                      <w:color w:val="auto"/>
                    </w:rPr>
                  </w:pPr>
                  <w:r>
                    <w:rPr>
                      <w:rFonts w:hint="eastAsia"/>
                      <w:b/>
                      <w:bCs/>
                      <w:color w:val="auto"/>
                    </w:rPr>
                    <w:t>所属产品</w:t>
                  </w:r>
                </w:p>
              </w:tc>
            </w:tr>
            <w:tr w14:paraId="4D14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restart"/>
                  <w:vAlign w:val="center"/>
                </w:tcPr>
                <w:p w14:paraId="1C77B6EA">
                  <w:pPr>
                    <w:pStyle w:val="63"/>
                    <w:rPr>
                      <w:color w:val="auto"/>
                    </w:rPr>
                  </w:pPr>
                  <w:r>
                    <w:rPr>
                      <w:color w:val="auto"/>
                    </w:rPr>
                    <w:t>废气</w:t>
                  </w:r>
                </w:p>
              </w:tc>
              <w:tc>
                <w:tcPr>
                  <w:tcW w:w="917" w:type="pct"/>
                  <w:gridSpan w:val="2"/>
                  <w:vAlign w:val="center"/>
                </w:tcPr>
                <w:p w14:paraId="3887B116">
                  <w:pPr>
                    <w:pStyle w:val="63"/>
                    <w:rPr>
                      <w:color w:val="auto"/>
                    </w:rPr>
                  </w:pPr>
                  <w:r>
                    <w:rPr>
                      <w:rFonts w:hint="eastAsia"/>
                      <w:color w:val="auto"/>
                    </w:rPr>
                    <w:t>打孔油雾</w:t>
                  </w:r>
                </w:p>
              </w:tc>
              <w:tc>
                <w:tcPr>
                  <w:tcW w:w="894" w:type="pct"/>
                  <w:vAlign w:val="center"/>
                </w:tcPr>
                <w:p w14:paraId="269A2CA3">
                  <w:pPr>
                    <w:pStyle w:val="63"/>
                    <w:rPr>
                      <w:color w:val="auto"/>
                    </w:rPr>
                  </w:pPr>
                  <w:r>
                    <w:rPr>
                      <w:rFonts w:hint="eastAsia"/>
                      <w:color w:val="auto"/>
                    </w:rPr>
                    <w:t>打孔</w:t>
                  </w:r>
                </w:p>
              </w:tc>
              <w:tc>
                <w:tcPr>
                  <w:tcW w:w="1314" w:type="pct"/>
                  <w:vAlign w:val="center"/>
                </w:tcPr>
                <w:p w14:paraId="1EBBCDD0">
                  <w:pPr>
                    <w:pStyle w:val="63"/>
                    <w:rPr>
                      <w:color w:val="auto"/>
                    </w:rPr>
                  </w:pPr>
                  <w:r>
                    <w:rPr>
                      <w:rFonts w:hint="eastAsia"/>
                      <w:color w:val="auto"/>
                    </w:rPr>
                    <w:t>非甲烷总烃</w:t>
                  </w:r>
                </w:p>
              </w:tc>
              <w:tc>
                <w:tcPr>
                  <w:tcW w:w="1455" w:type="pct"/>
                  <w:vAlign w:val="center"/>
                </w:tcPr>
                <w:p w14:paraId="5098D7C2">
                  <w:pPr>
                    <w:pStyle w:val="63"/>
                    <w:rPr>
                      <w:color w:val="auto"/>
                    </w:rPr>
                  </w:pPr>
                  <w:r>
                    <w:rPr>
                      <w:rFonts w:hint="eastAsia"/>
                      <w:color w:val="auto"/>
                    </w:rPr>
                    <w:t>钕铁硼材料机加工半成品</w:t>
                  </w:r>
                </w:p>
              </w:tc>
            </w:tr>
            <w:tr w14:paraId="67CD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364A45E5">
                  <w:pPr>
                    <w:pStyle w:val="63"/>
                    <w:rPr>
                      <w:color w:val="auto"/>
                    </w:rPr>
                  </w:pPr>
                </w:p>
              </w:tc>
              <w:tc>
                <w:tcPr>
                  <w:tcW w:w="917" w:type="pct"/>
                  <w:gridSpan w:val="2"/>
                  <w:vAlign w:val="center"/>
                </w:tcPr>
                <w:p w14:paraId="7FF43966">
                  <w:pPr>
                    <w:pStyle w:val="63"/>
                    <w:rPr>
                      <w:color w:val="auto"/>
                    </w:rPr>
                  </w:pPr>
                  <w:r>
                    <w:rPr>
                      <w:rFonts w:hint="eastAsia"/>
                      <w:color w:val="auto"/>
                    </w:rPr>
                    <w:t>机加工粉尘</w:t>
                  </w:r>
                </w:p>
              </w:tc>
              <w:tc>
                <w:tcPr>
                  <w:tcW w:w="894" w:type="pct"/>
                  <w:vAlign w:val="center"/>
                </w:tcPr>
                <w:p w14:paraId="479BA976">
                  <w:pPr>
                    <w:pStyle w:val="63"/>
                    <w:rPr>
                      <w:color w:val="auto"/>
                    </w:rPr>
                  </w:pPr>
                  <w:r>
                    <w:rPr>
                      <w:rFonts w:hint="eastAsia"/>
                      <w:color w:val="auto"/>
                    </w:rPr>
                    <w:t>转轴机加工</w:t>
                  </w:r>
                </w:p>
              </w:tc>
              <w:tc>
                <w:tcPr>
                  <w:tcW w:w="1314" w:type="pct"/>
                  <w:vAlign w:val="center"/>
                </w:tcPr>
                <w:p w14:paraId="21B29F70">
                  <w:pPr>
                    <w:pStyle w:val="63"/>
                    <w:rPr>
                      <w:color w:val="auto"/>
                    </w:rPr>
                  </w:pPr>
                  <w:r>
                    <w:rPr>
                      <w:rFonts w:hint="eastAsia"/>
                      <w:color w:val="auto"/>
                    </w:rPr>
                    <w:t>颗粒物</w:t>
                  </w:r>
                </w:p>
              </w:tc>
              <w:tc>
                <w:tcPr>
                  <w:tcW w:w="1455" w:type="pct"/>
                  <w:vMerge w:val="restart"/>
                  <w:vAlign w:val="center"/>
                </w:tcPr>
                <w:p w14:paraId="5D5F5BE5">
                  <w:pPr>
                    <w:pStyle w:val="63"/>
                    <w:rPr>
                      <w:color w:val="auto"/>
                    </w:rPr>
                  </w:pPr>
                  <w:r>
                    <w:rPr>
                      <w:rFonts w:hint="eastAsia"/>
                      <w:color w:val="auto"/>
                    </w:rPr>
                    <w:t>粘胶组件</w:t>
                  </w:r>
                </w:p>
              </w:tc>
            </w:tr>
            <w:tr w14:paraId="0F8D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29D6D6D1">
                  <w:pPr>
                    <w:pStyle w:val="63"/>
                    <w:rPr>
                      <w:color w:val="auto"/>
                    </w:rPr>
                  </w:pPr>
                </w:p>
              </w:tc>
              <w:tc>
                <w:tcPr>
                  <w:tcW w:w="917" w:type="pct"/>
                  <w:gridSpan w:val="2"/>
                  <w:vAlign w:val="center"/>
                </w:tcPr>
                <w:p w14:paraId="472C9B3A">
                  <w:pPr>
                    <w:pStyle w:val="63"/>
                    <w:rPr>
                      <w:color w:val="auto"/>
                    </w:rPr>
                  </w:pPr>
                  <w:r>
                    <w:rPr>
                      <w:rFonts w:hint="eastAsia"/>
                      <w:color w:val="auto"/>
                    </w:rPr>
                    <w:t>机加工油雾</w:t>
                  </w:r>
                </w:p>
              </w:tc>
              <w:tc>
                <w:tcPr>
                  <w:tcW w:w="894" w:type="pct"/>
                  <w:vAlign w:val="center"/>
                </w:tcPr>
                <w:p w14:paraId="4725A818">
                  <w:pPr>
                    <w:pStyle w:val="63"/>
                    <w:rPr>
                      <w:color w:val="auto"/>
                    </w:rPr>
                  </w:pPr>
                  <w:r>
                    <w:rPr>
                      <w:rFonts w:hint="eastAsia"/>
                      <w:color w:val="auto"/>
                    </w:rPr>
                    <w:t>转轴机加工</w:t>
                  </w:r>
                </w:p>
              </w:tc>
              <w:tc>
                <w:tcPr>
                  <w:tcW w:w="1314" w:type="pct"/>
                  <w:vAlign w:val="center"/>
                </w:tcPr>
                <w:p w14:paraId="61AD8565">
                  <w:pPr>
                    <w:pStyle w:val="63"/>
                    <w:rPr>
                      <w:color w:val="auto"/>
                    </w:rPr>
                  </w:pPr>
                  <w:r>
                    <w:rPr>
                      <w:rFonts w:hint="eastAsia"/>
                      <w:color w:val="auto"/>
                    </w:rPr>
                    <w:t>非甲烷总烃</w:t>
                  </w:r>
                </w:p>
              </w:tc>
              <w:tc>
                <w:tcPr>
                  <w:tcW w:w="1455" w:type="pct"/>
                  <w:vMerge w:val="continue"/>
                  <w:vAlign w:val="center"/>
                </w:tcPr>
                <w:p w14:paraId="1D91BC9F">
                  <w:pPr>
                    <w:pStyle w:val="63"/>
                    <w:rPr>
                      <w:color w:val="auto"/>
                    </w:rPr>
                  </w:pPr>
                </w:p>
              </w:tc>
            </w:tr>
            <w:tr w14:paraId="1312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7A86A55D">
                  <w:pPr>
                    <w:pStyle w:val="63"/>
                    <w:rPr>
                      <w:color w:val="auto"/>
                    </w:rPr>
                  </w:pPr>
                </w:p>
              </w:tc>
              <w:tc>
                <w:tcPr>
                  <w:tcW w:w="917" w:type="pct"/>
                  <w:gridSpan w:val="2"/>
                  <w:vAlign w:val="center"/>
                </w:tcPr>
                <w:p w14:paraId="05BF8C1E">
                  <w:pPr>
                    <w:pStyle w:val="63"/>
                    <w:rPr>
                      <w:color w:val="auto"/>
                    </w:rPr>
                  </w:pPr>
                  <w:r>
                    <w:rPr>
                      <w:rFonts w:hint="eastAsia"/>
                      <w:color w:val="auto"/>
                    </w:rPr>
                    <w:t>组装废气</w:t>
                  </w:r>
                </w:p>
              </w:tc>
              <w:tc>
                <w:tcPr>
                  <w:tcW w:w="894" w:type="pct"/>
                  <w:vAlign w:val="center"/>
                </w:tcPr>
                <w:p w14:paraId="32D9CBD8">
                  <w:pPr>
                    <w:pStyle w:val="63"/>
                    <w:rPr>
                      <w:color w:val="auto"/>
                    </w:rPr>
                  </w:pPr>
                  <w:r>
                    <w:rPr>
                      <w:rFonts w:hint="eastAsia"/>
                      <w:color w:val="auto"/>
                    </w:rPr>
                    <w:t>组装</w:t>
                  </w:r>
                </w:p>
              </w:tc>
              <w:tc>
                <w:tcPr>
                  <w:tcW w:w="1314" w:type="pct"/>
                  <w:vAlign w:val="center"/>
                </w:tcPr>
                <w:p w14:paraId="145F0A6D">
                  <w:pPr>
                    <w:pStyle w:val="63"/>
                    <w:rPr>
                      <w:color w:val="auto"/>
                    </w:rPr>
                  </w:pPr>
                  <w:r>
                    <w:rPr>
                      <w:rFonts w:hint="eastAsia"/>
                      <w:color w:val="auto"/>
                    </w:rPr>
                    <w:t>非甲烷总烃</w:t>
                  </w:r>
                </w:p>
              </w:tc>
              <w:tc>
                <w:tcPr>
                  <w:tcW w:w="1455" w:type="pct"/>
                  <w:vMerge w:val="continue"/>
                  <w:vAlign w:val="center"/>
                </w:tcPr>
                <w:p w14:paraId="1E9780D1">
                  <w:pPr>
                    <w:pStyle w:val="63"/>
                    <w:rPr>
                      <w:color w:val="auto"/>
                    </w:rPr>
                  </w:pPr>
                </w:p>
              </w:tc>
            </w:tr>
            <w:tr w14:paraId="3FB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restart"/>
                  <w:vAlign w:val="center"/>
                </w:tcPr>
                <w:p w14:paraId="0B01188A">
                  <w:pPr>
                    <w:pStyle w:val="63"/>
                    <w:rPr>
                      <w:color w:val="auto"/>
                    </w:rPr>
                  </w:pPr>
                  <w:r>
                    <w:rPr>
                      <w:color w:val="auto"/>
                    </w:rPr>
                    <w:t>废水</w:t>
                  </w:r>
                </w:p>
              </w:tc>
              <w:tc>
                <w:tcPr>
                  <w:tcW w:w="917" w:type="pct"/>
                  <w:gridSpan w:val="2"/>
                  <w:vAlign w:val="center"/>
                </w:tcPr>
                <w:p w14:paraId="1502C4AF">
                  <w:pPr>
                    <w:pStyle w:val="63"/>
                    <w:rPr>
                      <w:color w:val="auto"/>
                    </w:rPr>
                  </w:pPr>
                  <w:r>
                    <w:rPr>
                      <w:color w:val="auto"/>
                    </w:rPr>
                    <w:t>生活污水</w:t>
                  </w:r>
                </w:p>
              </w:tc>
              <w:tc>
                <w:tcPr>
                  <w:tcW w:w="894" w:type="pct"/>
                  <w:vAlign w:val="center"/>
                </w:tcPr>
                <w:p w14:paraId="12844BFD">
                  <w:pPr>
                    <w:pStyle w:val="63"/>
                    <w:rPr>
                      <w:color w:val="auto"/>
                    </w:rPr>
                  </w:pPr>
                  <w:r>
                    <w:rPr>
                      <w:color w:val="auto"/>
                    </w:rPr>
                    <w:t>员工</w:t>
                  </w:r>
                </w:p>
              </w:tc>
              <w:tc>
                <w:tcPr>
                  <w:tcW w:w="1314" w:type="pct"/>
                  <w:vAlign w:val="center"/>
                </w:tcPr>
                <w:p w14:paraId="3ED55827">
                  <w:pPr>
                    <w:pStyle w:val="63"/>
                    <w:rPr>
                      <w:color w:val="auto"/>
                    </w:rPr>
                  </w:pPr>
                  <w:r>
                    <w:rPr>
                      <w:color w:val="auto"/>
                    </w:rPr>
                    <w:t>pH、COD、BOD</w:t>
                  </w:r>
                  <w:r>
                    <w:rPr>
                      <w:color w:val="auto"/>
                      <w:vertAlign w:val="subscript"/>
                    </w:rPr>
                    <w:t>5</w:t>
                  </w:r>
                  <w:r>
                    <w:rPr>
                      <w:color w:val="auto"/>
                    </w:rPr>
                    <w:t>、NH</w:t>
                  </w:r>
                  <w:r>
                    <w:rPr>
                      <w:color w:val="auto"/>
                      <w:vertAlign w:val="subscript"/>
                    </w:rPr>
                    <w:t>3</w:t>
                  </w:r>
                  <w:r>
                    <w:rPr>
                      <w:color w:val="auto"/>
                    </w:rPr>
                    <w:t>-N、SS</w:t>
                  </w:r>
                </w:p>
              </w:tc>
              <w:tc>
                <w:tcPr>
                  <w:tcW w:w="1455" w:type="pct"/>
                  <w:vAlign w:val="center"/>
                </w:tcPr>
                <w:p w14:paraId="59701E3A">
                  <w:pPr>
                    <w:pStyle w:val="63"/>
                    <w:rPr>
                      <w:color w:val="auto"/>
                    </w:rPr>
                  </w:pPr>
                  <w:r>
                    <w:rPr>
                      <w:rFonts w:hint="eastAsia"/>
                      <w:color w:val="auto"/>
                    </w:rPr>
                    <w:t>全厂</w:t>
                  </w:r>
                </w:p>
              </w:tc>
            </w:tr>
            <w:tr w14:paraId="2DC1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68B11BCE">
                  <w:pPr>
                    <w:pStyle w:val="63"/>
                    <w:rPr>
                      <w:color w:val="auto"/>
                    </w:rPr>
                  </w:pPr>
                </w:p>
              </w:tc>
              <w:tc>
                <w:tcPr>
                  <w:tcW w:w="456" w:type="pct"/>
                  <w:vMerge w:val="restart"/>
                  <w:vAlign w:val="center"/>
                </w:tcPr>
                <w:p w14:paraId="19934CFD">
                  <w:pPr>
                    <w:pStyle w:val="63"/>
                    <w:rPr>
                      <w:color w:val="auto"/>
                    </w:rPr>
                  </w:pPr>
                  <w:r>
                    <w:rPr>
                      <w:rFonts w:hint="eastAsia"/>
                      <w:color w:val="auto"/>
                    </w:rPr>
                    <w:t>生产废水</w:t>
                  </w:r>
                </w:p>
              </w:tc>
              <w:tc>
                <w:tcPr>
                  <w:tcW w:w="461" w:type="pct"/>
                  <w:vAlign w:val="center"/>
                </w:tcPr>
                <w:p w14:paraId="6B33EB69">
                  <w:pPr>
                    <w:pStyle w:val="63"/>
                    <w:rPr>
                      <w:color w:val="auto"/>
                    </w:rPr>
                  </w:pPr>
                  <w:r>
                    <w:rPr>
                      <w:rFonts w:hint="eastAsia"/>
                      <w:color w:val="auto"/>
                    </w:rPr>
                    <w:t>粗磨废水</w:t>
                  </w:r>
                </w:p>
              </w:tc>
              <w:tc>
                <w:tcPr>
                  <w:tcW w:w="894" w:type="pct"/>
                  <w:vAlign w:val="center"/>
                </w:tcPr>
                <w:p w14:paraId="30553192">
                  <w:pPr>
                    <w:pStyle w:val="63"/>
                    <w:rPr>
                      <w:color w:val="auto"/>
                    </w:rPr>
                  </w:pPr>
                  <w:r>
                    <w:rPr>
                      <w:rFonts w:hint="eastAsia"/>
                      <w:color w:val="auto"/>
                    </w:rPr>
                    <w:t>粗磨</w:t>
                  </w:r>
                </w:p>
              </w:tc>
              <w:tc>
                <w:tcPr>
                  <w:tcW w:w="1314" w:type="pct"/>
                  <w:vMerge w:val="restart"/>
                  <w:shd w:val="clear" w:color="auto" w:fill="auto"/>
                  <w:vAlign w:val="center"/>
                </w:tcPr>
                <w:p w14:paraId="3666294D">
                  <w:pPr>
                    <w:pStyle w:val="63"/>
                    <w:rPr>
                      <w:color w:val="auto"/>
                    </w:rPr>
                  </w:pPr>
                  <w:r>
                    <w:rPr>
                      <w:color w:val="auto"/>
                    </w:rPr>
                    <w:t>pH、COD、BOD</w:t>
                  </w:r>
                  <w:r>
                    <w:rPr>
                      <w:color w:val="auto"/>
                      <w:vertAlign w:val="subscript"/>
                    </w:rPr>
                    <w:t>5</w:t>
                  </w:r>
                  <w:r>
                    <w:rPr>
                      <w:color w:val="auto"/>
                    </w:rPr>
                    <w:t>、NH</w:t>
                  </w:r>
                  <w:r>
                    <w:rPr>
                      <w:color w:val="auto"/>
                      <w:vertAlign w:val="subscript"/>
                    </w:rPr>
                    <w:t>3</w:t>
                  </w:r>
                  <w:r>
                    <w:rPr>
                      <w:color w:val="auto"/>
                    </w:rPr>
                    <w:t>-N、SS</w:t>
                  </w:r>
                  <w:r>
                    <w:rPr>
                      <w:rFonts w:hint="eastAsia"/>
                      <w:color w:val="auto"/>
                    </w:rPr>
                    <w:t>、石油类</w:t>
                  </w:r>
                </w:p>
              </w:tc>
              <w:tc>
                <w:tcPr>
                  <w:tcW w:w="1455" w:type="pct"/>
                  <w:vMerge w:val="restart"/>
                  <w:vAlign w:val="center"/>
                </w:tcPr>
                <w:p w14:paraId="31604666">
                  <w:pPr>
                    <w:pStyle w:val="63"/>
                    <w:rPr>
                      <w:color w:val="auto"/>
                    </w:rPr>
                  </w:pPr>
                  <w:r>
                    <w:rPr>
                      <w:rFonts w:hint="eastAsia"/>
                      <w:color w:val="auto"/>
                    </w:rPr>
                    <w:t>钕铁硼材料机加工半成品</w:t>
                  </w:r>
                </w:p>
              </w:tc>
            </w:tr>
            <w:tr w14:paraId="1698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38184B2A">
                  <w:pPr>
                    <w:pStyle w:val="63"/>
                    <w:rPr>
                      <w:color w:val="auto"/>
                    </w:rPr>
                  </w:pPr>
                </w:p>
              </w:tc>
              <w:tc>
                <w:tcPr>
                  <w:tcW w:w="456" w:type="pct"/>
                  <w:vMerge w:val="continue"/>
                  <w:vAlign w:val="center"/>
                </w:tcPr>
                <w:p w14:paraId="7547661B">
                  <w:pPr>
                    <w:pStyle w:val="63"/>
                    <w:rPr>
                      <w:color w:val="auto"/>
                    </w:rPr>
                  </w:pPr>
                </w:p>
              </w:tc>
              <w:tc>
                <w:tcPr>
                  <w:tcW w:w="461" w:type="pct"/>
                  <w:vAlign w:val="center"/>
                </w:tcPr>
                <w:p w14:paraId="310CE4FF">
                  <w:pPr>
                    <w:pStyle w:val="63"/>
                    <w:rPr>
                      <w:color w:val="auto"/>
                    </w:rPr>
                  </w:pPr>
                  <w:r>
                    <w:rPr>
                      <w:rFonts w:hint="eastAsia"/>
                      <w:color w:val="auto"/>
                    </w:rPr>
                    <w:t>切割废水</w:t>
                  </w:r>
                </w:p>
              </w:tc>
              <w:tc>
                <w:tcPr>
                  <w:tcW w:w="894" w:type="pct"/>
                  <w:vAlign w:val="center"/>
                </w:tcPr>
                <w:p w14:paraId="19BF6C7C">
                  <w:pPr>
                    <w:pStyle w:val="63"/>
                    <w:rPr>
                      <w:color w:val="auto"/>
                    </w:rPr>
                  </w:pPr>
                  <w:r>
                    <w:rPr>
                      <w:rFonts w:hint="eastAsia"/>
                      <w:color w:val="auto"/>
                    </w:rPr>
                    <w:t>多线切割</w:t>
                  </w:r>
                </w:p>
              </w:tc>
              <w:tc>
                <w:tcPr>
                  <w:tcW w:w="1314" w:type="pct"/>
                  <w:vMerge w:val="continue"/>
                  <w:vAlign w:val="center"/>
                </w:tcPr>
                <w:p w14:paraId="3053E23F">
                  <w:pPr>
                    <w:pStyle w:val="63"/>
                    <w:rPr>
                      <w:color w:val="auto"/>
                    </w:rPr>
                  </w:pPr>
                </w:p>
              </w:tc>
              <w:tc>
                <w:tcPr>
                  <w:tcW w:w="1455" w:type="pct"/>
                  <w:vMerge w:val="continue"/>
                  <w:vAlign w:val="center"/>
                </w:tcPr>
                <w:p w14:paraId="5CDDE49D">
                  <w:pPr>
                    <w:pStyle w:val="63"/>
                    <w:rPr>
                      <w:color w:val="auto"/>
                    </w:rPr>
                  </w:pPr>
                </w:p>
              </w:tc>
            </w:tr>
            <w:tr w14:paraId="2459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3202FB07">
                  <w:pPr>
                    <w:pStyle w:val="63"/>
                    <w:rPr>
                      <w:color w:val="auto"/>
                    </w:rPr>
                  </w:pPr>
                </w:p>
              </w:tc>
              <w:tc>
                <w:tcPr>
                  <w:tcW w:w="456" w:type="pct"/>
                  <w:vMerge w:val="continue"/>
                  <w:vAlign w:val="center"/>
                </w:tcPr>
                <w:p w14:paraId="12A8D16A">
                  <w:pPr>
                    <w:pStyle w:val="63"/>
                    <w:rPr>
                      <w:color w:val="auto"/>
                    </w:rPr>
                  </w:pPr>
                </w:p>
              </w:tc>
              <w:tc>
                <w:tcPr>
                  <w:tcW w:w="461" w:type="pct"/>
                  <w:shd w:val="clear" w:color="auto" w:fill="auto"/>
                  <w:vAlign w:val="center"/>
                </w:tcPr>
                <w:p w14:paraId="623EE953">
                  <w:pPr>
                    <w:pStyle w:val="63"/>
                    <w:rPr>
                      <w:color w:val="auto"/>
                    </w:rPr>
                  </w:pPr>
                  <w:r>
                    <w:rPr>
                      <w:rFonts w:hint="eastAsia"/>
                      <w:color w:val="auto"/>
                    </w:rPr>
                    <w:t>精磨废水</w:t>
                  </w:r>
                </w:p>
              </w:tc>
              <w:tc>
                <w:tcPr>
                  <w:tcW w:w="894" w:type="pct"/>
                  <w:shd w:val="clear" w:color="auto" w:fill="auto"/>
                  <w:vAlign w:val="center"/>
                </w:tcPr>
                <w:p w14:paraId="21396CF9">
                  <w:pPr>
                    <w:pStyle w:val="63"/>
                    <w:rPr>
                      <w:color w:val="auto"/>
                    </w:rPr>
                  </w:pPr>
                  <w:r>
                    <w:rPr>
                      <w:rFonts w:hint="eastAsia"/>
                      <w:color w:val="auto"/>
                    </w:rPr>
                    <w:t>倒边精磨</w:t>
                  </w:r>
                </w:p>
              </w:tc>
              <w:tc>
                <w:tcPr>
                  <w:tcW w:w="1314" w:type="pct"/>
                  <w:vMerge w:val="continue"/>
                  <w:vAlign w:val="center"/>
                </w:tcPr>
                <w:p w14:paraId="2686AE7B">
                  <w:pPr>
                    <w:pStyle w:val="63"/>
                    <w:rPr>
                      <w:color w:val="auto"/>
                    </w:rPr>
                  </w:pPr>
                </w:p>
              </w:tc>
              <w:tc>
                <w:tcPr>
                  <w:tcW w:w="1455" w:type="pct"/>
                  <w:vMerge w:val="continue"/>
                  <w:vAlign w:val="center"/>
                </w:tcPr>
                <w:p w14:paraId="10230D58">
                  <w:pPr>
                    <w:pStyle w:val="63"/>
                    <w:rPr>
                      <w:color w:val="auto"/>
                    </w:rPr>
                  </w:pPr>
                </w:p>
              </w:tc>
            </w:tr>
            <w:tr w14:paraId="5AA2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7A0EC58E">
                  <w:pPr>
                    <w:pStyle w:val="63"/>
                    <w:rPr>
                      <w:color w:val="auto"/>
                    </w:rPr>
                  </w:pPr>
                </w:p>
              </w:tc>
              <w:tc>
                <w:tcPr>
                  <w:tcW w:w="456" w:type="pct"/>
                  <w:vMerge w:val="continue"/>
                  <w:vAlign w:val="center"/>
                </w:tcPr>
                <w:p w14:paraId="61820BDD">
                  <w:pPr>
                    <w:pStyle w:val="63"/>
                    <w:rPr>
                      <w:color w:val="auto"/>
                    </w:rPr>
                  </w:pPr>
                </w:p>
              </w:tc>
              <w:tc>
                <w:tcPr>
                  <w:tcW w:w="461" w:type="pct"/>
                  <w:vAlign w:val="center"/>
                </w:tcPr>
                <w:p w14:paraId="334ADC83">
                  <w:pPr>
                    <w:pStyle w:val="63"/>
                    <w:rPr>
                      <w:color w:val="auto"/>
                    </w:rPr>
                  </w:pPr>
                  <w:r>
                    <w:rPr>
                      <w:rFonts w:hint="eastAsia"/>
                      <w:color w:val="auto"/>
                    </w:rPr>
                    <w:t>成型废水</w:t>
                  </w:r>
                </w:p>
              </w:tc>
              <w:tc>
                <w:tcPr>
                  <w:tcW w:w="894" w:type="pct"/>
                  <w:vAlign w:val="center"/>
                </w:tcPr>
                <w:p w14:paraId="75A3F63C">
                  <w:pPr>
                    <w:pStyle w:val="63"/>
                    <w:rPr>
                      <w:color w:val="auto"/>
                    </w:rPr>
                  </w:pPr>
                  <w:r>
                    <w:rPr>
                      <w:rFonts w:cs="仿宋"/>
                      <w:color w:val="auto"/>
                    </w:rPr>
                    <w:t>振动倒角</w:t>
                  </w:r>
                </w:p>
              </w:tc>
              <w:tc>
                <w:tcPr>
                  <w:tcW w:w="1314" w:type="pct"/>
                  <w:vMerge w:val="continue"/>
                  <w:vAlign w:val="center"/>
                </w:tcPr>
                <w:p w14:paraId="54CCDAFA">
                  <w:pPr>
                    <w:pStyle w:val="63"/>
                    <w:rPr>
                      <w:color w:val="auto"/>
                    </w:rPr>
                  </w:pPr>
                </w:p>
              </w:tc>
              <w:tc>
                <w:tcPr>
                  <w:tcW w:w="1455" w:type="pct"/>
                  <w:vMerge w:val="continue"/>
                  <w:vAlign w:val="center"/>
                </w:tcPr>
                <w:p w14:paraId="5731E6DE">
                  <w:pPr>
                    <w:pStyle w:val="63"/>
                    <w:rPr>
                      <w:color w:val="auto"/>
                    </w:rPr>
                  </w:pPr>
                </w:p>
              </w:tc>
            </w:tr>
            <w:tr w14:paraId="4BA8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36F4CE0F">
                  <w:pPr>
                    <w:pStyle w:val="63"/>
                    <w:rPr>
                      <w:color w:val="auto"/>
                    </w:rPr>
                  </w:pPr>
                </w:p>
              </w:tc>
              <w:tc>
                <w:tcPr>
                  <w:tcW w:w="456" w:type="pct"/>
                  <w:vMerge w:val="continue"/>
                  <w:vAlign w:val="center"/>
                </w:tcPr>
                <w:p w14:paraId="6B673067">
                  <w:pPr>
                    <w:pStyle w:val="63"/>
                    <w:rPr>
                      <w:color w:val="auto"/>
                    </w:rPr>
                  </w:pPr>
                </w:p>
              </w:tc>
              <w:tc>
                <w:tcPr>
                  <w:tcW w:w="461" w:type="pct"/>
                  <w:vAlign w:val="center"/>
                </w:tcPr>
                <w:p w14:paraId="270380ED">
                  <w:pPr>
                    <w:pStyle w:val="63"/>
                    <w:rPr>
                      <w:color w:val="auto"/>
                    </w:rPr>
                  </w:pPr>
                  <w:r>
                    <w:rPr>
                      <w:rFonts w:hint="eastAsia"/>
                      <w:color w:val="auto"/>
                    </w:rPr>
                    <w:t>清洗废水</w:t>
                  </w:r>
                </w:p>
              </w:tc>
              <w:tc>
                <w:tcPr>
                  <w:tcW w:w="894" w:type="pct"/>
                  <w:vAlign w:val="center"/>
                </w:tcPr>
                <w:p w14:paraId="3B969555">
                  <w:pPr>
                    <w:pStyle w:val="63"/>
                    <w:rPr>
                      <w:color w:val="auto"/>
                    </w:rPr>
                  </w:pPr>
                  <w:r>
                    <w:rPr>
                      <w:rFonts w:hint="eastAsia"/>
                      <w:color w:val="auto"/>
                    </w:rPr>
                    <w:t>清洗</w:t>
                  </w:r>
                </w:p>
              </w:tc>
              <w:tc>
                <w:tcPr>
                  <w:tcW w:w="1314" w:type="pct"/>
                  <w:vAlign w:val="center"/>
                </w:tcPr>
                <w:p w14:paraId="2A160E4C">
                  <w:pPr>
                    <w:pStyle w:val="63"/>
                    <w:rPr>
                      <w:color w:val="auto"/>
                    </w:rPr>
                  </w:pPr>
                  <w:r>
                    <w:rPr>
                      <w:color w:val="auto"/>
                    </w:rPr>
                    <w:t>pH、COD、BOD</w:t>
                  </w:r>
                  <w:r>
                    <w:rPr>
                      <w:color w:val="auto"/>
                      <w:vertAlign w:val="subscript"/>
                    </w:rPr>
                    <w:t>5</w:t>
                  </w:r>
                  <w:r>
                    <w:rPr>
                      <w:color w:val="auto"/>
                    </w:rPr>
                    <w:t>、NH</w:t>
                  </w:r>
                  <w:r>
                    <w:rPr>
                      <w:color w:val="auto"/>
                      <w:vertAlign w:val="subscript"/>
                    </w:rPr>
                    <w:t>3</w:t>
                  </w:r>
                  <w:r>
                    <w:rPr>
                      <w:color w:val="auto"/>
                    </w:rPr>
                    <w:t>-N、SS</w:t>
                  </w:r>
                  <w:r>
                    <w:rPr>
                      <w:rFonts w:hint="eastAsia"/>
                      <w:color w:val="auto"/>
                    </w:rPr>
                    <w:t>、石油类</w:t>
                  </w:r>
                </w:p>
              </w:tc>
              <w:tc>
                <w:tcPr>
                  <w:tcW w:w="1455" w:type="pct"/>
                  <w:vMerge w:val="continue"/>
                  <w:vAlign w:val="center"/>
                </w:tcPr>
                <w:p w14:paraId="46736BF3">
                  <w:pPr>
                    <w:pStyle w:val="63"/>
                    <w:rPr>
                      <w:color w:val="auto"/>
                    </w:rPr>
                  </w:pPr>
                </w:p>
              </w:tc>
            </w:tr>
            <w:tr w14:paraId="4708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restart"/>
                  <w:vAlign w:val="center"/>
                </w:tcPr>
                <w:p w14:paraId="2C6DFE92">
                  <w:pPr>
                    <w:pStyle w:val="63"/>
                    <w:rPr>
                      <w:color w:val="auto"/>
                    </w:rPr>
                  </w:pPr>
                  <w:r>
                    <w:rPr>
                      <w:color w:val="auto"/>
                    </w:rPr>
                    <w:t>固体</w:t>
                  </w:r>
                </w:p>
                <w:p w14:paraId="2788734A">
                  <w:pPr>
                    <w:pStyle w:val="63"/>
                    <w:rPr>
                      <w:color w:val="auto"/>
                    </w:rPr>
                  </w:pPr>
                  <w:r>
                    <w:rPr>
                      <w:color w:val="auto"/>
                    </w:rPr>
                    <w:t>废物</w:t>
                  </w:r>
                </w:p>
              </w:tc>
              <w:tc>
                <w:tcPr>
                  <w:tcW w:w="917" w:type="pct"/>
                  <w:gridSpan w:val="2"/>
                  <w:vAlign w:val="center"/>
                </w:tcPr>
                <w:p w14:paraId="24054DA3">
                  <w:pPr>
                    <w:pStyle w:val="63"/>
                    <w:rPr>
                      <w:color w:val="auto"/>
                    </w:rPr>
                  </w:pPr>
                  <w:r>
                    <w:rPr>
                      <w:rFonts w:hint="eastAsia"/>
                      <w:color w:val="auto"/>
                    </w:rPr>
                    <w:t>不合格品</w:t>
                  </w:r>
                </w:p>
              </w:tc>
              <w:tc>
                <w:tcPr>
                  <w:tcW w:w="894" w:type="pct"/>
                  <w:vAlign w:val="center"/>
                </w:tcPr>
                <w:p w14:paraId="6B03EF00">
                  <w:pPr>
                    <w:pStyle w:val="63"/>
                    <w:rPr>
                      <w:color w:val="auto"/>
                    </w:rPr>
                  </w:pPr>
                  <w:r>
                    <w:rPr>
                      <w:rFonts w:hint="eastAsia"/>
                      <w:color w:val="auto"/>
                    </w:rPr>
                    <w:t>检验</w:t>
                  </w:r>
                </w:p>
              </w:tc>
              <w:tc>
                <w:tcPr>
                  <w:tcW w:w="1314" w:type="pct"/>
                  <w:vAlign w:val="center"/>
                </w:tcPr>
                <w:p w14:paraId="783F3F2E">
                  <w:pPr>
                    <w:pStyle w:val="63"/>
                    <w:rPr>
                      <w:color w:val="auto"/>
                    </w:rPr>
                  </w:pPr>
                  <w:r>
                    <w:rPr>
                      <w:rFonts w:hint="eastAsia" w:cs="宋体"/>
                      <w:color w:val="auto"/>
                    </w:rPr>
                    <w:t>不合格品</w:t>
                  </w:r>
                </w:p>
              </w:tc>
              <w:tc>
                <w:tcPr>
                  <w:tcW w:w="1455" w:type="pct"/>
                  <w:vAlign w:val="center"/>
                </w:tcPr>
                <w:p w14:paraId="676CF3F3">
                  <w:pPr>
                    <w:pStyle w:val="63"/>
                    <w:rPr>
                      <w:color w:val="auto"/>
                    </w:rPr>
                  </w:pPr>
                  <w:r>
                    <w:rPr>
                      <w:rFonts w:hint="eastAsia" w:cs="仿宋"/>
                      <w:b w:val="0"/>
                      <w:bCs w:val="0"/>
                      <w:color w:val="auto"/>
                      <w:szCs w:val="21"/>
                    </w:rPr>
                    <w:t>钕铁硼材料机加工半成品</w:t>
                  </w:r>
                </w:p>
              </w:tc>
            </w:tr>
            <w:tr w14:paraId="488A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2AA004AF">
                  <w:pPr>
                    <w:pStyle w:val="63"/>
                    <w:rPr>
                      <w:color w:val="auto"/>
                    </w:rPr>
                  </w:pPr>
                </w:p>
              </w:tc>
              <w:tc>
                <w:tcPr>
                  <w:tcW w:w="917" w:type="pct"/>
                  <w:gridSpan w:val="2"/>
                  <w:vAlign w:val="center"/>
                </w:tcPr>
                <w:p w14:paraId="5B4E1F65">
                  <w:pPr>
                    <w:pStyle w:val="63"/>
                    <w:rPr>
                      <w:rFonts w:hint="eastAsia"/>
                      <w:color w:val="auto"/>
                    </w:rPr>
                  </w:pPr>
                  <w:r>
                    <w:rPr>
                      <w:rFonts w:hint="eastAsia" w:cs="宋体"/>
                      <w:color w:val="auto"/>
                      <w:lang w:val="en-US" w:eastAsia="zh-CN"/>
                    </w:rPr>
                    <w:t>废石板</w:t>
                  </w:r>
                </w:p>
              </w:tc>
              <w:tc>
                <w:tcPr>
                  <w:tcW w:w="894" w:type="pct"/>
                  <w:vAlign w:val="center"/>
                </w:tcPr>
                <w:p w14:paraId="19BC871F">
                  <w:pPr>
                    <w:pStyle w:val="63"/>
                    <w:rPr>
                      <w:rFonts w:hint="default" w:eastAsia="宋体"/>
                      <w:color w:val="auto"/>
                      <w:lang w:val="en-US" w:eastAsia="zh-CN"/>
                    </w:rPr>
                  </w:pPr>
                  <w:r>
                    <w:rPr>
                      <w:rFonts w:hint="eastAsia"/>
                      <w:color w:val="auto"/>
                      <w:lang w:val="en-US" w:eastAsia="zh-CN"/>
                    </w:rPr>
                    <w:t>自动粘胶</w:t>
                  </w:r>
                </w:p>
              </w:tc>
              <w:tc>
                <w:tcPr>
                  <w:tcW w:w="1314" w:type="pct"/>
                  <w:vAlign w:val="center"/>
                </w:tcPr>
                <w:p w14:paraId="4D1F9EFB">
                  <w:pPr>
                    <w:pStyle w:val="63"/>
                    <w:rPr>
                      <w:rFonts w:hint="eastAsia" w:eastAsia="宋体" w:cs="宋体"/>
                      <w:color w:val="auto"/>
                      <w:lang w:val="en-US" w:eastAsia="zh-CN"/>
                    </w:rPr>
                  </w:pPr>
                  <w:r>
                    <w:rPr>
                      <w:rFonts w:hint="eastAsia" w:cs="宋体"/>
                      <w:color w:val="auto"/>
                      <w:lang w:val="en-US" w:eastAsia="zh-CN"/>
                    </w:rPr>
                    <w:t>废石板</w:t>
                  </w:r>
                </w:p>
              </w:tc>
              <w:tc>
                <w:tcPr>
                  <w:tcW w:w="1455" w:type="pct"/>
                  <w:shd w:val="clear" w:color="auto" w:fill="auto"/>
                  <w:vAlign w:val="center"/>
                </w:tcPr>
                <w:p w14:paraId="33B3CB0F">
                  <w:pPr>
                    <w:pStyle w:val="63"/>
                    <w:rPr>
                      <w:rFonts w:hint="eastAsia" w:ascii="Times New Roman" w:hAnsi="Times New Roman" w:eastAsia="宋体" w:cs="Times New Roman"/>
                      <w:color w:val="auto"/>
                      <w:spacing w:val="6"/>
                      <w:kern w:val="2"/>
                      <w:sz w:val="21"/>
                      <w:szCs w:val="21"/>
                      <w:lang w:val="en-US" w:eastAsia="zh-CN" w:bidi="ar-SA"/>
                    </w:rPr>
                  </w:pPr>
                  <w:r>
                    <w:rPr>
                      <w:rFonts w:hint="eastAsia" w:cs="仿宋"/>
                      <w:b w:val="0"/>
                      <w:bCs w:val="0"/>
                      <w:color w:val="auto"/>
                      <w:szCs w:val="21"/>
                    </w:rPr>
                    <w:t>钕铁硼材料机加工半成品</w:t>
                  </w:r>
                </w:p>
              </w:tc>
            </w:tr>
            <w:tr w14:paraId="24C5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02C242CE">
                  <w:pPr>
                    <w:pStyle w:val="63"/>
                    <w:rPr>
                      <w:color w:val="auto"/>
                    </w:rPr>
                  </w:pPr>
                </w:p>
              </w:tc>
              <w:tc>
                <w:tcPr>
                  <w:tcW w:w="917" w:type="pct"/>
                  <w:gridSpan w:val="2"/>
                  <w:vAlign w:val="center"/>
                </w:tcPr>
                <w:p w14:paraId="48744A3E">
                  <w:pPr>
                    <w:pStyle w:val="63"/>
                    <w:rPr>
                      <w:color w:val="auto"/>
                    </w:rPr>
                  </w:pPr>
                  <w:r>
                    <w:rPr>
                      <w:color w:val="auto"/>
                    </w:rPr>
                    <w:t>废包装材料</w:t>
                  </w:r>
                </w:p>
              </w:tc>
              <w:tc>
                <w:tcPr>
                  <w:tcW w:w="894" w:type="pct"/>
                  <w:vAlign w:val="center"/>
                </w:tcPr>
                <w:p w14:paraId="45909B29">
                  <w:pPr>
                    <w:pStyle w:val="63"/>
                    <w:rPr>
                      <w:color w:val="auto"/>
                    </w:rPr>
                  </w:pPr>
                  <w:r>
                    <w:rPr>
                      <w:rFonts w:hint="eastAsia"/>
                      <w:color w:val="auto"/>
                    </w:rPr>
                    <w:t>包装</w:t>
                  </w:r>
                </w:p>
              </w:tc>
              <w:tc>
                <w:tcPr>
                  <w:tcW w:w="1314" w:type="pct"/>
                  <w:vAlign w:val="center"/>
                </w:tcPr>
                <w:p w14:paraId="0F28F921">
                  <w:pPr>
                    <w:pStyle w:val="63"/>
                    <w:rPr>
                      <w:color w:val="auto"/>
                    </w:rPr>
                  </w:pPr>
                  <w:r>
                    <w:rPr>
                      <w:color w:val="auto"/>
                    </w:rPr>
                    <w:t>废包装材料</w:t>
                  </w:r>
                </w:p>
              </w:tc>
              <w:tc>
                <w:tcPr>
                  <w:tcW w:w="1455" w:type="pct"/>
                  <w:vAlign w:val="center"/>
                </w:tcPr>
                <w:p w14:paraId="5BA437B2">
                  <w:pPr>
                    <w:pStyle w:val="63"/>
                    <w:rPr>
                      <w:color w:val="auto"/>
                    </w:rPr>
                  </w:pPr>
                  <w:r>
                    <w:rPr>
                      <w:rFonts w:hint="eastAsia"/>
                      <w:color w:val="auto"/>
                    </w:rPr>
                    <w:t>粘胶组件</w:t>
                  </w:r>
                </w:p>
              </w:tc>
            </w:tr>
            <w:tr w14:paraId="1A72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3178F130">
                  <w:pPr>
                    <w:pStyle w:val="63"/>
                    <w:rPr>
                      <w:color w:val="auto"/>
                    </w:rPr>
                  </w:pPr>
                </w:p>
              </w:tc>
              <w:tc>
                <w:tcPr>
                  <w:tcW w:w="917" w:type="pct"/>
                  <w:gridSpan w:val="2"/>
                  <w:vAlign w:val="center"/>
                </w:tcPr>
                <w:p w14:paraId="378AA71C">
                  <w:pPr>
                    <w:pStyle w:val="63"/>
                    <w:rPr>
                      <w:color w:val="auto"/>
                    </w:rPr>
                  </w:pPr>
                  <w:r>
                    <w:rPr>
                      <w:color w:val="auto"/>
                    </w:rPr>
                    <w:t>废切削液</w:t>
                  </w:r>
                </w:p>
              </w:tc>
              <w:tc>
                <w:tcPr>
                  <w:tcW w:w="894" w:type="pct"/>
                  <w:vAlign w:val="center"/>
                </w:tcPr>
                <w:p w14:paraId="55FA3DB6">
                  <w:pPr>
                    <w:pStyle w:val="63"/>
                    <w:rPr>
                      <w:color w:val="auto"/>
                    </w:rPr>
                  </w:pPr>
                  <w:r>
                    <w:rPr>
                      <w:rFonts w:hint="eastAsia"/>
                      <w:color w:val="auto"/>
                    </w:rPr>
                    <w:t>打孔、机加工</w:t>
                  </w:r>
                </w:p>
              </w:tc>
              <w:tc>
                <w:tcPr>
                  <w:tcW w:w="1314" w:type="pct"/>
                  <w:shd w:val="clear" w:color="auto" w:fill="auto"/>
                  <w:vAlign w:val="center"/>
                </w:tcPr>
                <w:p w14:paraId="37FD6E74">
                  <w:pPr>
                    <w:pStyle w:val="63"/>
                    <w:rPr>
                      <w:color w:val="auto"/>
                    </w:rPr>
                  </w:pPr>
                  <w:r>
                    <w:rPr>
                      <w:color w:val="auto"/>
                    </w:rPr>
                    <w:t>废切削液</w:t>
                  </w:r>
                </w:p>
              </w:tc>
              <w:tc>
                <w:tcPr>
                  <w:tcW w:w="1455" w:type="pct"/>
                  <w:vAlign w:val="center"/>
                </w:tcPr>
                <w:p w14:paraId="60086FD2">
                  <w:pPr>
                    <w:pStyle w:val="63"/>
                    <w:rPr>
                      <w:color w:val="auto"/>
                    </w:rPr>
                  </w:pPr>
                  <w:r>
                    <w:rPr>
                      <w:rFonts w:hint="eastAsia" w:cs="仿宋"/>
                      <w:b w:val="0"/>
                      <w:bCs w:val="0"/>
                      <w:color w:val="auto"/>
                      <w:szCs w:val="21"/>
                    </w:rPr>
                    <w:t>钕铁硼材料机加工半成品</w:t>
                  </w:r>
                  <w:r>
                    <w:rPr>
                      <w:rFonts w:hint="eastAsia"/>
                      <w:color w:val="auto"/>
                    </w:rPr>
                    <w:t>/粘胶组件</w:t>
                  </w:r>
                </w:p>
              </w:tc>
            </w:tr>
            <w:tr w14:paraId="1CEE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4F7B6DE1">
                  <w:pPr>
                    <w:pStyle w:val="63"/>
                    <w:rPr>
                      <w:color w:val="auto"/>
                    </w:rPr>
                  </w:pPr>
                </w:p>
              </w:tc>
              <w:tc>
                <w:tcPr>
                  <w:tcW w:w="917" w:type="pct"/>
                  <w:gridSpan w:val="2"/>
                  <w:vAlign w:val="center"/>
                </w:tcPr>
                <w:p w14:paraId="67C5B80E">
                  <w:pPr>
                    <w:pStyle w:val="63"/>
                    <w:rPr>
                      <w:color w:val="auto"/>
                    </w:rPr>
                  </w:pPr>
                  <w:r>
                    <w:rPr>
                      <w:rFonts w:hint="eastAsia"/>
                      <w:color w:val="auto"/>
                    </w:rPr>
                    <w:t>废机油</w:t>
                  </w:r>
                </w:p>
              </w:tc>
              <w:tc>
                <w:tcPr>
                  <w:tcW w:w="894" w:type="pct"/>
                  <w:vMerge w:val="restart"/>
                  <w:vAlign w:val="center"/>
                </w:tcPr>
                <w:p w14:paraId="5D0E8A0F">
                  <w:pPr>
                    <w:pStyle w:val="63"/>
                    <w:rPr>
                      <w:color w:val="auto"/>
                    </w:rPr>
                  </w:pPr>
                  <w:r>
                    <w:rPr>
                      <w:rFonts w:hint="eastAsia"/>
                      <w:color w:val="auto"/>
                    </w:rPr>
                    <w:t>设备维修</w:t>
                  </w:r>
                </w:p>
              </w:tc>
              <w:tc>
                <w:tcPr>
                  <w:tcW w:w="1314" w:type="pct"/>
                  <w:shd w:val="clear" w:color="auto" w:fill="auto"/>
                  <w:vAlign w:val="center"/>
                </w:tcPr>
                <w:p w14:paraId="0FAA8569">
                  <w:pPr>
                    <w:pStyle w:val="63"/>
                    <w:rPr>
                      <w:color w:val="auto"/>
                    </w:rPr>
                  </w:pPr>
                  <w:r>
                    <w:rPr>
                      <w:rFonts w:hint="eastAsia"/>
                      <w:color w:val="auto"/>
                    </w:rPr>
                    <w:t>废机油</w:t>
                  </w:r>
                </w:p>
              </w:tc>
              <w:tc>
                <w:tcPr>
                  <w:tcW w:w="1455" w:type="pct"/>
                  <w:vMerge w:val="restart"/>
                  <w:vAlign w:val="center"/>
                </w:tcPr>
                <w:p w14:paraId="46FF2B03">
                  <w:pPr>
                    <w:pStyle w:val="63"/>
                    <w:rPr>
                      <w:color w:val="auto"/>
                    </w:rPr>
                  </w:pPr>
                  <w:r>
                    <w:rPr>
                      <w:rFonts w:hint="eastAsia"/>
                      <w:color w:val="auto"/>
                    </w:rPr>
                    <w:t>全厂</w:t>
                  </w:r>
                </w:p>
              </w:tc>
            </w:tr>
            <w:tr w14:paraId="4CDD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7831CC87">
                  <w:pPr>
                    <w:pStyle w:val="63"/>
                    <w:rPr>
                      <w:color w:val="auto"/>
                    </w:rPr>
                  </w:pPr>
                </w:p>
              </w:tc>
              <w:tc>
                <w:tcPr>
                  <w:tcW w:w="917" w:type="pct"/>
                  <w:gridSpan w:val="2"/>
                  <w:vAlign w:val="center"/>
                </w:tcPr>
                <w:p w14:paraId="0DD2D315">
                  <w:pPr>
                    <w:pStyle w:val="63"/>
                    <w:rPr>
                      <w:color w:val="auto"/>
                    </w:rPr>
                  </w:pPr>
                  <w:r>
                    <w:rPr>
                      <w:rFonts w:hint="eastAsia"/>
                      <w:color w:val="auto"/>
                    </w:rPr>
                    <w:t>含油废抹布、手套</w:t>
                  </w:r>
                </w:p>
              </w:tc>
              <w:tc>
                <w:tcPr>
                  <w:tcW w:w="894" w:type="pct"/>
                  <w:vMerge w:val="continue"/>
                  <w:vAlign w:val="center"/>
                </w:tcPr>
                <w:p w14:paraId="361F7BAB">
                  <w:pPr>
                    <w:pStyle w:val="63"/>
                    <w:rPr>
                      <w:color w:val="auto"/>
                    </w:rPr>
                  </w:pPr>
                </w:p>
              </w:tc>
              <w:tc>
                <w:tcPr>
                  <w:tcW w:w="1314" w:type="pct"/>
                  <w:shd w:val="clear" w:color="auto" w:fill="auto"/>
                  <w:vAlign w:val="center"/>
                </w:tcPr>
                <w:p w14:paraId="7C67E7A9">
                  <w:pPr>
                    <w:pStyle w:val="63"/>
                    <w:rPr>
                      <w:color w:val="auto"/>
                    </w:rPr>
                  </w:pPr>
                  <w:r>
                    <w:rPr>
                      <w:rFonts w:hint="eastAsia"/>
                      <w:color w:val="auto"/>
                    </w:rPr>
                    <w:t>含油废抹布、手套</w:t>
                  </w:r>
                </w:p>
              </w:tc>
              <w:tc>
                <w:tcPr>
                  <w:tcW w:w="1455" w:type="pct"/>
                  <w:vMerge w:val="continue"/>
                  <w:vAlign w:val="center"/>
                </w:tcPr>
                <w:p w14:paraId="3B2F6D52">
                  <w:pPr>
                    <w:pStyle w:val="63"/>
                    <w:rPr>
                      <w:color w:val="auto"/>
                    </w:rPr>
                  </w:pPr>
                </w:p>
              </w:tc>
            </w:tr>
            <w:tr w14:paraId="1005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restart"/>
                  <w:vAlign w:val="center"/>
                </w:tcPr>
                <w:p w14:paraId="10310ABA">
                  <w:pPr>
                    <w:pStyle w:val="63"/>
                    <w:rPr>
                      <w:rFonts w:hint="default" w:eastAsia="宋体"/>
                      <w:color w:val="auto"/>
                      <w:lang w:val="en-US" w:eastAsia="zh-CN"/>
                    </w:rPr>
                  </w:pPr>
                  <w:r>
                    <w:rPr>
                      <w:rFonts w:hint="eastAsia"/>
                      <w:color w:val="auto"/>
                      <w:lang w:val="en-US" w:eastAsia="zh-CN"/>
                    </w:rPr>
                    <w:t>回收利用</w:t>
                  </w:r>
                </w:p>
              </w:tc>
              <w:tc>
                <w:tcPr>
                  <w:tcW w:w="917" w:type="pct"/>
                  <w:gridSpan w:val="2"/>
                  <w:vAlign w:val="center"/>
                </w:tcPr>
                <w:p w14:paraId="042B35F1">
                  <w:pPr>
                    <w:pStyle w:val="63"/>
                    <w:rPr>
                      <w:color w:val="auto"/>
                    </w:rPr>
                  </w:pPr>
                  <w:r>
                    <w:rPr>
                      <w:rFonts w:hint="eastAsia"/>
                      <w:color w:val="auto"/>
                    </w:rPr>
                    <w:t>磁泥</w:t>
                  </w:r>
                </w:p>
              </w:tc>
              <w:tc>
                <w:tcPr>
                  <w:tcW w:w="894" w:type="pct"/>
                  <w:vAlign w:val="center"/>
                </w:tcPr>
                <w:p w14:paraId="1E2F82B2">
                  <w:pPr>
                    <w:pStyle w:val="63"/>
                    <w:rPr>
                      <w:color w:val="auto"/>
                    </w:rPr>
                  </w:pPr>
                  <w:r>
                    <w:rPr>
                      <w:rFonts w:hint="eastAsia"/>
                      <w:color w:val="auto"/>
                    </w:rPr>
                    <w:t>循环水池、污水池</w:t>
                  </w:r>
                </w:p>
              </w:tc>
              <w:tc>
                <w:tcPr>
                  <w:tcW w:w="1314" w:type="pct"/>
                  <w:shd w:val="clear" w:color="auto" w:fill="auto"/>
                  <w:vAlign w:val="center"/>
                </w:tcPr>
                <w:p w14:paraId="01E263ED">
                  <w:pPr>
                    <w:pStyle w:val="63"/>
                    <w:rPr>
                      <w:color w:val="auto"/>
                    </w:rPr>
                  </w:pPr>
                  <w:r>
                    <w:rPr>
                      <w:rFonts w:hint="eastAsia"/>
                      <w:color w:val="auto"/>
                    </w:rPr>
                    <w:t>磁泥</w:t>
                  </w:r>
                </w:p>
              </w:tc>
              <w:tc>
                <w:tcPr>
                  <w:tcW w:w="1455" w:type="pct"/>
                  <w:vAlign w:val="center"/>
                </w:tcPr>
                <w:p w14:paraId="4F4DFBDE">
                  <w:pPr>
                    <w:pStyle w:val="63"/>
                    <w:rPr>
                      <w:color w:val="auto"/>
                    </w:rPr>
                  </w:pPr>
                  <w:r>
                    <w:rPr>
                      <w:color w:val="auto"/>
                    </w:rPr>
                    <w:t>机加工</w:t>
                  </w:r>
                  <w:r>
                    <w:rPr>
                      <w:rFonts w:hint="eastAsia"/>
                      <w:color w:val="auto"/>
                    </w:rPr>
                    <w:t>/粘胶组件</w:t>
                  </w:r>
                </w:p>
              </w:tc>
            </w:tr>
            <w:tr w14:paraId="2CD6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Merge w:val="continue"/>
                  <w:vAlign w:val="center"/>
                </w:tcPr>
                <w:p w14:paraId="2551274D">
                  <w:pPr>
                    <w:pStyle w:val="63"/>
                    <w:rPr>
                      <w:color w:val="auto"/>
                    </w:rPr>
                  </w:pPr>
                </w:p>
              </w:tc>
              <w:tc>
                <w:tcPr>
                  <w:tcW w:w="917" w:type="pct"/>
                  <w:gridSpan w:val="2"/>
                  <w:shd w:val="clear" w:color="auto" w:fill="auto"/>
                  <w:vAlign w:val="center"/>
                </w:tcPr>
                <w:p w14:paraId="7448E261">
                  <w:pPr>
                    <w:pStyle w:val="63"/>
                    <w:rPr>
                      <w:rFonts w:hint="eastAsia" w:ascii="Times New Roman" w:hAnsi="Times New Roman" w:eastAsia="宋体" w:cs="Times New Roman"/>
                      <w:color w:val="auto"/>
                      <w:spacing w:val="6"/>
                      <w:kern w:val="2"/>
                      <w:sz w:val="21"/>
                      <w:szCs w:val="21"/>
                      <w:lang w:val="en-US" w:eastAsia="zh-CN" w:bidi="ar-SA"/>
                    </w:rPr>
                  </w:pPr>
                  <w:r>
                    <w:rPr>
                      <w:color w:val="auto"/>
                    </w:rPr>
                    <w:t>废边角料</w:t>
                  </w:r>
                </w:p>
              </w:tc>
              <w:tc>
                <w:tcPr>
                  <w:tcW w:w="894" w:type="pct"/>
                  <w:shd w:val="clear" w:color="auto" w:fill="auto"/>
                  <w:vAlign w:val="center"/>
                </w:tcPr>
                <w:p w14:paraId="0A789F05">
                  <w:pPr>
                    <w:pStyle w:val="63"/>
                    <w:rPr>
                      <w:rFonts w:hint="eastAsia" w:ascii="Times New Roman" w:hAnsi="Times New Roman" w:eastAsia="宋体" w:cs="Times New Roman"/>
                      <w:color w:val="auto"/>
                      <w:spacing w:val="6"/>
                      <w:kern w:val="2"/>
                      <w:sz w:val="21"/>
                      <w:szCs w:val="21"/>
                      <w:lang w:val="en-US" w:eastAsia="zh-CN" w:bidi="ar-SA"/>
                    </w:rPr>
                  </w:pPr>
                  <w:r>
                    <w:rPr>
                      <w:color w:val="auto"/>
                    </w:rPr>
                    <w:t>机加工打孔</w:t>
                  </w:r>
                  <w:r>
                    <w:rPr>
                      <w:rFonts w:hint="eastAsia"/>
                      <w:color w:val="auto"/>
                      <w:lang w:eastAsia="zh-CN"/>
                    </w:rPr>
                    <w:t>、</w:t>
                  </w:r>
                  <w:r>
                    <w:rPr>
                      <w:rFonts w:hint="eastAsia"/>
                      <w:color w:val="auto"/>
                      <w:lang w:val="en-US" w:eastAsia="zh-CN"/>
                    </w:rPr>
                    <w:t>转轴机加工</w:t>
                  </w:r>
                </w:p>
              </w:tc>
              <w:tc>
                <w:tcPr>
                  <w:tcW w:w="1314" w:type="pct"/>
                  <w:shd w:val="clear" w:color="auto" w:fill="auto"/>
                  <w:vAlign w:val="center"/>
                </w:tcPr>
                <w:p w14:paraId="18AA6716">
                  <w:pPr>
                    <w:pStyle w:val="63"/>
                    <w:rPr>
                      <w:rFonts w:hint="eastAsia" w:ascii="Times New Roman" w:hAnsi="Times New Roman" w:eastAsia="宋体" w:cs="Times New Roman"/>
                      <w:color w:val="auto"/>
                      <w:spacing w:val="6"/>
                      <w:kern w:val="2"/>
                      <w:sz w:val="21"/>
                      <w:szCs w:val="21"/>
                      <w:lang w:val="en-US" w:eastAsia="zh-CN" w:bidi="ar-SA"/>
                    </w:rPr>
                  </w:pPr>
                  <w:r>
                    <w:rPr>
                      <w:color w:val="auto"/>
                    </w:rPr>
                    <w:t>废边角料</w:t>
                  </w:r>
                </w:p>
              </w:tc>
              <w:tc>
                <w:tcPr>
                  <w:tcW w:w="1455" w:type="pct"/>
                  <w:shd w:val="clear" w:color="auto" w:fill="auto"/>
                  <w:vAlign w:val="center"/>
                </w:tcPr>
                <w:p w14:paraId="3C4F08BD">
                  <w:pPr>
                    <w:pStyle w:val="63"/>
                    <w:rPr>
                      <w:rFonts w:hint="eastAsia" w:ascii="Times New Roman" w:hAnsi="Times New Roman" w:eastAsia="宋体" w:cs="Times New Roman"/>
                      <w:color w:val="auto"/>
                      <w:spacing w:val="6"/>
                      <w:kern w:val="2"/>
                      <w:sz w:val="21"/>
                      <w:szCs w:val="21"/>
                      <w:lang w:val="en-US" w:eastAsia="zh-CN" w:bidi="ar-SA"/>
                    </w:rPr>
                  </w:pPr>
                  <w:r>
                    <w:rPr>
                      <w:rFonts w:hint="eastAsia" w:cs="仿宋"/>
                      <w:b w:val="0"/>
                      <w:bCs w:val="0"/>
                      <w:color w:val="auto"/>
                      <w:szCs w:val="21"/>
                    </w:rPr>
                    <w:t>钕铁硼材料机加工半成品</w:t>
                  </w:r>
                  <w:r>
                    <w:rPr>
                      <w:rFonts w:hint="eastAsia" w:cs="仿宋"/>
                      <w:b w:val="0"/>
                      <w:bCs w:val="0"/>
                      <w:color w:val="auto"/>
                      <w:szCs w:val="21"/>
                      <w:lang w:val="en-US" w:eastAsia="zh-CN"/>
                    </w:rPr>
                    <w:t>/</w:t>
                  </w:r>
                  <w:r>
                    <w:rPr>
                      <w:rFonts w:hint="eastAsia"/>
                      <w:color w:val="auto"/>
                    </w:rPr>
                    <w:t>粘胶组件</w:t>
                  </w:r>
                </w:p>
              </w:tc>
            </w:tr>
            <w:tr w14:paraId="7B96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17" w:type="pct"/>
                  <w:vAlign w:val="center"/>
                </w:tcPr>
                <w:p w14:paraId="6B95BD46">
                  <w:pPr>
                    <w:pStyle w:val="63"/>
                    <w:rPr>
                      <w:color w:val="auto"/>
                    </w:rPr>
                  </w:pPr>
                  <w:r>
                    <w:rPr>
                      <w:color w:val="auto"/>
                    </w:rPr>
                    <w:t>噪声</w:t>
                  </w:r>
                </w:p>
              </w:tc>
              <w:tc>
                <w:tcPr>
                  <w:tcW w:w="917" w:type="pct"/>
                  <w:gridSpan w:val="2"/>
                  <w:vAlign w:val="center"/>
                </w:tcPr>
                <w:p w14:paraId="373B387E">
                  <w:pPr>
                    <w:pStyle w:val="63"/>
                    <w:rPr>
                      <w:color w:val="auto"/>
                    </w:rPr>
                  </w:pPr>
                  <w:r>
                    <w:rPr>
                      <w:color w:val="auto"/>
                    </w:rPr>
                    <w:t>机械噪声</w:t>
                  </w:r>
                </w:p>
              </w:tc>
              <w:tc>
                <w:tcPr>
                  <w:tcW w:w="894" w:type="pct"/>
                  <w:vAlign w:val="center"/>
                </w:tcPr>
                <w:p w14:paraId="381BC801">
                  <w:pPr>
                    <w:pStyle w:val="63"/>
                    <w:rPr>
                      <w:color w:val="auto"/>
                    </w:rPr>
                  </w:pPr>
                  <w:r>
                    <w:rPr>
                      <w:color w:val="auto"/>
                    </w:rPr>
                    <w:t>生产设备</w:t>
                  </w:r>
                </w:p>
              </w:tc>
              <w:tc>
                <w:tcPr>
                  <w:tcW w:w="1314" w:type="pct"/>
                  <w:vAlign w:val="center"/>
                </w:tcPr>
                <w:p w14:paraId="3880C2B6">
                  <w:pPr>
                    <w:pStyle w:val="63"/>
                    <w:rPr>
                      <w:color w:val="auto"/>
                    </w:rPr>
                  </w:pPr>
                  <w:r>
                    <w:rPr>
                      <w:color w:val="auto"/>
                    </w:rPr>
                    <w:t>噪声</w:t>
                  </w:r>
                </w:p>
              </w:tc>
              <w:tc>
                <w:tcPr>
                  <w:tcW w:w="1455" w:type="pct"/>
                  <w:vAlign w:val="center"/>
                </w:tcPr>
                <w:p w14:paraId="1904D586">
                  <w:pPr>
                    <w:pStyle w:val="63"/>
                    <w:rPr>
                      <w:color w:val="auto"/>
                    </w:rPr>
                  </w:pPr>
                  <w:r>
                    <w:rPr>
                      <w:rFonts w:hint="eastAsia"/>
                      <w:color w:val="auto"/>
                    </w:rPr>
                    <w:t>/</w:t>
                  </w:r>
                </w:p>
              </w:tc>
            </w:tr>
          </w:tbl>
          <w:p w14:paraId="31E9EC10">
            <w:pPr>
              <w:spacing w:line="360" w:lineRule="auto"/>
              <w:rPr>
                <w:color w:val="auto"/>
                <w:sz w:val="24"/>
              </w:rPr>
            </w:pPr>
          </w:p>
        </w:tc>
      </w:tr>
      <w:tr w14:paraId="38892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77" w:hRule="atLeast"/>
          <w:jc w:val="center"/>
        </w:trPr>
        <w:tc>
          <w:tcPr>
            <w:tcW w:w="452" w:type="dxa"/>
            <w:vAlign w:val="center"/>
          </w:tcPr>
          <w:p w14:paraId="247BF356">
            <w:pPr>
              <w:pStyle w:val="20"/>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bCs/>
                <w:color w:val="auto"/>
                <w:kern w:val="2"/>
                <w:szCs w:val="24"/>
              </w:rPr>
              <w:t>与项目有关的原有环境污染问题</w:t>
            </w:r>
          </w:p>
        </w:tc>
        <w:tc>
          <w:tcPr>
            <w:tcW w:w="9504" w:type="dxa"/>
            <w:vAlign w:val="center"/>
          </w:tcPr>
          <w:p w14:paraId="589534CA">
            <w:pPr>
              <w:adjustRightInd w:val="0"/>
              <w:snapToGrid w:val="0"/>
              <w:spacing w:line="360" w:lineRule="auto"/>
              <w:ind w:firstLine="504" w:firstLineChars="200"/>
              <w:rPr>
                <w:color w:val="auto"/>
                <w:spacing w:val="6"/>
                <w:sz w:val="24"/>
              </w:rPr>
            </w:pPr>
            <w:r>
              <w:rPr>
                <w:rFonts w:hint="eastAsia"/>
                <w:color w:val="auto"/>
                <w:spacing w:val="6"/>
                <w:sz w:val="24"/>
              </w:rPr>
              <w:t>本项目位于</w:t>
            </w:r>
            <w:r>
              <w:rPr>
                <w:rFonts w:hint="eastAsia" w:cs="宋体"/>
                <w:color w:val="auto"/>
                <w:sz w:val="24"/>
              </w:rPr>
              <w:t>江西省赣州市赣州经济技术开发区东至科技大道、南至湘江路、西至青云山路、北至旭日大道。项目采用</w:t>
            </w:r>
            <w:r>
              <w:rPr>
                <w:rStyle w:val="31"/>
                <w:rFonts w:hint="eastAsia"/>
                <w:color w:val="auto"/>
                <w:sz w:val="24"/>
              </w:rPr>
              <w:t>江西劲诚永磁新材料有限公司高效节能电机用磁材基地项目（赣环审〔2024〕6号）（一期工程）的</w:t>
            </w:r>
            <w:r>
              <w:rPr>
                <w:rFonts w:hint="eastAsia" w:cs="宋体"/>
                <w:color w:val="auto"/>
                <w:sz w:val="24"/>
              </w:rPr>
              <w:t>7#车间和9#车间（建设中）属于</w:t>
            </w:r>
            <w:r>
              <w:rPr>
                <w:rFonts w:hint="eastAsia"/>
                <w:color w:val="auto"/>
                <w:spacing w:val="6"/>
                <w:sz w:val="24"/>
              </w:rPr>
              <w:t>空置标准厂房，2#危化品仓库未建设，不存在原有环境污染问题。</w:t>
            </w:r>
          </w:p>
          <w:p w14:paraId="00EA7D79">
            <w:pPr>
              <w:topLinePunct/>
              <w:adjustRightInd w:val="0"/>
              <w:snapToGrid w:val="0"/>
              <w:spacing w:line="360" w:lineRule="auto"/>
              <w:ind w:firstLine="482" w:firstLineChars="200"/>
              <w:jc w:val="left"/>
              <w:rPr>
                <w:b/>
                <w:bCs/>
                <w:color w:val="auto"/>
                <w:sz w:val="24"/>
              </w:rPr>
            </w:pPr>
            <w:r>
              <w:rPr>
                <w:rFonts w:hint="eastAsia"/>
                <w:b/>
                <w:bCs/>
                <w:color w:val="auto"/>
                <w:sz w:val="24"/>
              </w:rPr>
              <w:t>一、现有工程环保手续履行情况</w:t>
            </w:r>
          </w:p>
          <w:p w14:paraId="681E4730">
            <w:pPr>
              <w:adjustRightInd w:val="0"/>
              <w:snapToGrid w:val="0"/>
              <w:spacing w:line="360" w:lineRule="auto"/>
              <w:ind w:firstLine="480" w:firstLineChars="200"/>
              <w:rPr>
                <w:color w:val="auto"/>
                <w:sz w:val="24"/>
              </w:rPr>
            </w:pPr>
            <w:r>
              <w:rPr>
                <w:color w:val="auto"/>
                <w:sz w:val="24"/>
              </w:rPr>
              <w:t>现有工程为</w:t>
            </w:r>
            <w:bookmarkStart w:id="15" w:name="OLE_LINK2"/>
            <w:r>
              <w:rPr>
                <w:rStyle w:val="31"/>
                <w:rFonts w:hint="eastAsia"/>
                <w:color w:val="auto"/>
                <w:sz w:val="24"/>
              </w:rPr>
              <w:t>江西劲诚永磁新材料有限公司</w:t>
            </w:r>
            <w:bookmarkEnd w:id="15"/>
            <w:r>
              <w:rPr>
                <w:rStyle w:val="31"/>
                <w:rFonts w:hint="eastAsia"/>
                <w:color w:val="auto"/>
                <w:sz w:val="24"/>
              </w:rPr>
              <w:t>高效节能电机用磁材基地项目</w:t>
            </w:r>
            <w:r>
              <w:rPr>
                <w:color w:val="auto"/>
                <w:sz w:val="24"/>
              </w:rPr>
              <w:t>，该项目建设单位为</w:t>
            </w:r>
            <w:r>
              <w:rPr>
                <w:rStyle w:val="31"/>
                <w:rFonts w:hint="eastAsia"/>
                <w:color w:val="auto"/>
                <w:sz w:val="24"/>
              </w:rPr>
              <w:t>江西劲诚永磁新材料有限公司</w:t>
            </w:r>
            <w:r>
              <w:rPr>
                <w:color w:val="auto"/>
                <w:sz w:val="24"/>
              </w:rPr>
              <w:t>。20</w:t>
            </w:r>
            <w:r>
              <w:rPr>
                <w:rFonts w:hint="eastAsia"/>
                <w:color w:val="auto"/>
                <w:sz w:val="24"/>
              </w:rPr>
              <w:t>24</w:t>
            </w:r>
            <w:r>
              <w:rPr>
                <w:color w:val="auto"/>
                <w:sz w:val="24"/>
              </w:rPr>
              <w:t>年</w:t>
            </w:r>
            <w:r>
              <w:rPr>
                <w:rFonts w:hint="eastAsia"/>
                <w:color w:val="auto"/>
                <w:sz w:val="24"/>
              </w:rPr>
              <w:t>1</w:t>
            </w:r>
            <w:r>
              <w:rPr>
                <w:color w:val="auto"/>
                <w:sz w:val="24"/>
              </w:rPr>
              <w:t>月</w:t>
            </w:r>
            <w:r>
              <w:rPr>
                <w:rFonts w:hint="eastAsia"/>
                <w:color w:val="auto"/>
                <w:sz w:val="24"/>
              </w:rPr>
              <w:t>23</w:t>
            </w:r>
            <w:r>
              <w:rPr>
                <w:color w:val="auto"/>
                <w:sz w:val="24"/>
              </w:rPr>
              <w:t>日得到</w:t>
            </w:r>
            <w:r>
              <w:rPr>
                <w:rFonts w:hint="eastAsia"/>
                <w:color w:val="auto"/>
                <w:sz w:val="24"/>
              </w:rPr>
              <w:t>江西省生态环境厅</w:t>
            </w:r>
            <w:r>
              <w:rPr>
                <w:color w:val="auto"/>
                <w:sz w:val="24"/>
              </w:rPr>
              <w:t>的批复《关于江西劲诚永磁新材料有限公司高效节能电机用磁材基地项目环境影响报告书的批复》（</w:t>
            </w:r>
            <w:r>
              <w:rPr>
                <w:rStyle w:val="31"/>
                <w:rFonts w:hint="eastAsia"/>
                <w:color w:val="auto"/>
                <w:sz w:val="24"/>
              </w:rPr>
              <w:t>赣环审〔2024〕6号</w:t>
            </w:r>
            <w:r>
              <w:rPr>
                <w:color w:val="auto"/>
                <w:sz w:val="24"/>
              </w:rPr>
              <w:t>）</w:t>
            </w:r>
            <w:r>
              <w:rPr>
                <w:rFonts w:hint="eastAsia"/>
                <w:color w:val="auto"/>
                <w:sz w:val="24"/>
              </w:rPr>
              <w:t>（详见附件</w:t>
            </w:r>
            <w:r>
              <w:rPr>
                <w:rFonts w:hint="eastAsia"/>
                <w:color w:val="auto"/>
                <w:sz w:val="24"/>
                <w:lang w:val="en-US" w:eastAsia="zh-CN"/>
              </w:rPr>
              <w:t>9</w:t>
            </w:r>
            <w:r>
              <w:rPr>
                <w:rFonts w:hint="eastAsia"/>
                <w:color w:val="auto"/>
                <w:sz w:val="24"/>
              </w:rPr>
              <w:t>）</w:t>
            </w:r>
            <w:r>
              <w:rPr>
                <w:color w:val="auto"/>
                <w:sz w:val="24"/>
              </w:rPr>
              <w:t>。</w:t>
            </w:r>
            <w:r>
              <w:rPr>
                <w:rFonts w:hint="eastAsia"/>
                <w:color w:val="auto"/>
                <w:sz w:val="24"/>
              </w:rPr>
              <w:t>现有工程暂未完全投产</w:t>
            </w:r>
            <w:r>
              <w:rPr>
                <w:color w:val="auto"/>
                <w:sz w:val="24"/>
              </w:rPr>
              <w:t>。</w:t>
            </w:r>
          </w:p>
          <w:p w14:paraId="15BB163E">
            <w:pPr>
              <w:spacing w:line="360" w:lineRule="auto"/>
              <w:ind w:firstLine="482" w:firstLineChars="200"/>
              <w:rPr>
                <w:b/>
                <w:bCs/>
                <w:color w:val="auto"/>
                <w:sz w:val="24"/>
              </w:rPr>
            </w:pPr>
            <w:r>
              <w:rPr>
                <w:rFonts w:hint="eastAsia"/>
                <w:b/>
                <w:bCs/>
                <w:color w:val="auto"/>
                <w:sz w:val="24"/>
              </w:rPr>
              <w:t>二、现有工程产品方案</w:t>
            </w:r>
          </w:p>
          <w:p w14:paraId="5F548CD1">
            <w:pPr>
              <w:pStyle w:val="60"/>
              <w:adjustRightInd/>
              <w:spacing w:before="0" w:after="0" w:line="360" w:lineRule="auto"/>
              <w:ind w:firstLine="480" w:firstLineChars="200"/>
              <w:jc w:val="left"/>
              <w:rPr>
                <w:rFonts w:ascii="Times New Roman" w:hAnsi="Times New Roman"/>
                <w:color w:val="auto"/>
              </w:rPr>
            </w:pPr>
            <w:r>
              <w:rPr>
                <w:rFonts w:ascii="Times New Roman" w:hAnsi="Times New Roman"/>
                <w:color w:val="auto"/>
              </w:rPr>
              <w:t>年产5000吨粘结磁（其中2000吨注射粘结磁、3000吨模压粘结磁）及2万吨磁材表面处理能力。</w:t>
            </w:r>
          </w:p>
          <w:p w14:paraId="17A223B1">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经调整，2万吨磁材表面处理加工量来源于现有工程生产的</w:t>
            </w:r>
            <w:r>
              <w:rPr>
                <w:rFonts w:ascii="Times New Roman" w:hAnsi="Times New Roman"/>
                <w:color w:val="auto"/>
              </w:rPr>
              <w:t>5000吨粘结磁</w:t>
            </w:r>
            <w:r>
              <w:rPr>
                <w:rFonts w:hint="eastAsia" w:ascii="Times New Roman" w:hAnsi="Times New Roman"/>
                <w:color w:val="auto"/>
              </w:rPr>
              <w:t>、10000吨来源于母公司金力永磁的钕铁硼磁性材料、5000吨来源于本项目。</w:t>
            </w:r>
          </w:p>
          <w:p w14:paraId="0FF6AD80">
            <w:pPr>
              <w:pStyle w:val="60"/>
              <w:adjustRightInd/>
              <w:spacing w:before="0" w:after="0" w:line="360" w:lineRule="auto"/>
              <w:ind w:firstLine="482" w:firstLineChars="200"/>
              <w:jc w:val="left"/>
              <w:rPr>
                <w:rFonts w:hint="eastAsia" w:ascii="Times New Roman" w:hAnsi="Times New Roman"/>
                <w:b/>
                <w:bCs/>
                <w:color w:val="auto"/>
                <w:lang w:val="en-US" w:eastAsia="zh-CN"/>
              </w:rPr>
            </w:pPr>
            <w:r>
              <w:rPr>
                <w:rFonts w:hint="eastAsia" w:ascii="Times New Roman" w:hAnsi="Times New Roman"/>
                <w:b/>
                <w:bCs/>
                <w:color w:val="auto"/>
                <w:lang w:val="en-US" w:eastAsia="zh-CN"/>
              </w:rPr>
              <w:t>三、项目概况</w:t>
            </w:r>
          </w:p>
          <w:p w14:paraId="0E34D32C">
            <w:pPr>
              <w:pStyle w:val="60"/>
              <w:adjustRightInd/>
              <w:spacing w:before="0" w:after="0" w:line="360" w:lineRule="auto"/>
              <w:ind w:firstLine="480" w:firstLineChars="200"/>
              <w:jc w:val="left"/>
              <w:rPr>
                <w:rFonts w:hint="default" w:ascii="Times New Roman" w:hAnsi="Times New Roman" w:eastAsia="宋体"/>
                <w:b/>
                <w:bCs/>
                <w:color w:val="auto"/>
                <w:sz w:val="24"/>
                <w:lang w:val="en-US" w:eastAsia="zh-CN"/>
              </w:rPr>
            </w:pPr>
            <w:r>
              <w:rPr>
                <w:rStyle w:val="31"/>
                <w:rFonts w:hint="eastAsia" w:ascii="Times New Roman" w:hAnsi="Times New Roman"/>
                <w:color w:val="auto"/>
                <w:sz w:val="24"/>
              </w:rPr>
              <w:t>江西劲诚永磁新材料有限公司</w:t>
            </w:r>
            <w:r>
              <w:rPr>
                <w:rStyle w:val="31"/>
                <w:rFonts w:hint="eastAsia" w:ascii="Times New Roman" w:hAnsi="Times New Roman"/>
                <w:color w:val="auto"/>
                <w:sz w:val="24"/>
                <w:lang w:val="en-US" w:eastAsia="zh-CN"/>
              </w:rPr>
              <w:t>共有11栋生产车间、2栋仓库、1栋办公楼。7#和9#车间、2#仓库用作本项目使用（二期工程）；1#、2#、3#、4#、5#、11#、1#仓库用作一期工程使用；6#车间用作三期工程（暂定，还未详细规划）；8#和10#车间未进行规划，空置。</w:t>
            </w:r>
          </w:p>
          <w:p w14:paraId="7C58EEEF">
            <w:pPr>
              <w:pStyle w:val="60"/>
              <w:adjustRightInd/>
              <w:spacing w:before="0" w:after="0" w:line="360" w:lineRule="auto"/>
              <w:ind w:firstLine="482" w:firstLineChars="200"/>
              <w:jc w:val="left"/>
              <w:rPr>
                <w:rFonts w:ascii="Times New Roman" w:hAnsi="Times New Roman"/>
                <w:b/>
                <w:bCs/>
                <w:color w:val="auto"/>
              </w:rPr>
            </w:pPr>
            <w:r>
              <w:rPr>
                <w:rFonts w:hint="eastAsia" w:ascii="Times New Roman" w:hAnsi="Times New Roman"/>
                <w:b/>
                <w:bCs/>
                <w:color w:val="auto"/>
              </w:rPr>
              <w:t>三、现有工程建设内容</w:t>
            </w:r>
          </w:p>
          <w:p w14:paraId="285C590F">
            <w:pPr>
              <w:pStyle w:val="60"/>
              <w:adjustRightInd/>
              <w:spacing w:before="0" w:after="0" w:line="360" w:lineRule="auto"/>
              <w:ind w:firstLine="480" w:firstLineChars="200"/>
              <w:jc w:val="left"/>
              <w:rPr>
                <w:rFonts w:ascii="Times New Roman" w:hAnsi="Times New Roman"/>
                <w:color w:val="auto"/>
              </w:rPr>
            </w:pPr>
            <w:r>
              <w:rPr>
                <w:rFonts w:ascii="Times New Roman" w:hAnsi="Times New Roman"/>
                <w:color w:val="auto"/>
              </w:rPr>
              <w:t>建设内容包括电镀车间、注射粘结磁生产车间、模压粘结磁生产车间等主体工程，锅炉房、空压机房、风机房、高压室、宿舍楼、办公楼等公辅工程，仓库等储运工程，污水处理站、事故应急池、初期雨水收集池等环保工程，项目厂房及基础设施由园区代建，具体建设内容详见表</w:t>
            </w:r>
            <w:r>
              <w:rPr>
                <w:rFonts w:hint="eastAsia" w:ascii="Times New Roman" w:hAnsi="Times New Roman"/>
                <w:color w:val="auto"/>
              </w:rPr>
              <w:t>2-</w:t>
            </w:r>
            <w:r>
              <w:rPr>
                <w:rFonts w:hint="eastAsia" w:ascii="Times New Roman" w:hAnsi="Times New Roman"/>
                <w:color w:val="auto"/>
                <w:lang w:val="en-US" w:eastAsia="zh-CN"/>
              </w:rPr>
              <w:t>12</w:t>
            </w:r>
            <w:r>
              <w:rPr>
                <w:rFonts w:ascii="Times New Roman" w:hAnsi="Times New Roman"/>
                <w:color w:val="auto"/>
              </w:rPr>
              <w:t>。</w:t>
            </w:r>
          </w:p>
          <w:p w14:paraId="00F0ED2A">
            <w:pPr>
              <w:pStyle w:val="60"/>
              <w:adjustRightInd/>
              <w:spacing w:before="0" w:after="0"/>
              <w:jc w:val="center"/>
              <w:rPr>
                <w:rFonts w:ascii="Times New Roman" w:hAnsi="Times New Roman"/>
                <w:b/>
                <w:bCs/>
                <w:color w:val="auto"/>
              </w:rPr>
            </w:pPr>
            <w:r>
              <w:rPr>
                <w:rFonts w:hint="eastAsia" w:ascii="Times New Roman" w:hAnsi="Times New Roman"/>
                <w:b/>
                <w:bCs/>
                <w:color w:val="auto"/>
              </w:rPr>
              <w:t>表2-</w:t>
            </w:r>
            <w:r>
              <w:rPr>
                <w:rFonts w:hint="eastAsia" w:ascii="Times New Roman" w:hAnsi="Times New Roman"/>
                <w:b/>
                <w:bCs/>
                <w:color w:val="auto"/>
                <w:lang w:val="en-US" w:eastAsia="zh-CN"/>
              </w:rPr>
              <w:t>12</w:t>
            </w:r>
            <w:r>
              <w:rPr>
                <w:rFonts w:hint="eastAsia" w:ascii="Times New Roman" w:hAnsi="Times New Roman"/>
                <w:b/>
                <w:bCs/>
                <w:color w:val="auto"/>
              </w:rPr>
              <w:t>现有工程</w:t>
            </w:r>
            <w:r>
              <w:rPr>
                <w:rFonts w:ascii="Times New Roman" w:hAnsi="Times New Roman"/>
                <w:b/>
                <w:bCs/>
                <w:color w:val="auto"/>
              </w:rPr>
              <w:t>建设内容</w:t>
            </w:r>
            <w:r>
              <w:rPr>
                <w:rFonts w:hint="eastAsia" w:ascii="Times New Roman" w:hAnsi="Times New Roman"/>
                <w:b/>
                <w:bCs/>
                <w:color w:val="auto"/>
              </w:rPr>
              <w:t>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894"/>
              <w:gridCol w:w="2533"/>
              <w:gridCol w:w="2520"/>
              <w:gridCol w:w="1916"/>
            </w:tblGrid>
            <w:tr w14:paraId="631B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980E639">
                  <w:pPr>
                    <w:pStyle w:val="60"/>
                    <w:adjustRightInd/>
                    <w:spacing w:before="0" w:after="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1879" w:type="dxa"/>
                  <w:vAlign w:val="center"/>
                </w:tcPr>
                <w:p w14:paraId="158530A9">
                  <w:pPr>
                    <w:pStyle w:val="60"/>
                    <w:adjustRightInd/>
                    <w:spacing w:before="0" w:after="0"/>
                    <w:jc w:val="center"/>
                    <w:rPr>
                      <w:rFonts w:ascii="Times New Roman" w:hAnsi="Times New Roman"/>
                      <w:b/>
                      <w:bCs/>
                      <w:color w:val="auto"/>
                      <w:sz w:val="21"/>
                      <w:szCs w:val="21"/>
                    </w:rPr>
                  </w:pPr>
                  <w:r>
                    <w:rPr>
                      <w:rFonts w:ascii="Times New Roman" w:hAnsi="Times New Roman"/>
                      <w:b/>
                      <w:bCs/>
                      <w:color w:val="auto"/>
                      <w:sz w:val="21"/>
                      <w:szCs w:val="21"/>
                    </w:rPr>
                    <w:t>车间或设施名称</w:t>
                  </w:r>
                </w:p>
              </w:tc>
              <w:tc>
                <w:tcPr>
                  <w:tcW w:w="2533" w:type="dxa"/>
                  <w:vAlign w:val="center"/>
                </w:tcPr>
                <w:p w14:paraId="35D91995">
                  <w:pPr>
                    <w:pStyle w:val="60"/>
                    <w:adjustRightInd/>
                    <w:spacing w:before="0" w:after="0"/>
                    <w:jc w:val="center"/>
                    <w:rPr>
                      <w:rFonts w:ascii="Times New Roman" w:hAnsi="Times New Roman"/>
                      <w:b/>
                      <w:bCs/>
                      <w:color w:val="auto"/>
                      <w:sz w:val="21"/>
                      <w:szCs w:val="21"/>
                    </w:rPr>
                  </w:pPr>
                  <w:r>
                    <w:rPr>
                      <w:rFonts w:ascii="Times New Roman" w:hAnsi="Times New Roman"/>
                      <w:b/>
                      <w:bCs/>
                      <w:color w:val="auto"/>
                      <w:sz w:val="21"/>
                      <w:szCs w:val="21"/>
                    </w:rPr>
                    <w:t>主要建设内容</w:t>
                  </w:r>
                </w:p>
              </w:tc>
              <w:tc>
                <w:tcPr>
                  <w:tcW w:w="2520" w:type="dxa"/>
                  <w:vAlign w:val="center"/>
                </w:tcPr>
                <w:p w14:paraId="4B39F7B4">
                  <w:pPr>
                    <w:pStyle w:val="60"/>
                    <w:adjustRightInd/>
                    <w:spacing w:before="0" w:after="0"/>
                    <w:jc w:val="center"/>
                    <w:rPr>
                      <w:rFonts w:ascii="Times New Roman" w:hAnsi="Times New Roman"/>
                      <w:b/>
                      <w:bCs/>
                      <w:color w:val="auto"/>
                      <w:sz w:val="21"/>
                      <w:szCs w:val="21"/>
                    </w:rPr>
                  </w:pPr>
                  <w:r>
                    <w:rPr>
                      <w:rFonts w:ascii="Times New Roman" w:hAnsi="Times New Roman"/>
                      <w:b/>
                      <w:bCs/>
                      <w:color w:val="auto"/>
                      <w:sz w:val="21"/>
                      <w:szCs w:val="21"/>
                    </w:rPr>
                    <w:t>主要功能</w:t>
                  </w:r>
                </w:p>
              </w:tc>
              <w:tc>
                <w:tcPr>
                  <w:tcW w:w="1916" w:type="dxa"/>
                  <w:vAlign w:val="center"/>
                </w:tcPr>
                <w:p w14:paraId="6107603C">
                  <w:pPr>
                    <w:pStyle w:val="60"/>
                    <w:adjustRightInd/>
                    <w:spacing w:before="0" w:after="0"/>
                    <w:jc w:val="center"/>
                    <w:rPr>
                      <w:rFonts w:ascii="Times New Roman" w:hAnsi="Times New Roman"/>
                      <w:b/>
                      <w:bCs/>
                      <w:color w:val="auto"/>
                      <w:sz w:val="21"/>
                      <w:szCs w:val="21"/>
                    </w:rPr>
                  </w:pPr>
                  <w:r>
                    <w:rPr>
                      <w:rFonts w:hint="eastAsia" w:ascii="Times New Roman" w:hAnsi="Times New Roman"/>
                      <w:b/>
                      <w:bCs/>
                      <w:color w:val="auto"/>
                      <w:sz w:val="21"/>
                      <w:szCs w:val="21"/>
                    </w:rPr>
                    <w:t>建设情况</w:t>
                  </w:r>
                </w:p>
              </w:tc>
            </w:tr>
            <w:tr w14:paraId="0B2E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0A6F75E3">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主</w:t>
                  </w:r>
                </w:p>
                <w:p w14:paraId="06D352BC">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体</w:t>
                  </w:r>
                </w:p>
                <w:p w14:paraId="125599C2">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工</w:t>
                  </w:r>
                </w:p>
                <w:p w14:paraId="360B53B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程</w:t>
                  </w:r>
                </w:p>
              </w:tc>
              <w:tc>
                <w:tcPr>
                  <w:tcW w:w="1879" w:type="dxa"/>
                  <w:vAlign w:val="center"/>
                </w:tcPr>
                <w:p w14:paraId="08B1380C">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1#电镀车间</w:t>
                  </w:r>
                </w:p>
              </w:tc>
              <w:tc>
                <w:tcPr>
                  <w:tcW w:w="2533" w:type="dxa"/>
                  <w:vAlign w:val="center"/>
                </w:tcPr>
                <w:p w14:paraId="559A405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85m（L）×22m（W）×28.8m（H），4F，框架结构</w:t>
                  </w:r>
                </w:p>
              </w:tc>
              <w:tc>
                <w:tcPr>
                  <w:tcW w:w="2520" w:type="dxa"/>
                  <w:vAlign w:val="center"/>
                </w:tcPr>
                <w:p w14:paraId="45C66246">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1F设置倒角及其清洗，2F设置3条滚镀锌/锌镍合金线、3条滚镀锌线，3F设置1条滚镀锌/锌镍合金线、3条挂镀锌线、2条挂镀电泳线，4F设置4条挂镀电泳线。</w:t>
                  </w:r>
                </w:p>
              </w:tc>
              <w:tc>
                <w:tcPr>
                  <w:tcW w:w="1916" w:type="dxa"/>
                  <w:vAlign w:val="center"/>
                </w:tcPr>
                <w:p w14:paraId="6CB8A4C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2楼</w:t>
                  </w:r>
                  <w:r>
                    <w:rPr>
                      <w:rFonts w:hint="eastAsia" w:ascii="Times New Roman" w:hAnsi="Times New Roman"/>
                      <w:color w:val="auto"/>
                      <w:sz w:val="21"/>
                      <w:szCs w:val="21"/>
                    </w:rPr>
                    <w:t>规划为</w:t>
                  </w:r>
                  <w:r>
                    <w:rPr>
                      <w:rFonts w:ascii="Times New Roman" w:hAnsi="Times New Roman"/>
                      <w:color w:val="auto"/>
                      <w:sz w:val="21"/>
                      <w:szCs w:val="21"/>
                    </w:rPr>
                    <w:t>电泳线设备正在安装；</w:t>
                  </w:r>
                  <w:r>
                    <w:rPr>
                      <w:rFonts w:hint="eastAsia" w:ascii="Times New Roman" w:hAnsi="Times New Roman"/>
                      <w:color w:val="auto"/>
                      <w:sz w:val="21"/>
                      <w:szCs w:val="21"/>
                    </w:rPr>
                    <w:t>其余未安装设备</w:t>
                  </w:r>
                </w:p>
              </w:tc>
            </w:tr>
            <w:tr w14:paraId="6621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83FC9C1">
                  <w:pPr>
                    <w:pStyle w:val="60"/>
                    <w:adjustRightInd/>
                    <w:spacing w:before="0" w:after="0"/>
                    <w:jc w:val="center"/>
                    <w:rPr>
                      <w:rFonts w:ascii="Times New Roman" w:hAnsi="Times New Roman"/>
                      <w:color w:val="auto"/>
                      <w:sz w:val="21"/>
                      <w:szCs w:val="21"/>
                    </w:rPr>
                  </w:pPr>
                </w:p>
              </w:tc>
              <w:tc>
                <w:tcPr>
                  <w:tcW w:w="1879" w:type="dxa"/>
                  <w:vAlign w:val="center"/>
                </w:tcPr>
                <w:p w14:paraId="6283DAD3">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2#电镀车</w:t>
                  </w:r>
                </w:p>
                <w:p w14:paraId="0FA4705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00F4139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2979B302">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392A94BF">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1F设置2条滚镀磷化线、1条挂镀镍铜镍线、1条电泳退镀线、1条挂镀电泳线，2F设置2条挂镀镍铜镍线、2条滚镀锡线，3F设置2条挂镀镍铜镍线、1条电泳退镀线。</w:t>
                  </w:r>
                </w:p>
              </w:tc>
              <w:tc>
                <w:tcPr>
                  <w:tcW w:w="1916" w:type="dxa"/>
                  <w:vAlign w:val="center"/>
                </w:tcPr>
                <w:p w14:paraId="6079B72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rPr>
                    <w:t>F为</w:t>
                  </w:r>
                  <w:r>
                    <w:rPr>
                      <w:rFonts w:ascii="Times New Roman" w:hAnsi="Times New Roman"/>
                      <w:color w:val="auto"/>
                      <w:sz w:val="21"/>
                      <w:szCs w:val="21"/>
                    </w:rPr>
                    <w:t>2条磷化线已投产，2</w:t>
                  </w:r>
                  <w:r>
                    <w:rPr>
                      <w:rFonts w:hint="eastAsia" w:ascii="Times New Roman" w:hAnsi="Times New Roman"/>
                      <w:color w:val="auto"/>
                      <w:sz w:val="21"/>
                      <w:szCs w:val="21"/>
                    </w:rPr>
                    <w:t>F为</w:t>
                  </w:r>
                  <w:r>
                    <w:rPr>
                      <w:rFonts w:ascii="Times New Roman" w:hAnsi="Times New Roman"/>
                      <w:color w:val="auto"/>
                      <w:sz w:val="21"/>
                      <w:szCs w:val="21"/>
                    </w:rPr>
                    <w:t>1条3C锌镍线、2条镀锌线，2条电镀镍铜镍线已投产</w:t>
                  </w:r>
                </w:p>
              </w:tc>
            </w:tr>
            <w:tr w14:paraId="3679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F89D920">
                  <w:pPr>
                    <w:pStyle w:val="60"/>
                    <w:adjustRightInd/>
                    <w:spacing w:before="0" w:after="0"/>
                    <w:jc w:val="center"/>
                    <w:rPr>
                      <w:rFonts w:ascii="Times New Roman" w:hAnsi="Times New Roman"/>
                      <w:color w:val="auto"/>
                      <w:sz w:val="21"/>
                      <w:szCs w:val="21"/>
                    </w:rPr>
                  </w:pPr>
                </w:p>
              </w:tc>
              <w:tc>
                <w:tcPr>
                  <w:tcW w:w="1879" w:type="dxa"/>
                  <w:vAlign w:val="center"/>
                </w:tcPr>
                <w:p w14:paraId="786CBD8F">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3#电镀车</w:t>
                  </w:r>
                </w:p>
                <w:p w14:paraId="373CAD9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3775A78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09A095F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48FFDE7C">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1F设置1条挂镀镍铜镍线、1条滚镀镍铜镍+化学镀镍线、1条镀锡和镀镍铜镍挂具退镀线，2F设置2条滚镀镍铜镍线、1条滚镀镍铜镍+化学镀镍线，3F设置2条滚镀镍铜镍线、1条滚镀镍铜镍+化学镀镍线。</w:t>
                  </w:r>
                </w:p>
              </w:tc>
              <w:tc>
                <w:tcPr>
                  <w:tcW w:w="1916" w:type="dxa"/>
                  <w:vAlign w:val="center"/>
                </w:tcPr>
                <w:p w14:paraId="2FD98EAC">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厂房已建，还未进行设备安装</w:t>
                  </w:r>
                </w:p>
              </w:tc>
            </w:tr>
            <w:tr w14:paraId="1AF0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378E3093">
                  <w:pPr>
                    <w:pStyle w:val="60"/>
                    <w:adjustRightInd/>
                    <w:spacing w:before="0" w:after="0"/>
                    <w:jc w:val="center"/>
                    <w:rPr>
                      <w:rFonts w:ascii="Times New Roman" w:hAnsi="Times New Roman"/>
                      <w:color w:val="auto"/>
                      <w:sz w:val="21"/>
                      <w:szCs w:val="21"/>
                    </w:rPr>
                  </w:pPr>
                </w:p>
              </w:tc>
              <w:tc>
                <w:tcPr>
                  <w:tcW w:w="1879" w:type="dxa"/>
                  <w:vAlign w:val="center"/>
                </w:tcPr>
                <w:p w14:paraId="6478401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4#电镀车</w:t>
                  </w:r>
                </w:p>
                <w:p w14:paraId="2BBC9EB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7FCB5FE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221CB72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7F1446D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1F设置2条滚镀镍铜镍线、1条滚镀镍铜镍+化学镀镍线、1条镀锌镍合金和镀镍铜镍退镀线，2F设置3条喷涂线，3F设置4条喷涂线。</w:t>
                  </w:r>
                </w:p>
              </w:tc>
              <w:tc>
                <w:tcPr>
                  <w:tcW w:w="1916" w:type="dxa"/>
                  <w:vAlign w:val="center"/>
                </w:tcPr>
                <w:p w14:paraId="18CFA824">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改</w:t>
                  </w:r>
                  <w:r>
                    <w:rPr>
                      <w:rFonts w:hint="eastAsia" w:ascii="Times New Roman" w:hAnsi="Times New Roman"/>
                      <w:color w:val="auto"/>
                      <w:sz w:val="21"/>
                      <w:szCs w:val="21"/>
                      <w:lang w:val="en-US" w:eastAsia="zh-CN"/>
                    </w:rPr>
                    <w:t>为</w:t>
                  </w:r>
                  <w:r>
                    <w:rPr>
                      <w:rFonts w:ascii="Times New Roman" w:hAnsi="Times New Roman"/>
                      <w:color w:val="auto"/>
                      <w:sz w:val="21"/>
                      <w:szCs w:val="21"/>
                    </w:rPr>
                    <w:t>4#模压磁车间</w:t>
                  </w:r>
                  <w:r>
                    <w:rPr>
                      <w:rFonts w:hint="eastAsia" w:ascii="Times New Roman" w:hAnsi="Times New Roman"/>
                      <w:color w:val="auto"/>
                      <w:sz w:val="21"/>
                      <w:szCs w:val="21"/>
                    </w:rPr>
                    <w:t>，</w:t>
                  </w:r>
                  <w:r>
                    <w:rPr>
                      <w:rFonts w:ascii="Times New Roman" w:hAnsi="Times New Roman"/>
                      <w:color w:val="auto"/>
                      <w:sz w:val="21"/>
                      <w:szCs w:val="21"/>
                    </w:rPr>
                    <w:t>设备正在安装</w:t>
                  </w:r>
                </w:p>
              </w:tc>
            </w:tr>
            <w:tr w14:paraId="6AE6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5419686">
                  <w:pPr>
                    <w:pStyle w:val="60"/>
                    <w:adjustRightInd/>
                    <w:spacing w:before="0" w:after="0"/>
                    <w:jc w:val="center"/>
                    <w:rPr>
                      <w:rFonts w:ascii="Times New Roman" w:hAnsi="Times New Roman"/>
                      <w:color w:val="auto"/>
                      <w:sz w:val="21"/>
                      <w:szCs w:val="21"/>
                    </w:rPr>
                  </w:pPr>
                </w:p>
              </w:tc>
              <w:tc>
                <w:tcPr>
                  <w:tcW w:w="1879" w:type="dxa"/>
                  <w:vAlign w:val="center"/>
                </w:tcPr>
                <w:p w14:paraId="3F3A5BE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5#电镀车</w:t>
                  </w:r>
                </w:p>
                <w:p w14:paraId="7C72DD65">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3EAFD806">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71BA7FB5">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3B21020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1F设置3条3C滚镀锌线、3条滚镀锌线，2F设置1条滚镀镍铜镍+化学镀镍线、2条挂镀电泳线，3F设置4条挂镀电泳线。</w:t>
                  </w:r>
                </w:p>
              </w:tc>
              <w:tc>
                <w:tcPr>
                  <w:tcW w:w="1916" w:type="dxa"/>
                  <w:vAlign w:val="center"/>
                </w:tcPr>
                <w:p w14:paraId="2D7B5E0E">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改为</w:t>
                  </w:r>
                  <w:r>
                    <w:rPr>
                      <w:rFonts w:ascii="Times New Roman" w:hAnsi="Times New Roman"/>
                      <w:color w:val="auto"/>
                      <w:sz w:val="21"/>
                      <w:szCs w:val="21"/>
                    </w:rPr>
                    <w:t>注射粘结</w:t>
                  </w:r>
                </w:p>
                <w:p w14:paraId="5E670AF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磁生产车</w:t>
                  </w:r>
                </w:p>
                <w:p w14:paraId="3C90971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r>
                    <w:rPr>
                      <w:rFonts w:hint="eastAsia" w:ascii="Times New Roman" w:hAnsi="Times New Roman"/>
                      <w:color w:val="auto"/>
                      <w:sz w:val="21"/>
                      <w:szCs w:val="21"/>
                    </w:rPr>
                    <w:t>，</w:t>
                  </w:r>
                  <w:r>
                    <w:rPr>
                      <w:rFonts w:ascii="Times New Roman" w:hAnsi="Times New Roman"/>
                      <w:color w:val="auto"/>
                      <w:sz w:val="21"/>
                      <w:szCs w:val="21"/>
                    </w:rPr>
                    <w:t>设备正在安装</w:t>
                  </w:r>
                </w:p>
              </w:tc>
            </w:tr>
            <w:tr w14:paraId="74F9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599A8B6">
                  <w:pPr>
                    <w:pStyle w:val="60"/>
                    <w:adjustRightInd/>
                    <w:spacing w:before="0" w:after="0"/>
                    <w:jc w:val="center"/>
                    <w:rPr>
                      <w:rFonts w:ascii="Times New Roman" w:hAnsi="Times New Roman"/>
                      <w:color w:val="auto"/>
                      <w:sz w:val="21"/>
                      <w:szCs w:val="21"/>
                    </w:rPr>
                  </w:pPr>
                </w:p>
              </w:tc>
              <w:tc>
                <w:tcPr>
                  <w:tcW w:w="1879" w:type="dxa"/>
                  <w:vAlign w:val="center"/>
                </w:tcPr>
                <w:p w14:paraId="16A23AB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6#电镀车</w:t>
                  </w:r>
                </w:p>
                <w:p w14:paraId="26959AB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0220AC78">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486E4062">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7A1C5436">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1F设置2条滚镀磷化线、1条滚镀镍铜镍+化学镀镍线、1条滚镀锡线、1条镀锌和镀锌挂具退镀线，2F设置2条挂镀锌线、2条挂镀镍铜镍线，3F</w:t>
                  </w:r>
                </w:p>
                <w:p w14:paraId="2B145B6F">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设置1条3C滚镀锌线、3条挂镀镍铜镍线。</w:t>
                  </w:r>
                </w:p>
              </w:tc>
              <w:tc>
                <w:tcPr>
                  <w:tcW w:w="1916" w:type="dxa"/>
                  <w:vAlign w:val="center"/>
                </w:tcPr>
                <w:p w14:paraId="429A3028">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0F3F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315C58D">
                  <w:pPr>
                    <w:pStyle w:val="60"/>
                    <w:adjustRightInd/>
                    <w:spacing w:before="0" w:after="0"/>
                    <w:jc w:val="center"/>
                    <w:rPr>
                      <w:rFonts w:ascii="Times New Roman" w:hAnsi="Times New Roman"/>
                      <w:color w:val="auto"/>
                      <w:sz w:val="21"/>
                      <w:szCs w:val="21"/>
                    </w:rPr>
                  </w:pPr>
                </w:p>
              </w:tc>
              <w:tc>
                <w:tcPr>
                  <w:tcW w:w="1879" w:type="dxa"/>
                  <w:vAlign w:val="center"/>
                </w:tcPr>
                <w:p w14:paraId="1B93CEB3">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7#电镀车</w:t>
                  </w:r>
                </w:p>
                <w:p w14:paraId="4CB598B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484E7ED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3ACDD77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4A8D2187">
                  <w:pPr>
                    <w:widowControl/>
                    <w:jc w:val="center"/>
                    <w:rPr>
                      <w:color w:val="auto"/>
                      <w:szCs w:val="21"/>
                    </w:rPr>
                  </w:pPr>
                  <w:r>
                    <w:rPr>
                      <w:rFonts w:hint="eastAsia"/>
                      <w:color w:val="auto"/>
                      <w:szCs w:val="21"/>
                    </w:rPr>
                    <w:t>现用于本项目建设（江西劲诚永磁新材料有限公司新建机械加工及组件制造中心项目）</w:t>
                  </w:r>
                </w:p>
              </w:tc>
              <w:tc>
                <w:tcPr>
                  <w:tcW w:w="1916" w:type="dxa"/>
                  <w:vAlign w:val="center"/>
                </w:tcPr>
                <w:p w14:paraId="106AF260">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w:t>
                  </w:r>
                </w:p>
              </w:tc>
            </w:tr>
            <w:tr w14:paraId="1A98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BED0EFC">
                  <w:pPr>
                    <w:pStyle w:val="60"/>
                    <w:adjustRightInd/>
                    <w:spacing w:before="0" w:after="0"/>
                    <w:jc w:val="center"/>
                    <w:rPr>
                      <w:rFonts w:ascii="Times New Roman" w:hAnsi="Times New Roman"/>
                      <w:color w:val="auto"/>
                      <w:sz w:val="21"/>
                      <w:szCs w:val="21"/>
                    </w:rPr>
                  </w:pPr>
                </w:p>
              </w:tc>
              <w:tc>
                <w:tcPr>
                  <w:tcW w:w="1879" w:type="dxa"/>
                  <w:vAlign w:val="center"/>
                </w:tcPr>
                <w:p w14:paraId="24AF520A">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8#电镀车</w:t>
                  </w:r>
                </w:p>
                <w:p w14:paraId="74FA4D4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77BF5D6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85m（L）×22m（W）</w:t>
                  </w:r>
                </w:p>
                <w:p w14:paraId="06A195D6">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×21.6m（H），3F，框架结构</w:t>
                  </w:r>
                </w:p>
              </w:tc>
              <w:tc>
                <w:tcPr>
                  <w:tcW w:w="2520" w:type="dxa"/>
                  <w:vAlign w:val="center"/>
                </w:tcPr>
                <w:p w14:paraId="39EE90F4">
                  <w:pPr>
                    <w:widowControl/>
                    <w:jc w:val="center"/>
                    <w:rPr>
                      <w:color w:val="auto"/>
                      <w:szCs w:val="21"/>
                    </w:rPr>
                  </w:pPr>
                  <w:r>
                    <w:rPr>
                      <w:rFonts w:hint="eastAsia"/>
                      <w:color w:val="auto"/>
                      <w:szCs w:val="21"/>
                    </w:rPr>
                    <w:t>1F设置2条滚镀镍铜镍线、1条滚镀镍铜镍+化学镀镍线、1条镀锌镍合金和镀镍铜镍退镀线，2F设置3条喷涂线，3F设置4条喷涂线。</w:t>
                  </w:r>
                </w:p>
              </w:tc>
              <w:tc>
                <w:tcPr>
                  <w:tcW w:w="1916" w:type="dxa"/>
                  <w:vAlign w:val="center"/>
                </w:tcPr>
                <w:p w14:paraId="3AAA8745">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66D3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44E83A9">
                  <w:pPr>
                    <w:pStyle w:val="60"/>
                    <w:adjustRightInd/>
                    <w:spacing w:before="0" w:after="0"/>
                    <w:jc w:val="center"/>
                    <w:rPr>
                      <w:rFonts w:ascii="Times New Roman" w:hAnsi="Times New Roman"/>
                      <w:color w:val="auto"/>
                      <w:sz w:val="21"/>
                      <w:szCs w:val="21"/>
                    </w:rPr>
                  </w:pPr>
                </w:p>
              </w:tc>
              <w:tc>
                <w:tcPr>
                  <w:tcW w:w="1879" w:type="dxa"/>
                  <w:vAlign w:val="center"/>
                </w:tcPr>
                <w:p w14:paraId="5EE7E08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注射粘结</w:t>
                  </w:r>
                </w:p>
                <w:p w14:paraId="5EB7DBD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磁生产车</w:t>
                  </w:r>
                </w:p>
                <w:p w14:paraId="27DEA02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间</w:t>
                  </w:r>
                </w:p>
              </w:tc>
              <w:tc>
                <w:tcPr>
                  <w:tcW w:w="2533" w:type="dxa"/>
                  <w:vAlign w:val="center"/>
                </w:tcPr>
                <w:p w14:paraId="6587FDE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132.38m（L）×54.56m（W）×18m（H），3F，框架结构</w:t>
                  </w:r>
                </w:p>
              </w:tc>
              <w:tc>
                <w:tcPr>
                  <w:tcW w:w="2520" w:type="dxa"/>
                  <w:vAlign w:val="center"/>
                </w:tcPr>
                <w:p w14:paraId="1341339B">
                  <w:pPr>
                    <w:widowControl/>
                    <w:jc w:val="center"/>
                    <w:rPr>
                      <w:color w:val="auto"/>
                      <w:szCs w:val="21"/>
                    </w:rPr>
                  </w:pPr>
                  <w:r>
                    <w:rPr>
                      <w:rFonts w:hint="eastAsia"/>
                      <w:color w:val="auto"/>
                      <w:szCs w:val="21"/>
                    </w:rPr>
                    <w:t>设置注射粘结磁生产设备。</w:t>
                  </w:r>
                </w:p>
              </w:tc>
              <w:tc>
                <w:tcPr>
                  <w:tcW w:w="1916" w:type="dxa"/>
                  <w:vAlign w:val="center"/>
                </w:tcPr>
                <w:p w14:paraId="47B85D79">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调整为5#车间，此暂未建设</w:t>
                  </w:r>
                </w:p>
              </w:tc>
            </w:tr>
            <w:tr w14:paraId="31D5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E249375">
                  <w:pPr>
                    <w:pStyle w:val="60"/>
                    <w:adjustRightInd/>
                    <w:spacing w:before="0" w:after="0"/>
                    <w:jc w:val="center"/>
                    <w:rPr>
                      <w:rFonts w:ascii="Times New Roman" w:hAnsi="Times New Roman"/>
                      <w:color w:val="auto"/>
                      <w:sz w:val="21"/>
                      <w:szCs w:val="21"/>
                    </w:rPr>
                  </w:pPr>
                </w:p>
              </w:tc>
              <w:tc>
                <w:tcPr>
                  <w:tcW w:w="1879" w:type="dxa"/>
                  <w:vAlign w:val="center"/>
                </w:tcPr>
                <w:p w14:paraId="32C9085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1#模压粘</w:t>
                  </w:r>
                </w:p>
                <w:p w14:paraId="02E56C2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结磁生产</w:t>
                  </w:r>
                </w:p>
                <w:p w14:paraId="09D95EF2">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车间</w:t>
                  </w:r>
                </w:p>
              </w:tc>
              <w:tc>
                <w:tcPr>
                  <w:tcW w:w="2533" w:type="dxa"/>
                  <w:vAlign w:val="center"/>
                </w:tcPr>
                <w:p w14:paraId="6C1EF9B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132.38m（L）×48m（W）×23.4m（H），3F，框架结构</w:t>
                  </w:r>
                </w:p>
              </w:tc>
              <w:tc>
                <w:tcPr>
                  <w:tcW w:w="2520" w:type="dxa"/>
                  <w:vAlign w:val="center"/>
                </w:tcPr>
                <w:p w14:paraId="50511913">
                  <w:pPr>
                    <w:widowControl/>
                    <w:jc w:val="center"/>
                    <w:rPr>
                      <w:color w:val="auto"/>
                      <w:szCs w:val="21"/>
                    </w:rPr>
                  </w:pPr>
                  <w:r>
                    <w:rPr>
                      <w:rFonts w:hint="eastAsia"/>
                      <w:color w:val="auto"/>
                      <w:szCs w:val="21"/>
                    </w:rPr>
                    <w:t>设置模压粘结磁生产设备。</w:t>
                  </w:r>
                </w:p>
              </w:tc>
              <w:tc>
                <w:tcPr>
                  <w:tcW w:w="1916" w:type="dxa"/>
                  <w:vAlign w:val="center"/>
                </w:tcPr>
                <w:p w14:paraId="461359C5">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调整为4#车间，此暂未建设</w:t>
                  </w:r>
                </w:p>
              </w:tc>
            </w:tr>
            <w:tr w14:paraId="570A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8446C0A">
                  <w:pPr>
                    <w:pStyle w:val="60"/>
                    <w:adjustRightInd/>
                    <w:spacing w:before="0" w:after="0"/>
                    <w:jc w:val="center"/>
                    <w:rPr>
                      <w:rFonts w:ascii="Times New Roman" w:hAnsi="Times New Roman"/>
                      <w:color w:val="auto"/>
                      <w:sz w:val="21"/>
                      <w:szCs w:val="21"/>
                    </w:rPr>
                  </w:pPr>
                </w:p>
              </w:tc>
              <w:tc>
                <w:tcPr>
                  <w:tcW w:w="1879" w:type="dxa"/>
                  <w:vAlign w:val="center"/>
                </w:tcPr>
                <w:p w14:paraId="5119816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2#模压粘</w:t>
                  </w:r>
                </w:p>
                <w:p w14:paraId="769167EF">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结磁生产</w:t>
                  </w:r>
                </w:p>
                <w:p w14:paraId="7074FAB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车间</w:t>
                  </w:r>
                </w:p>
              </w:tc>
              <w:tc>
                <w:tcPr>
                  <w:tcW w:w="2533" w:type="dxa"/>
                  <w:vAlign w:val="center"/>
                </w:tcPr>
                <w:p w14:paraId="2A41147C">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117.14m（L）×44m（W）×13m（H），1F，框架结构</w:t>
                  </w:r>
                </w:p>
              </w:tc>
              <w:tc>
                <w:tcPr>
                  <w:tcW w:w="2520" w:type="dxa"/>
                  <w:vAlign w:val="center"/>
                </w:tcPr>
                <w:p w14:paraId="67CD4B00">
                  <w:pPr>
                    <w:widowControl/>
                    <w:jc w:val="center"/>
                    <w:rPr>
                      <w:color w:val="auto"/>
                      <w:szCs w:val="21"/>
                    </w:rPr>
                  </w:pPr>
                  <w:r>
                    <w:rPr>
                      <w:rFonts w:hint="eastAsia"/>
                      <w:color w:val="auto"/>
                      <w:szCs w:val="21"/>
                    </w:rPr>
                    <w:t>设置模压粘结磁生产设备。</w:t>
                  </w:r>
                </w:p>
              </w:tc>
              <w:tc>
                <w:tcPr>
                  <w:tcW w:w="1916" w:type="dxa"/>
                  <w:vAlign w:val="center"/>
                </w:tcPr>
                <w:p w14:paraId="1752A83F">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199F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14BE9F1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公</w:t>
                  </w:r>
                </w:p>
                <w:p w14:paraId="3EEFB04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辅</w:t>
                  </w:r>
                </w:p>
                <w:p w14:paraId="5DF9ACBA">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工</w:t>
                  </w:r>
                </w:p>
                <w:p w14:paraId="288A202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程</w:t>
                  </w:r>
                </w:p>
              </w:tc>
              <w:tc>
                <w:tcPr>
                  <w:tcW w:w="1879" w:type="dxa"/>
                  <w:vAlign w:val="center"/>
                </w:tcPr>
                <w:p w14:paraId="5C349684">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锅炉房</w:t>
                  </w:r>
                </w:p>
              </w:tc>
              <w:tc>
                <w:tcPr>
                  <w:tcW w:w="2533" w:type="dxa"/>
                  <w:vAlign w:val="center"/>
                </w:tcPr>
                <w:p w14:paraId="249FC40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30m（L）×10m（W）×9m（H），1F，框架结构</w:t>
                  </w:r>
                </w:p>
              </w:tc>
              <w:tc>
                <w:tcPr>
                  <w:tcW w:w="2520" w:type="dxa"/>
                  <w:vAlign w:val="center"/>
                </w:tcPr>
                <w:p w14:paraId="3F46877E">
                  <w:pPr>
                    <w:widowControl/>
                    <w:jc w:val="center"/>
                    <w:rPr>
                      <w:color w:val="auto"/>
                      <w:szCs w:val="21"/>
                    </w:rPr>
                  </w:pPr>
                  <w:r>
                    <w:rPr>
                      <w:rFonts w:hint="eastAsia"/>
                      <w:color w:val="auto"/>
                      <w:szCs w:val="21"/>
                    </w:rPr>
                    <w:t>设置3台4.2MW燃气热水锅炉，2用1备；2台2t/h燃气蒸汽锅炉，1用1备。</w:t>
                  </w:r>
                </w:p>
              </w:tc>
              <w:tc>
                <w:tcPr>
                  <w:tcW w:w="1916" w:type="dxa"/>
                  <w:vAlign w:val="center"/>
                </w:tcPr>
                <w:p w14:paraId="44A6C4F0">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已安装1台2t/h燃气蒸汽锅炉</w:t>
                  </w:r>
                </w:p>
              </w:tc>
            </w:tr>
            <w:tr w14:paraId="0DC1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A85B23A">
                  <w:pPr>
                    <w:pStyle w:val="60"/>
                    <w:adjustRightInd/>
                    <w:spacing w:before="0" w:after="0"/>
                    <w:jc w:val="center"/>
                    <w:rPr>
                      <w:rFonts w:ascii="Times New Roman" w:hAnsi="Times New Roman"/>
                      <w:color w:val="auto"/>
                      <w:sz w:val="21"/>
                      <w:szCs w:val="21"/>
                    </w:rPr>
                  </w:pPr>
                </w:p>
              </w:tc>
              <w:tc>
                <w:tcPr>
                  <w:tcW w:w="1879" w:type="dxa"/>
                  <w:vAlign w:val="center"/>
                </w:tcPr>
                <w:p w14:paraId="6E6A3D88">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空压机房</w:t>
                  </w:r>
                </w:p>
              </w:tc>
              <w:tc>
                <w:tcPr>
                  <w:tcW w:w="2533" w:type="dxa"/>
                  <w:vAlign w:val="center"/>
                </w:tcPr>
                <w:p w14:paraId="7E89591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18m（L）×10m（W）×7m（H），1F，框架结构</w:t>
                  </w:r>
                </w:p>
              </w:tc>
              <w:tc>
                <w:tcPr>
                  <w:tcW w:w="2520" w:type="dxa"/>
                  <w:vAlign w:val="center"/>
                </w:tcPr>
                <w:p w14:paraId="3FF14B4B">
                  <w:pPr>
                    <w:widowControl/>
                    <w:jc w:val="center"/>
                    <w:rPr>
                      <w:color w:val="auto"/>
                      <w:szCs w:val="21"/>
                    </w:rPr>
                  </w:pPr>
                  <w:r>
                    <w:rPr>
                      <w:rFonts w:hint="eastAsia"/>
                      <w:color w:val="auto"/>
                      <w:szCs w:val="21"/>
                    </w:rPr>
                    <w:t>设置2台空压机，1用1备。</w:t>
                  </w:r>
                </w:p>
              </w:tc>
              <w:tc>
                <w:tcPr>
                  <w:tcW w:w="1916" w:type="dxa"/>
                  <w:vAlign w:val="center"/>
                </w:tcPr>
                <w:p w14:paraId="4A891B28">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4303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16D50A4">
                  <w:pPr>
                    <w:pStyle w:val="60"/>
                    <w:adjustRightInd/>
                    <w:spacing w:before="0" w:after="0"/>
                    <w:jc w:val="center"/>
                    <w:rPr>
                      <w:rFonts w:ascii="Times New Roman" w:hAnsi="Times New Roman"/>
                      <w:color w:val="auto"/>
                      <w:sz w:val="21"/>
                      <w:szCs w:val="21"/>
                    </w:rPr>
                  </w:pPr>
                </w:p>
              </w:tc>
              <w:tc>
                <w:tcPr>
                  <w:tcW w:w="1879" w:type="dxa"/>
                  <w:vAlign w:val="center"/>
                </w:tcPr>
                <w:p w14:paraId="1A4CAB1A">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风机房</w:t>
                  </w:r>
                </w:p>
              </w:tc>
              <w:tc>
                <w:tcPr>
                  <w:tcW w:w="2533" w:type="dxa"/>
                  <w:vAlign w:val="center"/>
                </w:tcPr>
                <w:p w14:paraId="13E2308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27m（L）×10m（W）×7m（H），1F，框架结构</w:t>
                  </w:r>
                </w:p>
              </w:tc>
              <w:tc>
                <w:tcPr>
                  <w:tcW w:w="2520" w:type="dxa"/>
                  <w:vAlign w:val="center"/>
                </w:tcPr>
                <w:p w14:paraId="09AF3FFC">
                  <w:pPr>
                    <w:widowControl/>
                    <w:jc w:val="center"/>
                    <w:rPr>
                      <w:color w:val="auto"/>
                      <w:szCs w:val="21"/>
                    </w:rPr>
                  </w:pPr>
                  <w:r>
                    <w:rPr>
                      <w:rFonts w:hint="eastAsia"/>
                      <w:color w:val="auto"/>
                      <w:szCs w:val="21"/>
                    </w:rPr>
                    <w:t>设置污水处理站鼓风机。</w:t>
                  </w:r>
                </w:p>
              </w:tc>
              <w:tc>
                <w:tcPr>
                  <w:tcW w:w="1916" w:type="dxa"/>
                  <w:vAlign w:val="center"/>
                </w:tcPr>
                <w:p w14:paraId="6E6DEC57">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7B20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CC81E51">
                  <w:pPr>
                    <w:pStyle w:val="60"/>
                    <w:adjustRightInd/>
                    <w:spacing w:before="0" w:after="0"/>
                    <w:jc w:val="center"/>
                    <w:rPr>
                      <w:rFonts w:ascii="Times New Roman" w:hAnsi="Times New Roman"/>
                      <w:color w:val="auto"/>
                      <w:sz w:val="21"/>
                      <w:szCs w:val="21"/>
                    </w:rPr>
                  </w:pPr>
                </w:p>
              </w:tc>
              <w:tc>
                <w:tcPr>
                  <w:tcW w:w="1879" w:type="dxa"/>
                  <w:vAlign w:val="center"/>
                </w:tcPr>
                <w:p w14:paraId="154A1E71">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高压室</w:t>
                  </w:r>
                </w:p>
              </w:tc>
              <w:tc>
                <w:tcPr>
                  <w:tcW w:w="2533" w:type="dxa"/>
                  <w:vAlign w:val="center"/>
                </w:tcPr>
                <w:p w14:paraId="2628B6B5">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10m（L）×10m（W）×7m（H），1F，框架结构</w:t>
                  </w:r>
                </w:p>
              </w:tc>
              <w:tc>
                <w:tcPr>
                  <w:tcW w:w="2520" w:type="dxa"/>
                  <w:vAlign w:val="center"/>
                </w:tcPr>
                <w:p w14:paraId="26144C41">
                  <w:pPr>
                    <w:widowControl/>
                    <w:jc w:val="center"/>
                    <w:rPr>
                      <w:color w:val="auto"/>
                      <w:szCs w:val="21"/>
                    </w:rPr>
                  </w:pPr>
                  <w:r>
                    <w:rPr>
                      <w:rFonts w:hint="eastAsia"/>
                      <w:color w:val="auto"/>
                      <w:szCs w:val="21"/>
                    </w:rPr>
                    <w:t>厂区配电。</w:t>
                  </w:r>
                </w:p>
              </w:tc>
              <w:tc>
                <w:tcPr>
                  <w:tcW w:w="1916" w:type="dxa"/>
                  <w:vAlign w:val="center"/>
                </w:tcPr>
                <w:p w14:paraId="13D97DD4">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5974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Merge w:val="continue"/>
                  <w:vAlign w:val="center"/>
                </w:tcPr>
                <w:p w14:paraId="5508426F">
                  <w:pPr>
                    <w:pStyle w:val="60"/>
                    <w:adjustRightInd/>
                    <w:spacing w:before="0" w:after="0"/>
                    <w:jc w:val="center"/>
                    <w:rPr>
                      <w:rFonts w:ascii="Times New Roman" w:hAnsi="Times New Roman"/>
                      <w:color w:val="auto"/>
                      <w:sz w:val="21"/>
                      <w:szCs w:val="21"/>
                    </w:rPr>
                  </w:pPr>
                </w:p>
              </w:tc>
              <w:tc>
                <w:tcPr>
                  <w:tcW w:w="1879" w:type="dxa"/>
                  <w:vAlign w:val="center"/>
                </w:tcPr>
                <w:p w14:paraId="5614C05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1#宿舍楼</w:t>
                  </w:r>
                </w:p>
              </w:tc>
              <w:tc>
                <w:tcPr>
                  <w:tcW w:w="2533" w:type="dxa"/>
                  <w:vAlign w:val="center"/>
                </w:tcPr>
                <w:p w14:paraId="2E2927CA">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占地面积873m</w:t>
                  </w:r>
                  <w:r>
                    <w:rPr>
                      <w:rFonts w:ascii="Times New Roman" w:hAnsi="Times New Roman"/>
                      <w:color w:val="auto"/>
                      <w:sz w:val="21"/>
                      <w:szCs w:val="21"/>
                      <w:vertAlign w:val="superscript"/>
                    </w:rPr>
                    <w:t>2</w:t>
                  </w:r>
                  <w:r>
                    <w:rPr>
                      <w:rFonts w:ascii="Times New Roman" w:hAnsi="Times New Roman"/>
                      <w:color w:val="auto"/>
                      <w:sz w:val="21"/>
                      <w:szCs w:val="21"/>
                    </w:rPr>
                    <w:t>，高18m，6F，框架结构</w:t>
                  </w:r>
                </w:p>
              </w:tc>
              <w:tc>
                <w:tcPr>
                  <w:tcW w:w="2520" w:type="dxa"/>
                  <w:vAlign w:val="center"/>
                </w:tcPr>
                <w:p w14:paraId="73F75542">
                  <w:pPr>
                    <w:widowControl/>
                    <w:jc w:val="center"/>
                    <w:rPr>
                      <w:color w:val="auto"/>
                      <w:szCs w:val="21"/>
                    </w:rPr>
                  </w:pPr>
                  <w:r>
                    <w:rPr>
                      <w:rFonts w:hint="eastAsia"/>
                      <w:color w:val="auto"/>
                      <w:szCs w:val="21"/>
                    </w:rPr>
                    <w:t>职工住宿。</w:t>
                  </w:r>
                </w:p>
              </w:tc>
              <w:tc>
                <w:tcPr>
                  <w:tcW w:w="1916" w:type="dxa"/>
                  <w:vAlign w:val="center"/>
                </w:tcPr>
                <w:p w14:paraId="2E6018A8">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新建</w:t>
                  </w:r>
                </w:p>
              </w:tc>
            </w:tr>
            <w:tr w14:paraId="43E5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A25DFDC">
                  <w:pPr>
                    <w:pStyle w:val="60"/>
                    <w:adjustRightInd/>
                    <w:spacing w:before="0" w:after="0"/>
                    <w:jc w:val="center"/>
                    <w:rPr>
                      <w:rFonts w:ascii="Times New Roman" w:hAnsi="Times New Roman"/>
                      <w:color w:val="auto"/>
                      <w:sz w:val="21"/>
                      <w:szCs w:val="21"/>
                    </w:rPr>
                  </w:pPr>
                </w:p>
              </w:tc>
              <w:tc>
                <w:tcPr>
                  <w:tcW w:w="1879" w:type="dxa"/>
                  <w:vAlign w:val="center"/>
                </w:tcPr>
                <w:p w14:paraId="269B5AF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2#宿舍楼</w:t>
                  </w:r>
                </w:p>
              </w:tc>
              <w:tc>
                <w:tcPr>
                  <w:tcW w:w="2533" w:type="dxa"/>
                  <w:vAlign w:val="center"/>
                </w:tcPr>
                <w:p w14:paraId="6DB196F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占地面积873m</w:t>
                  </w:r>
                  <w:r>
                    <w:rPr>
                      <w:rFonts w:ascii="Times New Roman" w:hAnsi="Times New Roman"/>
                      <w:color w:val="auto"/>
                      <w:sz w:val="21"/>
                      <w:szCs w:val="21"/>
                      <w:vertAlign w:val="superscript"/>
                    </w:rPr>
                    <w:t>2</w:t>
                  </w:r>
                  <w:r>
                    <w:rPr>
                      <w:rFonts w:ascii="Times New Roman" w:hAnsi="Times New Roman"/>
                      <w:color w:val="auto"/>
                      <w:sz w:val="21"/>
                      <w:szCs w:val="21"/>
                    </w:rPr>
                    <w:t>，高18m，6F，框架结构</w:t>
                  </w:r>
                </w:p>
              </w:tc>
              <w:tc>
                <w:tcPr>
                  <w:tcW w:w="2520" w:type="dxa"/>
                  <w:shd w:val="clear" w:color="auto" w:fill="auto"/>
                  <w:vAlign w:val="center"/>
                </w:tcPr>
                <w:p w14:paraId="1516F741">
                  <w:pPr>
                    <w:widowControl/>
                    <w:jc w:val="center"/>
                    <w:rPr>
                      <w:color w:val="auto"/>
                      <w:szCs w:val="21"/>
                    </w:rPr>
                  </w:pPr>
                  <w:r>
                    <w:rPr>
                      <w:rFonts w:hint="eastAsia"/>
                      <w:color w:val="auto"/>
                      <w:szCs w:val="21"/>
                    </w:rPr>
                    <w:t>职工住宿。</w:t>
                  </w:r>
                </w:p>
              </w:tc>
              <w:tc>
                <w:tcPr>
                  <w:tcW w:w="1916" w:type="dxa"/>
                  <w:shd w:val="clear" w:color="auto" w:fill="auto"/>
                  <w:vAlign w:val="center"/>
                </w:tcPr>
                <w:p w14:paraId="4B3FC1A0">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1F92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6D637EE">
                  <w:pPr>
                    <w:pStyle w:val="60"/>
                    <w:adjustRightInd/>
                    <w:spacing w:before="0" w:after="0"/>
                    <w:jc w:val="center"/>
                    <w:rPr>
                      <w:rFonts w:ascii="Times New Roman" w:hAnsi="Times New Roman"/>
                      <w:color w:val="auto"/>
                      <w:sz w:val="21"/>
                      <w:szCs w:val="21"/>
                    </w:rPr>
                  </w:pPr>
                </w:p>
              </w:tc>
              <w:tc>
                <w:tcPr>
                  <w:tcW w:w="1879" w:type="dxa"/>
                  <w:vAlign w:val="center"/>
                </w:tcPr>
                <w:p w14:paraId="11DBBF9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3#宿舍楼</w:t>
                  </w:r>
                </w:p>
              </w:tc>
              <w:tc>
                <w:tcPr>
                  <w:tcW w:w="2533" w:type="dxa"/>
                  <w:vAlign w:val="center"/>
                </w:tcPr>
                <w:p w14:paraId="5B45C39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占地面积612m</w:t>
                  </w:r>
                  <w:r>
                    <w:rPr>
                      <w:rFonts w:ascii="Times New Roman" w:hAnsi="Times New Roman"/>
                      <w:color w:val="auto"/>
                      <w:sz w:val="21"/>
                      <w:szCs w:val="21"/>
                      <w:vertAlign w:val="superscript"/>
                    </w:rPr>
                    <w:t>2</w:t>
                  </w:r>
                  <w:r>
                    <w:rPr>
                      <w:rFonts w:ascii="Times New Roman" w:hAnsi="Times New Roman"/>
                      <w:color w:val="auto"/>
                      <w:sz w:val="21"/>
                      <w:szCs w:val="21"/>
                    </w:rPr>
                    <w:t>，高18m，6F，框架结构</w:t>
                  </w:r>
                </w:p>
              </w:tc>
              <w:tc>
                <w:tcPr>
                  <w:tcW w:w="2520" w:type="dxa"/>
                  <w:shd w:val="clear" w:color="auto" w:fill="auto"/>
                  <w:vAlign w:val="center"/>
                </w:tcPr>
                <w:p w14:paraId="5B63D517">
                  <w:pPr>
                    <w:widowControl/>
                    <w:jc w:val="center"/>
                    <w:rPr>
                      <w:color w:val="auto"/>
                      <w:szCs w:val="21"/>
                    </w:rPr>
                  </w:pPr>
                  <w:r>
                    <w:rPr>
                      <w:rFonts w:hint="eastAsia"/>
                      <w:color w:val="auto"/>
                      <w:szCs w:val="21"/>
                    </w:rPr>
                    <w:t>职工住宿。</w:t>
                  </w:r>
                </w:p>
              </w:tc>
              <w:tc>
                <w:tcPr>
                  <w:tcW w:w="1916" w:type="dxa"/>
                  <w:shd w:val="clear" w:color="auto" w:fill="auto"/>
                  <w:vAlign w:val="center"/>
                </w:tcPr>
                <w:p w14:paraId="01459CBC">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724B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7410D96">
                  <w:pPr>
                    <w:pStyle w:val="60"/>
                    <w:adjustRightInd/>
                    <w:spacing w:before="0" w:after="0"/>
                    <w:jc w:val="center"/>
                    <w:rPr>
                      <w:rFonts w:ascii="Times New Roman" w:hAnsi="Times New Roman"/>
                      <w:color w:val="auto"/>
                      <w:sz w:val="21"/>
                      <w:szCs w:val="21"/>
                    </w:rPr>
                  </w:pPr>
                </w:p>
              </w:tc>
              <w:tc>
                <w:tcPr>
                  <w:tcW w:w="1879" w:type="dxa"/>
                  <w:vAlign w:val="center"/>
                </w:tcPr>
                <w:p w14:paraId="61512CE3">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办公楼</w:t>
                  </w:r>
                </w:p>
              </w:tc>
              <w:tc>
                <w:tcPr>
                  <w:tcW w:w="2533" w:type="dxa"/>
                  <w:vAlign w:val="center"/>
                </w:tcPr>
                <w:p w14:paraId="42372BC0">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占地面积1792m</w:t>
                  </w:r>
                  <w:r>
                    <w:rPr>
                      <w:rFonts w:ascii="Times New Roman" w:hAnsi="Times New Roman"/>
                      <w:color w:val="auto"/>
                      <w:sz w:val="21"/>
                      <w:szCs w:val="21"/>
                      <w:vertAlign w:val="superscript"/>
                    </w:rPr>
                    <w:t>2</w:t>
                  </w:r>
                  <w:r>
                    <w:rPr>
                      <w:rFonts w:ascii="Times New Roman" w:hAnsi="Times New Roman"/>
                      <w:color w:val="auto"/>
                      <w:sz w:val="21"/>
                      <w:szCs w:val="21"/>
                    </w:rPr>
                    <w:t>，高23.5m，6F，框架结构</w:t>
                  </w:r>
                </w:p>
              </w:tc>
              <w:tc>
                <w:tcPr>
                  <w:tcW w:w="2520" w:type="dxa"/>
                  <w:shd w:val="clear" w:color="auto" w:fill="auto"/>
                  <w:vAlign w:val="center"/>
                </w:tcPr>
                <w:p w14:paraId="2ED3F2E0">
                  <w:pPr>
                    <w:widowControl/>
                    <w:jc w:val="center"/>
                    <w:rPr>
                      <w:color w:val="auto"/>
                      <w:szCs w:val="21"/>
                    </w:rPr>
                  </w:pPr>
                  <w:r>
                    <w:rPr>
                      <w:rFonts w:hint="eastAsia"/>
                      <w:color w:val="auto"/>
                      <w:szCs w:val="21"/>
                    </w:rPr>
                    <w:t>职工办公。</w:t>
                  </w:r>
                </w:p>
              </w:tc>
              <w:tc>
                <w:tcPr>
                  <w:tcW w:w="1916" w:type="dxa"/>
                  <w:shd w:val="clear" w:color="auto" w:fill="auto"/>
                  <w:vAlign w:val="center"/>
                </w:tcPr>
                <w:p w14:paraId="291CB545">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36F7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8F5B53A">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储</w:t>
                  </w:r>
                </w:p>
                <w:p w14:paraId="2C0198B9">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运</w:t>
                  </w:r>
                </w:p>
                <w:p w14:paraId="0DA70FC8">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工</w:t>
                  </w:r>
                </w:p>
                <w:p w14:paraId="5BA51C87">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程</w:t>
                  </w:r>
                </w:p>
              </w:tc>
              <w:tc>
                <w:tcPr>
                  <w:tcW w:w="1879" w:type="dxa"/>
                  <w:vAlign w:val="center"/>
                </w:tcPr>
                <w:p w14:paraId="2B3D3ADC">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仓库</w:t>
                  </w:r>
                </w:p>
              </w:tc>
              <w:tc>
                <w:tcPr>
                  <w:tcW w:w="2533" w:type="dxa"/>
                  <w:vAlign w:val="center"/>
                </w:tcPr>
                <w:p w14:paraId="0DF6A053">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83m（L）×48m（W）×10m（H），1F，框架结构</w:t>
                  </w:r>
                </w:p>
              </w:tc>
              <w:tc>
                <w:tcPr>
                  <w:tcW w:w="2520" w:type="dxa"/>
                  <w:shd w:val="clear" w:color="auto" w:fill="auto"/>
                  <w:vAlign w:val="center"/>
                </w:tcPr>
                <w:p w14:paraId="03FCAEC4">
                  <w:pPr>
                    <w:widowControl/>
                    <w:jc w:val="center"/>
                    <w:rPr>
                      <w:color w:val="auto"/>
                      <w:szCs w:val="21"/>
                    </w:rPr>
                  </w:pPr>
                  <w:r>
                    <w:rPr>
                      <w:rFonts w:hint="eastAsia"/>
                      <w:color w:val="auto"/>
                      <w:szCs w:val="21"/>
                    </w:rPr>
                    <w:t>用于储存项目所需原辅材料。</w:t>
                  </w:r>
                </w:p>
              </w:tc>
              <w:tc>
                <w:tcPr>
                  <w:tcW w:w="1916" w:type="dxa"/>
                  <w:shd w:val="clear" w:color="auto" w:fill="auto"/>
                  <w:vAlign w:val="center"/>
                </w:tcPr>
                <w:p w14:paraId="5D389A30">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44A1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4A26A4B5">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环</w:t>
                  </w:r>
                </w:p>
                <w:p w14:paraId="2E483B15">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保</w:t>
                  </w:r>
                </w:p>
                <w:p w14:paraId="0DCF8110">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工</w:t>
                  </w:r>
                </w:p>
                <w:p w14:paraId="360E362E">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程</w:t>
                  </w:r>
                </w:p>
              </w:tc>
              <w:tc>
                <w:tcPr>
                  <w:tcW w:w="1879" w:type="dxa"/>
                  <w:vMerge w:val="restart"/>
                  <w:vAlign w:val="center"/>
                </w:tcPr>
                <w:p w14:paraId="308DAF6B">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废气处理</w:t>
                  </w:r>
                </w:p>
                <w:p w14:paraId="1439AE3D">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设施</w:t>
                  </w:r>
                </w:p>
              </w:tc>
              <w:tc>
                <w:tcPr>
                  <w:tcW w:w="5053" w:type="dxa"/>
                  <w:gridSpan w:val="2"/>
                  <w:vAlign w:val="center"/>
                </w:tcPr>
                <w:p w14:paraId="731FD180">
                  <w:pPr>
                    <w:widowControl/>
                    <w:jc w:val="center"/>
                    <w:rPr>
                      <w:color w:val="auto"/>
                      <w:szCs w:val="21"/>
                    </w:rPr>
                  </w:pPr>
                  <w:r>
                    <w:rPr>
                      <w:rFonts w:hint="eastAsia"/>
                      <w:color w:val="auto"/>
                      <w:szCs w:val="21"/>
                    </w:rPr>
                    <w:t>混料废气、研磨废气：布袋除尘器（TA001）+H34m、Φ0.25m排气筒（DA001）。</w:t>
                  </w:r>
                </w:p>
              </w:tc>
              <w:tc>
                <w:tcPr>
                  <w:tcW w:w="1916" w:type="dxa"/>
                  <w:vMerge w:val="restart"/>
                  <w:shd w:val="clear" w:color="auto" w:fill="auto"/>
                  <w:vAlign w:val="center"/>
                </w:tcPr>
                <w:p w14:paraId="6D8972BE">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3E49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B4386A7">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34C748FD">
                  <w:pPr>
                    <w:pStyle w:val="60"/>
                    <w:adjustRightInd/>
                    <w:spacing w:before="0" w:after="0"/>
                    <w:jc w:val="center"/>
                    <w:rPr>
                      <w:rFonts w:ascii="Times New Roman" w:hAnsi="Times New Roman"/>
                      <w:color w:val="auto"/>
                      <w:sz w:val="21"/>
                      <w:szCs w:val="21"/>
                    </w:rPr>
                  </w:pPr>
                </w:p>
              </w:tc>
              <w:tc>
                <w:tcPr>
                  <w:tcW w:w="5053" w:type="dxa"/>
                  <w:gridSpan w:val="2"/>
                  <w:vAlign w:val="center"/>
                </w:tcPr>
                <w:p w14:paraId="59D39D15">
                  <w:pPr>
                    <w:widowControl/>
                    <w:jc w:val="center"/>
                    <w:rPr>
                      <w:color w:val="auto"/>
                      <w:szCs w:val="21"/>
                    </w:rPr>
                  </w:pPr>
                  <w:r>
                    <w:rPr>
                      <w:rFonts w:hint="eastAsia"/>
                      <w:color w:val="auto"/>
                      <w:szCs w:val="21"/>
                    </w:rPr>
                    <w:t>造粒废气、成型废气、溶解废气、混胶废气、固化废气：过滤器+活性炭吸附浓缩+催化燃烧（TA002）+H34m、Φ0.8m排气筒（DA002）。</w:t>
                  </w:r>
                </w:p>
              </w:tc>
              <w:tc>
                <w:tcPr>
                  <w:tcW w:w="1916" w:type="dxa"/>
                  <w:vMerge w:val="continue"/>
                  <w:shd w:val="clear" w:color="auto" w:fill="auto"/>
                  <w:vAlign w:val="center"/>
                </w:tcPr>
                <w:p w14:paraId="1F1476AC">
                  <w:pPr>
                    <w:pStyle w:val="60"/>
                    <w:adjustRightInd/>
                    <w:spacing w:before="0" w:after="0"/>
                    <w:jc w:val="center"/>
                    <w:rPr>
                      <w:rFonts w:ascii="Times New Roman" w:hAnsi="Times New Roman"/>
                      <w:color w:val="auto"/>
                      <w:sz w:val="21"/>
                      <w:szCs w:val="21"/>
                    </w:rPr>
                  </w:pPr>
                </w:p>
              </w:tc>
            </w:tr>
            <w:tr w14:paraId="79BF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EBD09D8">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08B80F5B">
                  <w:pPr>
                    <w:pStyle w:val="60"/>
                    <w:adjustRightInd/>
                    <w:spacing w:before="0" w:after="0"/>
                    <w:jc w:val="center"/>
                    <w:rPr>
                      <w:rFonts w:ascii="Times New Roman" w:hAnsi="Times New Roman"/>
                      <w:color w:val="auto"/>
                      <w:sz w:val="21"/>
                      <w:szCs w:val="21"/>
                    </w:rPr>
                  </w:pPr>
                </w:p>
              </w:tc>
              <w:tc>
                <w:tcPr>
                  <w:tcW w:w="5053" w:type="dxa"/>
                  <w:gridSpan w:val="2"/>
                  <w:vAlign w:val="center"/>
                </w:tcPr>
                <w:p w14:paraId="6350B067">
                  <w:pPr>
                    <w:widowControl/>
                    <w:jc w:val="center"/>
                    <w:rPr>
                      <w:color w:val="auto"/>
                      <w:szCs w:val="21"/>
                    </w:rPr>
                  </w:pPr>
                  <w:r>
                    <w:rPr>
                      <w:rFonts w:hint="eastAsia"/>
                      <w:color w:val="auto"/>
                      <w:szCs w:val="21"/>
                    </w:rPr>
                    <w:t>筛分废气、混粉废气、抛光废气：2套布袋除尘器（TA003～TA004）+H34m、Φ0.5m排气筒（DA003）/H34m、Φ0.3m排气筒（DA004）。</w:t>
                  </w:r>
                </w:p>
              </w:tc>
              <w:tc>
                <w:tcPr>
                  <w:tcW w:w="1916" w:type="dxa"/>
                  <w:vMerge w:val="continue"/>
                  <w:shd w:val="clear" w:color="auto" w:fill="auto"/>
                  <w:vAlign w:val="center"/>
                </w:tcPr>
                <w:p w14:paraId="6684E94E">
                  <w:pPr>
                    <w:pStyle w:val="60"/>
                    <w:adjustRightInd/>
                    <w:spacing w:before="0" w:after="0"/>
                    <w:jc w:val="center"/>
                    <w:rPr>
                      <w:rFonts w:ascii="Times New Roman" w:hAnsi="Times New Roman"/>
                      <w:color w:val="auto"/>
                      <w:sz w:val="21"/>
                      <w:szCs w:val="21"/>
                    </w:rPr>
                  </w:pPr>
                </w:p>
              </w:tc>
            </w:tr>
            <w:tr w14:paraId="70D3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2629A72C">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632B3B0C">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3DAE23AB">
                  <w:pPr>
                    <w:jc w:val="center"/>
                    <w:rPr>
                      <w:color w:val="auto"/>
                    </w:rPr>
                  </w:pPr>
                  <w:r>
                    <w:rPr>
                      <w:color w:val="auto"/>
                    </w:rPr>
                    <w:t>酸性废气：7套碱液喷淋塔（TA005~TA011）+H34m、Φ0.3m排气筒（DA005~DA011）。</w:t>
                  </w:r>
                </w:p>
              </w:tc>
              <w:tc>
                <w:tcPr>
                  <w:tcW w:w="1916" w:type="dxa"/>
                  <w:shd w:val="clear" w:color="auto" w:fill="auto"/>
                  <w:vAlign w:val="center"/>
                </w:tcPr>
                <w:p w14:paraId="2FD305BB">
                  <w:pPr>
                    <w:pStyle w:val="60"/>
                    <w:adjustRightInd/>
                    <w:spacing w:before="0" w:after="0"/>
                    <w:jc w:val="center"/>
                    <w:rPr>
                      <w:rFonts w:ascii="Times New Roman" w:hAnsi="Times New Roman"/>
                      <w:color w:val="auto"/>
                      <w:sz w:val="21"/>
                      <w:szCs w:val="21"/>
                    </w:rPr>
                  </w:pPr>
                  <w:r>
                    <w:rPr>
                      <w:color w:val="auto"/>
                    </w:rPr>
                    <w:t>已建</w:t>
                  </w:r>
                </w:p>
              </w:tc>
            </w:tr>
            <w:tr w14:paraId="60CF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C567775">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4DE913D5">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5A2752A">
                  <w:pPr>
                    <w:jc w:val="center"/>
                    <w:rPr>
                      <w:color w:val="auto"/>
                    </w:rPr>
                  </w:pPr>
                  <w:r>
                    <w:rPr>
                      <w:color w:val="auto"/>
                    </w:rPr>
                    <w:t>电泳及烘干废气：2套“过滤器+活性炭吸附浓缩+催化燃烧（TA002、TA012）+H34m、Φ0.8m排气筒（DA002）/H34m、Φ0.8m排气筒（DA012）。</w:t>
                  </w:r>
                </w:p>
              </w:tc>
              <w:tc>
                <w:tcPr>
                  <w:tcW w:w="1916" w:type="dxa"/>
                  <w:vMerge w:val="restart"/>
                  <w:vAlign w:val="center"/>
                </w:tcPr>
                <w:p w14:paraId="2F424D54">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未建</w:t>
                  </w:r>
                </w:p>
              </w:tc>
            </w:tr>
            <w:tr w14:paraId="54B5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341124F">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6857B638">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A3575FA">
                  <w:pPr>
                    <w:jc w:val="center"/>
                    <w:rPr>
                      <w:color w:val="auto"/>
                    </w:rPr>
                  </w:pPr>
                  <w:r>
                    <w:rPr>
                      <w:color w:val="auto"/>
                    </w:rPr>
                    <w:t>喷漆及烘干废气：自带水帘喷淋+“过滤器+活性炭吸附浓缩+催化燃烧”（TA012）+H34m、Φ0.8m排气筒（DA012）。</w:t>
                  </w:r>
                </w:p>
              </w:tc>
              <w:tc>
                <w:tcPr>
                  <w:tcW w:w="1916" w:type="dxa"/>
                  <w:vMerge w:val="continue"/>
                  <w:vAlign w:val="center"/>
                </w:tcPr>
                <w:p w14:paraId="667D1C49">
                  <w:pPr>
                    <w:pStyle w:val="60"/>
                    <w:adjustRightInd/>
                    <w:spacing w:before="0" w:after="0"/>
                    <w:jc w:val="center"/>
                    <w:rPr>
                      <w:rFonts w:ascii="Times New Roman" w:hAnsi="Times New Roman"/>
                      <w:color w:val="auto"/>
                      <w:sz w:val="21"/>
                      <w:szCs w:val="21"/>
                    </w:rPr>
                  </w:pPr>
                </w:p>
              </w:tc>
            </w:tr>
            <w:tr w14:paraId="28DD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82373CB">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2B1E61AF">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6E0C642B">
                  <w:pPr>
                    <w:jc w:val="center"/>
                    <w:rPr>
                      <w:color w:val="auto"/>
                    </w:rPr>
                  </w:pPr>
                  <w:r>
                    <w:rPr>
                      <w:color w:val="auto"/>
                    </w:rPr>
                    <w:t>锅炉燃气废气：热水锅炉燃气废气通过2根H32m、Φ0.4m烟囱（DA013、DA014）直接排放，蒸汽锅炉燃气废气通过1根H32m、Φ0.25m烟囱（DA015）直接排放。</w:t>
                  </w:r>
                </w:p>
              </w:tc>
              <w:tc>
                <w:tcPr>
                  <w:tcW w:w="1916" w:type="dxa"/>
                  <w:vMerge w:val="continue"/>
                  <w:vAlign w:val="center"/>
                </w:tcPr>
                <w:p w14:paraId="04E9E5A8">
                  <w:pPr>
                    <w:pStyle w:val="60"/>
                    <w:adjustRightInd/>
                    <w:spacing w:before="0" w:after="0"/>
                    <w:jc w:val="center"/>
                    <w:rPr>
                      <w:rFonts w:ascii="Times New Roman" w:hAnsi="Times New Roman"/>
                      <w:color w:val="auto"/>
                      <w:sz w:val="21"/>
                      <w:szCs w:val="21"/>
                    </w:rPr>
                  </w:pPr>
                </w:p>
              </w:tc>
            </w:tr>
            <w:tr w14:paraId="2B5A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A65D363">
                  <w:pPr>
                    <w:pStyle w:val="60"/>
                    <w:adjustRightInd/>
                    <w:spacing w:before="0" w:after="0"/>
                    <w:jc w:val="center"/>
                    <w:rPr>
                      <w:rFonts w:ascii="Times New Roman" w:hAnsi="Times New Roman"/>
                      <w:color w:val="auto"/>
                      <w:sz w:val="21"/>
                      <w:szCs w:val="21"/>
                    </w:rPr>
                  </w:pPr>
                </w:p>
              </w:tc>
              <w:tc>
                <w:tcPr>
                  <w:tcW w:w="1879" w:type="dxa"/>
                  <w:vMerge w:val="restart"/>
                  <w:vAlign w:val="center"/>
                </w:tcPr>
                <w:p w14:paraId="7EE3EE3E">
                  <w:pPr>
                    <w:pStyle w:val="60"/>
                    <w:adjustRightInd/>
                    <w:spacing w:before="0" w:after="0"/>
                    <w:jc w:val="center"/>
                    <w:rPr>
                      <w:rFonts w:ascii="Times New Roman" w:hAnsi="Times New Roman"/>
                      <w:color w:val="auto"/>
                      <w:sz w:val="21"/>
                      <w:szCs w:val="21"/>
                    </w:rPr>
                  </w:pPr>
                  <w:r>
                    <w:rPr>
                      <w:rFonts w:ascii="Times New Roman" w:hAnsi="Times New Roman"/>
                      <w:color w:val="auto"/>
                      <w:sz w:val="21"/>
                      <w:szCs w:val="21"/>
                    </w:rPr>
                    <w:t>废水处理设施</w:t>
                  </w:r>
                </w:p>
              </w:tc>
              <w:tc>
                <w:tcPr>
                  <w:tcW w:w="5053" w:type="dxa"/>
                  <w:gridSpan w:val="2"/>
                  <w:shd w:val="clear" w:color="auto" w:fill="auto"/>
                  <w:vAlign w:val="center"/>
                </w:tcPr>
                <w:p w14:paraId="67B55D67">
                  <w:pPr>
                    <w:jc w:val="center"/>
                    <w:rPr>
                      <w:color w:val="auto"/>
                    </w:rPr>
                  </w:pPr>
                  <w:r>
                    <w:rPr>
                      <w:color w:val="auto"/>
                    </w:rPr>
                    <w:t>前处理废水：经“一级化学混凝沉淀池+气浮机+二级化学混凝沉淀池”（TW001）预处理后进入混合废水处理系统（TW012）+中水回用系统（TW013），前处理废水预处理系统设计处理规模400m3/d。</w:t>
                  </w:r>
                </w:p>
              </w:tc>
              <w:tc>
                <w:tcPr>
                  <w:tcW w:w="1916" w:type="dxa"/>
                  <w:vMerge w:val="restart"/>
                  <w:vAlign w:val="center"/>
                </w:tcPr>
                <w:p w14:paraId="6807EEFA">
                  <w:pPr>
                    <w:pStyle w:val="60"/>
                    <w:adjustRightInd/>
                    <w:spacing w:before="0" w:after="0"/>
                    <w:jc w:val="center"/>
                    <w:rPr>
                      <w:rFonts w:ascii="Times New Roman" w:hAnsi="Times New Roman"/>
                      <w:color w:val="auto"/>
                      <w:sz w:val="21"/>
                      <w:szCs w:val="21"/>
                    </w:rPr>
                  </w:pPr>
                  <w:r>
                    <w:rPr>
                      <w:rFonts w:hint="eastAsia" w:ascii="Times New Roman" w:hAnsi="Times New Roman"/>
                      <w:color w:val="auto"/>
                      <w:sz w:val="21"/>
                      <w:szCs w:val="21"/>
                    </w:rPr>
                    <w:t>已建</w:t>
                  </w:r>
                </w:p>
              </w:tc>
            </w:tr>
            <w:tr w14:paraId="2505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58937F2">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626B9331">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3FCB87E8">
                  <w:pPr>
                    <w:jc w:val="center"/>
                    <w:rPr>
                      <w:color w:val="auto"/>
                    </w:rPr>
                  </w:pPr>
                  <w:r>
                    <w:rPr>
                      <w:color w:val="auto"/>
                    </w:rPr>
                    <w:t>硝酸酸洗废水：经“微滤膜系统+酸膜回收系统+中和反应池+斜管沉淀池”（TW002）预处理后，部分酸回用，剩余的进入混合废水处理系统（TW012）+中水回用系统（TW013），硝酸酸洗废水预处理系统设计处理规模220m3/d。</w:t>
                  </w:r>
                </w:p>
              </w:tc>
              <w:tc>
                <w:tcPr>
                  <w:tcW w:w="1916" w:type="dxa"/>
                  <w:vMerge w:val="continue"/>
                  <w:vAlign w:val="center"/>
                </w:tcPr>
                <w:p w14:paraId="6022D355">
                  <w:pPr>
                    <w:pStyle w:val="60"/>
                    <w:adjustRightInd/>
                    <w:spacing w:before="0" w:after="0"/>
                    <w:jc w:val="center"/>
                    <w:rPr>
                      <w:rFonts w:ascii="Times New Roman" w:hAnsi="Times New Roman"/>
                      <w:color w:val="auto"/>
                      <w:sz w:val="21"/>
                      <w:szCs w:val="21"/>
                    </w:rPr>
                  </w:pPr>
                </w:p>
              </w:tc>
            </w:tr>
            <w:tr w14:paraId="44A0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91890AA">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0C17C176">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7209FE02">
                  <w:pPr>
                    <w:jc w:val="center"/>
                    <w:rPr>
                      <w:color w:val="auto"/>
                    </w:rPr>
                  </w:pPr>
                  <w:r>
                    <w:rPr>
                      <w:color w:val="auto"/>
                    </w:rPr>
                    <w:t>含镍废水：经“一级化学混凝沉淀池+二级化学混凝沉淀池”</w:t>
                  </w:r>
                </w:p>
                <w:p w14:paraId="70421EF6">
                  <w:pPr>
                    <w:jc w:val="center"/>
                    <w:rPr>
                      <w:color w:val="auto"/>
                    </w:rPr>
                  </w:pPr>
                  <w:r>
                    <w:rPr>
                      <w:color w:val="auto"/>
                    </w:rPr>
                    <w:t>（TW003）预处理后进入混合废水处理系统（TW012）+中水回用系统（TW013），含镍废水预处理系统设计处理规模540m3/d。</w:t>
                  </w:r>
                </w:p>
              </w:tc>
              <w:tc>
                <w:tcPr>
                  <w:tcW w:w="1916" w:type="dxa"/>
                  <w:vMerge w:val="continue"/>
                  <w:vAlign w:val="center"/>
                </w:tcPr>
                <w:p w14:paraId="4F01B37D">
                  <w:pPr>
                    <w:pStyle w:val="60"/>
                    <w:adjustRightInd/>
                    <w:spacing w:before="0" w:after="0"/>
                    <w:jc w:val="center"/>
                    <w:rPr>
                      <w:rFonts w:ascii="Times New Roman" w:hAnsi="Times New Roman"/>
                      <w:color w:val="auto"/>
                      <w:sz w:val="21"/>
                      <w:szCs w:val="21"/>
                    </w:rPr>
                  </w:pPr>
                </w:p>
              </w:tc>
            </w:tr>
            <w:tr w14:paraId="131B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2839BF6">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097D6F62">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7FDD2652">
                  <w:pPr>
                    <w:jc w:val="center"/>
                    <w:rPr>
                      <w:color w:val="auto"/>
                    </w:rPr>
                  </w:pPr>
                  <w:r>
                    <w:rPr>
                      <w:color w:val="auto"/>
                    </w:rPr>
                    <w:t>含铜废水：经“电催化氧化反应器+一级化学混凝沉淀池+二级化学混凝沉淀池”（TW004）预处理后进入混合废水处理系统</w:t>
                  </w:r>
                </w:p>
                <w:p w14:paraId="3D2C6C9F">
                  <w:pPr>
                    <w:jc w:val="center"/>
                    <w:rPr>
                      <w:color w:val="auto"/>
                    </w:rPr>
                  </w:pPr>
                  <w:r>
                    <w:rPr>
                      <w:color w:val="auto"/>
                    </w:rPr>
                    <w:t>（TW012）+中水回用系统（TW013），含铜废水预处理系统设计处理规模300m3/d。</w:t>
                  </w:r>
                </w:p>
              </w:tc>
              <w:tc>
                <w:tcPr>
                  <w:tcW w:w="1916" w:type="dxa"/>
                  <w:vMerge w:val="continue"/>
                  <w:vAlign w:val="center"/>
                </w:tcPr>
                <w:p w14:paraId="6B347151">
                  <w:pPr>
                    <w:pStyle w:val="60"/>
                    <w:adjustRightInd/>
                    <w:spacing w:before="0" w:after="0"/>
                    <w:jc w:val="center"/>
                    <w:rPr>
                      <w:rFonts w:ascii="Times New Roman" w:hAnsi="Times New Roman"/>
                      <w:color w:val="auto"/>
                      <w:sz w:val="21"/>
                      <w:szCs w:val="21"/>
                    </w:rPr>
                  </w:pPr>
                </w:p>
              </w:tc>
            </w:tr>
            <w:tr w14:paraId="06F6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33530EB8">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4BB921C7">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3530EDEC">
                  <w:pPr>
                    <w:jc w:val="center"/>
                    <w:rPr>
                      <w:color w:val="auto"/>
                    </w:rPr>
                  </w:pPr>
                  <w:r>
                    <w:rPr>
                      <w:color w:val="auto"/>
                    </w:rPr>
                    <w:t>化学镀镍废水：经“均相除磷反应池+一级化学混凝沉淀池+电催化氧化反应器+二级化学混凝沉淀池”（TW005）预处理后进入含镍废水预处理系统（TW003），化学镀镍废水预处理系统设计处理规模100m3/d。</w:t>
                  </w:r>
                </w:p>
              </w:tc>
              <w:tc>
                <w:tcPr>
                  <w:tcW w:w="1916" w:type="dxa"/>
                  <w:vMerge w:val="continue"/>
                  <w:vAlign w:val="center"/>
                </w:tcPr>
                <w:p w14:paraId="208A690D">
                  <w:pPr>
                    <w:pStyle w:val="60"/>
                    <w:adjustRightInd/>
                    <w:spacing w:before="0" w:after="0"/>
                    <w:jc w:val="center"/>
                    <w:rPr>
                      <w:rFonts w:ascii="Times New Roman" w:hAnsi="Times New Roman"/>
                      <w:color w:val="auto"/>
                      <w:sz w:val="21"/>
                      <w:szCs w:val="21"/>
                    </w:rPr>
                  </w:pPr>
                </w:p>
              </w:tc>
            </w:tr>
            <w:tr w14:paraId="3FC6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2B7939A4">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4959790E">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7DF5E36">
                  <w:pPr>
                    <w:jc w:val="center"/>
                    <w:rPr>
                      <w:color w:val="auto"/>
                    </w:rPr>
                  </w:pPr>
                  <w:r>
                    <w:rPr>
                      <w:color w:val="auto"/>
                    </w:rPr>
                    <w:t>含锌废水：经“一级化学混凝沉淀池+二级化学混凝沉淀池”</w:t>
                  </w:r>
                </w:p>
                <w:p w14:paraId="1F89E8BC">
                  <w:pPr>
                    <w:jc w:val="center"/>
                    <w:rPr>
                      <w:color w:val="auto"/>
                    </w:rPr>
                  </w:pPr>
                  <w:r>
                    <w:rPr>
                      <w:color w:val="auto"/>
                    </w:rPr>
                    <w:t>（TW006）预处理后进入混合废水处理系统（TW012）+中水回用系统（TW013），含锌废水预处理系统设计处理规模100m3/d。</w:t>
                  </w:r>
                </w:p>
              </w:tc>
              <w:tc>
                <w:tcPr>
                  <w:tcW w:w="1916" w:type="dxa"/>
                  <w:vMerge w:val="continue"/>
                  <w:vAlign w:val="center"/>
                </w:tcPr>
                <w:p w14:paraId="2D6E6BA4">
                  <w:pPr>
                    <w:pStyle w:val="60"/>
                    <w:adjustRightInd/>
                    <w:spacing w:before="0" w:after="0"/>
                    <w:jc w:val="center"/>
                    <w:rPr>
                      <w:rFonts w:ascii="Times New Roman" w:hAnsi="Times New Roman"/>
                      <w:color w:val="auto"/>
                      <w:sz w:val="21"/>
                      <w:szCs w:val="21"/>
                    </w:rPr>
                  </w:pPr>
                </w:p>
              </w:tc>
            </w:tr>
            <w:tr w14:paraId="24BE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31820AF2">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130D1DDF">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21FD8D70">
                  <w:pPr>
                    <w:jc w:val="center"/>
                    <w:rPr>
                      <w:color w:val="auto"/>
                    </w:rPr>
                  </w:pPr>
                  <w:r>
                    <w:rPr>
                      <w:color w:val="auto"/>
                    </w:rPr>
                    <w:t>含铬废水：经“一级化学混凝沉淀池+二级化学混凝沉淀池”</w:t>
                  </w:r>
                </w:p>
                <w:p w14:paraId="19B67668">
                  <w:pPr>
                    <w:jc w:val="center"/>
                    <w:rPr>
                      <w:color w:val="auto"/>
                    </w:rPr>
                  </w:pPr>
                  <w:r>
                    <w:rPr>
                      <w:color w:val="auto"/>
                    </w:rPr>
                    <w:t>（TW007）预处理后进入混合废水处理系统（TW012）+中水回用系统（TW013），含铬废水预处理系统设计处理规模120m3/d。</w:t>
                  </w:r>
                </w:p>
              </w:tc>
              <w:tc>
                <w:tcPr>
                  <w:tcW w:w="1916" w:type="dxa"/>
                  <w:vMerge w:val="continue"/>
                  <w:vAlign w:val="center"/>
                </w:tcPr>
                <w:p w14:paraId="1EA299E2">
                  <w:pPr>
                    <w:pStyle w:val="60"/>
                    <w:adjustRightInd/>
                    <w:spacing w:before="0" w:after="0"/>
                    <w:jc w:val="center"/>
                    <w:rPr>
                      <w:rFonts w:ascii="Times New Roman" w:hAnsi="Times New Roman"/>
                      <w:color w:val="auto"/>
                      <w:sz w:val="21"/>
                      <w:szCs w:val="21"/>
                    </w:rPr>
                  </w:pPr>
                </w:p>
              </w:tc>
            </w:tr>
            <w:tr w14:paraId="0399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3A5306B5">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43EDF1D7">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FF33784">
                  <w:pPr>
                    <w:jc w:val="center"/>
                    <w:rPr>
                      <w:color w:val="auto"/>
                    </w:rPr>
                  </w:pPr>
                  <w:r>
                    <w:rPr>
                      <w:color w:val="auto"/>
                    </w:rPr>
                    <w:t>磷化废水：经“一级除磷反应池+一级化学混凝沉淀池+二级除磷反应池+二级化学混凝沉淀池”（TW008）预处理后进入混合废水处理系统+中水回用系统，磷化废水预处理系统设计处理规模240m3/d。</w:t>
                  </w:r>
                </w:p>
              </w:tc>
              <w:tc>
                <w:tcPr>
                  <w:tcW w:w="1916" w:type="dxa"/>
                  <w:vMerge w:val="continue"/>
                  <w:vAlign w:val="center"/>
                </w:tcPr>
                <w:p w14:paraId="0D293ACF">
                  <w:pPr>
                    <w:pStyle w:val="60"/>
                    <w:adjustRightInd/>
                    <w:spacing w:before="0" w:after="0"/>
                    <w:jc w:val="center"/>
                    <w:rPr>
                      <w:rFonts w:ascii="Times New Roman" w:hAnsi="Times New Roman"/>
                      <w:color w:val="auto"/>
                      <w:sz w:val="21"/>
                      <w:szCs w:val="21"/>
                    </w:rPr>
                  </w:pPr>
                </w:p>
              </w:tc>
            </w:tr>
            <w:tr w14:paraId="1988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4AF5BAA">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3E906D40">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69C0A4D">
                  <w:pPr>
                    <w:jc w:val="center"/>
                    <w:rPr>
                      <w:color w:val="auto"/>
                    </w:rPr>
                  </w:pPr>
                  <w:r>
                    <w:rPr>
                      <w:color w:val="auto"/>
                    </w:rPr>
                    <w:t>电泳废水：经“一级混凝沉淀池”（TW009）预处理后进入混合废水处理系统（TW012）+中水回用系统（TW013），电泳废水预处理系统设计处理规模360m3/d。</w:t>
                  </w:r>
                </w:p>
              </w:tc>
              <w:tc>
                <w:tcPr>
                  <w:tcW w:w="1916" w:type="dxa"/>
                  <w:vMerge w:val="continue"/>
                  <w:vAlign w:val="center"/>
                </w:tcPr>
                <w:p w14:paraId="5FB56BFD">
                  <w:pPr>
                    <w:pStyle w:val="60"/>
                    <w:adjustRightInd/>
                    <w:spacing w:before="0" w:after="0"/>
                    <w:jc w:val="center"/>
                    <w:rPr>
                      <w:rFonts w:ascii="Times New Roman" w:hAnsi="Times New Roman"/>
                      <w:color w:val="auto"/>
                      <w:sz w:val="21"/>
                      <w:szCs w:val="21"/>
                    </w:rPr>
                  </w:pPr>
                </w:p>
              </w:tc>
            </w:tr>
            <w:tr w14:paraId="71FF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4477517">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173C2531">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08CE852A">
                  <w:pPr>
                    <w:jc w:val="center"/>
                    <w:rPr>
                      <w:color w:val="auto"/>
                    </w:rPr>
                  </w:pPr>
                  <w:r>
                    <w:rPr>
                      <w:color w:val="auto"/>
                    </w:rPr>
                    <w:t>含锡废水：经“一级化学混凝沉淀池+二级化学混凝沉淀池”</w:t>
                  </w:r>
                </w:p>
                <w:p w14:paraId="7084531C">
                  <w:pPr>
                    <w:jc w:val="center"/>
                    <w:rPr>
                      <w:color w:val="auto"/>
                    </w:rPr>
                  </w:pPr>
                  <w:r>
                    <w:rPr>
                      <w:color w:val="auto"/>
                    </w:rPr>
                    <w:t>（TW010）预处理后进入混合废水处理系统（TW012）+中水回用系统（TW013），含锡废水预处理系统设计处理规模30m3/d。</w:t>
                  </w:r>
                </w:p>
              </w:tc>
              <w:tc>
                <w:tcPr>
                  <w:tcW w:w="1916" w:type="dxa"/>
                  <w:vMerge w:val="continue"/>
                  <w:vAlign w:val="center"/>
                </w:tcPr>
                <w:p w14:paraId="01A49918">
                  <w:pPr>
                    <w:pStyle w:val="60"/>
                    <w:adjustRightInd/>
                    <w:spacing w:before="0" w:after="0"/>
                    <w:jc w:val="center"/>
                    <w:rPr>
                      <w:rFonts w:ascii="Times New Roman" w:hAnsi="Times New Roman"/>
                      <w:color w:val="auto"/>
                      <w:sz w:val="21"/>
                      <w:szCs w:val="21"/>
                    </w:rPr>
                  </w:pPr>
                </w:p>
              </w:tc>
            </w:tr>
            <w:tr w14:paraId="7ACF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14C2ABB">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57F36666">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1139C79C">
                  <w:pPr>
                    <w:jc w:val="center"/>
                    <w:rPr>
                      <w:color w:val="auto"/>
                    </w:rPr>
                  </w:pPr>
                  <w:r>
                    <w:rPr>
                      <w:color w:val="auto"/>
                    </w:rPr>
                    <w:t>倒角废水：经“一级混凝沉淀池”（TW011）预处理后进入混合废水处理系统（TW012）+中水回用系统（TW013），倒角废水预处理系统设计处理规模300m3/d。</w:t>
                  </w:r>
                </w:p>
              </w:tc>
              <w:tc>
                <w:tcPr>
                  <w:tcW w:w="1916" w:type="dxa"/>
                  <w:vMerge w:val="continue"/>
                  <w:vAlign w:val="center"/>
                </w:tcPr>
                <w:p w14:paraId="6C3AA25D">
                  <w:pPr>
                    <w:pStyle w:val="60"/>
                    <w:adjustRightInd/>
                    <w:spacing w:before="0" w:after="0"/>
                    <w:jc w:val="center"/>
                    <w:rPr>
                      <w:rFonts w:ascii="Times New Roman" w:hAnsi="Times New Roman"/>
                      <w:color w:val="auto"/>
                      <w:sz w:val="21"/>
                      <w:szCs w:val="21"/>
                    </w:rPr>
                  </w:pPr>
                </w:p>
              </w:tc>
            </w:tr>
            <w:tr w14:paraId="2DB8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C572633">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662D8D0C">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7CDA84D2">
                  <w:pPr>
                    <w:jc w:val="center"/>
                    <w:rPr>
                      <w:color w:val="auto"/>
                    </w:rPr>
                  </w:pPr>
                  <w:r>
                    <w:rPr>
                      <w:color w:val="auto"/>
                    </w:rPr>
                    <w:t>地面清洗废水、废气喷淋塔定排废水、水帘柜废水：进入混合废水处理系统（TW012）+中水回用系统（TW013）。</w:t>
                  </w:r>
                </w:p>
              </w:tc>
              <w:tc>
                <w:tcPr>
                  <w:tcW w:w="1916" w:type="dxa"/>
                  <w:vMerge w:val="continue"/>
                  <w:vAlign w:val="center"/>
                </w:tcPr>
                <w:p w14:paraId="64FD2C41">
                  <w:pPr>
                    <w:pStyle w:val="60"/>
                    <w:adjustRightInd/>
                    <w:spacing w:before="0" w:after="0"/>
                    <w:jc w:val="center"/>
                    <w:rPr>
                      <w:rFonts w:ascii="Times New Roman" w:hAnsi="Times New Roman"/>
                      <w:color w:val="auto"/>
                      <w:sz w:val="21"/>
                      <w:szCs w:val="21"/>
                    </w:rPr>
                  </w:pPr>
                </w:p>
              </w:tc>
            </w:tr>
            <w:tr w14:paraId="1F61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0491FE3">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311E4E4B">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78254599">
                  <w:pPr>
                    <w:jc w:val="center"/>
                    <w:rPr>
                      <w:color w:val="auto"/>
                    </w:rPr>
                  </w:pPr>
                  <w:r>
                    <w:rPr>
                      <w:color w:val="auto"/>
                    </w:rPr>
                    <w:t>生活污水：经化粪池预处理后进入混合废水处理系统（TW012）+中水回用系统（TW013），化粪池设计处理规模100m3/d。</w:t>
                  </w:r>
                </w:p>
              </w:tc>
              <w:tc>
                <w:tcPr>
                  <w:tcW w:w="1916" w:type="dxa"/>
                  <w:vMerge w:val="continue"/>
                  <w:vAlign w:val="center"/>
                </w:tcPr>
                <w:p w14:paraId="7C67C3C1">
                  <w:pPr>
                    <w:pStyle w:val="60"/>
                    <w:adjustRightInd/>
                    <w:spacing w:before="0" w:after="0"/>
                    <w:jc w:val="center"/>
                    <w:rPr>
                      <w:rFonts w:ascii="Times New Roman" w:hAnsi="Times New Roman"/>
                      <w:color w:val="auto"/>
                      <w:sz w:val="21"/>
                      <w:szCs w:val="21"/>
                    </w:rPr>
                  </w:pPr>
                </w:p>
              </w:tc>
            </w:tr>
            <w:tr w14:paraId="08E2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36C9174">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29FE0B63">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7CBD5DF3">
                  <w:pPr>
                    <w:jc w:val="center"/>
                    <w:rPr>
                      <w:color w:val="auto"/>
                    </w:rPr>
                  </w:pPr>
                  <w:r>
                    <w:rPr>
                      <w:color w:val="auto"/>
                    </w:rPr>
                    <w:t>混合废水处理系统：化学混凝沉淀池+厌氧池+缺氧池+好氧池+二沉池+混凝沉淀池，设计处理规模3000m3/d。</w:t>
                  </w:r>
                </w:p>
              </w:tc>
              <w:tc>
                <w:tcPr>
                  <w:tcW w:w="1916" w:type="dxa"/>
                  <w:vMerge w:val="continue"/>
                  <w:vAlign w:val="center"/>
                </w:tcPr>
                <w:p w14:paraId="45800E44">
                  <w:pPr>
                    <w:pStyle w:val="60"/>
                    <w:adjustRightInd/>
                    <w:spacing w:before="0" w:after="0"/>
                    <w:jc w:val="center"/>
                    <w:rPr>
                      <w:rFonts w:ascii="Times New Roman" w:hAnsi="Times New Roman"/>
                      <w:color w:val="auto"/>
                      <w:sz w:val="21"/>
                      <w:szCs w:val="21"/>
                    </w:rPr>
                  </w:pPr>
                </w:p>
              </w:tc>
            </w:tr>
            <w:tr w14:paraId="12FE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BF0D697">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31E3C02B">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1AA21E62">
                  <w:pPr>
                    <w:jc w:val="center"/>
                    <w:rPr>
                      <w:color w:val="auto"/>
                    </w:rPr>
                  </w:pPr>
                  <w:r>
                    <w:rPr>
                      <w:color w:val="auto"/>
                    </w:rPr>
                    <w:t>中水回用系统：多介质过滤器+超滤系统+反渗透系统+混凝沉淀池，产水回用，浓水外排，设计处理规模3000m3/d。</w:t>
                  </w:r>
                </w:p>
              </w:tc>
              <w:tc>
                <w:tcPr>
                  <w:tcW w:w="1916" w:type="dxa"/>
                  <w:vMerge w:val="continue"/>
                  <w:vAlign w:val="center"/>
                </w:tcPr>
                <w:p w14:paraId="20DC2D83">
                  <w:pPr>
                    <w:pStyle w:val="60"/>
                    <w:adjustRightInd/>
                    <w:spacing w:before="0" w:after="0"/>
                    <w:jc w:val="center"/>
                    <w:rPr>
                      <w:rFonts w:ascii="Times New Roman" w:hAnsi="Times New Roman"/>
                      <w:color w:val="auto"/>
                      <w:sz w:val="21"/>
                      <w:szCs w:val="21"/>
                    </w:rPr>
                  </w:pPr>
                </w:p>
              </w:tc>
            </w:tr>
            <w:tr w14:paraId="7AAF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2E3418F">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786C3F1E">
                  <w:pPr>
                    <w:pStyle w:val="60"/>
                    <w:adjustRightInd/>
                    <w:spacing w:before="0" w:after="0"/>
                    <w:jc w:val="center"/>
                    <w:rPr>
                      <w:rFonts w:ascii="Times New Roman" w:hAnsi="Times New Roman"/>
                      <w:color w:val="auto"/>
                      <w:sz w:val="21"/>
                      <w:szCs w:val="21"/>
                    </w:rPr>
                  </w:pPr>
                </w:p>
              </w:tc>
              <w:tc>
                <w:tcPr>
                  <w:tcW w:w="5053" w:type="dxa"/>
                  <w:gridSpan w:val="2"/>
                  <w:shd w:val="clear" w:color="auto" w:fill="auto"/>
                  <w:vAlign w:val="center"/>
                </w:tcPr>
                <w:p w14:paraId="517FDF4B">
                  <w:pPr>
                    <w:jc w:val="center"/>
                    <w:rPr>
                      <w:color w:val="auto"/>
                    </w:rPr>
                  </w:pPr>
                  <w:r>
                    <w:rPr>
                      <w:color w:val="auto"/>
                    </w:rPr>
                    <w:t>蒸汽锅炉定排水、热水锅炉定排水、纯水制备浓水：通过厂区排水池直接排放。</w:t>
                  </w:r>
                </w:p>
              </w:tc>
              <w:tc>
                <w:tcPr>
                  <w:tcW w:w="1916" w:type="dxa"/>
                  <w:vMerge w:val="continue"/>
                  <w:vAlign w:val="center"/>
                </w:tcPr>
                <w:p w14:paraId="266B0791">
                  <w:pPr>
                    <w:pStyle w:val="60"/>
                    <w:adjustRightInd/>
                    <w:spacing w:before="0" w:after="0"/>
                    <w:jc w:val="center"/>
                    <w:rPr>
                      <w:rFonts w:ascii="Times New Roman" w:hAnsi="Times New Roman"/>
                      <w:color w:val="auto"/>
                      <w:sz w:val="21"/>
                      <w:szCs w:val="21"/>
                    </w:rPr>
                  </w:pPr>
                </w:p>
              </w:tc>
            </w:tr>
            <w:tr w14:paraId="404A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3C2C676">
                  <w:pPr>
                    <w:pStyle w:val="60"/>
                    <w:adjustRightInd/>
                    <w:spacing w:before="0" w:after="0"/>
                    <w:jc w:val="center"/>
                    <w:rPr>
                      <w:rFonts w:ascii="Times New Roman" w:hAnsi="Times New Roman"/>
                      <w:color w:val="auto"/>
                      <w:sz w:val="21"/>
                      <w:szCs w:val="21"/>
                    </w:rPr>
                  </w:pPr>
                </w:p>
              </w:tc>
              <w:tc>
                <w:tcPr>
                  <w:tcW w:w="1879" w:type="dxa"/>
                  <w:vMerge w:val="restart"/>
                  <w:shd w:val="clear" w:color="auto" w:fill="auto"/>
                  <w:vAlign w:val="center"/>
                </w:tcPr>
                <w:p w14:paraId="1A9689E0">
                  <w:pPr>
                    <w:jc w:val="center"/>
                    <w:rPr>
                      <w:color w:val="auto"/>
                    </w:rPr>
                  </w:pPr>
                  <w:r>
                    <w:rPr>
                      <w:color w:val="auto"/>
                    </w:rPr>
                    <w:t>固废暂存设施</w:t>
                  </w:r>
                </w:p>
              </w:tc>
              <w:tc>
                <w:tcPr>
                  <w:tcW w:w="5053" w:type="dxa"/>
                  <w:gridSpan w:val="2"/>
                  <w:shd w:val="clear" w:color="auto" w:fill="auto"/>
                  <w:vAlign w:val="center"/>
                </w:tcPr>
                <w:p w14:paraId="3E3F93CC">
                  <w:pPr>
                    <w:jc w:val="center"/>
                    <w:rPr>
                      <w:color w:val="auto"/>
                    </w:rPr>
                  </w:pPr>
                  <w:r>
                    <w:rPr>
                      <w:color w:val="auto"/>
                    </w:rPr>
                    <w:t>危险废物：在仓库划定</w:t>
                  </w:r>
                  <w:r>
                    <w:rPr>
                      <w:rFonts w:hint="eastAsia"/>
                      <w:color w:val="auto"/>
                    </w:rPr>
                    <w:t>分隔</w:t>
                  </w:r>
                  <w:r>
                    <w:rPr>
                      <w:color w:val="auto"/>
                    </w:rPr>
                    <w:t>间，设置一处占地面积340m</w:t>
                  </w:r>
                  <w:r>
                    <w:rPr>
                      <w:color w:val="auto"/>
                      <w:vertAlign w:val="superscript"/>
                    </w:rPr>
                    <w:t>2</w:t>
                  </w:r>
                  <w:r>
                    <w:rPr>
                      <w:color w:val="auto"/>
                    </w:rPr>
                    <w:t>危废存间。</w:t>
                  </w:r>
                </w:p>
              </w:tc>
              <w:tc>
                <w:tcPr>
                  <w:tcW w:w="1916" w:type="dxa"/>
                  <w:shd w:val="clear" w:color="auto" w:fill="auto"/>
                  <w:vAlign w:val="center"/>
                </w:tcPr>
                <w:p w14:paraId="661BB11F">
                  <w:pPr>
                    <w:jc w:val="center"/>
                    <w:rPr>
                      <w:color w:val="auto"/>
                    </w:rPr>
                  </w:pPr>
                  <w:r>
                    <w:rPr>
                      <w:rFonts w:hint="eastAsia"/>
                      <w:color w:val="auto"/>
                    </w:rPr>
                    <w:t>已建</w:t>
                  </w:r>
                </w:p>
              </w:tc>
            </w:tr>
            <w:tr w14:paraId="54EB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CAD8B05">
                  <w:pPr>
                    <w:pStyle w:val="60"/>
                    <w:adjustRightInd/>
                    <w:spacing w:before="0" w:after="0"/>
                    <w:jc w:val="center"/>
                    <w:rPr>
                      <w:rFonts w:ascii="Times New Roman" w:hAnsi="Times New Roman"/>
                      <w:color w:val="auto"/>
                      <w:sz w:val="21"/>
                      <w:szCs w:val="21"/>
                    </w:rPr>
                  </w:pPr>
                </w:p>
              </w:tc>
              <w:tc>
                <w:tcPr>
                  <w:tcW w:w="1879" w:type="dxa"/>
                  <w:vMerge w:val="continue"/>
                  <w:vAlign w:val="center"/>
                </w:tcPr>
                <w:p w14:paraId="5041562E">
                  <w:pPr>
                    <w:jc w:val="center"/>
                    <w:rPr>
                      <w:color w:val="auto"/>
                    </w:rPr>
                  </w:pPr>
                </w:p>
              </w:tc>
              <w:tc>
                <w:tcPr>
                  <w:tcW w:w="5053" w:type="dxa"/>
                  <w:gridSpan w:val="2"/>
                  <w:shd w:val="clear" w:color="auto" w:fill="auto"/>
                  <w:vAlign w:val="center"/>
                </w:tcPr>
                <w:p w14:paraId="4B485533">
                  <w:pPr>
                    <w:jc w:val="center"/>
                    <w:rPr>
                      <w:color w:val="auto"/>
                    </w:rPr>
                  </w:pPr>
                  <w:r>
                    <w:rPr>
                      <w:color w:val="auto"/>
                    </w:rPr>
                    <w:t>一般工业固废：在厂区东北角设置一处占地面积120m</w:t>
                  </w:r>
                  <w:r>
                    <w:rPr>
                      <w:color w:val="auto"/>
                      <w:vertAlign w:val="superscript"/>
                    </w:rPr>
                    <w:t>2</w:t>
                  </w:r>
                  <w:r>
                    <w:rPr>
                      <w:color w:val="auto"/>
                    </w:rPr>
                    <w:t>一般工业固废暂存间。</w:t>
                  </w:r>
                </w:p>
              </w:tc>
              <w:tc>
                <w:tcPr>
                  <w:tcW w:w="1916" w:type="dxa"/>
                  <w:shd w:val="clear" w:color="auto" w:fill="auto"/>
                  <w:vAlign w:val="center"/>
                </w:tcPr>
                <w:p w14:paraId="38941309">
                  <w:pPr>
                    <w:jc w:val="center"/>
                    <w:rPr>
                      <w:color w:val="auto"/>
                    </w:rPr>
                  </w:pPr>
                  <w:r>
                    <w:rPr>
                      <w:rFonts w:hint="eastAsia"/>
                      <w:color w:val="auto"/>
                    </w:rPr>
                    <w:t>已建</w:t>
                  </w:r>
                </w:p>
              </w:tc>
            </w:tr>
            <w:tr w14:paraId="34D8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05213DE">
                  <w:pPr>
                    <w:pStyle w:val="60"/>
                    <w:adjustRightInd/>
                    <w:spacing w:before="0" w:after="0"/>
                    <w:jc w:val="center"/>
                    <w:rPr>
                      <w:rFonts w:ascii="Times New Roman" w:hAnsi="Times New Roman"/>
                      <w:color w:val="auto"/>
                      <w:sz w:val="21"/>
                      <w:szCs w:val="21"/>
                    </w:rPr>
                  </w:pPr>
                </w:p>
              </w:tc>
              <w:tc>
                <w:tcPr>
                  <w:tcW w:w="1894" w:type="dxa"/>
                  <w:shd w:val="clear" w:color="auto" w:fill="auto"/>
                  <w:vAlign w:val="center"/>
                </w:tcPr>
                <w:p w14:paraId="621723A4">
                  <w:pPr>
                    <w:jc w:val="center"/>
                    <w:rPr>
                      <w:color w:val="auto"/>
                    </w:rPr>
                  </w:pPr>
                  <w:r>
                    <w:rPr>
                      <w:color w:val="auto"/>
                    </w:rPr>
                    <w:t>环境风险防范设施</w:t>
                  </w:r>
                </w:p>
              </w:tc>
              <w:tc>
                <w:tcPr>
                  <w:tcW w:w="5053" w:type="dxa"/>
                  <w:gridSpan w:val="2"/>
                  <w:shd w:val="clear" w:color="auto" w:fill="auto"/>
                  <w:vAlign w:val="center"/>
                </w:tcPr>
                <w:p w14:paraId="5794485A">
                  <w:pPr>
                    <w:jc w:val="center"/>
                    <w:rPr>
                      <w:color w:val="auto"/>
                    </w:rPr>
                  </w:pPr>
                  <w:r>
                    <w:rPr>
                      <w:color w:val="auto"/>
                    </w:rPr>
                    <w:t>仓库设防渗导流沟和收集池，连接厂区事故水池及污水处理系统，原辅料分类分区存放，库房内配备干燥砂土、石灰等应急物资，安装火灾报警仪和视频监控设施；电镀线离地架空建设，每条电镀线下均设置托盘，设置备用镀槽；在各涉含镍废水的电镀车间内设置1个有效容积3m</w:t>
                  </w:r>
                  <w:r>
                    <w:rPr>
                      <w:color w:val="auto"/>
                      <w:vertAlign w:val="superscript"/>
                    </w:rPr>
                    <w:t>3</w:t>
                  </w:r>
                  <w:r>
                    <w:rPr>
                      <w:color w:val="auto"/>
                    </w:rPr>
                    <w:t>含镍废水车间事故池，在各涉含铬废水的电镀车间内设置1个有效容积1m</w:t>
                  </w:r>
                  <w:r>
                    <w:rPr>
                      <w:color w:val="auto"/>
                      <w:vertAlign w:val="superscript"/>
                    </w:rPr>
                    <w:t>3</w:t>
                  </w:r>
                  <w:r>
                    <w:rPr>
                      <w:color w:val="auto"/>
                    </w:rPr>
                    <w:t>含铬废水车间事故池；厂区内设置一个1600m</w:t>
                  </w:r>
                  <w:r>
                    <w:rPr>
                      <w:color w:val="auto"/>
                      <w:vertAlign w:val="superscript"/>
                    </w:rPr>
                    <w:t>3</w:t>
                  </w:r>
                  <w:r>
                    <w:rPr>
                      <w:color w:val="auto"/>
                    </w:rPr>
                    <w:t>厂区事故池（兼作消防废水收集池）和一个600m</w:t>
                  </w:r>
                  <w:r>
                    <w:rPr>
                      <w:color w:val="auto"/>
                      <w:vertAlign w:val="superscript"/>
                    </w:rPr>
                    <w:t>3</w:t>
                  </w:r>
                  <w:r>
                    <w:rPr>
                      <w:color w:val="auto"/>
                    </w:rPr>
                    <w:t>初期雨水收集池；锅炉装置区设天然气气体报警系统。</w:t>
                  </w:r>
                </w:p>
              </w:tc>
              <w:tc>
                <w:tcPr>
                  <w:tcW w:w="1916" w:type="dxa"/>
                  <w:shd w:val="clear" w:color="auto" w:fill="auto"/>
                  <w:vAlign w:val="center"/>
                </w:tcPr>
                <w:p w14:paraId="3D8C14AA">
                  <w:pPr>
                    <w:jc w:val="center"/>
                    <w:rPr>
                      <w:color w:val="auto"/>
                    </w:rPr>
                  </w:pPr>
                  <w:r>
                    <w:rPr>
                      <w:rFonts w:hint="eastAsia"/>
                      <w:color w:val="auto"/>
                    </w:rPr>
                    <w:t>已建</w:t>
                  </w:r>
                </w:p>
              </w:tc>
            </w:tr>
          </w:tbl>
          <w:p w14:paraId="2473A05D">
            <w:pPr>
              <w:pStyle w:val="60"/>
              <w:adjustRightInd/>
              <w:spacing w:before="0" w:after="0" w:line="360" w:lineRule="auto"/>
              <w:ind w:firstLine="482" w:firstLineChars="200"/>
              <w:jc w:val="left"/>
              <w:rPr>
                <w:rFonts w:hint="default" w:ascii="Times New Roman" w:hAnsi="Times New Roman"/>
                <w:b/>
                <w:bCs/>
                <w:color w:val="auto"/>
                <w:lang w:val="en-US" w:eastAsia="zh-CN"/>
              </w:rPr>
            </w:pPr>
            <w:r>
              <w:rPr>
                <w:rFonts w:hint="eastAsia" w:ascii="Times New Roman" w:hAnsi="Times New Roman"/>
                <w:b/>
                <w:bCs/>
                <w:color w:val="auto"/>
                <w:lang w:val="en-US" w:eastAsia="zh-CN"/>
              </w:rPr>
              <w:t>四、现有工程原辅材料消耗情况</w:t>
            </w:r>
          </w:p>
          <w:p w14:paraId="4F077987">
            <w:pPr>
              <w:spacing w:before="78" w:line="220" w:lineRule="auto"/>
              <w:ind w:left="2692"/>
              <w:rPr>
                <w:rFonts w:ascii="Times New Roman" w:hAnsi="Times New Roman" w:eastAsia="宋体" w:cs="黑体"/>
                <w:b/>
                <w:bCs/>
                <w:color w:val="auto"/>
                <w:sz w:val="24"/>
                <w:szCs w:val="24"/>
              </w:rPr>
            </w:pPr>
            <w:r>
              <w:rPr>
                <w:rFonts w:ascii="Times New Roman" w:hAnsi="Times New Roman" w:eastAsia="宋体" w:cs="黑体"/>
                <w:b/>
                <w:bCs/>
                <w:color w:val="auto"/>
                <w:spacing w:val="-2"/>
                <w:sz w:val="24"/>
                <w:szCs w:val="24"/>
              </w:rPr>
              <w:t>表</w:t>
            </w:r>
            <w:r>
              <w:rPr>
                <w:rFonts w:hint="eastAsia" w:ascii="Times New Roman" w:hAnsi="Times New Roman" w:eastAsia="宋体" w:cs="Times New Roman"/>
                <w:b/>
                <w:bCs/>
                <w:color w:val="auto"/>
                <w:spacing w:val="-2"/>
                <w:sz w:val="24"/>
                <w:szCs w:val="24"/>
                <w:lang w:val="en-US" w:eastAsia="zh-CN"/>
              </w:rPr>
              <w:t>2-13</w:t>
            </w:r>
            <w:r>
              <w:rPr>
                <w:rFonts w:ascii="Times New Roman" w:hAnsi="Times New Roman" w:eastAsia="宋体" w:cs="黑体"/>
                <w:b/>
                <w:bCs/>
                <w:color w:val="auto"/>
                <w:spacing w:val="-2"/>
                <w:sz w:val="24"/>
                <w:szCs w:val="24"/>
              </w:rPr>
              <w:t>原辅材料消耗一览表</w:t>
            </w:r>
          </w:p>
          <w:tbl>
            <w:tblPr>
              <w:tblStyle w:val="7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444"/>
              <w:gridCol w:w="2732"/>
              <w:gridCol w:w="1111"/>
              <w:gridCol w:w="1256"/>
              <w:gridCol w:w="1252"/>
              <w:gridCol w:w="1502"/>
            </w:tblGrid>
            <w:tr w14:paraId="357E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2" w:hRule="atLeast"/>
              </w:trPr>
              <w:tc>
                <w:tcPr>
                  <w:tcW w:w="776" w:type="pct"/>
                  <w:shd w:val="clear" w:color="auto" w:fill="auto"/>
                  <w:vAlign w:val="top"/>
                </w:tcPr>
                <w:p w14:paraId="2EB64492">
                  <w:pPr>
                    <w:pStyle w:val="97"/>
                    <w:spacing w:before="213" w:line="223" w:lineRule="auto"/>
                    <w:ind w:left="461"/>
                    <w:rPr>
                      <w:rFonts w:ascii="Times New Roman" w:hAnsi="Times New Roman" w:eastAsia="宋体"/>
                      <w:b/>
                      <w:bCs/>
                      <w:color w:val="auto"/>
                      <w:sz w:val="21"/>
                      <w:szCs w:val="21"/>
                    </w:rPr>
                  </w:pPr>
                  <w:r>
                    <w:rPr>
                      <w:rFonts w:ascii="Times New Roman" w:hAnsi="Times New Roman" w:eastAsia="宋体"/>
                      <w:b/>
                      <w:bCs/>
                      <w:color w:val="auto"/>
                      <w:spacing w:val="-3"/>
                      <w:sz w:val="21"/>
                      <w:szCs w:val="21"/>
                    </w:rPr>
                    <w:t>名称</w:t>
                  </w:r>
                </w:p>
              </w:tc>
              <w:tc>
                <w:tcPr>
                  <w:tcW w:w="1468" w:type="pct"/>
                  <w:shd w:val="clear" w:color="auto" w:fill="auto"/>
                  <w:vAlign w:val="top"/>
                </w:tcPr>
                <w:p w14:paraId="0CFFFE39">
                  <w:pPr>
                    <w:pStyle w:val="97"/>
                    <w:spacing w:before="213" w:line="221" w:lineRule="auto"/>
                    <w:ind w:left="207"/>
                    <w:rPr>
                      <w:rFonts w:ascii="Times New Roman" w:hAnsi="Times New Roman" w:eastAsia="宋体"/>
                      <w:b/>
                      <w:bCs/>
                      <w:color w:val="auto"/>
                      <w:sz w:val="21"/>
                      <w:szCs w:val="21"/>
                    </w:rPr>
                  </w:pPr>
                  <w:r>
                    <w:rPr>
                      <w:rFonts w:ascii="Times New Roman" w:hAnsi="Times New Roman" w:eastAsia="宋体"/>
                      <w:b/>
                      <w:bCs/>
                      <w:color w:val="auto"/>
                      <w:spacing w:val="-1"/>
                      <w:sz w:val="21"/>
                      <w:szCs w:val="21"/>
                    </w:rPr>
                    <w:t>重要组分、规格、指标</w:t>
                  </w:r>
                </w:p>
              </w:tc>
              <w:tc>
                <w:tcPr>
                  <w:tcW w:w="597" w:type="pct"/>
                  <w:shd w:val="clear" w:color="auto" w:fill="auto"/>
                  <w:vAlign w:val="top"/>
                </w:tcPr>
                <w:p w14:paraId="09A742F0">
                  <w:pPr>
                    <w:pStyle w:val="97"/>
                    <w:spacing w:before="57" w:line="248" w:lineRule="auto"/>
                    <w:ind w:left="205" w:right="192" w:hanging="7"/>
                    <w:rPr>
                      <w:rFonts w:ascii="Times New Roman" w:hAnsi="Times New Roman" w:eastAsia="宋体"/>
                      <w:b/>
                      <w:bCs/>
                      <w:color w:val="auto"/>
                      <w:sz w:val="21"/>
                      <w:szCs w:val="21"/>
                    </w:rPr>
                  </w:pPr>
                  <w:r>
                    <w:rPr>
                      <w:rFonts w:ascii="Times New Roman" w:hAnsi="Times New Roman" w:eastAsia="宋体"/>
                      <w:b/>
                      <w:bCs/>
                      <w:color w:val="auto"/>
                      <w:spacing w:val="-2"/>
                      <w:sz w:val="21"/>
                      <w:szCs w:val="21"/>
                    </w:rPr>
                    <w:t>年耗量</w:t>
                  </w:r>
                  <w:r>
                    <w:rPr>
                      <w:rFonts w:ascii="Times New Roman" w:hAnsi="Times New Roman" w:eastAsia="宋体"/>
                      <w:b/>
                      <w:bCs/>
                      <w:color w:val="auto"/>
                      <w:spacing w:val="-3"/>
                      <w:sz w:val="21"/>
                      <w:szCs w:val="21"/>
                    </w:rPr>
                    <w:t>（</w:t>
                  </w:r>
                  <w:r>
                    <w:rPr>
                      <w:rFonts w:ascii="Times New Roman" w:hAnsi="Times New Roman" w:eastAsia="宋体" w:cs="Times New Roman"/>
                      <w:b/>
                      <w:bCs/>
                      <w:color w:val="auto"/>
                      <w:spacing w:val="-3"/>
                      <w:sz w:val="21"/>
                      <w:szCs w:val="21"/>
                    </w:rPr>
                    <w:t>t/a</w:t>
                  </w:r>
                  <w:r>
                    <w:rPr>
                      <w:rFonts w:ascii="Times New Roman" w:hAnsi="Times New Roman" w:eastAsia="宋体"/>
                      <w:b/>
                      <w:bCs/>
                      <w:color w:val="auto"/>
                      <w:spacing w:val="-3"/>
                      <w:sz w:val="21"/>
                      <w:szCs w:val="21"/>
                    </w:rPr>
                    <w:t>）</w:t>
                  </w:r>
                </w:p>
              </w:tc>
              <w:tc>
                <w:tcPr>
                  <w:tcW w:w="675" w:type="pct"/>
                  <w:shd w:val="clear" w:color="auto" w:fill="auto"/>
                  <w:vAlign w:val="top"/>
                </w:tcPr>
                <w:p w14:paraId="35D7595C">
                  <w:pPr>
                    <w:pStyle w:val="97"/>
                    <w:spacing w:before="57" w:line="248" w:lineRule="auto"/>
                    <w:ind w:left="232" w:right="153" w:hanging="71"/>
                    <w:rPr>
                      <w:rFonts w:ascii="Times New Roman" w:hAnsi="Times New Roman" w:eastAsia="宋体"/>
                      <w:b/>
                      <w:bCs/>
                      <w:color w:val="auto"/>
                      <w:sz w:val="21"/>
                      <w:szCs w:val="21"/>
                    </w:rPr>
                  </w:pPr>
                  <w:r>
                    <w:rPr>
                      <w:rFonts w:ascii="Times New Roman" w:hAnsi="Times New Roman" w:eastAsia="宋体"/>
                      <w:b/>
                      <w:bCs/>
                      <w:color w:val="auto"/>
                      <w:spacing w:val="-3"/>
                      <w:sz w:val="21"/>
                      <w:szCs w:val="21"/>
                    </w:rPr>
                    <w:t>最大储存</w:t>
                  </w:r>
                  <w:r>
                    <w:rPr>
                      <w:rFonts w:ascii="Times New Roman" w:hAnsi="Times New Roman" w:eastAsia="宋体"/>
                      <w:b/>
                      <w:bCs/>
                      <w:color w:val="auto"/>
                      <w:spacing w:val="-2"/>
                      <w:sz w:val="21"/>
                      <w:szCs w:val="21"/>
                    </w:rPr>
                    <w:t>量（</w:t>
                  </w:r>
                  <w:r>
                    <w:rPr>
                      <w:rFonts w:ascii="Times New Roman" w:hAnsi="Times New Roman" w:eastAsia="宋体" w:cs="Times New Roman"/>
                      <w:b/>
                      <w:bCs/>
                      <w:color w:val="auto"/>
                      <w:spacing w:val="-2"/>
                      <w:sz w:val="21"/>
                      <w:szCs w:val="21"/>
                    </w:rPr>
                    <w:t>t</w:t>
                  </w:r>
                  <w:r>
                    <w:rPr>
                      <w:rFonts w:ascii="Times New Roman" w:hAnsi="Times New Roman" w:eastAsia="宋体"/>
                      <w:b/>
                      <w:bCs/>
                      <w:color w:val="auto"/>
                      <w:spacing w:val="-2"/>
                      <w:sz w:val="21"/>
                      <w:szCs w:val="21"/>
                    </w:rPr>
                    <w:t>）</w:t>
                  </w:r>
                </w:p>
              </w:tc>
              <w:tc>
                <w:tcPr>
                  <w:tcW w:w="673" w:type="pct"/>
                  <w:shd w:val="clear" w:color="auto" w:fill="auto"/>
                  <w:vAlign w:val="top"/>
                </w:tcPr>
                <w:p w14:paraId="114261E3">
                  <w:pPr>
                    <w:pStyle w:val="97"/>
                    <w:spacing w:before="213" w:line="221" w:lineRule="auto"/>
                    <w:ind w:left="159"/>
                    <w:rPr>
                      <w:rFonts w:ascii="Times New Roman" w:hAnsi="Times New Roman" w:eastAsia="宋体"/>
                      <w:b/>
                      <w:bCs/>
                      <w:color w:val="auto"/>
                      <w:sz w:val="21"/>
                      <w:szCs w:val="21"/>
                    </w:rPr>
                  </w:pPr>
                  <w:r>
                    <w:rPr>
                      <w:rFonts w:ascii="Times New Roman" w:hAnsi="Times New Roman" w:eastAsia="宋体"/>
                      <w:b/>
                      <w:bCs/>
                      <w:color w:val="auto"/>
                      <w:spacing w:val="-2"/>
                      <w:sz w:val="21"/>
                      <w:szCs w:val="21"/>
                    </w:rPr>
                    <w:t>包装方式</w:t>
                  </w:r>
                </w:p>
              </w:tc>
              <w:tc>
                <w:tcPr>
                  <w:tcW w:w="807" w:type="pct"/>
                  <w:shd w:val="clear" w:color="auto" w:fill="auto"/>
                  <w:vAlign w:val="top"/>
                </w:tcPr>
                <w:p w14:paraId="34B2510C">
                  <w:pPr>
                    <w:pStyle w:val="97"/>
                    <w:spacing w:before="213" w:line="221" w:lineRule="auto"/>
                    <w:ind w:left="273"/>
                    <w:rPr>
                      <w:rFonts w:ascii="Times New Roman" w:hAnsi="Times New Roman" w:eastAsia="宋体"/>
                      <w:b/>
                      <w:bCs/>
                      <w:color w:val="auto"/>
                      <w:sz w:val="21"/>
                      <w:szCs w:val="21"/>
                    </w:rPr>
                  </w:pPr>
                  <w:r>
                    <w:rPr>
                      <w:rFonts w:ascii="Times New Roman" w:hAnsi="Times New Roman" w:eastAsia="宋体"/>
                      <w:b/>
                      <w:bCs/>
                      <w:color w:val="auto"/>
                      <w:spacing w:val="-1"/>
                      <w:sz w:val="21"/>
                      <w:szCs w:val="21"/>
                    </w:rPr>
                    <w:t>储存位置</w:t>
                  </w:r>
                </w:p>
              </w:tc>
            </w:tr>
          </w:tbl>
          <w:p w14:paraId="005B5AC8">
            <w:pPr>
              <w:spacing w:before="79" w:line="221" w:lineRule="auto"/>
              <w:jc w:val="center"/>
              <w:rPr>
                <w:rFonts w:ascii="宋体" w:hAnsi="宋体" w:eastAsia="宋体" w:cs="宋体"/>
                <w:color w:val="auto"/>
                <w:sz w:val="21"/>
                <w:szCs w:val="21"/>
              </w:rPr>
            </w:pPr>
            <w:r>
              <w:rPr>
                <w:rFonts w:ascii="宋体" w:hAnsi="宋体" w:eastAsia="宋体" w:cs="宋体"/>
                <w:b/>
                <w:bCs/>
                <w:color w:val="auto"/>
                <w:spacing w:val="-3"/>
                <w:sz w:val="21"/>
                <w:szCs w:val="21"/>
              </w:rPr>
              <w:t>粘结磁生产线</w:t>
            </w:r>
          </w:p>
          <w:tbl>
            <w:tblPr>
              <w:tblStyle w:val="75"/>
              <w:tblpPr w:leftFromText="180" w:rightFromText="180" w:vertAnchor="text" w:horzAnchor="page" w:tblpXSpec="center" w:tblpY="34"/>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2"/>
              <w:gridCol w:w="2732"/>
              <w:gridCol w:w="1110"/>
              <w:gridCol w:w="1255"/>
              <w:gridCol w:w="1252"/>
              <w:gridCol w:w="1503"/>
            </w:tblGrid>
            <w:tr w14:paraId="6C80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6" w:hRule="atLeast"/>
                <w:jc w:val="center"/>
              </w:trPr>
              <w:tc>
                <w:tcPr>
                  <w:tcW w:w="776" w:type="pct"/>
                  <w:vAlign w:val="center"/>
                </w:tcPr>
                <w:p w14:paraId="20632524">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磁粉</w:t>
                  </w:r>
                </w:p>
              </w:tc>
              <w:tc>
                <w:tcPr>
                  <w:tcW w:w="1469" w:type="pct"/>
                  <w:vAlign w:val="center"/>
                </w:tcPr>
                <w:p w14:paraId="0E1FAB2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固态，主要成分为钕</w:t>
                  </w:r>
                </w:p>
                <w:p w14:paraId="3E891D1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6"/>
                      <w:sz w:val="21"/>
                      <w:szCs w:val="21"/>
                    </w:rPr>
                    <w:t>26.1%</w:t>
                  </w:r>
                  <w:r>
                    <w:rPr>
                      <w:rFonts w:ascii="Times New Roman" w:hAnsi="Times New Roman" w:eastAsia="宋体"/>
                      <w:color w:val="auto"/>
                      <w:spacing w:val="-16"/>
                      <w:sz w:val="21"/>
                      <w:szCs w:val="21"/>
                    </w:rPr>
                    <w:t>、硼</w:t>
                  </w:r>
                  <w:r>
                    <w:rPr>
                      <w:rFonts w:ascii="Times New Roman" w:hAnsi="Times New Roman" w:eastAsia="宋体" w:cs="Times New Roman"/>
                      <w:color w:val="auto"/>
                      <w:spacing w:val="-16"/>
                      <w:sz w:val="21"/>
                      <w:szCs w:val="21"/>
                    </w:rPr>
                    <w:t>1.0%</w:t>
                  </w:r>
                  <w:r>
                    <w:rPr>
                      <w:rFonts w:ascii="Times New Roman" w:hAnsi="Times New Roman" w:eastAsia="宋体"/>
                      <w:color w:val="auto"/>
                      <w:spacing w:val="-16"/>
                      <w:sz w:val="21"/>
                      <w:szCs w:val="21"/>
                    </w:rPr>
                    <w:t>、钴</w:t>
                  </w:r>
                  <w:r>
                    <w:rPr>
                      <w:rFonts w:ascii="Times New Roman" w:hAnsi="Times New Roman" w:eastAsia="宋体" w:cs="Times New Roman"/>
                      <w:color w:val="auto"/>
                      <w:spacing w:val="-16"/>
                      <w:sz w:val="21"/>
                      <w:szCs w:val="21"/>
                    </w:rPr>
                    <w:t>1.8%</w:t>
                  </w:r>
                  <w:r>
                    <w:rPr>
                      <w:rFonts w:ascii="Times New Roman" w:hAnsi="Times New Roman" w:eastAsia="宋体"/>
                      <w:color w:val="auto"/>
                      <w:spacing w:val="-16"/>
                      <w:sz w:val="21"/>
                      <w:szCs w:val="21"/>
                    </w:rPr>
                    <w:t>、</w:t>
                  </w:r>
                </w:p>
                <w:p w14:paraId="6A51DAB4">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4"/>
                      <w:sz w:val="21"/>
                      <w:szCs w:val="21"/>
                    </w:rPr>
                    <w:t>环氧树脂</w:t>
                  </w:r>
                  <w:r>
                    <w:rPr>
                      <w:rFonts w:ascii="Times New Roman" w:hAnsi="Times New Roman" w:eastAsia="宋体" w:cs="Times New Roman"/>
                      <w:color w:val="auto"/>
                      <w:spacing w:val="-4"/>
                      <w:sz w:val="21"/>
                      <w:szCs w:val="21"/>
                    </w:rPr>
                    <w:t>1.7%</w:t>
                  </w:r>
                  <w:r>
                    <w:rPr>
                      <w:rFonts w:ascii="Times New Roman" w:hAnsi="Times New Roman" w:eastAsia="宋体"/>
                      <w:color w:val="auto"/>
                      <w:spacing w:val="-4"/>
                      <w:sz w:val="21"/>
                      <w:szCs w:val="21"/>
                    </w:rPr>
                    <w:t>、铁</w:t>
                  </w:r>
                </w:p>
                <w:p w14:paraId="6845D4FF">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69.4%</w:t>
                  </w:r>
                  <w:r>
                    <w:rPr>
                      <w:rFonts w:ascii="Times New Roman" w:hAnsi="Times New Roman" w:eastAsia="宋体"/>
                      <w:color w:val="auto"/>
                      <w:spacing w:val="-1"/>
                      <w:sz w:val="21"/>
                      <w:szCs w:val="21"/>
                    </w:rPr>
                    <w:t>。</w:t>
                  </w:r>
                </w:p>
              </w:tc>
              <w:tc>
                <w:tcPr>
                  <w:tcW w:w="597" w:type="pct"/>
                  <w:vAlign w:val="center"/>
                </w:tcPr>
                <w:p w14:paraId="49F3E1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1"/>
                      <w:sz w:val="21"/>
                      <w:szCs w:val="21"/>
                    </w:rPr>
                    <w:t>4123.25</w:t>
                  </w:r>
                </w:p>
              </w:tc>
              <w:tc>
                <w:tcPr>
                  <w:tcW w:w="675" w:type="pct"/>
                  <w:vAlign w:val="center"/>
                </w:tcPr>
                <w:p w14:paraId="067864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80</w:t>
                  </w:r>
                </w:p>
              </w:tc>
              <w:tc>
                <w:tcPr>
                  <w:tcW w:w="673" w:type="pct"/>
                  <w:vAlign w:val="center"/>
                </w:tcPr>
                <w:p w14:paraId="1DCF624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桶</w:t>
                  </w:r>
                </w:p>
              </w:tc>
              <w:tc>
                <w:tcPr>
                  <w:tcW w:w="808" w:type="pct"/>
                  <w:vAlign w:val="center"/>
                </w:tcPr>
                <w:p w14:paraId="1BE924F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r w14:paraId="3090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776" w:type="pct"/>
                  <w:vAlign w:val="center"/>
                </w:tcPr>
                <w:p w14:paraId="53C2F52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2"/>
                      <w:sz w:val="21"/>
                      <w:szCs w:val="21"/>
                    </w:rPr>
                    <w:t>PBT</w:t>
                  </w:r>
                  <w:r>
                    <w:rPr>
                      <w:rFonts w:ascii="Times New Roman" w:hAnsi="Times New Roman" w:eastAsia="宋体"/>
                      <w:color w:val="auto"/>
                      <w:spacing w:val="-2"/>
                      <w:sz w:val="21"/>
                      <w:szCs w:val="21"/>
                    </w:rPr>
                    <w:t>树脂</w:t>
                  </w:r>
                </w:p>
              </w:tc>
              <w:tc>
                <w:tcPr>
                  <w:tcW w:w="1469" w:type="pct"/>
                  <w:vAlign w:val="center"/>
                </w:tcPr>
                <w:p w14:paraId="336153F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固态，主要成分为聚对苯</w:t>
                  </w:r>
                  <w:r>
                    <w:rPr>
                      <w:rFonts w:ascii="Times New Roman" w:hAnsi="Times New Roman" w:eastAsia="宋体"/>
                      <w:color w:val="auto"/>
                      <w:spacing w:val="-6"/>
                      <w:sz w:val="21"/>
                      <w:szCs w:val="21"/>
                    </w:rPr>
                    <w:t>二甲酸丁二醇酯</w:t>
                  </w:r>
                  <w:r>
                    <w:rPr>
                      <w:rFonts w:ascii="Times New Roman" w:hAnsi="Times New Roman" w:eastAsia="宋体" w:cs="Times New Roman"/>
                      <w:color w:val="auto"/>
                      <w:spacing w:val="-6"/>
                      <w:sz w:val="21"/>
                      <w:szCs w:val="21"/>
                    </w:rPr>
                    <w:t>60%</w:t>
                  </w:r>
                  <w:r>
                    <w:rPr>
                      <w:rFonts w:ascii="Times New Roman" w:hAnsi="Times New Roman" w:eastAsia="宋体"/>
                      <w:color w:val="auto"/>
                      <w:spacing w:val="-6"/>
                      <w:sz w:val="21"/>
                      <w:szCs w:val="21"/>
                    </w:rPr>
                    <w:t>、硅</w:t>
                  </w:r>
                  <w:r>
                    <w:rPr>
                      <w:rFonts w:ascii="Times New Roman" w:hAnsi="Times New Roman" w:eastAsia="宋体"/>
                      <w:color w:val="auto"/>
                      <w:spacing w:val="6"/>
                      <w:sz w:val="21"/>
                      <w:szCs w:val="21"/>
                    </w:rPr>
                    <w:t>酸盐玻璃</w:t>
                  </w:r>
                  <w:r>
                    <w:rPr>
                      <w:rFonts w:ascii="Times New Roman" w:hAnsi="Times New Roman" w:eastAsia="宋体" w:cs="Times New Roman"/>
                      <w:color w:val="auto"/>
                      <w:spacing w:val="6"/>
                      <w:sz w:val="21"/>
                      <w:szCs w:val="21"/>
                    </w:rPr>
                    <w:t>37%</w:t>
                  </w:r>
                  <w:r>
                    <w:rPr>
                      <w:rFonts w:ascii="Times New Roman" w:hAnsi="Times New Roman" w:eastAsia="宋体"/>
                      <w:color w:val="auto"/>
                      <w:spacing w:val="6"/>
                      <w:sz w:val="21"/>
                      <w:szCs w:val="21"/>
                    </w:rPr>
                    <w:t>、弹性体</w:t>
                  </w:r>
                </w:p>
                <w:p w14:paraId="6ADA386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3"/>
                      <w:sz w:val="21"/>
                      <w:szCs w:val="21"/>
                    </w:rPr>
                    <w:t>3%</w:t>
                  </w:r>
                  <w:r>
                    <w:rPr>
                      <w:rFonts w:ascii="Times New Roman" w:hAnsi="Times New Roman" w:eastAsia="宋体"/>
                      <w:color w:val="auto"/>
                      <w:spacing w:val="-3"/>
                      <w:sz w:val="21"/>
                      <w:szCs w:val="21"/>
                    </w:rPr>
                    <w:t>。</w:t>
                  </w:r>
                </w:p>
              </w:tc>
              <w:tc>
                <w:tcPr>
                  <w:tcW w:w="597" w:type="pct"/>
                  <w:vAlign w:val="center"/>
                </w:tcPr>
                <w:p w14:paraId="60DA24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6"/>
                      <w:sz w:val="21"/>
                      <w:szCs w:val="21"/>
                    </w:rPr>
                    <w:t>113</w:t>
                  </w:r>
                </w:p>
              </w:tc>
              <w:tc>
                <w:tcPr>
                  <w:tcW w:w="675" w:type="pct"/>
                  <w:vAlign w:val="center"/>
                </w:tcPr>
                <w:p w14:paraId="4624CD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1"/>
                      <w:sz w:val="21"/>
                      <w:szCs w:val="21"/>
                    </w:rPr>
                    <w:t>2.3</w:t>
                  </w:r>
                </w:p>
              </w:tc>
              <w:tc>
                <w:tcPr>
                  <w:tcW w:w="673" w:type="pct"/>
                  <w:vAlign w:val="center"/>
                </w:tcPr>
                <w:p w14:paraId="6CD0395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袋</w:t>
                  </w:r>
                </w:p>
              </w:tc>
              <w:tc>
                <w:tcPr>
                  <w:tcW w:w="808" w:type="pct"/>
                  <w:vAlign w:val="center"/>
                </w:tcPr>
                <w:p w14:paraId="7983EA3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r w14:paraId="2C44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776" w:type="pct"/>
                  <w:vAlign w:val="center"/>
                </w:tcPr>
                <w:p w14:paraId="685F987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PPS</w:t>
                  </w:r>
                  <w:r>
                    <w:rPr>
                      <w:rFonts w:ascii="Times New Roman" w:hAnsi="Times New Roman" w:eastAsia="宋体"/>
                      <w:color w:val="auto"/>
                      <w:spacing w:val="-1"/>
                      <w:sz w:val="21"/>
                      <w:szCs w:val="21"/>
                    </w:rPr>
                    <w:t>钕铁硼</w:t>
                  </w:r>
                  <w:r>
                    <w:rPr>
                      <w:rFonts w:ascii="Times New Roman" w:hAnsi="Times New Roman" w:eastAsia="宋体"/>
                      <w:color w:val="auto"/>
                      <w:spacing w:val="-2"/>
                      <w:sz w:val="21"/>
                      <w:szCs w:val="21"/>
                    </w:rPr>
                    <w:t>粒料</w:t>
                  </w:r>
                </w:p>
              </w:tc>
              <w:tc>
                <w:tcPr>
                  <w:tcW w:w="1469" w:type="pct"/>
                  <w:vAlign w:val="center"/>
                </w:tcPr>
                <w:p w14:paraId="562B306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固态，主要成分为钕</w:t>
                  </w:r>
                  <w:r>
                    <w:rPr>
                      <w:rFonts w:ascii="Times New Roman" w:hAnsi="Times New Roman" w:eastAsia="宋体" w:cs="Times New Roman"/>
                      <w:color w:val="auto"/>
                      <w:spacing w:val="-3"/>
                      <w:sz w:val="21"/>
                      <w:szCs w:val="21"/>
                    </w:rPr>
                    <w:t>21%</w:t>
                  </w:r>
                  <w:r>
                    <w:rPr>
                      <w:rFonts w:ascii="Times New Roman" w:hAnsi="Times New Roman" w:eastAsia="宋体"/>
                      <w:color w:val="auto"/>
                      <w:spacing w:val="-3"/>
                      <w:sz w:val="21"/>
                      <w:szCs w:val="21"/>
                    </w:rPr>
                    <w:t>、铁</w:t>
                  </w:r>
                  <w:r>
                    <w:rPr>
                      <w:rFonts w:ascii="Times New Roman" w:hAnsi="Times New Roman" w:eastAsia="宋体" w:cs="Times New Roman"/>
                      <w:color w:val="auto"/>
                      <w:spacing w:val="-3"/>
                      <w:sz w:val="21"/>
                      <w:szCs w:val="21"/>
                    </w:rPr>
                    <w:t>65%</w:t>
                  </w:r>
                  <w:r>
                    <w:rPr>
                      <w:rFonts w:ascii="Times New Roman" w:hAnsi="Times New Roman" w:eastAsia="宋体"/>
                      <w:color w:val="auto"/>
                      <w:spacing w:val="-3"/>
                      <w:sz w:val="21"/>
                      <w:szCs w:val="21"/>
                    </w:rPr>
                    <w:t>、硼</w:t>
                  </w:r>
                  <w:r>
                    <w:rPr>
                      <w:rFonts w:ascii="Times New Roman" w:hAnsi="Times New Roman" w:eastAsia="宋体" w:cs="Times New Roman"/>
                      <w:color w:val="auto"/>
                      <w:spacing w:val="-3"/>
                      <w:sz w:val="21"/>
                      <w:szCs w:val="21"/>
                    </w:rPr>
                    <w:t>1%</w:t>
                  </w:r>
                  <w:r>
                    <w:rPr>
                      <w:rFonts w:ascii="Times New Roman" w:hAnsi="Times New Roman" w:eastAsia="宋体"/>
                      <w:color w:val="auto"/>
                      <w:spacing w:val="-3"/>
                      <w:sz w:val="21"/>
                      <w:szCs w:val="21"/>
                    </w:rPr>
                    <w:t>、</w:t>
                  </w:r>
                  <w:r>
                    <w:rPr>
                      <w:rFonts w:ascii="Times New Roman" w:hAnsi="Times New Roman" w:eastAsia="宋体"/>
                      <w:color w:val="auto"/>
                      <w:spacing w:val="-15"/>
                      <w:sz w:val="21"/>
                      <w:szCs w:val="21"/>
                    </w:rPr>
                    <w:t>钴</w:t>
                  </w:r>
                  <w:r>
                    <w:rPr>
                      <w:rFonts w:ascii="Times New Roman" w:hAnsi="Times New Roman" w:eastAsia="宋体" w:cs="Times New Roman"/>
                      <w:color w:val="auto"/>
                      <w:spacing w:val="-15"/>
                      <w:sz w:val="21"/>
                      <w:szCs w:val="21"/>
                    </w:rPr>
                    <w:t>1%</w:t>
                  </w:r>
                  <w:r>
                    <w:rPr>
                      <w:rFonts w:ascii="Times New Roman" w:hAnsi="Times New Roman" w:eastAsia="宋体"/>
                      <w:color w:val="auto"/>
                      <w:spacing w:val="-15"/>
                      <w:sz w:val="21"/>
                      <w:szCs w:val="21"/>
                    </w:rPr>
                    <w:t>、锆</w:t>
                  </w:r>
                  <w:r>
                    <w:rPr>
                      <w:rFonts w:ascii="Times New Roman" w:hAnsi="Times New Roman" w:eastAsia="宋体" w:cs="Times New Roman"/>
                      <w:color w:val="auto"/>
                      <w:spacing w:val="-15"/>
                      <w:sz w:val="21"/>
                      <w:szCs w:val="21"/>
                    </w:rPr>
                    <w:t>2%</w:t>
                  </w:r>
                  <w:r>
                    <w:rPr>
                      <w:rFonts w:ascii="Times New Roman" w:hAnsi="Times New Roman" w:eastAsia="宋体"/>
                      <w:color w:val="auto"/>
                      <w:spacing w:val="-15"/>
                      <w:sz w:val="21"/>
                      <w:szCs w:val="21"/>
                    </w:rPr>
                    <w:t>、</w:t>
                  </w:r>
                  <w:r>
                    <w:rPr>
                      <w:rFonts w:ascii="Times New Roman" w:hAnsi="Times New Roman" w:eastAsia="宋体" w:cs="Times New Roman"/>
                      <w:color w:val="auto"/>
                      <w:spacing w:val="-15"/>
                      <w:sz w:val="21"/>
                      <w:szCs w:val="21"/>
                    </w:rPr>
                    <w:t>PPS10%</w:t>
                  </w:r>
                  <w:r>
                    <w:rPr>
                      <w:rFonts w:ascii="Times New Roman" w:hAnsi="Times New Roman" w:eastAsia="宋体"/>
                      <w:color w:val="auto"/>
                      <w:spacing w:val="-15"/>
                      <w:sz w:val="21"/>
                      <w:szCs w:val="21"/>
                    </w:rPr>
                    <w:t>。</w:t>
                  </w:r>
                </w:p>
              </w:tc>
              <w:tc>
                <w:tcPr>
                  <w:tcW w:w="597" w:type="pct"/>
                  <w:vAlign w:val="center"/>
                </w:tcPr>
                <w:p w14:paraId="063193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756</w:t>
                  </w:r>
                </w:p>
              </w:tc>
              <w:tc>
                <w:tcPr>
                  <w:tcW w:w="675" w:type="pct"/>
                  <w:vAlign w:val="center"/>
                </w:tcPr>
                <w:p w14:paraId="4CD8C4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6"/>
                      <w:sz w:val="21"/>
                      <w:szCs w:val="21"/>
                    </w:rPr>
                    <w:t>15</w:t>
                  </w:r>
                </w:p>
              </w:tc>
              <w:tc>
                <w:tcPr>
                  <w:tcW w:w="673" w:type="pct"/>
                  <w:vAlign w:val="center"/>
                </w:tcPr>
                <w:p w14:paraId="1FA5EDE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桶</w:t>
                  </w:r>
                </w:p>
              </w:tc>
              <w:tc>
                <w:tcPr>
                  <w:tcW w:w="808" w:type="pct"/>
                  <w:vAlign w:val="center"/>
                </w:tcPr>
                <w:p w14:paraId="347FBFA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r w14:paraId="23D9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776" w:type="pct"/>
                  <w:vAlign w:val="center"/>
                </w:tcPr>
                <w:p w14:paraId="1D76052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1"/>
                      <w:sz w:val="21"/>
                      <w:szCs w:val="21"/>
                    </w:rPr>
                    <w:t>环氧树脂粘</w:t>
                  </w:r>
                  <w:r>
                    <w:rPr>
                      <w:rFonts w:ascii="Times New Roman" w:hAnsi="Times New Roman" w:eastAsia="宋体"/>
                      <w:color w:val="auto"/>
                      <w:spacing w:val="-3"/>
                      <w:sz w:val="21"/>
                      <w:szCs w:val="21"/>
                    </w:rPr>
                    <w:t>结剂</w:t>
                  </w:r>
                </w:p>
              </w:tc>
              <w:tc>
                <w:tcPr>
                  <w:tcW w:w="1469" w:type="pct"/>
                  <w:vAlign w:val="center"/>
                </w:tcPr>
                <w:p w14:paraId="7214E58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固态，主要成分为环氧树</w:t>
                  </w:r>
                </w:p>
                <w:p w14:paraId="796A04F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脂</w:t>
                  </w:r>
                  <w:r>
                    <w:rPr>
                      <w:rFonts w:ascii="Times New Roman" w:hAnsi="Times New Roman" w:eastAsia="宋体" w:cs="Times New Roman"/>
                      <w:color w:val="auto"/>
                      <w:spacing w:val="-3"/>
                      <w:sz w:val="21"/>
                      <w:szCs w:val="21"/>
                    </w:rPr>
                    <w:t>98%</w:t>
                  </w:r>
                  <w:r>
                    <w:rPr>
                      <w:rFonts w:ascii="Times New Roman" w:hAnsi="Times New Roman" w:eastAsia="宋体"/>
                      <w:color w:val="auto"/>
                      <w:spacing w:val="-3"/>
                      <w:sz w:val="21"/>
                      <w:szCs w:val="21"/>
                    </w:rPr>
                    <w:t>、胺类型固化剂</w:t>
                  </w:r>
                  <w:r>
                    <w:rPr>
                      <w:rFonts w:ascii="Times New Roman" w:hAnsi="Times New Roman" w:eastAsia="宋体" w:cs="Times New Roman"/>
                      <w:color w:val="auto"/>
                      <w:spacing w:val="-1"/>
                      <w:sz w:val="21"/>
                      <w:szCs w:val="21"/>
                    </w:rPr>
                    <w:t>2%</w:t>
                  </w:r>
                  <w:r>
                    <w:rPr>
                      <w:rFonts w:ascii="Times New Roman" w:hAnsi="Times New Roman" w:eastAsia="宋体"/>
                      <w:color w:val="auto"/>
                      <w:spacing w:val="-1"/>
                      <w:sz w:val="21"/>
                      <w:szCs w:val="21"/>
                    </w:rPr>
                    <w:t>。</w:t>
                  </w:r>
                </w:p>
              </w:tc>
              <w:tc>
                <w:tcPr>
                  <w:tcW w:w="597" w:type="pct"/>
                  <w:vAlign w:val="center"/>
                </w:tcPr>
                <w:p w14:paraId="671E73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53</w:t>
                  </w:r>
                </w:p>
              </w:tc>
              <w:tc>
                <w:tcPr>
                  <w:tcW w:w="675" w:type="pct"/>
                  <w:vAlign w:val="center"/>
                </w:tcPr>
                <w:p w14:paraId="2C9F85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673" w:type="pct"/>
                  <w:vAlign w:val="center"/>
                </w:tcPr>
                <w:p w14:paraId="42D048D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袋</w:t>
                  </w:r>
                </w:p>
              </w:tc>
              <w:tc>
                <w:tcPr>
                  <w:tcW w:w="808" w:type="pct"/>
                  <w:vAlign w:val="center"/>
                </w:tcPr>
                <w:p w14:paraId="50F95EF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r w14:paraId="2806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776" w:type="pct"/>
                  <w:vAlign w:val="center"/>
                </w:tcPr>
                <w:p w14:paraId="611ACAC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丙酮</w:t>
                  </w:r>
                </w:p>
              </w:tc>
              <w:tc>
                <w:tcPr>
                  <w:tcW w:w="1469" w:type="pct"/>
                  <w:vAlign w:val="center"/>
                </w:tcPr>
                <w:p w14:paraId="20D654C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olor w:val="auto"/>
                      <w:spacing w:val="-2"/>
                      <w:sz w:val="21"/>
                      <w:szCs w:val="21"/>
                    </w:rPr>
                    <w:t>液态，纯度</w:t>
                  </w:r>
                  <w:r>
                    <w:rPr>
                      <w:rFonts w:ascii="Times New Roman" w:hAnsi="Times New Roman" w:eastAsia="宋体" w:cs="Times New Roman"/>
                      <w:color w:val="auto"/>
                      <w:spacing w:val="-2"/>
                      <w:sz w:val="21"/>
                      <w:szCs w:val="21"/>
                    </w:rPr>
                    <w:t>99.7%</w:t>
                  </w:r>
                </w:p>
              </w:tc>
              <w:tc>
                <w:tcPr>
                  <w:tcW w:w="597" w:type="pct"/>
                  <w:vAlign w:val="center"/>
                </w:tcPr>
                <w:p w14:paraId="51E22D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1"/>
                      <w:sz w:val="21"/>
                      <w:szCs w:val="21"/>
                    </w:rPr>
                    <w:t>4.48</w:t>
                  </w:r>
                </w:p>
              </w:tc>
              <w:tc>
                <w:tcPr>
                  <w:tcW w:w="675" w:type="pct"/>
                  <w:vAlign w:val="center"/>
                </w:tcPr>
                <w:p w14:paraId="2F64D1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0.1</w:t>
                  </w:r>
                </w:p>
              </w:tc>
              <w:tc>
                <w:tcPr>
                  <w:tcW w:w="673" w:type="pct"/>
                  <w:vAlign w:val="center"/>
                </w:tcPr>
                <w:p w14:paraId="0D59C92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桶</w:t>
                  </w:r>
                </w:p>
              </w:tc>
              <w:tc>
                <w:tcPr>
                  <w:tcW w:w="808" w:type="pct"/>
                  <w:vAlign w:val="center"/>
                </w:tcPr>
                <w:p w14:paraId="5E87650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r w14:paraId="73E5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776" w:type="pct"/>
                  <w:vAlign w:val="center"/>
                </w:tcPr>
                <w:p w14:paraId="72E5C28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硬脂酸锌</w:t>
                  </w:r>
                </w:p>
              </w:tc>
              <w:tc>
                <w:tcPr>
                  <w:tcW w:w="1469" w:type="pct"/>
                  <w:vAlign w:val="center"/>
                </w:tcPr>
                <w:p w14:paraId="619A79E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olor w:val="auto"/>
                      <w:spacing w:val="-4"/>
                      <w:sz w:val="21"/>
                      <w:szCs w:val="21"/>
                    </w:rPr>
                    <w:t>固态，纯度</w:t>
                  </w:r>
                  <w:r>
                    <w:rPr>
                      <w:rFonts w:ascii="Times New Roman" w:hAnsi="Times New Roman" w:eastAsia="宋体" w:cs="Times New Roman"/>
                      <w:color w:val="auto"/>
                      <w:spacing w:val="-4"/>
                      <w:sz w:val="21"/>
                      <w:szCs w:val="21"/>
                    </w:rPr>
                    <w:t>99%</w:t>
                  </w:r>
                </w:p>
              </w:tc>
              <w:tc>
                <w:tcPr>
                  <w:tcW w:w="597" w:type="pct"/>
                  <w:vAlign w:val="center"/>
                </w:tcPr>
                <w:p w14:paraId="4EB9C1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675" w:type="pct"/>
                  <w:vAlign w:val="center"/>
                </w:tcPr>
                <w:p w14:paraId="7BA817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0.1</w:t>
                  </w:r>
                </w:p>
              </w:tc>
              <w:tc>
                <w:tcPr>
                  <w:tcW w:w="673" w:type="pct"/>
                  <w:vAlign w:val="center"/>
                </w:tcPr>
                <w:p w14:paraId="337FF34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25kg/</w:t>
                  </w:r>
                  <w:r>
                    <w:rPr>
                      <w:rFonts w:ascii="Times New Roman" w:hAnsi="Times New Roman" w:eastAsia="宋体"/>
                      <w:color w:val="auto"/>
                      <w:spacing w:val="-1"/>
                      <w:sz w:val="21"/>
                      <w:szCs w:val="21"/>
                    </w:rPr>
                    <w:t>袋</w:t>
                  </w:r>
                </w:p>
              </w:tc>
              <w:tc>
                <w:tcPr>
                  <w:tcW w:w="808" w:type="pct"/>
                  <w:vAlign w:val="center"/>
                </w:tcPr>
                <w:p w14:paraId="7A7ED91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2"/>
                      <w:sz w:val="21"/>
                      <w:szCs w:val="21"/>
                    </w:rPr>
                    <w:t>仓库</w:t>
                  </w:r>
                </w:p>
              </w:tc>
            </w:tr>
          </w:tbl>
          <w:p w14:paraId="21C3599C">
            <w:pPr>
              <w:spacing w:line="38" w:lineRule="exact"/>
              <w:rPr>
                <w:color w:val="auto"/>
              </w:rPr>
            </w:pPr>
          </w:p>
          <w:p w14:paraId="49A40AE6">
            <w:pPr>
              <w:spacing w:before="78" w:line="221" w:lineRule="auto"/>
              <w:jc w:val="center"/>
              <w:rPr>
                <w:rFonts w:ascii="宋体" w:hAnsi="宋体" w:eastAsia="宋体" w:cs="宋体"/>
                <w:color w:val="auto"/>
                <w:sz w:val="21"/>
                <w:szCs w:val="21"/>
              </w:rPr>
            </w:pPr>
            <w:r>
              <w:rPr>
                <w:rFonts w:ascii="宋体" w:hAnsi="宋体" w:eastAsia="宋体" w:cs="宋体"/>
                <w:b/>
                <w:bCs/>
                <w:color w:val="auto"/>
                <w:spacing w:val="-3"/>
                <w:sz w:val="21"/>
                <w:szCs w:val="21"/>
              </w:rPr>
              <w:t>表面处理线</w:t>
            </w:r>
          </w:p>
          <w:tbl>
            <w:tblPr>
              <w:tblStyle w:val="7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0"/>
              <w:gridCol w:w="2976"/>
              <w:gridCol w:w="863"/>
              <w:gridCol w:w="1254"/>
              <w:gridCol w:w="1252"/>
              <w:gridCol w:w="1499"/>
            </w:tblGrid>
            <w:tr w14:paraId="64A2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2" w:hRule="atLeast"/>
              </w:trPr>
              <w:tc>
                <w:tcPr>
                  <w:tcW w:w="780" w:type="pct"/>
                  <w:vAlign w:val="center"/>
                </w:tcPr>
                <w:p w14:paraId="5EB5C1E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倒角液</w:t>
                  </w:r>
                </w:p>
              </w:tc>
              <w:tc>
                <w:tcPr>
                  <w:tcW w:w="1600" w:type="pct"/>
                  <w:vAlign w:val="center"/>
                </w:tcPr>
                <w:p w14:paraId="3201BE7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液态，主要成分为有机胺</w:t>
                  </w:r>
                  <w:r>
                    <w:rPr>
                      <w:rFonts w:ascii="Times New Roman" w:hAnsi="Times New Roman" w:eastAsia="Times New Roman" w:cs="Times New Roman"/>
                      <w:color w:val="auto"/>
                      <w:spacing w:val="-12"/>
                      <w:sz w:val="21"/>
                      <w:szCs w:val="21"/>
                    </w:rPr>
                    <w:t>10~20%</w:t>
                  </w:r>
                  <w:r>
                    <w:rPr>
                      <w:color w:val="auto"/>
                      <w:spacing w:val="-12"/>
                      <w:sz w:val="21"/>
                      <w:szCs w:val="21"/>
                    </w:rPr>
                    <w:t>、有机酸</w:t>
                  </w:r>
                  <w:r>
                    <w:rPr>
                      <w:rFonts w:ascii="Times New Roman" w:hAnsi="Times New Roman" w:eastAsia="Times New Roman" w:cs="Times New Roman"/>
                      <w:color w:val="auto"/>
                      <w:spacing w:val="-12"/>
                      <w:sz w:val="21"/>
                      <w:szCs w:val="21"/>
                    </w:rPr>
                    <w:t>10~20%</w:t>
                  </w:r>
                  <w:r>
                    <w:rPr>
                      <w:color w:val="auto"/>
                      <w:spacing w:val="-12"/>
                      <w:sz w:val="21"/>
                      <w:szCs w:val="21"/>
                    </w:rPr>
                    <w:t>，</w:t>
                  </w:r>
                  <w:r>
                    <w:rPr>
                      <w:color w:val="auto"/>
                      <w:spacing w:val="-4"/>
                      <w:sz w:val="21"/>
                      <w:szCs w:val="21"/>
                    </w:rPr>
                    <w:t>润滑剂</w:t>
                  </w:r>
                  <w:r>
                    <w:rPr>
                      <w:rFonts w:ascii="Times New Roman" w:hAnsi="Times New Roman" w:eastAsia="Times New Roman" w:cs="Times New Roman"/>
                      <w:color w:val="auto"/>
                      <w:spacing w:val="-4"/>
                      <w:sz w:val="21"/>
                      <w:szCs w:val="21"/>
                    </w:rPr>
                    <w:t>10~40%</w:t>
                  </w:r>
                  <w:r>
                    <w:rPr>
                      <w:color w:val="auto"/>
                      <w:spacing w:val="-4"/>
                      <w:sz w:val="21"/>
                      <w:szCs w:val="21"/>
                    </w:rPr>
                    <w:t>，其余为</w:t>
                  </w:r>
                  <w:r>
                    <w:rPr>
                      <w:color w:val="auto"/>
                      <w:spacing w:val="-10"/>
                      <w:sz w:val="21"/>
                      <w:szCs w:val="21"/>
                    </w:rPr>
                    <w:t>水。</w:t>
                  </w:r>
                </w:p>
              </w:tc>
              <w:tc>
                <w:tcPr>
                  <w:tcW w:w="464" w:type="pct"/>
                  <w:vAlign w:val="center"/>
                </w:tcPr>
                <w:p w14:paraId="30B692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72</w:t>
                  </w:r>
                </w:p>
              </w:tc>
              <w:tc>
                <w:tcPr>
                  <w:tcW w:w="674" w:type="pct"/>
                  <w:vAlign w:val="center"/>
                </w:tcPr>
                <w:p w14:paraId="6F3D74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1.5</w:t>
                  </w:r>
                </w:p>
              </w:tc>
              <w:tc>
                <w:tcPr>
                  <w:tcW w:w="673" w:type="pct"/>
                  <w:vAlign w:val="center"/>
                </w:tcPr>
                <w:p w14:paraId="70A7BE1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vAlign w:val="center"/>
                </w:tcPr>
                <w:p w14:paraId="43A74A9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7475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780" w:type="pct"/>
                  <w:vAlign w:val="center"/>
                </w:tcPr>
                <w:p w14:paraId="0B955DF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倒角磨料</w:t>
                  </w:r>
                </w:p>
              </w:tc>
              <w:tc>
                <w:tcPr>
                  <w:tcW w:w="1600" w:type="pct"/>
                  <w:vAlign w:val="center"/>
                </w:tcPr>
                <w:p w14:paraId="60C6611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固态，碳化硅</w:t>
                  </w:r>
                </w:p>
              </w:tc>
              <w:tc>
                <w:tcPr>
                  <w:tcW w:w="464" w:type="pct"/>
                  <w:vAlign w:val="center"/>
                </w:tcPr>
                <w:p w14:paraId="6BD263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1200</w:t>
                  </w:r>
                </w:p>
              </w:tc>
              <w:tc>
                <w:tcPr>
                  <w:tcW w:w="674" w:type="pct"/>
                  <w:vAlign w:val="center"/>
                </w:tcPr>
                <w:p w14:paraId="0A72D4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673" w:type="pct"/>
                  <w:vAlign w:val="center"/>
                </w:tcPr>
                <w:p w14:paraId="20C6790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vAlign w:val="center"/>
                </w:tcPr>
                <w:p w14:paraId="0C18EB7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2AA0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atLeast"/>
              </w:trPr>
              <w:tc>
                <w:tcPr>
                  <w:tcW w:w="780" w:type="pct"/>
                  <w:vAlign w:val="center"/>
                </w:tcPr>
                <w:p w14:paraId="05B7129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清洗剂</w:t>
                  </w:r>
                </w:p>
              </w:tc>
              <w:tc>
                <w:tcPr>
                  <w:tcW w:w="1600" w:type="pct"/>
                  <w:vAlign w:val="center"/>
                </w:tcPr>
                <w:p w14:paraId="42C4178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液态，主要成分为柠檬酸钠</w:t>
                  </w:r>
                  <w:r>
                    <w:rPr>
                      <w:rFonts w:ascii="Times New Roman" w:hAnsi="Times New Roman" w:eastAsia="Times New Roman" w:cs="Times New Roman"/>
                      <w:color w:val="auto"/>
                      <w:spacing w:val="-3"/>
                      <w:sz w:val="21"/>
                      <w:szCs w:val="21"/>
                    </w:rPr>
                    <w:t>10~20%</w:t>
                  </w:r>
                  <w:r>
                    <w:rPr>
                      <w:color w:val="auto"/>
                      <w:spacing w:val="-3"/>
                      <w:sz w:val="21"/>
                      <w:szCs w:val="21"/>
                    </w:rPr>
                    <w:t>、硅酸钠</w:t>
                  </w:r>
                  <w:r>
                    <w:rPr>
                      <w:rFonts w:ascii="Times New Roman" w:hAnsi="Times New Roman" w:eastAsia="Times New Roman" w:cs="Times New Roman"/>
                      <w:color w:val="auto"/>
                      <w:spacing w:val="-2"/>
                      <w:sz w:val="21"/>
                      <w:szCs w:val="21"/>
                    </w:rPr>
                    <w:t>5~10%</w:t>
                  </w:r>
                  <w:r>
                    <w:rPr>
                      <w:color w:val="auto"/>
                      <w:spacing w:val="-2"/>
                      <w:sz w:val="21"/>
                      <w:szCs w:val="21"/>
                    </w:rPr>
                    <w:t>、非离子活性剂</w:t>
                  </w:r>
                  <w:r>
                    <w:rPr>
                      <w:rFonts w:ascii="Times New Roman" w:hAnsi="Times New Roman" w:eastAsia="Times New Roman" w:cs="Times New Roman"/>
                      <w:color w:val="auto"/>
                      <w:spacing w:val="-3"/>
                      <w:sz w:val="21"/>
                      <w:szCs w:val="21"/>
                    </w:rPr>
                    <w:t>3~8%</w:t>
                  </w:r>
                  <w:r>
                    <w:rPr>
                      <w:color w:val="auto"/>
                      <w:spacing w:val="-3"/>
                      <w:sz w:val="21"/>
                      <w:szCs w:val="21"/>
                    </w:rPr>
                    <w:t>，其余为水。</w:t>
                  </w:r>
                </w:p>
              </w:tc>
              <w:tc>
                <w:tcPr>
                  <w:tcW w:w="464" w:type="pct"/>
                  <w:vAlign w:val="center"/>
                </w:tcPr>
                <w:p w14:paraId="6F31E83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674" w:type="pct"/>
                  <w:vAlign w:val="center"/>
                </w:tcPr>
                <w:p w14:paraId="7D9673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0.25</w:t>
                  </w:r>
                </w:p>
              </w:tc>
              <w:tc>
                <w:tcPr>
                  <w:tcW w:w="673" w:type="pct"/>
                  <w:vAlign w:val="center"/>
                </w:tcPr>
                <w:p w14:paraId="6E9F3DC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vAlign w:val="center"/>
                </w:tcPr>
                <w:p w14:paraId="3BABE71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504F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trPr>
              <w:tc>
                <w:tcPr>
                  <w:tcW w:w="780" w:type="pct"/>
                  <w:vAlign w:val="center"/>
                </w:tcPr>
                <w:p w14:paraId="4B4B7D2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水基防锈剂</w:t>
                  </w:r>
                </w:p>
              </w:tc>
              <w:tc>
                <w:tcPr>
                  <w:tcW w:w="1600" w:type="pct"/>
                  <w:vAlign w:val="center"/>
                </w:tcPr>
                <w:p w14:paraId="7E2C4174">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液态，主要成分为烷氧基</w:t>
                  </w:r>
                  <w:r>
                    <w:rPr>
                      <w:color w:val="auto"/>
                      <w:spacing w:val="-6"/>
                      <w:sz w:val="21"/>
                      <w:szCs w:val="21"/>
                    </w:rPr>
                    <w:t>胺化合物</w:t>
                  </w:r>
                  <w:r>
                    <w:rPr>
                      <w:rFonts w:ascii="Times New Roman" w:hAnsi="Times New Roman" w:eastAsia="Times New Roman" w:cs="Times New Roman"/>
                      <w:color w:val="auto"/>
                      <w:spacing w:val="-6"/>
                      <w:sz w:val="21"/>
                      <w:szCs w:val="21"/>
                    </w:rPr>
                    <w:t>5~20%</w:t>
                  </w:r>
                  <w:r>
                    <w:rPr>
                      <w:color w:val="auto"/>
                      <w:spacing w:val="-6"/>
                      <w:sz w:val="21"/>
                      <w:szCs w:val="21"/>
                    </w:rPr>
                    <w:t>，其余为</w:t>
                  </w:r>
                  <w:r>
                    <w:rPr>
                      <w:color w:val="auto"/>
                      <w:spacing w:val="-10"/>
                      <w:sz w:val="21"/>
                      <w:szCs w:val="21"/>
                    </w:rPr>
                    <w:t>水。</w:t>
                  </w:r>
                </w:p>
              </w:tc>
              <w:tc>
                <w:tcPr>
                  <w:tcW w:w="464" w:type="pct"/>
                  <w:vAlign w:val="center"/>
                </w:tcPr>
                <w:p w14:paraId="432D42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674" w:type="pct"/>
                  <w:vAlign w:val="center"/>
                </w:tcPr>
                <w:p w14:paraId="738DD9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0.25</w:t>
                  </w:r>
                </w:p>
              </w:tc>
              <w:tc>
                <w:tcPr>
                  <w:tcW w:w="673" w:type="pct"/>
                  <w:vAlign w:val="center"/>
                </w:tcPr>
                <w:p w14:paraId="74ADEB4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vAlign w:val="center"/>
                </w:tcPr>
                <w:p w14:paraId="2825BDD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763A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trPr>
              <w:tc>
                <w:tcPr>
                  <w:tcW w:w="780" w:type="pct"/>
                  <w:vAlign w:val="center"/>
                </w:tcPr>
                <w:p w14:paraId="6D66664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除油粉</w:t>
                  </w:r>
                </w:p>
              </w:tc>
              <w:tc>
                <w:tcPr>
                  <w:tcW w:w="1600" w:type="pct"/>
                  <w:vAlign w:val="center"/>
                </w:tcPr>
                <w:p w14:paraId="0A11D9D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5"/>
                      <w:sz w:val="21"/>
                      <w:szCs w:val="21"/>
                    </w:rPr>
                    <w:t>固态，主要成分为碳酸钠</w:t>
                  </w:r>
                  <w:r>
                    <w:rPr>
                      <w:rFonts w:ascii="Times New Roman" w:hAnsi="Times New Roman" w:eastAsia="Times New Roman" w:cs="Times New Roman"/>
                      <w:color w:val="auto"/>
                      <w:spacing w:val="-3"/>
                      <w:sz w:val="21"/>
                      <w:szCs w:val="21"/>
                    </w:rPr>
                    <w:t>10~20%</w:t>
                  </w:r>
                  <w:r>
                    <w:rPr>
                      <w:color w:val="auto"/>
                      <w:spacing w:val="-3"/>
                      <w:sz w:val="21"/>
                      <w:szCs w:val="21"/>
                    </w:rPr>
                    <w:t>、碳酸氢钠</w:t>
                  </w:r>
                  <w:r>
                    <w:rPr>
                      <w:rFonts w:ascii="Times New Roman" w:hAnsi="Times New Roman" w:eastAsia="Times New Roman" w:cs="Times New Roman"/>
                      <w:color w:val="auto"/>
                      <w:spacing w:val="-8"/>
                      <w:sz w:val="21"/>
                      <w:szCs w:val="21"/>
                    </w:rPr>
                    <w:t>10~20%</w:t>
                  </w:r>
                  <w:r>
                    <w:rPr>
                      <w:color w:val="auto"/>
                      <w:spacing w:val="-8"/>
                      <w:sz w:val="21"/>
                      <w:szCs w:val="21"/>
                    </w:rPr>
                    <w:t>、硅酸钠</w:t>
                  </w:r>
                  <w:r>
                    <w:rPr>
                      <w:rFonts w:ascii="Times New Roman" w:hAnsi="Times New Roman" w:eastAsia="Times New Roman" w:cs="Times New Roman"/>
                      <w:color w:val="auto"/>
                      <w:spacing w:val="-8"/>
                      <w:sz w:val="21"/>
                      <w:szCs w:val="21"/>
                    </w:rPr>
                    <w:t>20~45%</w:t>
                  </w:r>
                  <w:r>
                    <w:rPr>
                      <w:color w:val="auto"/>
                      <w:spacing w:val="-8"/>
                      <w:sz w:val="21"/>
                      <w:szCs w:val="21"/>
                    </w:rPr>
                    <w:t>。</w:t>
                  </w:r>
                </w:p>
              </w:tc>
              <w:tc>
                <w:tcPr>
                  <w:tcW w:w="464" w:type="pct"/>
                  <w:vAlign w:val="center"/>
                </w:tcPr>
                <w:p w14:paraId="4C50EC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39.9</w:t>
                  </w:r>
                </w:p>
              </w:tc>
              <w:tc>
                <w:tcPr>
                  <w:tcW w:w="674" w:type="pct"/>
                  <w:vAlign w:val="center"/>
                </w:tcPr>
                <w:p w14:paraId="45058A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673" w:type="pct"/>
                  <w:vAlign w:val="center"/>
                </w:tcPr>
                <w:p w14:paraId="2DEDCB4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vAlign w:val="center"/>
                </w:tcPr>
                <w:p w14:paraId="3A5854A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仓库</w:t>
                  </w:r>
                </w:p>
              </w:tc>
            </w:tr>
            <w:tr w14:paraId="43C1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780" w:type="pct"/>
                  <w:vAlign w:val="center"/>
                </w:tcPr>
                <w:p w14:paraId="3552DC2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硝酸</w:t>
                  </w:r>
                </w:p>
              </w:tc>
              <w:tc>
                <w:tcPr>
                  <w:tcW w:w="1600" w:type="pct"/>
                  <w:vAlign w:val="center"/>
                </w:tcPr>
                <w:p w14:paraId="1332958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color w:val="auto"/>
                      <w:spacing w:val="-2"/>
                      <w:sz w:val="21"/>
                      <w:szCs w:val="21"/>
                    </w:rPr>
                    <w:t>液态，纯度</w:t>
                  </w:r>
                  <w:r>
                    <w:rPr>
                      <w:rFonts w:ascii="Times New Roman" w:hAnsi="Times New Roman" w:eastAsia="Times New Roman" w:cs="Times New Roman"/>
                      <w:color w:val="auto"/>
                      <w:spacing w:val="-2"/>
                      <w:sz w:val="21"/>
                      <w:szCs w:val="21"/>
                    </w:rPr>
                    <w:t>68.0%</w:t>
                  </w:r>
                </w:p>
              </w:tc>
              <w:tc>
                <w:tcPr>
                  <w:tcW w:w="464" w:type="pct"/>
                  <w:vAlign w:val="center"/>
                </w:tcPr>
                <w:p w14:paraId="6289C5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752.46</w:t>
                  </w:r>
                </w:p>
              </w:tc>
              <w:tc>
                <w:tcPr>
                  <w:tcW w:w="674" w:type="pct"/>
                  <w:vAlign w:val="center"/>
                </w:tcPr>
                <w:p w14:paraId="4EBD40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673" w:type="pct"/>
                  <w:vAlign w:val="center"/>
                </w:tcPr>
                <w:p w14:paraId="437CDDE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2"/>
                      <w:sz w:val="21"/>
                      <w:szCs w:val="21"/>
                    </w:rPr>
                    <w:t>20L/</w:t>
                  </w:r>
                  <w:r>
                    <w:rPr>
                      <w:color w:val="auto"/>
                      <w:spacing w:val="-2"/>
                      <w:sz w:val="21"/>
                      <w:szCs w:val="21"/>
                    </w:rPr>
                    <w:t>桶</w:t>
                  </w:r>
                </w:p>
              </w:tc>
              <w:tc>
                <w:tcPr>
                  <w:tcW w:w="806" w:type="pct"/>
                  <w:vAlign w:val="center"/>
                </w:tcPr>
                <w:p w14:paraId="66EBC58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075E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780" w:type="pct"/>
                  <w:vAlign w:val="center"/>
                </w:tcPr>
                <w:p w14:paraId="12C7588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焦磷酸钾</w:t>
                  </w:r>
                </w:p>
              </w:tc>
              <w:tc>
                <w:tcPr>
                  <w:tcW w:w="1600" w:type="pct"/>
                  <w:vAlign w:val="center"/>
                </w:tcPr>
                <w:p w14:paraId="1557183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color w:val="auto"/>
                      <w:spacing w:val="-4"/>
                      <w:sz w:val="21"/>
                      <w:szCs w:val="21"/>
                    </w:rPr>
                    <w:t>固态，纯度</w:t>
                  </w:r>
                  <w:r>
                    <w:rPr>
                      <w:rFonts w:ascii="Times New Roman" w:hAnsi="Times New Roman" w:eastAsia="Times New Roman" w:cs="Times New Roman"/>
                      <w:color w:val="auto"/>
                      <w:spacing w:val="-4"/>
                      <w:sz w:val="21"/>
                      <w:szCs w:val="21"/>
                    </w:rPr>
                    <w:t>98%</w:t>
                  </w:r>
                </w:p>
              </w:tc>
              <w:tc>
                <w:tcPr>
                  <w:tcW w:w="464" w:type="pct"/>
                  <w:vAlign w:val="center"/>
                </w:tcPr>
                <w:p w14:paraId="7414E5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372</w:t>
                  </w:r>
                </w:p>
              </w:tc>
              <w:tc>
                <w:tcPr>
                  <w:tcW w:w="674" w:type="pct"/>
                  <w:vAlign w:val="center"/>
                </w:tcPr>
                <w:p w14:paraId="7284D5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673" w:type="pct"/>
                  <w:vAlign w:val="center"/>
                </w:tcPr>
                <w:p w14:paraId="59D417E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vAlign w:val="center"/>
                </w:tcPr>
                <w:p w14:paraId="6AF35BD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21F7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780" w:type="pct"/>
                  <w:vAlign w:val="center"/>
                </w:tcPr>
                <w:p w14:paraId="7005ABA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柠檬酸钠</w:t>
                  </w:r>
                </w:p>
              </w:tc>
              <w:tc>
                <w:tcPr>
                  <w:tcW w:w="1600" w:type="pct"/>
                  <w:vAlign w:val="center"/>
                </w:tcPr>
                <w:p w14:paraId="5947489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color w:val="auto"/>
                      <w:spacing w:val="-4"/>
                      <w:sz w:val="21"/>
                      <w:szCs w:val="21"/>
                    </w:rPr>
                    <w:t>固态，纯度</w:t>
                  </w:r>
                  <w:r>
                    <w:rPr>
                      <w:rFonts w:ascii="Times New Roman" w:hAnsi="Times New Roman" w:eastAsia="Times New Roman" w:cs="Times New Roman"/>
                      <w:color w:val="auto"/>
                      <w:spacing w:val="-4"/>
                      <w:sz w:val="21"/>
                      <w:szCs w:val="21"/>
                    </w:rPr>
                    <w:t>99%</w:t>
                  </w:r>
                </w:p>
              </w:tc>
              <w:tc>
                <w:tcPr>
                  <w:tcW w:w="464" w:type="pct"/>
                  <w:vAlign w:val="center"/>
                </w:tcPr>
                <w:p w14:paraId="12E705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86.5</w:t>
                  </w:r>
                </w:p>
              </w:tc>
              <w:tc>
                <w:tcPr>
                  <w:tcW w:w="674" w:type="pct"/>
                  <w:vAlign w:val="center"/>
                </w:tcPr>
                <w:p w14:paraId="6F4B46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1.5</w:t>
                  </w:r>
                </w:p>
              </w:tc>
              <w:tc>
                <w:tcPr>
                  <w:tcW w:w="673" w:type="pct"/>
                  <w:vAlign w:val="center"/>
                </w:tcPr>
                <w:p w14:paraId="2FC84AD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vAlign w:val="center"/>
                </w:tcPr>
                <w:p w14:paraId="6575F19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7994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780" w:type="pct"/>
                  <w:vAlign w:val="center"/>
                </w:tcPr>
                <w:p w14:paraId="255F252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镍板</w:t>
                  </w:r>
                </w:p>
              </w:tc>
              <w:tc>
                <w:tcPr>
                  <w:tcW w:w="1600" w:type="pct"/>
                  <w:vAlign w:val="center"/>
                </w:tcPr>
                <w:p w14:paraId="4BB786F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color w:val="auto"/>
                      <w:spacing w:val="-4"/>
                      <w:sz w:val="21"/>
                      <w:szCs w:val="21"/>
                    </w:rPr>
                    <w:t>固态，纯度</w:t>
                  </w:r>
                  <w:r>
                    <w:rPr>
                      <w:rFonts w:ascii="Times New Roman" w:hAnsi="Times New Roman" w:eastAsia="Times New Roman" w:cs="Times New Roman"/>
                      <w:color w:val="auto"/>
                      <w:spacing w:val="-4"/>
                      <w:sz w:val="21"/>
                      <w:szCs w:val="21"/>
                    </w:rPr>
                    <w:t>99.9%</w:t>
                  </w:r>
                </w:p>
              </w:tc>
              <w:tc>
                <w:tcPr>
                  <w:tcW w:w="464" w:type="pct"/>
                  <w:vAlign w:val="center"/>
                </w:tcPr>
                <w:p w14:paraId="6431F4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187</w:t>
                  </w:r>
                </w:p>
              </w:tc>
              <w:tc>
                <w:tcPr>
                  <w:tcW w:w="674" w:type="pct"/>
                  <w:vAlign w:val="center"/>
                </w:tcPr>
                <w:p w14:paraId="5978C6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673" w:type="pct"/>
                  <w:vAlign w:val="center"/>
                </w:tcPr>
                <w:p w14:paraId="29CF4F1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250kg/</w:t>
                  </w:r>
                  <w:r>
                    <w:rPr>
                      <w:color w:val="auto"/>
                      <w:spacing w:val="-1"/>
                      <w:sz w:val="21"/>
                      <w:szCs w:val="21"/>
                    </w:rPr>
                    <w:t>桶</w:t>
                  </w:r>
                </w:p>
              </w:tc>
              <w:tc>
                <w:tcPr>
                  <w:tcW w:w="806" w:type="pct"/>
                  <w:vAlign w:val="center"/>
                </w:tcPr>
                <w:p w14:paraId="7E6F3B2F">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3BEF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vAlign w:val="center"/>
                </w:tcPr>
                <w:p w14:paraId="12E87A6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硫酸镍</w:t>
                  </w:r>
                </w:p>
              </w:tc>
              <w:tc>
                <w:tcPr>
                  <w:tcW w:w="1600" w:type="pct"/>
                  <w:vAlign w:val="center"/>
                </w:tcPr>
                <w:p w14:paraId="0C890F5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color w:val="auto"/>
                      <w:spacing w:val="-4"/>
                      <w:sz w:val="21"/>
                      <w:szCs w:val="21"/>
                    </w:rPr>
                    <w:t>固态，纯度</w:t>
                  </w:r>
                  <w:r>
                    <w:rPr>
                      <w:rFonts w:ascii="Times New Roman" w:hAnsi="Times New Roman" w:eastAsia="Times New Roman" w:cs="Times New Roman"/>
                      <w:color w:val="auto"/>
                      <w:spacing w:val="-4"/>
                      <w:sz w:val="21"/>
                      <w:szCs w:val="21"/>
                    </w:rPr>
                    <w:t>99.5%</w:t>
                  </w:r>
                </w:p>
              </w:tc>
              <w:tc>
                <w:tcPr>
                  <w:tcW w:w="464" w:type="pct"/>
                  <w:vAlign w:val="center"/>
                </w:tcPr>
                <w:p w14:paraId="073534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102</w:t>
                  </w:r>
                </w:p>
              </w:tc>
              <w:tc>
                <w:tcPr>
                  <w:tcW w:w="674" w:type="pct"/>
                  <w:vAlign w:val="center"/>
                </w:tcPr>
                <w:p w14:paraId="748FF4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673" w:type="pct"/>
                  <w:vAlign w:val="center"/>
                </w:tcPr>
                <w:p w14:paraId="369F0F9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vAlign w:val="center"/>
                </w:tcPr>
                <w:p w14:paraId="685BC3A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仓库</w:t>
                  </w:r>
                </w:p>
              </w:tc>
            </w:tr>
            <w:tr w14:paraId="48E8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6AF194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氯化镍</w:t>
                  </w:r>
                </w:p>
              </w:tc>
              <w:tc>
                <w:tcPr>
                  <w:tcW w:w="1600" w:type="pct"/>
                  <w:shd w:val="clear" w:color="auto" w:fill="auto"/>
                  <w:vAlign w:val="center"/>
                </w:tcPr>
                <w:p w14:paraId="352F3C8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97%</w:t>
                  </w:r>
                </w:p>
              </w:tc>
              <w:tc>
                <w:tcPr>
                  <w:tcW w:w="464" w:type="pct"/>
                  <w:shd w:val="clear" w:color="auto" w:fill="auto"/>
                  <w:vAlign w:val="center"/>
                </w:tcPr>
                <w:p w14:paraId="065AFA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4"/>
                      <w:sz w:val="21"/>
                      <w:szCs w:val="21"/>
                    </w:rPr>
                    <w:t>65</w:t>
                  </w:r>
                </w:p>
              </w:tc>
              <w:tc>
                <w:tcPr>
                  <w:tcW w:w="674" w:type="pct"/>
                  <w:shd w:val="clear" w:color="auto" w:fill="auto"/>
                  <w:vAlign w:val="center"/>
                </w:tcPr>
                <w:p w14:paraId="6CF95F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6CA30A8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shd w:val="clear" w:color="auto" w:fill="auto"/>
                  <w:vAlign w:val="center"/>
                </w:tcPr>
                <w:p w14:paraId="14425DB0">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BA5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56F849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硼酸</w:t>
                  </w:r>
                </w:p>
              </w:tc>
              <w:tc>
                <w:tcPr>
                  <w:tcW w:w="1600" w:type="pct"/>
                  <w:shd w:val="clear" w:color="auto" w:fill="auto"/>
                  <w:vAlign w:val="center"/>
                </w:tcPr>
                <w:p w14:paraId="493C19D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99.9%</w:t>
                  </w:r>
                </w:p>
              </w:tc>
              <w:tc>
                <w:tcPr>
                  <w:tcW w:w="464" w:type="pct"/>
                  <w:shd w:val="clear" w:color="auto" w:fill="auto"/>
                  <w:vAlign w:val="center"/>
                </w:tcPr>
                <w:p w14:paraId="3C00D43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101</w:t>
                  </w:r>
                </w:p>
              </w:tc>
              <w:tc>
                <w:tcPr>
                  <w:tcW w:w="674" w:type="pct"/>
                  <w:shd w:val="clear" w:color="auto" w:fill="auto"/>
                  <w:vAlign w:val="center"/>
                </w:tcPr>
                <w:p w14:paraId="62CA1B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4755C74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shd w:val="clear" w:color="auto" w:fill="auto"/>
                  <w:vAlign w:val="center"/>
                </w:tcPr>
                <w:p w14:paraId="0C83561C">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7967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1B118271">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硫酸</w:t>
                  </w:r>
                </w:p>
              </w:tc>
              <w:tc>
                <w:tcPr>
                  <w:tcW w:w="1600" w:type="pct"/>
                  <w:shd w:val="clear" w:color="auto" w:fill="auto"/>
                  <w:vAlign w:val="center"/>
                </w:tcPr>
                <w:p w14:paraId="7C874A0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液态，纯度</w:t>
                  </w:r>
                  <w:r>
                    <w:rPr>
                      <w:rFonts w:ascii="Times New Roman" w:hAnsi="Times New Roman" w:eastAsia="Times New Roman" w:cs="Times New Roman"/>
                      <w:color w:val="auto"/>
                      <w:spacing w:val="-2"/>
                      <w:sz w:val="21"/>
                      <w:szCs w:val="21"/>
                    </w:rPr>
                    <w:t>98%</w:t>
                  </w:r>
                </w:p>
              </w:tc>
              <w:tc>
                <w:tcPr>
                  <w:tcW w:w="464" w:type="pct"/>
                  <w:shd w:val="clear" w:color="auto" w:fill="auto"/>
                  <w:vAlign w:val="center"/>
                </w:tcPr>
                <w:p w14:paraId="3A0F7E1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126</w:t>
                  </w:r>
                </w:p>
              </w:tc>
              <w:tc>
                <w:tcPr>
                  <w:tcW w:w="674" w:type="pct"/>
                  <w:shd w:val="clear" w:color="auto" w:fill="auto"/>
                  <w:vAlign w:val="center"/>
                </w:tcPr>
                <w:p w14:paraId="10AFC3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1DE57CE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2.5L/</w:t>
                  </w:r>
                  <w:r>
                    <w:rPr>
                      <w:color w:val="auto"/>
                      <w:spacing w:val="-1"/>
                      <w:sz w:val="21"/>
                      <w:szCs w:val="21"/>
                    </w:rPr>
                    <w:t>瓶</w:t>
                  </w:r>
                </w:p>
              </w:tc>
              <w:tc>
                <w:tcPr>
                  <w:tcW w:w="806" w:type="pct"/>
                  <w:shd w:val="clear" w:color="auto" w:fill="auto"/>
                  <w:vAlign w:val="center"/>
                </w:tcPr>
                <w:p w14:paraId="5BD686A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40C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2A80D63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亚磷酸</w:t>
                  </w:r>
                </w:p>
              </w:tc>
              <w:tc>
                <w:tcPr>
                  <w:tcW w:w="1600" w:type="pct"/>
                  <w:shd w:val="clear" w:color="auto" w:fill="auto"/>
                  <w:vAlign w:val="center"/>
                </w:tcPr>
                <w:p w14:paraId="6F8CB82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液态，纯度</w:t>
                  </w:r>
                  <w:r>
                    <w:rPr>
                      <w:rFonts w:ascii="Times New Roman" w:hAnsi="Times New Roman" w:eastAsia="Times New Roman" w:cs="Times New Roman"/>
                      <w:color w:val="auto"/>
                      <w:spacing w:val="-2"/>
                      <w:sz w:val="21"/>
                      <w:szCs w:val="21"/>
                    </w:rPr>
                    <w:t>99%</w:t>
                  </w:r>
                </w:p>
              </w:tc>
              <w:tc>
                <w:tcPr>
                  <w:tcW w:w="464" w:type="pct"/>
                  <w:shd w:val="clear" w:color="auto" w:fill="auto"/>
                  <w:vAlign w:val="center"/>
                </w:tcPr>
                <w:p w14:paraId="604AB6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0.03</w:t>
                  </w:r>
                </w:p>
              </w:tc>
              <w:tc>
                <w:tcPr>
                  <w:tcW w:w="674" w:type="pct"/>
                  <w:shd w:val="clear" w:color="auto" w:fill="auto"/>
                  <w:vAlign w:val="center"/>
                </w:tcPr>
                <w:p w14:paraId="72FB9D4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0.001</w:t>
                  </w:r>
                </w:p>
              </w:tc>
              <w:tc>
                <w:tcPr>
                  <w:tcW w:w="673" w:type="pct"/>
                  <w:shd w:val="clear" w:color="auto" w:fill="auto"/>
                  <w:vAlign w:val="center"/>
                </w:tcPr>
                <w:p w14:paraId="5F9F411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2"/>
                      <w:sz w:val="21"/>
                      <w:szCs w:val="21"/>
                    </w:rPr>
                    <w:t>500mL/</w:t>
                  </w:r>
                  <w:r>
                    <w:rPr>
                      <w:color w:val="auto"/>
                      <w:spacing w:val="-2"/>
                      <w:sz w:val="21"/>
                      <w:szCs w:val="21"/>
                    </w:rPr>
                    <w:t>瓶</w:t>
                  </w:r>
                </w:p>
              </w:tc>
              <w:tc>
                <w:tcPr>
                  <w:tcW w:w="806" w:type="pct"/>
                  <w:shd w:val="clear" w:color="auto" w:fill="auto"/>
                  <w:vAlign w:val="center"/>
                </w:tcPr>
                <w:p w14:paraId="413DBE1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609B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5D9E631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柠檬酸</w:t>
                  </w:r>
                </w:p>
              </w:tc>
              <w:tc>
                <w:tcPr>
                  <w:tcW w:w="1600" w:type="pct"/>
                  <w:shd w:val="clear" w:color="auto" w:fill="auto"/>
                  <w:vAlign w:val="center"/>
                </w:tcPr>
                <w:p w14:paraId="4E7B974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w:t>
                  </w:r>
                </w:p>
              </w:tc>
              <w:tc>
                <w:tcPr>
                  <w:tcW w:w="464" w:type="pct"/>
                  <w:shd w:val="clear" w:color="auto" w:fill="auto"/>
                  <w:vAlign w:val="center"/>
                </w:tcPr>
                <w:p w14:paraId="37A5B00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4"/>
                      <w:sz w:val="21"/>
                      <w:szCs w:val="21"/>
                    </w:rPr>
                    <w:t>116.7</w:t>
                  </w:r>
                </w:p>
              </w:tc>
              <w:tc>
                <w:tcPr>
                  <w:tcW w:w="674" w:type="pct"/>
                  <w:shd w:val="clear" w:color="auto" w:fill="auto"/>
                  <w:vAlign w:val="center"/>
                </w:tcPr>
                <w:p w14:paraId="09DB6F1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2.5</w:t>
                  </w:r>
                </w:p>
              </w:tc>
              <w:tc>
                <w:tcPr>
                  <w:tcW w:w="673" w:type="pct"/>
                  <w:shd w:val="clear" w:color="auto" w:fill="auto"/>
                  <w:vAlign w:val="center"/>
                </w:tcPr>
                <w:p w14:paraId="2D53D9D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shd w:val="clear" w:color="auto" w:fill="auto"/>
                  <w:vAlign w:val="center"/>
                </w:tcPr>
                <w:p w14:paraId="1D33C24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7B4A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1522C4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焦磷酸铜</w:t>
                  </w:r>
                </w:p>
              </w:tc>
              <w:tc>
                <w:tcPr>
                  <w:tcW w:w="1600" w:type="pct"/>
                  <w:shd w:val="clear" w:color="auto" w:fill="auto"/>
                  <w:vAlign w:val="center"/>
                </w:tcPr>
                <w:p w14:paraId="574228D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w:t>
                  </w:r>
                </w:p>
              </w:tc>
              <w:tc>
                <w:tcPr>
                  <w:tcW w:w="464" w:type="pct"/>
                  <w:shd w:val="clear" w:color="auto" w:fill="auto"/>
                  <w:vAlign w:val="center"/>
                </w:tcPr>
                <w:p w14:paraId="2727DE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40</w:t>
                  </w:r>
                </w:p>
              </w:tc>
              <w:tc>
                <w:tcPr>
                  <w:tcW w:w="674" w:type="pct"/>
                  <w:shd w:val="clear" w:color="auto" w:fill="auto"/>
                  <w:vAlign w:val="center"/>
                </w:tcPr>
                <w:p w14:paraId="71F9BC0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074D7B1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20kg/</w:t>
                  </w:r>
                  <w:r>
                    <w:rPr>
                      <w:color w:val="auto"/>
                      <w:spacing w:val="-1"/>
                      <w:sz w:val="21"/>
                      <w:szCs w:val="21"/>
                    </w:rPr>
                    <w:t>袋</w:t>
                  </w:r>
                </w:p>
              </w:tc>
              <w:tc>
                <w:tcPr>
                  <w:tcW w:w="806" w:type="pct"/>
                  <w:shd w:val="clear" w:color="auto" w:fill="auto"/>
                  <w:vAlign w:val="center"/>
                </w:tcPr>
                <w:p w14:paraId="3CC1048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30DA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E4DE3D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3"/>
                      <w:sz w:val="21"/>
                      <w:szCs w:val="21"/>
                    </w:rPr>
                    <w:t>铜板</w:t>
                  </w:r>
                </w:p>
              </w:tc>
              <w:tc>
                <w:tcPr>
                  <w:tcW w:w="1600" w:type="pct"/>
                  <w:shd w:val="clear" w:color="auto" w:fill="auto"/>
                  <w:vAlign w:val="center"/>
                </w:tcPr>
                <w:p w14:paraId="0083540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99.9%</w:t>
                  </w:r>
                </w:p>
              </w:tc>
              <w:tc>
                <w:tcPr>
                  <w:tcW w:w="464" w:type="pct"/>
                  <w:shd w:val="clear" w:color="auto" w:fill="auto"/>
                  <w:vAlign w:val="center"/>
                </w:tcPr>
                <w:p w14:paraId="6938A8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211</w:t>
                  </w:r>
                </w:p>
              </w:tc>
              <w:tc>
                <w:tcPr>
                  <w:tcW w:w="674" w:type="pct"/>
                  <w:shd w:val="clear" w:color="auto" w:fill="auto"/>
                  <w:vAlign w:val="center"/>
                </w:tcPr>
                <w:p w14:paraId="156432E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673" w:type="pct"/>
                  <w:shd w:val="clear" w:color="auto" w:fill="auto"/>
                  <w:vAlign w:val="center"/>
                </w:tcPr>
                <w:p w14:paraId="2E9C2D41">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2"/>
                      <w:sz w:val="21"/>
                      <w:szCs w:val="21"/>
                    </w:rPr>
                    <w:t>50kg/</w:t>
                  </w:r>
                  <w:r>
                    <w:rPr>
                      <w:color w:val="auto"/>
                      <w:spacing w:val="-2"/>
                      <w:sz w:val="21"/>
                      <w:szCs w:val="21"/>
                    </w:rPr>
                    <w:t>桶</w:t>
                  </w:r>
                </w:p>
              </w:tc>
              <w:tc>
                <w:tcPr>
                  <w:tcW w:w="806" w:type="pct"/>
                  <w:shd w:val="clear" w:color="auto" w:fill="auto"/>
                  <w:vAlign w:val="center"/>
                </w:tcPr>
                <w:p w14:paraId="502063B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3AC7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357F49A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212" w:firstLine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化学镀镍添加剂</w:t>
                  </w:r>
                  <w:r>
                    <w:rPr>
                      <w:rFonts w:ascii="Times New Roman" w:hAnsi="Times New Roman" w:eastAsia="Times New Roman" w:cs="Times New Roman"/>
                      <w:color w:val="auto"/>
                      <w:spacing w:val="-2"/>
                      <w:sz w:val="21"/>
                      <w:szCs w:val="21"/>
                    </w:rPr>
                    <w:t>A</w:t>
                  </w:r>
                </w:p>
              </w:tc>
              <w:tc>
                <w:tcPr>
                  <w:tcW w:w="1600" w:type="pct"/>
                  <w:shd w:val="clear" w:color="auto" w:fill="auto"/>
                  <w:vAlign w:val="center"/>
                </w:tcPr>
                <w:p w14:paraId="276EEDB0">
                  <w:pPr>
                    <w:jc w:val="center"/>
                    <w:rPr>
                      <w:color w:val="auto"/>
                      <w:sz w:val="21"/>
                      <w:szCs w:val="21"/>
                      <w:lang w:val="en-US" w:eastAsia="en-US"/>
                    </w:rPr>
                  </w:pPr>
                  <w:r>
                    <w:rPr>
                      <w:rFonts w:hint="eastAsia"/>
                      <w:color w:val="auto"/>
                      <w:sz w:val="21"/>
                      <w:szCs w:val="21"/>
                      <w:lang w:val="en-US" w:eastAsia="zh-CN"/>
                    </w:rPr>
                    <w:t>液</w:t>
                  </w:r>
                  <w:r>
                    <w:rPr>
                      <w:rFonts w:hint="eastAsia"/>
                      <w:color w:val="auto"/>
                      <w:sz w:val="21"/>
                      <w:szCs w:val="21"/>
                      <w:lang w:val="en-US" w:eastAsia="en-US"/>
                    </w:rPr>
                    <w:t>态，要成分为硫酸镍40%、纯水60%。</w:t>
                  </w:r>
                </w:p>
              </w:tc>
              <w:tc>
                <w:tcPr>
                  <w:tcW w:w="464" w:type="pct"/>
                  <w:shd w:val="clear" w:color="auto" w:fill="auto"/>
                  <w:vAlign w:val="center"/>
                </w:tcPr>
                <w:p w14:paraId="43E1D1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217.7</w:t>
                  </w:r>
                </w:p>
              </w:tc>
              <w:tc>
                <w:tcPr>
                  <w:tcW w:w="674" w:type="pct"/>
                  <w:shd w:val="clear" w:color="auto" w:fill="auto"/>
                  <w:vAlign w:val="center"/>
                </w:tcPr>
                <w:p w14:paraId="7576B4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673" w:type="pct"/>
                  <w:shd w:val="clear" w:color="auto" w:fill="auto"/>
                  <w:vAlign w:val="center"/>
                </w:tcPr>
                <w:p w14:paraId="41DBD50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0C15947C">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2A06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403F123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217" w:firstLine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化学镀镍添加剂</w:t>
                  </w:r>
                  <w:r>
                    <w:rPr>
                      <w:rFonts w:ascii="Times New Roman" w:hAnsi="Times New Roman" w:eastAsia="Times New Roman" w:cs="Times New Roman"/>
                      <w:color w:val="auto"/>
                      <w:spacing w:val="-2"/>
                      <w:sz w:val="21"/>
                      <w:szCs w:val="21"/>
                    </w:rPr>
                    <w:t>B</w:t>
                  </w:r>
                </w:p>
              </w:tc>
              <w:tc>
                <w:tcPr>
                  <w:tcW w:w="1600" w:type="pct"/>
                  <w:shd w:val="clear" w:color="auto" w:fill="auto"/>
                  <w:vAlign w:val="center"/>
                </w:tcPr>
                <w:p w14:paraId="0E6AB195">
                  <w:pPr>
                    <w:jc w:val="center"/>
                    <w:rPr>
                      <w:color w:val="auto"/>
                      <w:sz w:val="21"/>
                      <w:szCs w:val="21"/>
                      <w:lang w:val="en-US" w:eastAsia="en-US"/>
                    </w:rPr>
                  </w:pPr>
                  <w:r>
                    <w:rPr>
                      <w:color w:val="auto"/>
                      <w:sz w:val="21"/>
                      <w:szCs w:val="21"/>
                    </w:rPr>
                    <w:t>液态，主要成分为次磷酸钠13%、有机酸29%、纯水58%。</w:t>
                  </w:r>
                </w:p>
              </w:tc>
              <w:tc>
                <w:tcPr>
                  <w:tcW w:w="464" w:type="pct"/>
                  <w:shd w:val="clear" w:color="auto" w:fill="auto"/>
                  <w:vAlign w:val="center"/>
                </w:tcPr>
                <w:p w14:paraId="0871F36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c>
                <w:tcPr>
                  <w:tcW w:w="674" w:type="pct"/>
                  <w:shd w:val="clear" w:color="auto" w:fill="auto"/>
                  <w:vAlign w:val="center"/>
                </w:tcPr>
                <w:p w14:paraId="52E5D5E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0.2</w:t>
                  </w:r>
                </w:p>
              </w:tc>
              <w:tc>
                <w:tcPr>
                  <w:tcW w:w="673" w:type="pct"/>
                  <w:shd w:val="clear" w:color="auto" w:fill="auto"/>
                  <w:vAlign w:val="center"/>
                </w:tcPr>
                <w:p w14:paraId="5B8B09D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6539E95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7673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7FB9879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217" w:firstLine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化学镀镍添加剂</w:t>
                  </w:r>
                  <w:r>
                    <w:rPr>
                      <w:rFonts w:ascii="Times New Roman" w:hAnsi="Times New Roman" w:eastAsia="Times New Roman" w:cs="Times New Roman"/>
                      <w:color w:val="auto"/>
                      <w:spacing w:val="-2"/>
                      <w:sz w:val="21"/>
                      <w:szCs w:val="21"/>
                    </w:rPr>
                    <w:t>C</w:t>
                  </w:r>
                </w:p>
              </w:tc>
              <w:tc>
                <w:tcPr>
                  <w:tcW w:w="1600" w:type="pct"/>
                  <w:shd w:val="clear" w:color="auto" w:fill="auto"/>
                  <w:vAlign w:val="center"/>
                </w:tcPr>
                <w:p w14:paraId="00D253F1">
                  <w:pPr>
                    <w:jc w:val="center"/>
                    <w:rPr>
                      <w:color w:val="auto"/>
                      <w:sz w:val="21"/>
                      <w:szCs w:val="21"/>
                      <w:lang w:val="en-US" w:eastAsia="en-US"/>
                    </w:rPr>
                  </w:pPr>
                  <w:r>
                    <w:rPr>
                      <w:color w:val="auto"/>
                      <w:sz w:val="21"/>
                      <w:szCs w:val="21"/>
                    </w:rPr>
                    <w:t>液态，主要成分为次磷酸钠43%、有机酸10%、纯水47%。</w:t>
                  </w:r>
                </w:p>
              </w:tc>
              <w:tc>
                <w:tcPr>
                  <w:tcW w:w="464" w:type="pct"/>
                  <w:shd w:val="clear" w:color="auto" w:fill="auto"/>
                  <w:vAlign w:val="center"/>
                </w:tcPr>
                <w:p w14:paraId="1A1EBB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5"/>
                      <w:sz w:val="21"/>
                      <w:szCs w:val="21"/>
                    </w:rPr>
                    <w:t>17.3</w:t>
                  </w:r>
                </w:p>
              </w:tc>
              <w:tc>
                <w:tcPr>
                  <w:tcW w:w="674" w:type="pct"/>
                  <w:shd w:val="clear" w:color="auto" w:fill="auto"/>
                  <w:vAlign w:val="center"/>
                </w:tcPr>
                <w:p w14:paraId="560ED0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0.5</w:t>
                  </w:r>
                </w:p>
              </w:tc>
              <w:tc>
                <w:tcPr>
                  <w:tcW w:w="673" w:type="pct"/>
                  <w:shd w:val="clear" w:color="auto" w:fill="auto"/>
                  <w:vAlign w:val="center"/>
                </w:tcPr>
                <w:p w14:paraId="2B08A83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761B8AF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580F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B75BAC0">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3"/>
                      <w:sz w:val="21"/>
                      <w:szCs w:val="21"/>
                    </w:rPr>
                    <w:t>锌板</w:t>
                  </w:r>
                </w:p>
              </w:tc>
              <w:tc>
                <w:tcPr>
                  <w:tcW w:w="1600" w:type="pct"/>
                  <w:shd w:val="clear" w:color="auto" w:fill="auto"/>
                  <w:vAlign w:val="center"/>
                </w:tcPr>
                <w:p w14:paraId="053271B0">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99.5%</w:t>
                  </w:r>
                </w:p>
              </w:tc>
              <w:tc>
                <w:tcPr>
                  <w:tcW w:w="464" w:type="pct"/>
                  <w:shd w:val="clear" w:color="auto" w:fill="auto"/>
                  <w:vAlign w:val="center"/>
                </w:tcPr>
                <w:p w14:paraId="6E1FD9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47.5</w:t>
                  </w:r>
                </w:p>
              </w:tc>
              <w:tc>
                <w:tcPr>
                  <w:tcW w:w="674" w:type="pct"/>
                  <w:shd w:val="clear" w:color="auto" w:fill="auto"/>
                  <w:vAlign w:val="center"/>
                </w:tcPr>
                <w:p w14:paraId="59A8971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673" w:type="pct"/>
                  <w:shd w:val="clear" w:color="auto" w:fill="auto"/>
                  <w:vAlign w:val="center"/>
                </w:tcPr>
                <w:p w14:paraId="66DB8C7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2"/>
                      <w:sz w:val="21"/>
                      <w:szCs w:val="21"/>
                    </w:rPr>
                    <w:t>50kg/</w:t>
                  </w:r>
                  <w:r>
                    <w:rPr>
                      <w:color w:val="auto"/>
                      <w:spacing w:val="-2"/>
                      <w:sz w:val="21"/>
                      <w:szCs w:val="21"/>
                    </w:rPr>
                    <w:t>桶</w:t>
                  </w:r>
                </w:p>
              </w:tc>
              <w:tc>
                <w:tcPr>
                  <w:tcW w:w="806" w:type="pct"/>
                  <w:shd w:val="clear" w:color="auto" w:fill="auto"/>
                  <w:vAlign w:val="center"/>
                </w:tcPr>
                <w:p w14:paraId="06E91C3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0709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17F7D17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氯化锌</w:t>
                  </w:r>
                </w:p>
              </w:tc>
              <w:tc>
                <w:tcPr>
                  <w:tcW w:w="1600" w:type="pct"/>
                  <w:shd w:val="clear" w:color="auto" w:fill="auto"/>
                  <w:vAlign w:val="center"/>
                </w:tcPr>
                <w:p w14:paraId="5421E55C">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98%</w:t>
                  </w:r>
                </w:p>
              </w:tc>
              <w:tc>
                <w:tcPr>
                  <w:tcW w:w="464" w:type="pct"/>
                  <w:shd w:val="clear" w:color="auto" w:fill="auto"/>
                  <w:vAlign w:val="center"/>
                </w:tcPr>
                <w:p w14:paraId="4EE25B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c>
                <w:tcPr>
                  <w:tcW w:w="674" w:type="pct"/>
                  <w:shd w:val="clear" w:color="auto" w:fill="auto"/>
                  <w:vAlign w:val="center"/>
                </w:tcPr>
                <w:p w14:paraId="3F34DD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0.2</w:t>
                  </w:r>
                </w:p>
              </w:tc>
              <w:tc>
                <w:tcPr>
                  <w:tcW w:w="673" w:type="pct"/>
                  <w:shd w:val="clear" w:color="auto" w:fill="auto"/>
                  <w:vAlign w:val="center"/>
                </w:tcPr>
                <w:p w14:paraId="0DD14C3C">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2"/>
                      <w:sz w:val="21"/>
                      <w:szCs w:val="21"/>
                    </w:rPr>
                    <w:t>50kg/</w:t>
                  </w:r>
                  <w:r>
                    <w:rPr>
                      <w:color w:val="auto"/>
                      <w:spacing w:val="-2"/>
                      <w:sz w:val="21"/>
                      <w:szCs w:val="21"/>
                    </w:rPr>
                    <w:t>桶</w:t>
                  </w:r>
                </w:p>
              </w:tc>
              <w:tc>
                <w:tcPr>
                  <w:tcW w:w="806" w:type="pct"/>
                  <w:shd w:val="clear" w:color="auto" w:fill="auto"/>
                  <w:vAlign w:val="center"/>
                </w:tcPr>
                <w:p w14:paraId="10703A0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F99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0E7EE050">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氯化钾</w:t>
                  </w:r>
                </w:p>
              </w:tc>
              <w:tc>
                <w:tcPr>
                  <w:tcW w:w="1600" w:type="pct"/>
                  <w:shd w:val="clear" w:color="auto" w:fill="auto"/>
                  <w:vAlign w:val="center"/>
                </w:tcPr>
                <w:p w14:paraId="6BF610E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4"/>
                      <w:sz w:val="21"/>
                      <w:szCs w:val="21"/>
                    </w:rPr>
                    <w:t>固态，纯度</w:t>
                  </w:r>
                  <w:r>
                    <w:rPr>
                      <w:rFonts w:ascii="Times New Roman" w:hAnsi="Times New Roman" w:eastAsia="Times New Roman" w:cs="Times New Roman"/>
                      <w:color w:val="auto"/>
                      <w:spacing w:val="-4"/>
                      <w:sz w:val="21"/>
                      <w:szCs w:val="21"/>
                    </w:rPr>
                    <w:t>99.5%</w:t>
                  </w:r>
                </w:p>
              </w:tc>
              <w:tc>
                <w:tcPr>
                  <w:tcW w:w="464" w:type="pct"/>
                  <w:shd w:val="clear" w:color="auto" w:fill="auto"/>
                  <w:vAlign w:val="center"/>
                </w:tcPr>
                <w:p w14:paraId="5CF4D7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66</w:t>
                  </w:r>
                </w:p>
              </w:tc>
              <w:tc>
                <w:tcPr>
                  <w:tcW w:w="674" w:type="pct"/>
                  <w:shd w:val="clear" w:color="auto" w:fill="auto"/>
                  <w:vAlign w:val="center"/>
                </w:tcPr>
                <w:p w14:paraId="1DF9CCD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5"/>
                      <w:sz w:val="21"/>
                      <w:szCs w:val="21"/>
                    </w:rPr>
                    <w:t>1.5</w:t>
                  </w:r>
                </w:p>
              </w:tc>
              <w:tc>
                <w:tcPr>
                  <w:tcW w:w="673" w:type="pct"/>
                  <w:shd w:val="clear" w:color="auto" w:fill="auto"/>
                  <w:vAlign w:val="center"/>
                </w:tcPr>
                <w:p w14:paraId="1068C01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shd w:val="clear" w:color="auto" w:fill="auto"/>
                  <w:vAlign w:val="center"/>
                </w:tcPr>
                <w:p w14:paraId="274CD98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7335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3322228C">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盐酸</w:t>
                  </w:r>
                </w:p>
              </w:tc>
              <w:tc>
                <w:tcPr>
                  <w:tcW w:w="1600" w:type="pct"/>
                  <w:shd w:val="clear" w:color="auto" w:fill="auto"/>
                  <w:vAlign w:val="center"/>
                </w:tcPr>
                <w:p w14:paraId="699028B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en-US" w:bidi="ar-SA"/>
                    </w:rPr>
                  </w:pPr>
                  <w:r>
                    <w:rPr>
                      <w:color w:val="auto"/>
                      <w:spacing w:val="-2"/>
                      <w:sz w:val="21"/>
                      <w:szCs w:val="21"/>
                    </w:rPr>
                    <w:t>液态，纯度</w:t>
                  </w:r>
                  <w:r>
                    <w:rPr>
                      <w:rFonts w:ascii="Times New Roman" w:hAnsi="Times New Roman" w:eastAsia="Times New Roman" w:cs="Times New Roman"/>
                      <w:color w:val="auto"/>
                      <w:spacing w:val="-2"/>
                      <w:sz w:val="21"/>
                      <w:szCs w:val="21"/>
                    </w:rPr>
                    <w:t>36%</w:t>
                  </w:r>
                </w:p>
              </w:tc>
              <w:tc>
                <w:tcPr>
                  <w:tcW w:w="464" w:type="pct"/>
                  <w:shd w:val="clear" w:color="auto" w:fill="auto"/>
                  <w:vAlign w:val="center"/>
                </w:tcPr>
                <w:p w14:paraId="2BB4B9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674" w:type="pct"/>
                  <w:shd w:val="clear" w:color="auto" w:fill="auto"/>
                  <w:vAlign w:val="center"/>
                </w:tcPr>
                <w:p w14:paraId="4FB3C3A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0.1</w:t>
                  </w:r>
                </w:p>
              </w:tc>
              <w:tc>
                <w:tcPr>
                  <w:tcW w:w="673" w:type="pct"/>
                  <w:shd w:val="clear" w:color="auto" w:fill="auto"/>
                  <w:vAlign w:val="center"/>
                </w:tcPr>
                <w:p w14:paraId="08FE9E3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2.5L/</w:t>
                  </w:r>
                  <w:r>
                    <w:rPr>
                      <w:color w:val="auto"/>
                      <w:spacing w:val="-1"/>
                      <w:sz w:val="21"/>
                      <w:szCs w:val="21"/>
                    </w:rPr>
                    <w:t>瓶</w:t>
                  </w:r>
                </w:p>
              </w:tc>
              <w:tc>
                <w:tcPr>
                  <w:tcW w:w="806" w:type="pct"/>
                  <w:shd w:val="clear" w:color="auto" w:fill="auto"/>
                  <w:vAlign w:val="center"/>
                </w:tcPr>
                <w:p w14:paraId="2A2E23F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3A3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766CB2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208" w:firstLine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三价铬蓝白</w:t>
                  </w:r>
                  <w:r>
                    <w:rPr>
                      <w:color w:val="auto"/>
                      <w:spacing w:val="-2"/>
                      <w:sz w:val="21"/>
                      <w:szCs w:val="21"/>
                    </w:rPr>
                    <w:t>钝化液</w:t>
                  </w:r>
                </w:p>
              </w:tc>
              <w:tc>
                <w:tcPr>
                  <w:tcW w:w="1600" w:type="pct"/>
                  <w:shd w:val="clear" w:color="auto" w:fill="auto"/>
                  <w:vAlign w:val="center"/>
                </w:tcPr>
                <w:p w14:paraId="35282122">
                  <w:pPr>
                    <w:jc w:val="center"/>
                    <w:rPr>
                      <w:color w:val="auto"/>
                      <w:sz w:val="21"/>
                      <w:szCs w:val="21"/>
                      <w:lang w:val="en-US" w:eastAsia="en-US"/>
                    </w:rPr>
                  </w:pPr>
                  <w:r>
                    <w:rPr>
                      <w:color w:val="auto"/>
                      <w:sz w:val="21"/>
                      <w:szCs w:val="21"/>
                    </w:rPr>
                    <w:t>液态，主要成分硝酸铬35%、促进剂10%、添加剂4%，硝酸1%、水50%。</w:t>
                  </w:r>
                </w:p>
              </w:tc>
              <w:tc>
                <w:tcPr>
                  <w:tcW w:w="464" w:type="pct"/>
                  <w:shd w:val="clear" w:color="auto" w:fill="auto"/>
                  <w:vAlign w:val="center"/>
                </w:tcPr>
                <w:p w14:paraId="6F23F92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c>
                <w:tcPr>
                  <w:tcW w:w="674" w:type="pct"/>
                  <w:shd w:val="clear" w:color="auto" w:fill="auto"/>
                  <w:vAlign w:val="center"/>
                </w:tcPr>
                <w:p w14:paraId="0C3F9C9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673" w:type="pct"/>
                  <w:shd w:val="clear" w:color="auto" w:fill="auto"/>
                  <w:vAlign w:val="center"/>
                </w:tcPr>
                <w:p w14:paraId="12EF20D3">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2C45421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EFE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6363F82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208" w:firstLine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三价铬五彩</w:t>
                  </w:r>
                  <w:r>
                    <w:rPr>
                      <w:color w:val="auto"/>
                      <w:spacing w:val="-2"/>
                      <w:sz w:val="21"/>
                      <w:szCs w:val="21"/>
                    </w:rPr>
                    <w:t>钝化液</w:t>
                  </w:r>
                </w:p>
              </w:tc>
              <w:tc>
                <w:tcPr>
                  <w:tcW w:w="1600" w:type="pct"/>
                  <w:shd w:val="clear" w:color="auto" w:fill="auto"/>
                  <w:vAlign w:val="center"/>
                </w:tcPr>
                <w:p w14:paraId="2C0EB363">
                  <w:pPr>
                    <w:jc w:val="center"/>
                    <w:rPr>
                      <w:color w:val="auto"/>
                      <w:sz w:val="21"/>
                      <w:szCs w:val="21"/>
                      <w:lang w:val="en-US" w:eastAsia="en-US"/>
                    </w:rPr>
                  </w:pPr>
                  <w:r>
                    <w:rPr>
                      <w:color w:val="auto"/>
                      <w:sz w:val="21"/>
                      <w:szCs w:val="21"/>
                    </w:rPr>
                    <w:t>液态，主要成分硝酸铬20%、硝酸钴10%、草酸钠30%、水40%。</w:t>
                  </w:r>
                </w:p>
              </w:tc>
              <w:tc>
                <w:tcPr>
                  <w:tcW w:w="464" w:type="pct"/>
                  <w:shd w:val="clear" w:color="auto" w:fill="auto"/>
                  <w:vAlign w:val="center"/>
                </w:tcPr>
                <w:p w14:paraId="1173F15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15</w:t>
                  </w:r>
                </w:p>
              </w:tc>
              <w:tc>
                <w:tcPr>
                  <w:tcW w:w="674" w:type="pct"/>
                  <w:shd w:val="clear" w:color="auto" w:fill="auto"/>
                  <w:vAlign w:val="center"/>
                </w:tcPr>
                <w:p w14:paraId="6E30A4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0.5</w:t>
                  </w:r>
                </w:p>
              </w:tc>
              <w:tc>
                <w:tcPr>
                  <w:tcW w:w="673" w:type="pct"/>
                  <w:shd w:val="clear" w:color="auto" w:fill="auto"/>
                  <w:vAlign w:val="center"/>
                </w:tcPr>
                <w:p w14:paraId="6B45795D">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1BB73C2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2E38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0912BD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auto"/>
                      <w:sz w:val="21"/>
                      <w:szCs w:val="21"/>
                    </w:rPr>
                  </w:pPr>
                </w:p>
                <w:p w14:paraId="1ABB50CB">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3"/>
                      <w:sz w:val="21"/>
                      <w:szCs w:val="21"/>
                    </w:rPr>
                    <w:t>高效封闭剂</w:t>
                  </w:r>
                </w:p>
              </w:tc>
              <w:tc>
                <w:tcPr>
                  <w:tcW w:w="1600" w:type="pct"/>
                  <w:shd w:val="clear" w:color="auto" w:fill="auto"/>
                  <w:vAlign w:val="center"/>
                </w:tcPr>
                <w:p w14:paraId="269C1903">
                  <w:pPr>
                    <w:jc w:val="center"/>
                    <w:rPr>
                      <w:color w:val="auto"/>
                      <w:sz w:val="21"/>
                      <w:szCs w:val="21"/>
                      <w:lang w:val="en-US" w:eastAsia="en-US"/>
                    </w:rPr>
                  </w:pPr>
                  <w:r>
                    <w:rPr>
                      <w:color w:val="auto"/>
                      <w:sz w:val="21"/>
                      <w:szCs w:val="21"/>
                    </w:rPr>
                    <w:t>液态，主要成分为纳米硅溶胶、钠盐、无机络合物、纯水。</w:t>
                  </w:r>
                </w:p>
              </w:tc>
              <w:tc>
                <w:tcPr>
                  <w:tcW w:w="464" w:type="pct"/>
                  <w:shd w:val="clear" w:color="auto" w:fill="auto"/>
                  <w:vAlign w:val="center"/>
                </w:tcPr>
                <w:p w14:paraId="53456FE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0.2</w:t>
                  </w:r>
                </w:p>
              </w:tc>
              <w:tc>
                <w:tcPr>
                  <w:tcW w:w="674" w:type="pct"/>
                  <w:shd w:val="clear" w:color="auto" w:fill="auto"/>
                  <w:vAlign w:val="center"/>
                </w:tcPr>
                <w:p w14:paraId="43BDD18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0.05</w:t>
                  </w:r>
                </w:p>
              </w:tc>
              <w:tc>
                <w:tcPr>
                  <w:tcW w:w="673" w:type="pct"/>
                  <w:shd w:val="clear" w:color="auto" w:fill="auto"/>
                  <w:vAlign w:val="center"/>
                </w:tcPr>
                <w:p w14:paraId="1E631FC6">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62ADD1D3">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711D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3D1A7561">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硫酸锌</w:t>
                  </w:r>
                </w:p>
              </w:tc>
              <w:tc>
                <w:tcPr>
                  <w:tcW w:w="1600" w:type="pct"/>
                  <w:shd w:val="clear" w:color="auto" w:fill="auto"/>
                  <w:vAlign w:val="center"/>
                </w:tcPr>
                <w:p w14:paraId="56E09321">
                  <w:pPr>
                    <w:jc w:val="center"/>
                    <w:rPr>
                      <w:color w:val="auto"/>
                      <w:sz w:val="21"/>
                      <w:szCs w:val="21"/>
                      <w:lang w:val="en-US" w:eastAsia="en-US"/>
                    </w:rPr>
                  </w:pPr>
                  <w:r>
                    <w:rPr>
                      <w:color w:val="auto"/>
                      <w:sz w:val="21"/>
                      <w:szCs w:val="21"/>
                    </w:rPr>
                    <w:t>固态，纯度99%</w:t>
                  </w:r>
                </w:p>
              </w:tc>
              <w:tc>
                <w:tcPr>
                  <w:tcW w:w="464" w:type="pct"/>
                  <w:shd w:val="clear" w:color="auto" w:fill="auto"/>
                  <w:vAlign w:val="center"/>
                </w:tcPr>
                <w:p w14:paraId="69B668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81</w:t>
                  </w:r>
                </w:p>
              </w:tc>
              <w:tc>
                <w:tcPr>
                  <w:tcW w:w="674" w:type="pct"/>
                  <w:shd w:val="clear" w:color="auto" w:fill="auto"/>
                  <w:vAlign w:val="center"/>
                </w:tcPr>
                <w:p w14:paraId="7CB26B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6EEC10D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20kg/</w:t>
                  </w:r>
                  <w:r>
                    <w:rPr>
                      <w:color w:val="auto"/>
                      <w:spacing w:val="-1"/>
                      <w:sz w:val="21"/>
                      <w:szCs w:val="21"/>
                    </w:rPr>
                    <w:t>桶</w:t>
                  </w:r>
                </w:p>
              </w:tc>
              <w:tc>
                <w:tcPr>
                  <w:tcW w:w="806" w:type="pct"/>
                  <w:shd w:val="clear" w:color="auto" w:fill="auto"/>
                  <w:vAlign w:val="center"/>
                </w:tcPr>
                <w:p w14:paraId="3C9AF3F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193E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249FC69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硫酸钠</w:t>
                  </w:r>
                </w:p>
              </w:tc>
              <w:tc>
                <w:tcPr>
                  <w:tcW w:w="1600" w:type="pct"/>
                  <w:shd w:val="clear" w:color="auto" w:fill="auto"/>
                  <w:vAlign w:val="center"/>
                </w:tcPr>
                <w:p w14:paraId="550EEEC1">
                  <w:pPr>
                    <w:jc w:val="center"/>
                    <w:rPr>
                      <w:color w:val="auto"/>
                      <w:sz w:val="21"/>
                      <w:szCs w:val="21"/>
                      <w:lang w:val="en-US" w:eastAsia="en-US"/>
                    </w:rPr>
                  </w:pPr>
                  <w:r>
                    <w:rPr>
                      <w:color w:val="auto"/>
                      <w:sz w:val="21"/>
                      <w:szCs w:val="21"/>
                    </w:rPr>
                    <w:t>固态，纯度99%</w:t>
                  </w:r>
                </w:p>
              </w:tc>
              <w:tc>
                <w:tcPr>
                  <w:tcW w:w="464" w:type="pct"/>
                  <w:shd w:val="clear" w:color="auto" w:fill="auto"/>
                  <w:vAlign w:val="center"/>
                </w:tcPr>
                <w:p w14:paraId="1D26A3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26.5</w:t>
                  </w:r>
                </w:p>
              </w:tc>
              <w:tc>
                <w:tcPr>
                  <w:tcW w:w="674" w:type="pct"/>
                  <w:shd w:val="clear" w:color="auto" w:fill="auto"/>
                  <w:vAlign w:val="center"/>
                </w:tcPr>
                <w:p w14:paraId="2B04CB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0.5</w:t>
                  </w:r>
                </w:p>
              </w:tc>
              <w:tc>
                <w:tcPr>
                  <w:tcW w:w="673" w:type="pct"/>
                  <w:shd w:val="clear" w:color="auto" w:fill="auto"/>
                  <w:vAlign w:val="center"/>
                </w:tcPr>
                <w:p w14:paraId="2880E66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袋</w:t>
                  </w:r>
                </w:p>
              </w:tc>
              <w:tc>
                <w:tcPr>
                  <w:tcW w:w="806" w:type="pct"/>
                  <w:shd w:val="clear" w:color="auto" w:fill="auto"/>
                  <w:vAlign w:val="center"/>
                </w:tcPr>
                <w:p w14:paraId="66BAB635">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20D8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2DCC2921">
                  <w:pPr>
                    <w:pStyle w:val="97"/>
                    <w:keepNext w:val="0"/>
                    <w:keepLines w:val="0"/>
                    <w:pageBreakBefore w:val="0"/>
                    <w:widowControl w:val="0"/>
                    <w:kinsoku/>
                    <w:wordWrap/>
                    <w:overflowPunct/>
                    <w:topLinePunct w:val="0"/>
                    <w:autoSpaceDE/>
                    <w:autoSpaceDN/>
                    <w:bidi w:val="0"/>
                    <w:adjustRightInd/>
                    <w:snapToGrid/>
                    <w:spacing w:line="240" w:lineRule="auto"/>
                    <w:ind w:left="0" w:leftChars="0" w:right="131" w:rightChars="0" w:hanging="316" w:firstLine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锌镍蓝白钝</w:t>
                  </w:r>
                  <w:r>
                    <w:rPr>
                      <w:color w:val="auto"/>
                      <w:spacing w:val="-2"/>
                      <w:sz w:val="21"/>
                      <w:szCs w:val="21"/>
                    </w:rPr>
                    <w:t>化剂</w:t>
                  </w:r>
                </w:p>
              </w:tc>
              <w:tc>
                <w:tcPr>
                  <w:tcW w:w="1600" w:type="pct"/>
                  <w:shd w:val="clear" w:color="auto" w:fill="auto"/>
                  <w:vAlign w:val="center"/>
                </w:tcPr>
                <w:p w14:paraId="1F32DDF7">
                  <w:pPr>
                    <w:jc w:val="center"/>
                    <w:rPr>
                      <w:color w:val="auto"/>
                      <w:sz w:val="21"/>
                      <w:szCs w:val="21"/>
                      <w:lang w:val="en-US" w:eastAsia="en-US"/>
                    </w:rPr>
                  </w:pPr>
                  <w:r>
                    <w:rPr>
                      <w:color w:val="auto"/>
                      <w:sz w:val="21"/>
                      <w:szCs w:val="21"/>
                    </w:rPr>
                    <w:t>液态，主要成分硝酸铬5%、硝酸钴5%、硝酸5%、水85%。</w:t>
                  </w:r>
                </w:p>
              </w:tc>
              <w:tc>
                <w:tcPr>
                  <w:tcW w:w="464" w:type="pct"/>
                  <w:shd w:val="clear" w:color="auto" w:fill="auto"/>
                  <w:vAlign w:val="center"/>
                </w:tcPr>
                <w:p w14:paraId="3D4A01F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82</w:t>
                  </w:r>
                </w:p>
              </w:tc>
              <w:tc>
                <w:tcPr>
                  <w:tcW w:w="674" w:type="pct"/>
                  <w:shd w:val="clear" w:color="auto" w:fill="auto"/>
                  <w:vAlign w:val="center"/>
                </w:tcPr>
                <w:p w14:paraId="5B27722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1A13B75B">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0F2425C7">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01E6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7A7D0A28">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磷化液</w:t>
                  </w:r>
                </w:p>
              </w:tc>
              <w:tc>
                <w:tcPr>
                  <w:tcW w:w="1600" w:type="pct"/>
                  <w:shd w:val="clear" w:color="auto" w:fill="auto"/>
                  <w:vAlign w:val="center"/>
                </w:tcPr>
                <w:p w14:paraId="05ED6D21">
                  <w:pPr>
                    <w:pStyle w:val="97"/>
                    <w:keepNext w:val="0"/>
                    <w:keepLines w:val="0"/>
                    <w:pageBreakBefore w:val="0"/>
                    <w:widowControl w:val="0"/>
                    <w:kinsoku/>
                    <w:wordWrap/>
                    <w:overflowPunct/>
                    <w:topLinePunct w:val="0"/>
                    <w:autoSpaceDE/>
                    <w:autoSpaceDN/>
                    <w:bidi w:val="0"/>
                    <w:adjustRightInd/>
                    <w:snapToGrid/>
                    <w:spacing w:line="240" w:lineRule="auto"/>
                    <w:ind w:left="0" w:right="112" w:firstLine="100"/>
                    <w:jc w:val="center"/>
                    <w:textAlignment w:val="auto"/>
                    <w:rPr>
                      <w:rFonts w:ascii="宋体" w:hAnsi="宋体" w:eastAsia="宋体" w:cs="宋体"/>
                      <w:color w:val="auto"/>
                      <w:kern w:val="2"/>
                      <w:sz w:val="21"/>
                      <w:szCs w:val="21"/>
                      <w:lang w:val="en-US" w:eastAsia="en-US" w:bidi="ar-SA"/>
                    </w:rPr>
                  </w:pPr>
                  <w:r>
                    <w:rPr>
                      <w:color w:val="auto"/>
                      <w:spacing w:val="-1"/>
                      <w:sz w:val="21"/>
                      <w:szCs w:val="21"/>
                    </w:rPr>
                    <w:t>液态，主要成分为磷酸</w:t>
                  </w:r>
                  <w:r>
                    <w:rPr>
                      <w:rFonts w:ascii="Times New Roman" w:hAnsi="Times New Roman" w:eastAsia="Times New Roman" w:cs="Times New Roman"/>
                      <w:color w:val="auto"/>
                      <w:spacing w:val="-5"/>
                      <w:sz w:val="21"/>
                      <w:szCs w:val="21"/>
                    </w:rPr>
                    <w:t>40%</w:t>
                  </w:r>
                  <w:r>
                    <w:rPr>
                      <w:color w:val="auto"/>
                      <w:spacing w:val="-5"/>
                      <w:sz w:val="21"/>
                      <w:szCs w:val="21"/>
                    </w:rPr>
                    <w:t>、硝酸锌</w:t>
                  </w:r>
                  <w:r>
                    <w:rPr>
                      <w:rFonts w:ascii="Times New Roman" w:hAnsi="Times New Roman" w:eastAsia="Times New Roman" w:cs="Times New Roman"/>
                      <w:color w:val="auto"/>
                      <w:spacing w:val="-5"/>
                      <w:sz w:val="21"/>
                      <w:szCs w:val="21"/>
                    </w:rPr>
                    <w:t>18%</w:t>
                  </w:r>
                  <w:r>
                    <w:rPr>
                      <w:color w:val="auto"/>
                      <w:spacing w:val="-5"/>
                      <w:sz w:val="21"/>
                      <w:szCs w:val="21"/>
                    </w:rPr>
                    <w:t>、氧化</w:t>
                  </w:r>
                  <w:r>
                    <w:rPr>
                      <w:color w:val="auto"/>
                      <w:spacing w:val="-2"/>
                      <w:sz w:val="21"/>
                      <w:szCs w:val="21"/>
                    </w:rPr>
                    <w:t>锌</w:t>
                  </w:r>
                  <w:r>
                    <w:rPr>
                      <w:rFonts w:ascii="Times New Roman" w:hAnsi="Times New Roman" w:eastAsia="Times New Roman" w:cs="Times New Roman"/>
                      <w:color w:val="auto"/>
                      <w:spacing w:val="-2"/>
                      <w:sz w:val="21"/>
                      <w:szCs w:val="21"/>
                    </w:rPr>
                    <w:t>10%</w:t>
                  </w:r>
                  <w:r>
                    <w:rPr>
                      <w:color w:val="auto"/>
                      <w:spacing w:val="-2"/>
                      <w:sz w:val="21"/>
                      <w:szCs w:val="21"/>
                    </w:rPr>
                    <w:t>、络合剂</w:t>
                  </w:r>
                  <w:r>
                    <w:rPr>
                      <w:rFonts w:ascii="Times New Roman" w:hAnsi="Times New Roman" w:eastAsia="Times New Roman" w:cs="Times New Roman"/>
                      <w:color w:val="auto"/>
                      <w:spacing w:val="-2"/>
                      <w:sz w:val="21"/>
                      <w:szCs w:val="21"/>
                    </w:rPr>
                    <w:t>5%</w:t>
                  </w:r>
                  <w:r>
                    <w:rPr>
                      <w:color w:val="auto"/>
                      <w:spacing w:val="-2"/>
                      <w:sz w:val="21"/>
                      <w:szCs w:val="21"/>
                    </w:rPr>
                    <w:t>，其余为水。</w:t>
                  </w:r>
                </w:p>
              </w:tc>
              <w:tc>
                <w:tcPr>
                  <w:tcW w:w="464" w:type="pct"/>
                  <w:shd w:val="clear" w:color="auto" w:fill="auto"/>
                  <w:vAlign w:val="center"/>
                </w:tcPr>
                <w:p w14:paraId="0E5B61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66.95</w:t>
                  </w:r>
                </w:p>
              </w:tc>
              <w:tc>
                <w:tcPr>
                  <w:tcW w:w="674" w:type="pct"/>
                  <w:shd w:val="clear" w:color="auto" w:fill="auto"/>
                  <w:vAlign w:val="center"/>
                </w:tcPr>
                <w:p w14:paraId="5E7EA9D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673" w:type="pct"/>
                  <w:shd w:val="clear" w:color="auto" w:fill="auto"/>
                  <w:vAlign w:val="center"/>
                </w:tcPr>
                <w:p w14:paraId="5E198D2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01D81BA1">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5307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7355721E">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脱水封闭剂</w:t>
                  </w:r>
                </w:p>
              </w:tc>
              <w:tc>
                <w:tcPr>
                  <w:tcW w:w="1600" w:type="pct"/>
                  <w:shd w:val="clear" w:color="auto" w:fill="auto"/>
                  <w:vAlign w:val="center"/>
                </w:tcPr>
                <w:p w14:paraId="7569AF72">
                  <w:pPr>
                    <w:pStyle w:val="97"/>
                    <w:keepNext w:val="0"/>
                    <w:keepLines w:val="0"/>
                    <w:pageBreakBefore w:val="0"/>
                    <w:widowControl w:val="0"/>
                    <w:kinsoku/>
                    <w:wordWrap/>
                    <w:overflowPunct/>
                    <w:topLinePunct w:val="0"/>
                    <w:autoSpaceDE/>
                    <w:autoSpaceDN/>
                    <w:bidi w:val="0"/>
                    <w:adjustRightInd/>
                    <w:snapToGrid/>
                    <w:spacing w:line="240" w:lineRule="auto"/>
                    <w:ind w:left="0" w:right="111" w:hanging="235"/>
                    <w:jc w:val="center"/>
                    <w:textAlignment w:val="auto"/>
                    <w:rPr>
                      <w:color w:val="auto"/>
                      <w:sz w:val="21"/>
                      <w:szCs w:val="21"/>
                    </w:rPr>
                  </w:pPr>
                  <w:r>
                    <w:rPr>
                      <w:color w:val="auto"/>
                      <w:spacing w:val="-4"/>
                      <w:sz w:val="21"/>
                      <w:szCs w:val="21"/>
                    </w:rPr>
                    <w:t>液态，主要成分为多聚酸</w:t>
                  </w:r>
                  <w:r>
                    <w:rPr>
                      <w:color w:val="auto"/>
                      <w:spacing w:val="-1"/>
                      <w:sz w:val="21"/>
                      <w:szCs w:val="21"/>
                    </w:rPr>
                    <w:t>胺</w:t>
                  </w:r>
                  <w:r>
                    <w:rPr>
                      <w:rFonts w:ascii="Times New Roman" w:hAnsi="Times New Roman" w:eastAsia="Times New Roman" w:cs="Times New Roman"/>
                      <w:color w:val="auto"/>
                      <w:spacing w:val="-1"/>
                      <w:sz w:val="21"/>
                      <w:szCs w:val="21"/>
                    </w:rPr>
                    <w:t>20~35%</w:t>
                  </w:r>
                  <w:r>
                    <w:rPr>
                      <w:color w:val="auto"/>
                      <w:spacing w:val="-1"/>
                      <w:sz w:val="21"/>
                      <w:szCs w:val="21"/>
                    </w:rPr>
                    <w:t>、螯合剂</w:t>
                  </w:r>
                </w:p>
                <w:p w14:paraId="26309159">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3~5%</w:t>
                  </w:r>
                  <w:r>
                    <w:rPr>
                      <w:color w:val="auto"/>
                      <w:spacing w:val="-3"/>
                      <w:sz w:val="21"/>
                      <w:szCs w:val="21"/>
                    </w:rPr>
                    <w:t>，其余为水。</w:t>
                  </w:r>
                </w:p>
              </w:tc>
              <w:tc>
                <w:tcPr>
                  <w:tcW w:w="464" w:type="pct"/>
                  <w:shd w:val="clear" w:color="auto" w:fill="auto"/>
                  <w:vAlign w:val="center"/>
                </w:tcPr>
                <w:p w14:paraId="55221F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40.3</w:t>
                  </w:r>
                </w:p>
              </w:tc>
              <w:tc>
                <w:tcPr>
                  <w:tcW w:w="674" w:type="pct"/>
                  <w:shd w:val="clear" w:color="auto" w:fill="auto"/>
                  <w:vAlign w:val="center"/>
                </w:tcPr>
                <w:p w14:paraId="435703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673" w:type="pct"/>
                  <w:shd w:val="clear" w:color="auto" w:fill="auto"/>
                  <w:vAlign w:val="center"/>
                </w:tcPr>
                <w:p w14:paraId="52C076FA">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049F9667">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0F52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3D44EE07">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洗封剂</w:t>
                  </w:r>
                </w:p>
              </w:tc>
              <w:tc>
                <w:tcPr>
                  <w:tcW w:w="1600" w:type="pct"/>
                  <w:shd w:val="clear" w:color="auto" w:fill="auto"/>
                  <w:vAlign w:val="center"/>
                </w:tcPr>
                <w:p w14:paraId="0CEEDF44">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1"/>
                      <w:sz w:val="21"/>
                      <w:szCs w:val="21"/>
                    </w:rPr>
                    <w:t>液态，主要成分为磷酸</w:t>
                  </w:r>
                  <w:r>
                    <w:rPr>
                      <w:rFonts w:ascii="Times New Roman" w:hAnsi="Times New Roman" w:eastAsia="Times New Roman" w:cs="Times New Roman"/>
                      <w:color w:val="auto"/>
                      <w:spacing w:val="-2"/>
                      <w:sz w:val="21"/>
                      <w:szCs w:val="21"/>
                    </w:rPr>
                    <w:t>35%</w:t>
                  </w:r>
                  <w:r>
                    <w:rPr>
                      <w:color w:val="auto"/>
                      <w:spacing w:val="-2"/>
                      <w:sz w:val="21"/>
                      <w:szCs w:val="21"/>
                    </w:rPr>
                    <w:t>、氧化锌</w:t>
                  </w:r>
                  <w:r>
                    <w:rPr>
                      <w:rFonts w:ascii="Times New Roman" w:hAnsi="Times New Roman" w:eastAsia="Times New Roman" w:cs="Times New Roman"/>
                      <w:color w:val="auto"/>
                      <w:spacing w:val="-2"/>
                      <w:sz w:val="21"/>
                      <w:szCs w:val="21"/>
                    </w:rPr>
                    <w:t>7%</w:t>
                  </w:r>
                  <w:r>
                    <w:rPr>
                      <w:color w:val="auto"/>
                      <w:spacing w:val="-2"/>
                      <w:sz w:val="21"/>
                      <w:szCs w:val="21"/>
                    </w:rPr>
                    <w:t>、络合</w:t>
                  </w:r>
                  <w:r>
                    <w:rPr>
                      <w:color w:val="auto"/>
                      <w:spacing w:val="-6"/>
                      <w:sz w:val="21"/>
                      <w:szCs w:val="21"/>
                    </w:rPr>
                    <w:t>剂</w:t>
                  </w:r>
                  <w:r>
                    <w:rPr>
                      <w:rFonts w:ascii="Times New Roman" w:hAnsi="Times New Roman" w:eastAsia="Times New Roman" w:cs="Times New Roman"/>
                      <w:color w:val="auto"/>
                      <w:spacing w:val="-6"/>
                      <w:sz w:val="21"/>
                      <w:szCs w:val="21"/>
                    </w:rPr>
                    <w:t>1%</w:t>
                  </w:r>
                  <w:r>
                    <w:rPr>
                      <w:color w:val="auto"/>
                      <w:spacing w:val="-6"/>
                      <w:sz w:val="21"/>
                      <w:szCs w:val="21"/>
                    </w:rPr>
                    <w:t>、水</w:t>
                  </w:r>
                  <w:r>
                    <w:rPr>
                      <w:rFonts w:ascii="Times New Roman" w:hAnsi="Times New Roman" w:eastAsia="Times New Roman" w:cs="Times New Roman"/>
                      <w:color w:val="auto"/>
                      <w:spacing w:val="-6"/>
                      <w:sz w:val="21"/>
                      <w:szCs w:val="21"/>
                    </w:rPr>
                    <w:t>47%</w:t>
                  </w:r>
                  <w:r>
                    <w:rPr>
                      <w:color w:val="auto"/>
                      <w:spacing w:val="-6"/>
                      <w:sz w:val="21"/>
                      <w:szCs w:val="21"/>
                    </w:rPr>
                    <w:t>。</w:t>
                  </w:r>
                </w:p>
              </w:tc>
              <w:tc>
                <w:tcPr>
                  <w:tcW w:w="464" w:type="pct"/>
                  <w:shd w:val="clear" w:color="auto" w:fill="auto"/>
                  <w:vAlign w:val="center"/>
                </w:tcPr>
                <w:p w14:paraId="694AD42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17</w:t>
                  </w:r>
                </w:p>
              </w:tc>
              <w:tc>
                <w:tcPr>
                  <w:tcW w:w="674" w:type="pct"/>
                  <w:shd w:val="clear" w:color="auto" w:fill="auto"/>
                  <w:vAlign w:val="center"/>
                </w:tcPr>
                <w:p w14:paraId="6050D2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0.4</w:t>
                  </w:r>
                </w:p>
              </w:tc>
              <w:tc>
                <w:tcPr>
                  <w:tcW w:w="673" w:type="pct"/>
                  <w:shd w:val="clear" w:color="auto" w:fill="auto"/>
                  <w:vAlign w:val="center"/>
                </w:tcPr>
                <w:p w14:paraId="5FE8C652">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1"/>
                      <w:sz w:val="21"/>
                      <w:szCs w:val="21"/>
                    </w:rPr>
                    <w:t>25kg/</w:t>
                  </w:r>
                  <w:r>
                    <w:rPr>
                      <w:color w:val="auto"/>
                      <w:spacing w:val="-1"/>
                      <w:sz w:val="21"/>
                      <w:szCs w:val="21"/>
                    </w:rPr>
                    <w:t>桶</w:t>
                  </w:r>
                </w:p>
              </w:tc>
              <w:tc>
                <w:tcPr>
                  <w:tcW w:w="806" w:type="pct"/>
                  <w:shd w:val="clear" w:color="auto" w:fill="auto"/>
                  <w:vAlign w:val="center"/>
                </w:tcPr>
                <w:p w14:paraId="2CEC821F">
                  <w:pPr>
                    <w:pStyle w:val="9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2"/>
                      <w:sz w:val="21"/>
                      <w:szCs w:val="21"/>
                    </w:rPr>
                    <w:t>仓库</w:t>
                  </w:r>
                </w:p>
              </w:tc>
            </w:tr>
            <w:tr w14:paraId="2934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0" w:type="pct"/>
                  <w:shd w:val="clear" w:color="auto" w:fill="auto"/>
                  <w:vAlign w:val="center"/>
                </w:tcPr>
                <w:p w14:paraId="7067EB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环氧树脂EED-060M</w:t>
                  </w:r>
                </w:p>
              </w:tc>
              <w:tc>
                <w:tcPr>
                  <w:tcW w:w="1600" w:type="pct"/>
                  <w:shd w:val="clear" w:color="auto" w:fill="auto"/>
                  <w:vAlign w:val="center"/>
                </w:tcPr>
                <w:p w14:paraId="117047F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液态，主要成分为糊状环</w:t>
                  </w:r>
                </w:p>
                <w:p w14:paraId="23CA88B3">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氧树脂35%、乙二醇单丁醚8%、纯水57%。</w:t>
                  </w:r>
                </w:p>
              </w:tc>
              <w:tc>
                <w:tcPr>
                  <w:tcW w:w="464" w:type="pct"/>
                  <w:shd w:val="clear" w:color="auto" w:fill="auto"/>
                  <w:vAlign w:val="center"/>
                </w:tcPr>
                <w:p w14:paraId="494E7C1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83.42</w:t>
                  </w:r>
                </w:p>
              </w:tc>
              <w:tc>
                <w:tcPr>
                  <w:tcW w:w="674" w:type="pct"/>
                  <w:shd w:val="clear" w:color="auto" w:fill="auto"/>
                  <w:vAlign w:val="center"/>
                </w:tcPr>
                <w:p w14:paraId="0B2422A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2</w:t>
                  </w:r>
                </w:p>
              </w:tc>
              <w:tc>
                <w:tcPr>
                  <w:tcW w:w="673" w:type="pct"/>
                  <w:shd w:val="clear" w:color="auto" w:fill="auto"/>
                  <w:vAlign w:val="center"/>
                </w:tcPr>
                <w:p w14:paraId="3D19C86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25kg/桶</w:t>
                  </w:r>
                </w:p>
              </w:tc>
              <w:tc>
                <w:tcPr>
                  <w:tcW w:w="806" w:type="pct"/>
                  <w:shd w:val="clear" w:color="auto" w:fill="auto"/>
                  <w:vAlign w:val="center"/>
                </w:tcPr>
                <w:p w14:paraId="5022F84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1ADD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3E43891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色膏</w:t>
                  </w:r>
                </w:p>
                <w:p w14:paraId="6F42E82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EEB-068C</w:t>
                  </w:r>
                </w:p>
              </w:tc>
              <w:tc>
                <w:tcPr>
                  <w:tcW w:w="2970" w:type="dxa"/>
                  <w:shd w:val="clear" w:color="auto" w:fill="auto"/>
                  <w:vAlign w:val="center"/>
                </w:tcPr>
                <w:p w14:paraId="78760FF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液态，主要成分为环氧树脂15%、炭黑5%、乙二醇单丁醚8%、纯水72%。</w:t>
                  </w:r>
                </w:p>
              </w:tc>
              <w:tc>
                <w:tcPr>
                  <w:tcW w:w="861" w:type="dxa"/>
                  <w:shd w:val="clear" w:color="auto" w:fill="auto"/>
                  <w:vAlign w:val="center"/>
                </w:tcPr>
                <w:p w14:paraId="45BF29A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20.86</w:t>
                  </w:r>
                </w:p>
              </w:tc>
              <w:tc>
                <w:tcPr>
                  <w:tcW w:w="1251" w:type="dxa"/>
                  <w:shd w:val="clear" w:color="auto" w:fill="auto"/>
                  <w:vAlign w:val="center"/>
                </w:tcPr>
                <w:p w14:paraId="36396A7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0.5</w:t>
                  </w:r>
                </w:p>
              </w:tc>
              <w:tc>
                <w:tcPr>
                  <w:tcW w:w="1249" w:type="dxa"/>
                  <w:shd w:val="clear" w:color="auto" w:fill="auto"/>
                  <w:vAlign w:val="center"/>
                </w:tcPr>
                <w:p w14:paraId="7BB82CF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50kg/桶</w:t>
                  </w:r>
                </w:p>
              </w:tc>
              <w:tc>
                <w:tcPr>
                  <w:tcW w:w="1496" w:type="dxa"/>
                  <w:shd w:val="clear" w:color="auto" w:fill="auto"/>
                  <w:vAlign w:val="center"/>
                </w:tcPr>
                <w:p w14:paraId="1DCDD15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5163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6B6352F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溶剂</w:t>
                  </w:r>
                </w:p>
                <w:p w14:paraId="1AB8C14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S-210A/脱</w:t>
                  </w:r>
                </w:p>
                <w:p w14:paraId="4182029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水剂</w:t>
                  </w:r>
                </w:p>
              </w:tc>
              <w:tc>
                <w:tcPr>
                  <w:tcW w:w="2970" w:type="dxa"/>
                  <w:shd w:val="clear" w:color="auto" w:fill="auto"/>
                  <w:vAlign w:val="center"/>
                </w:tcPr>
                <w:p w14:paraId="6D8669A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液态，主要成分为乙二醇单丁醚45%、纯水55%。</w:t>
                  </w:r>
                </w:p>
              </w:tc>
              <w:tc>
                <w:tcPr>
                  <w:tcW w:w="861" w:type="dxa"/>
                  <w:shd w:val="clear" w:color="auto" w:fill="auto"/>
                  <w:vAlign w:val="center"/>
                </w:tcPr>
                <w:p w14:paraId="7E8B4813">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7.425</w:t>
                  </w:r>
                </w:p>
              </w:tc>
              <w:tc>
                <w:tcPr>
                  <w:tcW w:w="1251" w:type="dxa"/>
                  <w:shd w:val="clear" w:color="auto" w:fill="auto"/>
                  <w:vAlign w:val="center"/>
                </w:tcPr>
                <w:p w14:paraId="09A235C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0.5</w:t>
                  </w:r>
                </w:p>
              </w:tc>
              <w:tc>
                <w:tcPr>
                  <w:tcW w:w="1249" w:type="dxa"/>
                  <w:shd w:val="clear" w:color="auto" w:fill="auto"/>
                  <w:vAlign w:val="center"/>
                </w:tcPr>
                <w:p w14:paraId="0BEBD14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25kg/桶</w:t>
                  </w:r>
                </w:p>
              </w:tc>
              <w:tc>
                <w:tcPr>
                  <w:tcW w:w="1496" w:type="dxa"/>
                  <w:shd w:val="clear" w:color="auto" w:fill="auto"/>
                  <w:vAlign w:val="center"/>
                </w:tcPr>
                <w:p w14:paraId="0D69D2D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08FB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0932AD1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锡板</w:t>
                  </w:r>
                </w:p>
              </w:tc>
              <w:tc>
                <w:tcPr>
                  <w:tcW w:w="2970" w:type="dxa"/>
                  <w:shd w:val="clear" w:color="auto" w:fill="auto"/>
                  <w:vAlign w:val="center"/>
                </w:tcPr>
                <w:p w14:paraId="68B13A2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固态，纯度99.5%</w:t>
                  </w:r>
                </w:p>
              </w:tc>
              <w:tc>
                <w:tcPr>
                  <w:tcW w:w="861" w:type="dxa"/>
                  <w:shd w:val="clear" w:color="auto" w:fill="auto"/>
                  <w:vAlign w:val="center"/>
                </w:tcPr>
                <w:p w14:paraId="79D36AB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14.8</w:t>
                  </w:r>
                </w:p>
              </w:tc>
              <w:tc>
                <w:tcPr>
                  <w:tcW w:w="1251" w:type="dxa"/>
                  <w:shd w:val="clear" w:color="auto" w:fill="auto"/>
                  <w:vAlign w:val="center"/>
                </w:tcPr>
                <w:p w14:paraId="4DAE8A0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0.3</w:t>
                  </w:r>
                </w:p>
              </w:tc>
              <w:tc>
                <w:tcPr>
                  <w:tcW w:w="1249" w:type="dxa"/>
                  <w:shd w:val="clear" w:color="auto" w:fill="auto"/>
                  <w:vAlign w:val="center"/>
                </w:tcPr>
                <w:p w14:paraId="6874D93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5kg/PCS</w:t>
                  </w:r>
                </w:p>
              </w:tc>
              <w:tc>
                <w:tcPr>
                  <w:tcW w:w="1496" w:type="dxa"/>
                  <w:shd w:val="clear" w:color="auto" w:fill="auto"/>
                  <w:vAlign w:val="center"/>
                </w:tcPr>
                <w:p w14:paraId="109A6DC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0FE2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0F81453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硫酸亚锡</w:t>
                  </w:r>
                </w:p>
              </w:tc>
              <w:tc>
                <w:tcPr>
                  <w:tcW w:w="2970" w:type="dxa"/>
                  <w:shd w:val="clear" w:color="auto" w:fill="auto"/>
                  <w:vAlign w:val="center"/>
                </w:tcPr>
                <w:p w14:paraId="61D25F2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固态，纯度99%</w:t>
                  </w:r>
                </w:p>
              </w:tc>
              <w:tc>
                <w:tcPr>
                  <w:tcW w:w="861" w:type="dxa"/>
                  <w:shd w:val="clear" w:color="auto" w:fill="auto"/>
                  <w:vAlign w:val="center"/>
                </w:tcPr>
                <w:p w14:paraId="02BB626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10</w:t>
                  </w:r>
                </w:p>
              </w:tc>
              <w:tc>
                <w:tcPr>
                  <w:tcW w:w="1251" w:type="dxa"/>
                  <w:shd w:val="clear" w:color="auto" w:fill="auto"/>
                  <w:vAlign w:val="center"/>
                </w:tcPr>
                <w:p w14:paraId="73730FC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0.3</w:t>
                  </w:r>
                </w:p>
              </w:tc>
              <w:tc>
                <w:tcPr>
                  <w:tcW w:w="1249" w:type="dxa"/>
                  <w:shd w:val="clear" w:color="auto" w:fill="auto"/>
                  <w:vAlign w:val="center"/>
                </w:tcPr>
                <w:p w14:paraId="4792CEF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5kg/桶</w:t>
                  </w:r>
                </w:p>
              </w:tc>
              <w:tc>
                <w:tcPr>
                  <w:tcW w:w="1496" w:type="dxa"/>
                  <w:shd w:val="clear" w:color="auto" w:fill="auto"/>
                  <w:vAlign w:val="center"/>
                </w:tcPr>
                <w:p w14:paraId="514A8B4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5B3F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257CA39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脱漆剂</w:t>
                  </w:r>
                </w:p>
              </w:tc>
              <w:tc>
                <w:tcPr>
                  <w:tcW w:w="2970" w:type="dxa"/>
                  <w:shd w:val="clear" w:color="auto" w:fill="auto"/>
                  <w:vAlign w:val="center"/>
                </w:tcPr>
                <w:p w14:paraId="233F40B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液态，主要成分为混合烷75%、混合醇6%、混合酚9%、混合酸8%、石蜡</w:t>
                  </w:r>
                </w:p>
                <w:p w14:paraId="09E119C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1%、水1%。</w:t>
                  </w:r>
                </w:p>
              </w:tc>
              <w:tc>
                <w:tcPr>
                  <w:tcW w:w="861" w:type="dxa"/>
                  <w:shd w:val="clear" w:color="auto" w:fill="auto"/>
                  <w:vAlign w:val="center"/>
                </w:tcPr>
                <w:p w14:paraId="5BC1508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72</w:t>
                  </w:r>
                </w:p>
              </w:tc>
              <w:tc>
                <w:tcPr>
                  <w:tcW w:w="1251" w:type="dxa"/>
                  <w:shd w:val="clear" w:color="auto" w:fill="auto"/>
                  <w:vAlign w:val="center"/>
                </w:tcPr>
                <w:p w14:paraId="6BE3941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1.5</w:t>
                  </w:r>
                </w:p>
              </w:tc>
              <w:tc>
                <w:tcPr>
                  <w:tcW w:w="1249" w:type="dxa"/>
                  <w:shd w:val="clear" w:color="auto" w:fill="auto"/>
                  <w:vAlign w:val="center"/>
                </w:tcPr>
                <w:p w14:paraId="6B80946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25kg/桶</w:t>
                  </w:r>
                </w:p>
              </w:tc>
              <w:tc>
                <w:tcPr>
                  <w:tcW w:w="1496" w:type="dxa"/>
                  <w:shd w:val="clear" w:color="auto" w:fill="auto"/>
                  <w:vAlign w:val="center"/>
                </w:tcPr>
                <w:p w14:paraId="1FA624D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28EA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1D1FFFD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片碱</w:t>
                  </w:r>
                </w:p>
              </w:tc>
              <w:tc>
                <w:tcPr>
                  <w:tcW w:w="2970" w:type="dxa"/>
                  <w:shd w:val="clear" w:color="auto" w:fill="auto"/>
                  <w:vAlign w:val="center"/>
                </w:tcPr>
                <w:p w14:paraId="2D724F3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固态，纯度99%</w:t>
                  </w:r>
                </w:p>
              </w:tc>
              <w:tc>
                <w:tcPr>
                  <w:tcW w:w="861" w:type="dxa"/>
                  <w:shd w:val="clear" w:color="auto" w:fill="auto"/>
                  <w:vAlign w:val="center"/>
                </w:tcPr>
                <w:p w14:paraId="71C7A2E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2</w:t>
                  </w:r>
                </w:p>
              </w:tc>
              <w:tc>
                <w:tcPr>
                  <w:tcW w:w="1251" w:type="dxa"/>
                  <w:shd w:val="clear" w:color="auto" w:fill="auto"/>
                  <w:vAlign w:val="center"/>
                </w:tcPr>
                <w:p w14:paraId="3D148D4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0.5</w:t>
                  </w:r>
                </w:p>
              </w:tc>
              <w:tc>
                <w:tcPr>
                  <w:tcW w:w="1249" w:type="dxa"/>
                  <w:shd w:val="clear" w:color="auto" w:fill="auto"/>
                  <w:vAlign w:val="center"/>
                </w:tcPr>
                <w:p w14:paraId="2AB967A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25kg/袋</w:t>
                  </w:r>
                </w:p>
              </w:tc>
              <w:tc>
                <w:tcPr>
                  <w:tcW w:w="1496" w:type="dxa"/>
                  <w:shd w:val="clear" w:color="auto" w:fill="auto"/>
                  <w:vAlign w:val="center"/>
                </w:tcPr>
                <w:p w14:paraId="6450439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7333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2FDF72A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亚硝酸钠</w:t>
                  </w:r>
                </w:p>
              </w:tc>
              <w:tc>
                <w:tcPr>
                  <w:tcW w:w="2970" w:type="dxa"/>
                  <w:shd w:val="clear" w:color="auto" w:fill="auto"/>
                  <w:vAlign w:val="center"/>
                </w:tcPr>
                <w:p w14:paraId="63F81AD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固态，纯度99%</w:t>
                  </w:r>
                </w:p>
              </w:tc>
              <w:tc>
                <w:tcPr>
                  <w:tcW w:w="861" w:type="dxa"/>
                  <w:shd w:val="clear" w:color="auto" w:fill="auto"/>
                  <w:vAlign w:val="center"/>
                </w:tcPr>
                <w:p w14:paraId="58DE91E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w:t>
                  </w:r>
                </w:p>
              </w:tc>
              <w:tc>
                <w:tcPr>
                  <w:tcW w:w="1251" w:type="dxa"/>
                  <w:shd w:val="clear" w:color="auto" w:fill="auto"/>
                  <w:vAlign w:val="center"/>
                </w:tcPr>
                <w:p w14:paraId="5521ED4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0.1</w:t>
                  </w:r>
                </w:p>
              </w:tc>
              <w:tc>
                <w:tcPr>
                  <w:tcW w:w="1249" w:type="dxa"/>
                  <w:shd w:val="clear" w:color="auto" w:fill="auto"/>
                  <w:vAlign w:val="center"/>
                </w:tcPr>
                <w:p w14:paraId="59E2435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25kg/袋</w:t>
                  </w:r>
                </w:p>
              </w:tc>
              <w:tc>
                <w:tcPr>
                  <w:tcW w:w="1496" w:type="dxa"/>
                  <w:shd w:val="clear" w:color="auto" w:fill="auto"/>
                  <w:vAlign w:val="center"/>
                </w:tcPr>
                <w:p w14:paraId="511A285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45A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674288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剥离剂</w:t>
                  </w:r>
                </w:p>
              </w:tc>
              <w:tc>
                <w:tcPr>
                  <w:tcW w:w="2970" w:type="dxa"/>
                  <w:shd w:val="clear" w:color="auto" w:fill="auto"/>
                  <w:vAlign w:val="center"/>
                </w:tcPr>
                <w:p w14:paraId="2F29227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液态，主要成分为芳香系</w:t>
                  </w:r>
                </w:p>
                <w:p w14:paraId="2250695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有机物85%、无机碱盐10%、水5%。</w:t>
                  </w:r>
                </w:p>
              </w:tc>
              <w:tc>
                <w:tcPr>
                  <w:tcW w:w="861" w:type="dxa"/>
                  <w:shd w:val="clear" w:color="auto" w:fill="auto"/>
                  <w:vAlign w:val="center"/>
                </w:tcPr>
                <w:p w14:paraId="645DC73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15</w:t>
                  </w:r>
                </w:p>
              </w:tc>
              <w:tc>
                <w:tcPr>
                  <w:tcW w:w="1251" w:type="dxa"/>
                  <w:shd w:val="clear" w:color="auto" w:fill="auto"/>
                  <w:vAlign w:val="center"/>
                </w:tcPr>
                <w:p w14:paraId="7EBF64A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0.2</w:t>
                  </w:r>
                </w:p>
              </w:tc>
              <w:tc>
                <w:tcPr>
                  <w:tcW w:w="1249" w:type="dxa"/>
                  <w:shd w:val="clear" w:color="auto" w:fill="auto"/>
                  <w:vAlign w:val="center"/>
                </w:tcPr>
                <w:p w14:paraId="4DD6A98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20kg/桶</w:t>
                  </w:r>
                </w:p>
              </w:tc>
              <w:tc>
                <w:tcPr>
                  <w:tcW w:w="1496" w:type="dxa"/>
                  <w:shd w:val="clear" w:color="auto" w:fill="auto"/>
                  <w:vAlign w:val="center"/>
                </w:tcPr>
                <w:p w14:paraId="3BD4246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6C28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6D40846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剥离液</w:t>
                  </w:r>
                </w:p>
              </w:tc>
              <w:tc>
                <w:tcPr>
                  <w:tcW w:w="2970" w:type="dxa"/>
                  <w:shd w:val="clear" w:color="auto" w:fill="auto"/>
                  <w:vAlign w:val="center"/>
                </w:tcPr>
                <w:p w14:paraId="237DCEA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液态，乙二胺27.8%、硝酸5%、水67.2%。</w:t>
                  </w:r>
                </w:p>
              </w:tc>
              <w:tc>
                <w:tcPr>
                  <w:tcW w:w="861" w:type="dxa"/>
                  <w:shd w:val="clear" w:color="auto" w:fill="auto"/>
                  <w:vAlign w:val="center"/>
                </w:tcPr>
                <w:p w14:paraId="248276D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58</w:t>
                  </w:r>
                </w:p>
              </w:tc>
              <w:tc>
                <w:tcPr>
                  <w:tcW w:w="1251" w:type="dxa"/>
                  <w:shd w:val="clear" w:color="auto" w:fill="auto"/>
                  <w:vAlign w:val="center"/>
                </w:tcPr>
                <w:p w14:paraId="44B6261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0.4</w:t>
                  </w:r>
                </w:p>
              </w:tc>
              <w:tc>
                <w:tcPr>
                  <w:tcW w:w="1249" w:type="dxa"/>
                  <w:shd w:val="clear" w:color="auto" w:fill="auto"/>
                  <w:vAlign w:val="center"/>
                </w:tcPr>
                <w:p w14:paraId="396FB33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20L/桶</w:t>
                  </w:r>
                </w:p>
              </w:tc>
              <w:tc>
                <w:tcPr>
                  <w:tcW w:w="1496" w:type="dxa"/>
                  <w:shd w:val="clear" w:color="auto" w:fill="auto"/>
                  <w:vAlign w:val="center"/>
                </w:tcPr>
                <w:p w14:paraId="377D91B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787E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36C97BD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HD-H38-1W水性涂料</w:t>
                  </w:r>
                </w:p>
              </w:tc>
              <w:tc>
                <w:tcPr>
                  <w:tcW w:w="2970" w:type="dxa"/>
                  <w:shd w:val="clear" w:color="auto" w:fill="auto"/>
                  <w:vAlign w:val="center"/>
                </w:tcPr>
                <w:p w14:paraId="5BA1B95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液态，主要成分为水性丙烯酸树脂37%、水性氨基树脂13%、异丙醇6%、乙二醇单丁醚3%、N,N-二甲基乙醇胺1%、纯水</w:t>
                  </w:r>
                </w:p>
                <w:p w14:paraId="1534F78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40%。</w:t>
                  </w:r>
                </w:p>
              </w:tc>
              <w:tc>
                <w:tcPr>
                  <w:tcW w:w="861" w:type="dxa"/>
                  <w:shd w:val="clear" w:color="auto" w:fill="auto"/>
                  <w:vAlign w:val="center"/>
                </w:tcPr>
                <w:p w14:paraId="2AAF615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44.31</w:t>
                  </w:r>
                </w:p>
              </w:tc>
              <w:tc>
                <w:tcPr>
                  <w:tcW w:w="1251" w:type="dxa"/>
                  <w:shd w:val="clear" w:color="auto" w:fill="auto"/>
                  <w:vAlign w:val="center"/>
                </w:tcPr>
                <w:p w14:paraId="7FF9180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1</w:t>
                  </w:r>
                </w:p>
              </w:tc>
              <w:tc>
                <w:tcPr>
                  <w:tcW w:w="1249" w:type="dxa"/>
                  <w:shd w:val="clear" w:color="auto" w:fill="auto"/>
                  <w:vAlign w:val="center"/>
                </w:tcPr>
                <w:p w14:paraId="392D822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25kg/桶</w:t>
                  </w:r>
                </w:p>
              </w:tc>
              <w:tc>
                <w:tcPr>
                  <w:tcW w:w="1496" w:type="dxa"/>
                  <w:shd w:val="clear" w:color="auto" w:fill="auto"/>
                  <w:vAlign w:val="center"/>
                </w:tcPr>
                <w:p w14:paraId="320F3C7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5098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2224792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磁材漆</w:t>
                  </w:r>
                </w:p>
              </w:tc>
              <w:tc>
                <w:tcPr>
                  <w:tcW w:w="2970" w:type="dxa"/>
                  <w:shd w:val="clear" w:color="auto" w:fill="auto"/>
                  <w:vAlign w:val="center"/>
                </w:tcPr>
                <w:p w14:paraId="13CC479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液态，主要成分为环氧树脂45.6%、邻二甲苯28%、正丁醇15%、乙酸-1-甲氧基-2-丙基酯5%、4-甲基-2-戊酮6%、萘0.2%、甲</w:t>
                  </w:r>
                </w:p>
                <w:p w14:paraId="6B5524A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醛0.2%。</w:t>
                  </w:r>
                </w:p>
              </w:tc>
              <w:tc>
                <w:tcPr>
                  <w:tcW w:w="861" w:type="dxa"/>
                  <w:shd w:val="clear" w:color="auto" w:fill="auto"/>
                  <w:vAlign w:val="center"/>
                </w:tcPr>
                <w:p w14:paraId="23FC0DD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5.11</w:t>
                  </w:r>
                </w:p>
              </w:tc>
              <w:tc>
                <w:tcPr>
                  <w:tcW w:w="1251" w:type="dxa"/>
                  <w:shd w:val="clear" w:color="auto" w:fill="auto"/>
                  <w:vAlign w:val="center"/>
                </w:tcPr>
                <w:p w14:paraId="392D09C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0.216</w:t>
                  </w:r>
                </w:p>
              </w:tc>
              <w:tc>
                <w:tcPr>
                  <w:tcW w:w="1249" w:type="dxa"/>
                  <w:shd w:val="clear" w:color="auto" w:fill="auto"/>
                  <w:vAlign w:val="center"/>
                </w:tcPr>
                <w:p w14:paraId="3A0775FA">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72kg/桶</w:t>
                  </w:r>
                </w:p>
              </w:tc>
              <w:tc>
                <w:tcPr>
                  <w:tcW w:w="1496" w:type="dxa"/>
                  <w:shd w:val="clear" w:color="auto" w:fill="auto"/>
                  <w:vAlign w:val="center"/>
                </w:tcPr>
                <w:p w14:paraId="1E8A6D5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4469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590D2EA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标准稀释剂</w:t>
                  </w:r>
                </w:p>
              </w:tc>
              <w:tc>
                <w:tcPr>
                  <w:tcW w:w="2970" w:type="dxa"/>
                  <w:shd w:val="clear" w:color="auto" w:fill="auto"/>
                  <w:vAlign w:val="center"/>
                </w:tcPr>
                <w:p w14:paraId="07F391B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液态，主要成分为二甲苯25%、甲苯25%、正丁醇15%、乙酸-1-甲氧基-2-丙基酯15%、1-甲氧基-2-丙醇10%、异丁醇6%、轻芳烃溶剂石脑油（石油）4%。</w:t>
                  </w:r>
                </w:p>
              </w:tc>
              <w:tc>
                <w:tcPr>
                  <w:tcW w:w="861" w:type="dxa"/>
                  <w:shd w:val="clear" w:color="auto" w:fill="auto"/>
                  <w:vAlign w:val="center"/>
                </w:tcPr>
                <w:p w14:paraId="2E7EC98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2.23</w:t>
                  </w:r>
                </w:p>
              </w:tc>
              <w:tc>
                <w:tcPr>
                  <w:tcW w:w="1251" w:type="dxa"/>
                  <w:shd w:val="clear" w:color="auto" w:fill="auto"/>
                  <w:vAlign w:val="center"/>
                </w:tcPr>
                <w:p w14:paraId="670E789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zh-CN"/>
                    </w:rPr>
                  </w:pPr>
                  <w:r>
                    <w:rPr>
                      <w:color w:val="auto"/>
                      <w:sz w:val="21"/>
                      <w:szCs w:val="21"/>
                    </w:rPr>
                    <w:t>0.12</w:t>
                  </w:r>
                </w:p>
              </w:tc>
              <w:tc>
                <w:tcPr>
                  <w:tcW w:w="1249" w:type="dxa"/>
                  <w:shd w:val="clear" w:color="auto" w:fill="auto"/>
                  <w:vAlign w:val="center"/>
                </w:tcPr>
                <w:p w14:paraId="2565588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60kg/桶</w:t>
                  </w:r>
                </w:p>
              </w:tc>
              <w:tc>
                <w:tcPr>
                  <w:tcW w:w="1496" w:type="dxa"/>
                  <w:shd w:val="clear" w:color="auto" w:fill="auto"/>
                  <w:vAlign w:val="center"/>
                </w:tcPr>
                <w:p w14:paraId="246D53D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lang w:val="en-US" w:eastAsia="en-US"/>
                    </w:rPr>
                  </w:pPr>
                  <w:r>
                    <w:rPr>
                      <w:color w:val="auto"/>
                      <w:sz w:val="21"/>
                      <w:szCs w:val="21"/>
                    </w:rPr>
                    <w:t>仓库</w:t>
                  </w:r>
                </w:p>
              </w:tc>
            </w:tr>
            <w:tr w14:paraId="3A42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6AB72B2F">
                  <w:pPr>
                    <w:jc w:val="center"/>
                    <w:rPr>
                      <w:color w:val="auto"/>
                      <w:sz w:val="21"/>
                      <w:szCs w:val="21"/>
                      <w:lang w:val="en-US" w:eastAsia="en-US"/>
                    </w:rPr>
                  </w:pPr>
                  <w:r>
                    <w:rPr>
                      <w:color w:val="auto"/>
                      <w:sz w:val="21"/>
                      <w:szCs w:val="21"/>
                    </w:rPr>
                    <w:t>翡翠底漆</w:t>
                  </w:r>
                </w:p>
              </w:tc>
              <w:tc>
                <w:tcPr>
                  <w:tcW w:w="2970" w:type="dxa"/>
                  <w:shd w:val="clear" w:color="auto" w:fill="auto"/>
                  <w:vAlign w:val="center"/>
                </w:tcPr>
                <w:p w14:paraId="72D9DF5C">
                  <w:pPr>
                    <w:jc w:val="center"/>
                    <w:rPr>
                      <w:color w:val="auto"/>
                      <w:sz w:val="21"/>
                      <w:szCs w:val="21"/>
                    </w:rPr>
                  </w:pPr>
                  <w:r>
                    <w:rPr>
                      <w:color w:val="auto"/>
                      <w:sz w:val="21"/>
                      <w:szCs w:val="21"/>
                    </w:rPr>
                    <w:t>液态，主要成分为甲基乙基酮25%、甲苯8%、二甲苯7%、乙苯5%、环己酮2%、正丁醇3%、乙二醇单丁基醚1%、丙二醇</w:t>
                  </w:r>
                </w:p>
                <w:p w14:paraId="6ABFF7BB">
                  <w:pPr>
                    <w:jc w:val="center"/>
                    <w:rPr>
                      <w:color w:val="auto"/>
                      <w:sz w:val="21"/>
                      <w:szCs w:val="21"/>
                      <w:lang w:val="en-US" w:eastAsia="en-US"/>
                    </w:rPr>
                  </w:pPr>
                  <w:r>
                    <w:rPr>
                      <w:color w:val="auto"/>
                      <w:sz w:val="21"/>
                      <w:szCs w:val="21"/>
                    </w:rPr>
                    <w:t>单甲基醚4%、炭黑5%、甲醛2%、丙二醇单甲醚乙酸酯3%、特殊合成树脂35%。</w:t>
                  </w:r>
                </w:p>
              </w:tc>
              <w:tc>
                <w:tcPr>
                  <w:tcW w:w="861" w:type="dxa"/>
                  <w:shd w:val="clear" w:color="auto" w:fill="auto"/>
                  <w:vAlign w:val="center"/>
                </w:tcPr>
                <w:p w14:paraId="6B059E53">
                  <w:pPr>
                    <w:jc w:val="center"/>
                    <w:rPr>
                      <w:color w:val="auto"/>
                      <w:sz w:val="21"/>
                      <w:szCs w:val="21"/>
                      <w:lang w:val="en-US" w:eastAsia="zh-CN"/>
                    </w:rPr>
                  </w:pPr>
                  <w:r>
                    <w:rPr>
                      <w:color w:val="auto"/>
                      <w:sz w:val="21"/>
                      <w:szCs w:val="21"/>
                    </w:rPr>
                    <w:t>5.97</w:t>
                  </w:r>
                </w:p>
              </w:tc>
              <w:tc>
                <w:tcPr>
                  <w:tcW w:w="1251" w:type="dxa"/>
                  <w:shd w:val="clear" w:color="auto" w:fill="auto"/>
                  <w:vAlign w:val="center"/>
                </w:tcPr>
                <w:p w14:paraId="436BF904">
                  <w:pPr>
                    <w:jc w:val="center"/>
                    <w:rPr>
                      <w:color w:val="auto"/>
                      <w:sz w:val="21"/>
                      <w:szCs w:val="21"/>
                      <w:lang w:val="en-US" w:eastAsia="zh-CN"/>
                    </w:rPr>
                  </w:pPr>
                  <w:r>
                    <w:rPr>
                      <w:color w:val="auto"/>
                      <w:sz w:val="21"/>
                      <w:szCs w:val="21"/>
                    </w:rPr>
                    <w:t>0.162</w:t>
                  </w:r>
                </w:p>
              </w:tc>
              <w:tc>
                <w:tcPr>
                  <w:tcW w:w="1249" w:type="dxa"/>
                  <w:shd w:val="clear" w:color="auto" w:fill="auto"/>
                  <w:vAlign w:val="center"/>
                </w:tcPr>
                <w:p w14:paraId="28CE008B">
                  <w:pPr>
                    <w:jc w:val="center"/>
                    <w:rPr>
                      <w:color w:val="auto"/>
                      <w:sz w:val="21"/>
                      <w:szCs w:val="21"/>
                      <w:lang w:val="en-US" w:eastAsia="en-US"/>
                    </w:rPr>
                  </w:pPr>
                  <w:r>
                    <w:rPr>
                      <w:color w:val="auto"/>
                      <w:sz w:val="21"/>
                      <w:szCs w:val="21"/>
                    </w:rPr>
                    <w:t>54kg/桶</w:t>
                  </w:r>
                </w:p>
              </w:tc>
              <w:tc>
                <w:tcPr>
                  <w:tcW w:w="1496" w:type="dxa"/>
                  <w:shd w:val="clear" w:color="auto" w:fill="auto"/>
                  <w:vAlign w:val="center"/>
                </w:tcPr>
                <w:p w14:paraId="53FD1B2A">
                  <w:pPr>
                    <w:jc w:val="center"/>
                    <w:rPr>
                      <w:color w:val="auto"/>
                      <w:sz w:val="21"/>
                      <w:szCs w:val="21"/>
                      <w:lang w:val="en-US" w:eastAsia="en-US"/>
                    </w:rPr>
                  </w:pPr>
                  <w:r>
                    <w:rPr>
                      <w:color w:val="auto"/>
                      <w:sz w:val="21"/>
                      <w:szCs w:val="21"/>
                    </w:rPr>
                    <w:t>仓库</w:t>
                  </w:r>
                </w:p>
              </w:tc>
            </w:tr>
            <w:tr w14:paraId="1F42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8" w:type="dxa"/>
                  <w:shd w:val="clear" w:color="auto" w:fill="auto"/>
                  <w:vAlign w:val="center"/>
                </w:tcPr>
                <w:p w14:paraId="3B56BA7C">
                  <w:pPr>
                    <w:jc w:val="center"/>
                    <w:rPr>
                      <w:color w:val="auto"/>
                      <w:sz w:val="21"/>
                      <w:szCs w:val="21"/>
                      <w:lang w:val="en-US" w:eastAsia="en-US"/>
                    </w:rPr>
                  </w:pPr>
                  <w:r>
                    <w:rPr>
                      <w:color w:val="auto"/>
                      <w:sz w:val="21"/>
                      <w:szCs w:val="21"/>
                    </w:rPr>
                    <w:t>翡翠稀释剂</w:t>
                  </w:r>
                </w:p>
              </w:tc>
              <w:tc>
                <w:tcPr>
                  <w:tcW w:w="2970" w:type="dxa"/>
                  <w:shd w:val="clear" w:color="auto" w:fill="auto"/>
                  <w:vAlign w:val="center"/>
                </w:tcPr>
                <w:p w14:paraId="5B632E52">
                  <w:pPr>
                    <w:jc w:val="center"/>
                    <w:rPr>
                      <w:color w:val="auto"/>
                      <w:sz w:val="21"/>
                      <w:szCs w:val="21"/>
                      <w:lang w:val="en-US" w:eastAsia="en-US"/>
                    </w:rPr>
                  </w:pPr>
                  <w:r>
                    <w:rPr>
                      <w:color w:val="auto"/>
                      <w:sz w:val="21"/>
                      <w:szCs w:val="21"/>
                    </w:rPr>
                    <w:t>液态，主要成分为乙二醇单丁基醚25%、低沸点芳族石脑油12%、二甲苯10%、乙苯10%、异丙醇10%、环己酮7%、1,3,5-三甲基苯3%、1,2,4-三甲基苯8%、丙二醇单甲醚乙酸酯15%。</w:t>
                  </w:r>
                </w:p>
              </w:tc>
              <w:tc>
                <w:tcPr>
                  <w:tcW w:w="861" w:type="dxa"/>
                  <w:shd w:val="clear" w:color="auto" w:fill="auto"/>
                  <w:vAlign w:val="center"/>
                </w:tcPr>
                <w:p w14:paraId="3C42C1E9">
                  <w:pPr>
                    <w:jc w:val="center"/>
                    <w:rPr>
                      <w:color w:val="auto"/>
                      <w:sz w:val="21"/>
                      <w:szCs w:val="21"/>
                      <w:lang w:val="en-US" w:eastAsia="zh-CN"/>
                    </w:rPr>
                  </w:pPr>
                  <w:r>
                    <w:rPr>
                      <w:color w:val="auto"/>
                      <w:sz w:val="21"/>
                      <w:szCs w:val="21"/>
                    </w:rPr>
                    <w:t>2.42</w:t>
                  </w:r>
                </w:p>
              </w:tc>
              <w:tc>
                <w:tcPr>
                  <w:tcW w:w="1251" w:type="dxa"/>
                  <w:shd w:val="clear" w:color="auto" w:fill="auto"/>
                  <w:vAlign w:val="center"/>
                </w:tcPr>
                <w:p w14:paraId="1E1F8331">
                  <w:pPr>
                    <w:jc w:val="center"/>
                    <w:rPr>
                      <w:color w:val="auto"/>
                      <w:sz w:val="21"/>
                      <w:szCs w:val="21"/>
                      <w:lang w:val="en-US" w:eastAsia="zh-CN"/>
                    </w:rPr>
                  </w:pPr>
                  <w:r>
                    <w:rPr>
                      <w:color w:val="auto"/>
                      <w:sz w:val="21"/>
                      <w:szCs w:val="21"/>
                    </w:rPr>
                    <w:t>0.05</w:t>
                  </w:r>
                </w:p>
              </w:tc>
              <w:tc>
                <w:tcPr>
                  <w:tcW w:w="1249" w:type="dxa"/>
                  <w:shd w:val="clear" w:color="auto" w:fill="auto"/>
                  <w:vAlign w:val="center"/>
                </w:tcPr>
                <w:p w14:paraId="1F0D790D">
                  <w:pPr>
                    <w:jc w:val="center"/>
                    <w:rPr>
                      <w:color w:val="auto"/>
                      <w:sz w:val="21"/>
                      <w:szCs w:val="21"/>
                      <w:lang w:val="en-US" w:eastAsia="en-US"/>
                    </w:rPr>
                  </w:pPr>
                  <w:r>
                    <w:rPr>
                      <w:color w:val="auto"/>
                      <w:sz w:val="21"/>
                      <w:szCs w:val="21"/>
                    </w:rPr>
                    <w:t>48L/桶</w:t>
                  </w:r>
                </w:p>
              </w:tc>
              <w:tc>
                <w:tcPr>
                  <w:tcW w:w="1496" w:type="dxa"/>
                  <w:shd w:val="clear" w:color="auto" w:fill="auto"/>
                  <w:vAlign w:val="center"/>
                </w:tcPr>
                <w:p w14:paraId="5D3F40F1">
                  <w:pPr>
                    <w:jc w:val="center"/>
                    <w:rPr>
                      <w:color w:val="auto"/>
                      <w:sz w:val="21"/>
                      <w:szCs w:val="21"/>
                      <w:lang w:val="en-US" w:eastAsia="en-US"/>
                    </w:rPr>
                  </w:pPr>
                  <w:r>
                    <w:rPr>
                      <w:color w:val="auto"/>
                      <w:sz w:val="21"/>
                      <w:szCs w:val="21"/>
                    </w:rPr>
                    <w:t>仓库</w:t>
                  </w:r>
                </w:p>
              </w:tc>
            </w:tr>
          </w:tbl>
          <w:p w14:paraId="04F9B505">
            <w:pPr>
              <w:pStyle w:val="60"/>
              <w:adjustRightInd/>
              <w:spacing w:before="0" w:after="0" w:line="360" w:lineRule="auto"/>
              <w:ind w:firstLine="482" w:firstLineChars="200"/>
              <w:jc w:val="left"/>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六、现有工程设备清单</w:t>
            </w:r>
          </w:p>
          <w:p w14:paraId="33CB993E">
            <w:pPr>
              <w:spacing w:before="183" w:line="219" w:lineRule="auto"/>
              <w:ind w:left="2692"/>
              <w:rPr>
                <w:rFonts w:ascii="Times New Roman" w:hAnsi="Times New Roman" w:eastAsia="宋体" w:cs="黑体"/>
                <w:b/>
                <w:bCs/>
                <w:color w:val="auto"/>
                <w:sz w:val="24"/>
                <w:szCs w:val="24"/>
              </w:rPr>
            </w:pPr>
            <w:r>
              <w:rPr>
                <w:rFonts w:ascii="Times New Roman" w:hAnsi="Times New Roman" w:eastAsia="宋体" w:cs="黑体"/>
                <w:b/>
                <w:bCs/>
                <w:color w:val="auto"/>
                <w:spacing w:val="-2"/>
                <w:sz w:val="24"/>
                <w:szCs w:val="24"/>
              </w:rPr>
              <w:t>表</w:t>
            </w:r>
            <w:r>
              <w:rPr>
                <w:rFonts w:hint="eastAsia" w:ascii="Times New Roman" w:hAnsi="Times New Roman" w:eastAsia="宋体" w:cs="Times New Roman"/>
                <w:b/>
                <w:bCs/>
                <w:color w:val="auto"/>
                <w:spacing w:val="-2"/>
                <w:sz w:val="24"/>
                <w:szCs w:val="24"/>
                <w:lang w:val="en-US" w:eastAsia="zh-CN"/>
              </w:rPr>
              <w:t>2-14</w:t>
            </w:r>
            <w:r>
              <w:rPr>
                <w:rFonts w:ascii="Times New Roman" w:hAnsi="Times New Roman" w:eastAsia="宋体" w:cs="黑体"/>
                <w:b/>
                <w:bCs/>
                <w:color w:val="auto"/>
                <w:spacing w:val="-2"/>
                <w:sz w:val="24"/>
                <w:szCs w:val="24"/>
              </w:rPr>
              <w:t>主要生产设备一览表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6"/>
              <w:gridCol w:w="2705"/>
              <w:gridCol w:w="2549"/>
              <w:gridCol w:w="1559"/>
              <w:gridCol w:w="1528"/>
            </w:tblGrid>
            <w:tr w14:paraId="4275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4" w:hRule="atLeast"/>
                <w:jc w:val="center"/>
              </w:trPr>
              <w:tc>
                <w:tcPr>
                  <w:tcW w:w="514" w:type="pct"/>
                  <w:shd w:val="clear" w:color="auto" w:fill="auto"/>
                  <w:vAlign w:val="center"/>
                </w:tcPr>
                <w:p w14:paraId="57AEAA6B">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序号</w:t>
                  </w:r>
                </w:p>
              </w:tc>
              <w:tc>
                <w:tcPr>
                  <w:tcW w:w="1454" w:type="pct"/>
                  <w:shd w:val="clear" w:color="auto" w:fill="auto"/>
                  <w:vAlign w:val="center"/>
                </w:tcPr>
                <w:p w14:paraId="4571C844">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设备名称</w:t>
                  </w:r>
                </w:p>
              </w:tc>
              <w:tc>
                <w:tcPr>
                  <w:tcW w:w="1370" w:type="pct"/>
                  <w:shd w:val="clear" w:color="auto" w:fill="auto"/>
                  <w:vAlign w:val="center"/>
                </w:tcPr>
                <w:p w14:paraId="6F8B2BF9">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规格型号</w:t>
                  </w:r>
                </w:p>
              </w:tc>
              <w:tc>
                <w:tcPr>
                  <w:tcW w:w="838" w:type="pct"/>
                  <w:shd w:val="clear" w:color="auto" w:fill="auto"/>
                  <w:vAlign w:val="center"/>
                </w:tcPr>
                <w:p w14:paraId="5AF0F40D">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单条数量（个）</w:t>
                  </w:r>
                </w:p>
              </w:tc>
              <w:tc>
                <w:tcPr>
                  <w:tcW w:w="821" w:type="pct"/>
                  <w:shd w:val="clear" w:color="auto" w:fill="auto"/>
                  <w:vAlign w:val="center"/>
                </w:tcPr>
                <w:p w14:paraId="47CD6CF2">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总数量（个）</w:t>
                  </w:r>
                </w:p>
              </w:tc>
            </w:tr>
          </w:tbl>
          <w:p w14:paraId="4C89A211">
            <w:pPr>
              <w:spacing w:before="82" w:line="221" w:lineRule="auto"/>
              <w:ind w:left="3237"/>
              <w:rPr>
                <w:rFonts w:ascii="宋体" w:hAnsi="宋体" w:eastAsia="宋体" w:cs="宋体"/>
                <w:color w:val="auto"/>
                <w:sz w:val="21"/>
                <w:szCs w:val="21"/>
              </w:rPr>
            </w:pPr>
            <w:r>
              <w:rPr>
                <w:rFonts w:ascii="宋体" w:hAnsi="宋体" w:eastAsia="宋体" w:cs="宋体"/>
                <w:b/>
                <w:bCs/>
                <w:color w:val="auto"/>
                <w:spacing w:val="-3"/>
                <w:sz w:val="21"/>
                <w:szCs w:val="21"/>
              </w:rPr>
              <w:t>一、注射粘结磁生产线</w:t>
            </w:r>
          </w:p>
          <w:p w14:paraId="18A8F08B">
            <w:pPr>
              <w:spacing w:line="36" w:lineRule="exact"/>
              <w:rPr>
                <w:color w:val="auto"/>
              </w:rPr>
            </w:pP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36CB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2CA3FF11">
                  <w:pPr>
                    <w:spacing w:before="123"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66746298">
                  <w:pPr>
                    <w:pStyle w:val="97"/>
                    <w:spacing w:before="87" w:line="220" w:lineRule="auto"/>
                    <w:ind w:left="932"/>
                    <w:rPr>
                      <w:color w:val="auto"/>
                      <w:sz w:val="21"/>
                      <w:szCs w:val="21"/>
                    </w:rPr>
                  </w:pPr>
                  <w:r>
                    <w:rPr>
                      <w:color w:val="auto"/>
                      <w:spacing w:val="-3"/>
                      <w:sz w:val="21"/>
                      <w:szCs w:val="21"/>
                    </w:rPr>
                    <w:t>混料机</w:t>
                  </w:r>
                </w:p>
              </w:tc>
              <w:tc>
                <w:tcPr>
                  <w:tcW w:w="1370" w:type="pct"/>
                  <w:vAlign w:val="top"/>
                </w:tcPr>
                <w:p w14:paraId="38770C5B">
                  <w:pPr>
                    <w:spacing w:before="123" w:line="187" w:lineRule="auto"/>
                    <w:ind w:left="86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ZX-0.2</w:t>
                  </w:r>
                </w:p>
              </w:tc>
              <w:tc>
                <w:tcPr>
                  <w:tcW w:w="838" w:type="pct"/>
                  <w:vAlign w:val="top"/>
                </w:tcPr>
                <w:p w14:paraId="72BB3392">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14E60595">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694B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2FC1791D">
                  <w:pPr>
                    <w:spacing w:before="120"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487DB011">
                  <w:pPr>
                    <w:pStyle w:val="97"/>
                    <w:spacing w:before="83" w:line="220" w:lineRule="auto"/>
                    <w:ind w:left="929"/>
                    <w:rPr>
                      <w:color w:val="auto"/>
                      <w:sz w:val="21"/>
                      <w:szCs w:val="21"/>
                    </w:rPr>
                  </w:pPr>
                  <w:r>
                    <w:rPr>
                      <w:color w:val="auto"/>
                      <w:spacing w:val="-2"/>
                      <w:sz w:val="21"/>
                      <w:szCs w:val="21"/>
                    </w:rPr>
                    <w:t>造粒机</w:t>
                  </w:r>
                </w:p>
              </w:tc>
              <w:tc>
                <w:tcPr>
                  <w:tcW w:w="1370" w:type="pct"/>
                  <w:vAlign w:val="top"/>
                </w:tcPr>
                <w:p w14:paraId="696C8C66">
                  <w:pPr>
                    <w:spacing w:before="116"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1FED321D">
                  <w:pPr>
                    <w:spacing w:before="116"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6C68ECB9">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2573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14" w:type="pct"/>
                  <w:vAlign w:val="top"/>
                </w:tcPr>
                <w:p w14:paraId="229313B0">
                  <w:pPr>
                    <w:spacing w:before="120"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1D167FC1">
                  <w:pPr>
                    <w:pStyle w:val="97"/>
                    <w:spacing w:before="83" w:line="220" w:lineRule="auto"/>
                    <w:ind w:left="930"/>
                    <w:rPr>
                      <w:color w:val="auto"/>
                      <w:sz w:val="21"/>
                      <w:szCs w:val="21"/>
                    </w:rPr>
                  </w:pPr>
                  <w:r>
                    <w:rPr>
                      <w:color w:val="auto"/>
                      <w:spacing w:val="-2"/>
                      <w:sz w:val="21"/>
                      <w:szCs w:val="21"/>
                    </w:rPr>
                    <w:t>配料机</w:t>
                  </w:r>
                </w:p>
              </w:tc>
              <w:tc>
                <w:tcPr>
                  <w:tcW w:w="1370" w:type="pct"/>
                  <w:vAlign w:val="top"/>
                </w:tcPr>
                <w:p w14:paraId="43EA2EA3">
                  <w:pPr>
                    <w:pStyle w:val="97"/>
                    <w:spacing w:before="84" w:line="221" w:lineRule="auto"/>
                    <w:ind w:left="998"/>
                    <w:rPr>
                      <w:color w:val="auto"/>
                      <w:sz w:val="21"/>
                      <w:szCs w:val="21"/>
                    </w:rPr>
                  </w:pPr>
                  <w:r>
                    <w:rPr>
                      <w:color w:val="auto"/>
                      <w:spacing w:val="-11"/>
                      <w:sz w:val="21"/>
                      <w:szCs w:val="21"/>
                    </w:rPr>
                    <w:t>自制</w:t>
                  </w:r>
                </w:p>
              </w:tc>
              <w:tc>
                <w:tcPr>
                  <w:tcW w:w="838" w:type="pct"/>
                  <w:vAlign w:val="top"/>
                </w:tcPr>
                <w:p w14:paraId="75D89CB2">
                  <w:pPr>
                    <w:spacing w:before="116"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18ED6C73">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118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55ECFC19">
                  <w:pPr>
                    <w:spacing w:before="123"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444050A2">
                  <w:pPr>
                    <w:pStyle w:val="97"/>
                    <w:spacing w:before="87" w:line="220" w:lineRule="auto"/>
                    <w:ind w:left="640"/>
                    <w:rPr>
                      <w:color w:val="auto"/>
                      <w:sz w:val="21"/>
                      <w:szCs w:val="21"/>
                    </w:rPr>
                  </w:pPr>
                  <w:r>
                    <w:rPr>
                      <w:color w:val="auto"/>
                      <w:spacing w:val="-5"/>
                      <w:sz w:val="21"/>
                      <w:szCs w:val="21"/>
                    </w:rPr>
                    <w:t>电加热成型机</w:t>
                  </w:r>
                </w:p>
              </w:tc>
              <w:tc>
                <w:tcPr>
                  <w:tcW w:w="1370" w:type="pct"/>
                  <w:vAlign w:val="top"/>
                </w:tcPr>
                <w:p w14:paraId="76D4AA36">
                  <w:pPr>
                    <w:spacing w:before="123" w:line="187" w:lineRule="auto"/>
                    <w:ind w:left="100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150t</w:t>
                  </w:r>
                </w:p>
              </w:tc>
              <w:tc>
                <w:tcPr>
                  <w:tcW w:w="838" w:type="pct"/>
                  <w:vAlign w:val="top"/>
                </w:tcPr>
                <w:p w14:paraId="10937291">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2CA5D1AF">
                  <w:pPr>
                    <w:spacing w:before="123" w:line="187" w:lineRule="auto"/>
                    <w:ind w:left="5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20</w:t>
                  </w:r>
                </w:p>
              </w:tc>
            </w:tr>
            <w:tr w14:paraId="679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3A8147CB">
                  <w:pPr>
                    <w:spacing w:before="125"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418D4631">
                  <w:pPr>
                    <w:pStyle w:val="97"/>
                    <w:spacing w:before="85" w:line="220" w:lineRule="auto"/>
                    <w:ind w:left="640"/>
                    <w:rPr>
                      <w:color w:val="auto"/>
                      <w:sz w:val="21"/>
                      <w:szCs w:val="21"/>
                    </w:rPr>
                  </w:pPr>
                  <w:r>
                    <w:rPr>
                      <w:color w:val="auto"/>
                      <w:spacing w:val="-5"/>
                      <w:sz w:val="21"/>
                      <w:szCs w:val="21"/>
                    </w:rPr>
                    <w:t>电加热成型机</w:t>
                  </w:r>
                </w:p>
              </w:tc>
              <w:tc>
                <w:tcPr>
                  <w:tcW w:w="1370" w:type="pct"/>
                  <w:vAlign w:val="top"/>
                </w:tcPr>
                <w:p w14:paraId="5C92AC42">
                  <w:pPr>
                    <w:spacing w:before="118" w:line="234" w:lineRule="auto"/>
                    <w:ind w:left="100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100t</w:t>
                  </w:r>
                </w:p>
              </w:tc>
              <w:tc>
                <w:tcPr>
                  <w:tcW w:w="838" w:type="pct"/>
                  <w:vAlign w:val="top"/>
                </w:tcPr>
                <w:p w14:paraId="4B3FEB24">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7528E622">
                  <w:pPr>
                    <w:spacing w:before="122" w:line="187" w:lineRule="auto"/>
                    <w:ind w:left="5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4B09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BD0A1A4">
                  <w:pPr>
                    <w:spacing w:before="122"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5EEFA293">
                  <w:pPr>
                    <w:pStyle w:val="97"/>
                    <w:spacing w:before="86" w:line="220" w:lineRule="auto"/>
                    <w:ind w:left="640"/>
                    <w:rPr>
                      <w:color w:val="auto"/>
                      <w:sz w:val="21"/>
                      <w:szCs w:val="21"/>
                    </w:rPr>
                  </w:pPr>
                  <w:r>
                    <w:rPr>
                      <w:color w:val="auto"/>
                      <w:spacing w:val="-5"/>
                      <w:sz w:val="21"/>
                      <w:szCs w:val="21"/>
                    </w:rPr>
                    <w:t>电加热成型机</w:t>
                  </w:r>
                </w:p>
              </w:tc>
              <w:tc>
                <w:tcPr>
                  <w:tcW w:w="1370" w:type="pct"/>
                  <w:vAlign w:val="top"/>
                </w:tcPr>
                <w:p w14:paraId="057A798A">
                  <w:pPr>
                    <w:spacing w:before="118" w:line="234" w:lineRule="auto"/>
                    <w:ind w:left="104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50t</w:t>
                  </w:r>
                </w:p>
              </w:tc>
              <w:tc>
                <w:tcPr>
                  <w:tcW w:w="838" w:type="pct"/>
                  <w:vAlign w:val="top"/>
                </w:tcPr>
                <w:p w14:paraId="176478BC">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4A66B685">
                  <w:pPr>
                    <w:spacing w:before="122"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40</w:t>
                  </w:r>
                </w:p>
              </w:tc>
            </w:tr>
            <w:tr w14:paraId="4A11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6A2D65D3">
                  <w:pPr>
                    <w:spacing w:before="125" w:line="184"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4" w:type="pct"/>
                  <w:vAlign w:val="top"/>
                </w:tcPr>
                <w:p w14:paraId="7F7BE198">
                  <w:pPr>
                    <w:pStyle w:val="97"/>
                    <w:spacing w:before="86" w:line="220" w:lineRule="auto"/>
                    <w:ind w:left="640"/>
                    <w:rPr>
                      <w:color w:val="auto"/>
                      <w:sz w:val="21"/>
                      <w:szCs w:val="21"/>
                    </w:rPr>
                  </w:pPr>
                  <w:r>
                    <w:rPr>
                      <w:color w:val="auto"/>
                      <w:spacing w:val="-5"/>
                      <w:sz w:val="21"/>
                      <w:szCs w:val="21"/>
                    </w:rPr>
                    <w:t>电加热模温机</w:t>
                  </w:r>
                </w:p>
              </w:tc>
              <w:tc>
                <w:tcPr>
                  <w:tcW w:w="1370" w:type="pct"/>
                  <w:vAlign w:val="top"/>
                </w:tcPr>
                <w:p w14:paraId="0AB68C93">
                  <w:pPr>
                    <w:spacing w:before="122" w:line="187" w:lineRule="auto"/>
                    <w:ind w:left="68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STM-910-0</w:t>
                  </w:r>
                </w:p>
              </w:tc>
              <w:tc>
                <w:tcPr>
                  <w:tcW w:w="838" w:type="pct"/>
                  <w:vAlign w:val="top"/>
                </w:tcPr>
                <w:p w14:paraId="586CB980">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2D912F4F">
                  <w:pPr>
                    <w:spacing w:before="122" w:line="187" w:lineRule="auto"/>
                    <w:ind w:left="56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160</w:t>
                  </w:r>
                </w:p>
              </w:tc>
            </w:tr>
            <w:tr w14:paraId="1746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FA04A27">
                  <w:pPr>
                    <w:spacing w:before="122" w:line="187" w:lineRule="auto"/>
                    <w:ind w:left="39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4" w:type="pct"/>
                  <w:vAlign w:val="top"/>
                </w:tcPr>
                <w:p w14:paraId="22D8B82F">
                  <w:pPr>
                    <w:pStyle w:val="97"/>
                    <w:spacing w:before="86" w:line="220" w:lineRule="auto"/>
                    <w:ind w:left="620"/>
                    <w:rPr>
                      <w:color w:val="auto"/>
                      <w:sz w:val="21"/>
                      <w:szCs w:val="21"/>
                    </w:rPr>
                  </w:pPr>
                  <w:r>
                    <w:rPr>
                      <w:color w:val="auto"/>
                      <w:spacing w:val="-2"/>
                      <w:sz w:val="21"/>
                      <w:szCs w:val="21"/>
                    </w:rPr>
                    <w:t>刀片式破碎机</w:t>
                  </w:r>
                </w:p>
              </w:tc>
              <w:tc>
                <w:tcPr>
                  <w:tcW w:w="1370" w:type="pct"/>
                  <w:vAlign w:val="top"/>
                </w:tcPr>
                <w:p w14:paraId="2A21C8C1">
                  <w:pPr>
                    <w:spacing w:before="122" w:line="187" w:lineRule="auto"/>
                    <w:ind w:left="73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SG-2324E</w:t>
                  </w:r>
                </w:p>
              </w:tc>
              <w:tc>
                <w:tcPr>
                  <w:tcW w:w="838" w:type="pct"/>
                  <w:vAlign w:val="top"/>
                </w:tcPr>
                <w:p w14:paraId="38460A0A">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04A0A697">
                  <w:pPr>
                    <w:spacing w:before="122" w:line="187" w:lineRule="auto"/>
                    <w:ind w:left="59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w:t>
                  </w:r>
                </w:p>
              </w:tc>
            </w:tr>
            <w:tr w14:paraId="20AE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55BE6AD2">
                  <w:pPr>
                    <w:spacing w:before="122"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4" w:type="pct"/>
                  <w:vAlign w:val="top"/>
                </w:tcPr>
                <w:p w14:paraId="03E83A89">
                  <w:pPr>
                    <w:pStyle w:val="97"/>
                    <w:spacing w:before="86" w:line="220" w:lineRule="auto"/>
                    <w:ind w:left="930"/>
                    <w:rPr>
                      <w:color w:val="auto"/>
                      <w:sz w:val="21"/>
                      <w:szCs w:val="21"/>
                    </w:rPr>
                  </w:pPr>
                  <w:r>
                    <w:rPr>
                      <w:color w:val="auto"/>
                      <w:spacing w:val="-2"/>
                      <w:sz w:val="21"/>
                      <w:szCs w:val="21"/>
                    </w:rPr>
                    <w:t>研磨机</w:t>
                  </w:r>
                </w:p>
              </w:tc>
              <w:tc>
                <w:tcPr>
                  <w:tcW w:w="1370" w:type="pct"/>
                  <w:vAlign w:val="top"/>
                </w:tcPr>
                <w:p w14:paraId="4DCDB5B9">
                  <w:pPr>
                    <w:spacing w:before="122" w:line="187" w:lineRule="auto"/>
                    <w:ind w:left="8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ZHM-6</w:t>
                  </w:r>
                </w:p>
              </w:tc>
              <w:tc>
                <w:tcPr>
                  <w:tcW w:w="838" w:type="pct"/>
                  <w:vAlign w:val="top"/>
                </w:tcPr>
                <w:p w14:paraId="342450DC">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0DFB8668">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bl>
          <w:p w14:paraId="3C12D130">
            <w:pPr>
              <w:spacing w:before="82" w:line="221" w:lineRule="auto"/>
              <w:ind w:left="3237"/>
              <w:rPr>
                <w:rFonts w:ascii="宋体" w:hAnsi="宋体" w:eastAsia="宋体" w:cs="宋体"/>
                <w:color w:val="auto"/>
                <w:sz w:val="21"/>
                <w:szCs w:val="21"/>
              </w:rPr>
            </w:pPr>
            <w:r>
              <w:rPr>
                <w:rFonts w:ascii="宋体" w:hAnsi="宋体" w:eastAsia="宋体" w:cs="宋体"/>
                <w:b/>
                <w:bCs/>
                <w:color w:val="auto"/>
                <w:spacing w:val="-3"/>
                <w:sz w:val="21"/>
                <w:szCs w:val="21"/>
              </w:rPr>
              <w:t>二、模压粘结磁生产线</w:t>
            </w:r>
          </w:p>
          <w:p w14:paraId="532D1E61">
            <w:pPr>
              <w:spacing w:line="36" w:lineRule="exact"/>
              <w:rPr>
                <w:color w:val="auto"/>
              </w:rPr>
            </w:pPr>
          </w:p>
          <w:tbl>
            <w:tblPr>
              <w:tblStyle w:val="7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0120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522" w:type="pct"/>
                  <w:vAlign w:val="center"/>
                </w:tcPr>
                <w:p w14:paraId="562FC657">
                  <w:pPr>
                    <w:jc w:val="center"/>
                    <w:rPr>
                      <w:color w:val="auto"/>
                    </w:rPr>
                  </w:pPr>
                  <w:r>
                    <w:rPr>
                      <w:color w:val="auto"/>
                    </w:rPr>
                    <w:t>1</w:t>
                  </w:r>
                </w:p>
              </w:tc>
              <w:tc>
                <w:tcPr>
                  <w:tcW w:w="1452" w:type="pct"/>
                  <w:vAlign w:val="center"/>
                </w:tcPr>
                <w:p w14:paraId="292BE9E2">
                  <w:pPr>
                    <w:jc w:val="center"/>
                    <w:rPr>
                      <w:color w:val="auto"/>
                    </w:rPr>
                  </w:pPr>
                  <w:r>
                    <w:rPr>
                      <w:color w:val="auto"/>
                    </w:rPr>
                    <w:t>混胶机</w:t>
                  </w:r>
                </w:p>
              </w:tc>
              <w:tc>
                <w:tcPr>
                  <w:tcW w:w="1368" w:type="pct"/>
                  <w:vAlign w:val="center"/>
                </w:tcPr>
                <w:p w14:paraId="7989EB18">
                  <w:pPr>
                    <w:jc w:val="center"/>
                    <w:rPr>
                      <w:color w:val="auto"/>
                    </w:rPr>
                  </w:pPr>
                  <w:r>
                    <w:rPr>
                      <w:color w:val="auto"/>
                    </w:rPr>
                    <w:t>125型</w:t>
                  </w:r>
                </w:p>
              </w:tc>
              <w:tc>
                <w:tcPr>
                  <w:tcW w:w="837" w:type="pct"/>
                  <w:vAlign w:val="center"/>
                </w:tcPr>
                <w:p w14:paraId="36937198">
                  <w:pPr>
                    <w:jc w:val="center"/>
                    <w:rPr>
                      <w:color w:val="auto"/>
                    </w:rPr>
                  </w:pPr>
                  <w:r>
                    <w:rPr>
                      <w:color w:val="auto"/>
                    </w:rPr>
                    <w:t>/</w:t>
                  </w:r>
                </w:p>
              </w:tc>
              <w:tc>
                <w:tcPr>
                  <w:tcW w:w="819" w:type="pct"/>
                  <w:vAlign w:val="center"/>
                </w:tcPr>
                <w:p w14:paraId="402A7487">
                  <w:pPr>
                    <w:jc w:val="center"/>
                    <w:rPr>
                      <w:color w:val="auto"/>
                    </w:rPr>
                  </w:pPr>
                  <w:r>
                    <w:rPr>
                      <w:color w:val="auto"/>
                    </w:rPr>
                    <w:t>25</w:t>
                  </w:r>
                </w:p>
              </w:tc>
            </w:tr>
            <w:tr w14:paraId="7DD4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center"/>
                </w:tcPr>
                <w:p w14:paraId="0B930069">
                  <w:pPr>
                    <w:jc w:val="center"/>
                    <w:rPr>
                      <w:color w:val="auto"/>
                    </w:rPr>
                  </w:pPr>
                  <w:r>
                    <w:rPr>
                      <w:color w:val="auto"/>
                    </w:rPr>
                    <w:t>2</w:t>
                  </w:r>
                </w:p>
              </w:tc>
              <w:tc>
                <w:tcPr>
                  <w:tcW w:w="1452" w:type="pct"/>
                  <w:vAlign w:val="center"/>
                </w:tcPr>
                <w:p w14:paraId="0CFFF0D3">
                  <w:pPr>
                    <w:jc w:val="center"/>
                    <w:rPr>
                      <w:color w:val="auto"/>
                    </w:rPr>
                  </w:pPr>
                  <w:r>
                    <w:rPr>
                      <w:color w:val="auto"/>
                    </w:rPr>
                    <w:t>球磨机</w:t>
                  </w:r>
                </w:p>
              </w:tc>
              <w:tc>
                <w:tcPr>
                  <w:tcW w:w="1368" w:type="pct"/>
                  <w:vAlign w:val="center"/>
                </w:tcPr>
                <w:p w14:paraId="36CB3436">
                  <w:pPr>
                    <w:jc w:val="center"/>
                    <w:rPr>
                      <w:color w:val="auto"/>
                    </w:rPr>
                  </w:pPr>
                  <w:r>
                    <w:rPr>
                      <w:color w:val="auto"/>
                    </w:rPr>
                    <w:t>600mm</w:t>
                  </w:r>
                </w:p>
              </w:tc>
              <w:tc>
                <w:tcPr>
                  <w:tcW w:w="837" w:type="pct"/>
                  <w:vAlign w:val="center"/>
                </w:tcPr>
                <w:p w14:paraId="234AC84D">
                  <w:pPr>
                    <w:jc w:val="center"/>
                    <w:rPr>
                      <w:color w:val="auto"/>
                    </w:rPr>
                  </w:pPr>
                  <w:r>
                    <w:rPr>
                      <w:color w:val="auto"/>
                    </w:rPr>
                    <w:t>/</w:t>
                  </w:r>
                </w:p>
              </w:tc>
              <w:tc>
                <w:tcPr>
                  <w:tcW w:w="819" w:type="pct"/>
                  <w:vAlign w:val="center"/>
                </w:tcPr>
                <w:p w14:paraId="0950BE15">
                  <w:pPr>
                    <w:jc w:val="center"/>
                    <w:rPr>
                      <w:color w:val="auto"/>
                    </w:rPr>
                  </w:pPr>
                  <w:r>
                    <w:rPr>
                      <w:color w:val="auto"/>
                    </w:rPr>
                    <w:t>20</w:t>
                  </w:r>
                </w:p>
              </w:tc>
            </w:tr>
            <w:tr w14:paraId="6C38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center"/>
                </w:tcPr>
                <w:p w14:paraId="3968E4C8">
                  <w:pPr>
                    <w:jc w:val="center"/>
                    <w:rPr>
                      <w:color w:val="auto"/>
                    </w:rPr>
                  </w:pPr>
                  <w:r>
                    <w:rPr>
                      <w:color w:val="auto"/>
                    </w:rPr>
                    <w:t>3</w:t>
                  </w:r>
                </w:p>
              </w:tc>
              <w:tc>
                <w:tcPr>
                  <w:tcW w:w="1452" w:type="pct"/>
                  <w:vAlign w:val="center"/>
                </w:tcPr>
                <w:p w14:paraId="62AA96B3">
                  <w:pPr>
                    <w:jc w:val="center"/>
                    <w:rPr>
                      <w:color w:val="auto"/>
                    </w:rPr>
                  </w:pPr>
                  <w:r>
                    <w:rPr>
                      <w:color w:val="auto"/>
                    </w:rPr>
                    <w:t>振动筛分机</w:t>
                  </w:r>
                </w:p>
              </w:tc>
              <w:tc>
                <w:tcPr>
                  <w:tcW w:w="1368" w:type="pct"/>
                  <w:vAlign w:val="center"/>
                </w:tcPr>
                <w:p w14:paraId="202295D9">
                  <w:pPr>
                    <w:jc w:val="center"/>
                    <w:rPr>
                      <w:color w:val="auto"/>
                    </w:rPr>
                  </w:pPr>
                  <w:r>
                    <w:rPr>
                      <w:color w:val="auto"/>
                    </w:rPr>
                    <w:t>ZSΦ600-2</w:t>
                  </w:r>
                </w:p>
              </w:tc>
              <w:tc>
                <w:tcPr>
                  <w:tcW w:w="837" w:type="pct"/>
                  <w:vAlign w:val="center"/>
                </w:tcPr>
                <w:p w14:paraId="6E6057BA">
                  <w:pPr>
                    <w:jc w:val="center"/>
                    <w:rPr>
                      <w:color w:val="auto"/>
                    </w:rPr>
                  </w:pPr>
                  <w:r>
                    <w:rPr>
                      <w:color w:val="auto"/>
                    </w:rPr>
                    <w:t>/</w:t>
                  </w:r>
                </w:p>
              </w:tc>
              <w:tc>
                <w:tcPr>
                  <w:tcW w:w="819" w:type="pct"/>
                  <w:vAlign w:val="center"/>
                </w:tcPr>
                <w:p w14:paraId="460EB404">
                  <w:pPr>
                    <w:jc w:val="center"/>
                    <w:rPr>
                      <w:color w:val="auto"/>
                    </w:rPr>
                  </w:pPr>
                  <w:r>
                    <w:rPr>
                      <w:color w:val="auto"/>
                    </w:rPr>
                    <w:t>20</w:t>
                  </w:r>
                </w:p>
              </w:tc>
            </w:tr>
            <w:tr w14:paraId="7794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522" w:type="pct"/>
                  <w:vAlign w:val="center"/>
                </w:tcPr>
                <w:p w14:paraId="6E070EFC">
                  <w:pPr>
                    <w:jc w:val="center"/>
                    <w:rPr>
                      <w:color w:val="auto"/>
                    </w:rPr>
                  </w:pPr>
                  <w:r>
                    <w:rPr>
                      <w:color w:val="auto"/>
                    </w:rPr>
                    <w:t>4</w:t>
                  </w:r>
                </w:p>
              </w:tc>
              <w:tc>
                <w:tcPr>
                  <w:tcW w:w="1452" w:type="pct"/>
                  <w:vAlign w:val="center"/>
                </w:tcPr>
                <w:p w14:paraId="2ABFFDFD">
                  <w:pPr>
                    <w:jc w:val="center"/>
                    <w:rPr>
                      <w:color w:val="auto"/>
                    </w:rPr>
                  </w:pPr>
                  <w:r>
                    <w:rPr>
                      <w:color w:val="auto"/>
                    </w:rPr>
                    <w:t>混粉机</w:t>
                  </w:r>
                </w:p>
              </w:tc>
              <w:tc>
                <w:tcPr>
                  <w:tcW w:w="1368" w:type="pct"/>
                  <w:vAlign w:val="center"/>
                </w:tcPr>
                <w:p w14:paraId="2FBAAC13">
                  <w:pPr>
                    <w:jc w:val="center"/>
                    <w:rPr>
                      <w:color w:val="auto"/>
                    </w:rPr>
                  </w:pPr>
                  <w:r>
                    <w:rPr>
                      <w:color w:val="auto"/>
                    </w:rPr>
                    <w:t>ZX-0.2</w:t>
                  </w:r>
                </w:p>
              </w:tc>
              <w:tc>
                <w:tcPr>
                  <w:tcW w:w="837" w:type="pct"/>
                  <w:vAlign w:val="center"/>
                </w:tcPr>
                <w:p w14:paraId="41A08809">
                  <w:pPr>
                    <w:jc w:val="center"/>
                    <w:rPr>
                      <w:color w:val="auto"/>
                    </w:rPr>
                  </w:pPr>
                  <w:r>
                    <w:rPr>
                      <w:color w:val="auto"/>
                    </w:rPr>
                    <w:t>/</w:t>
                  </w:r>
                </w:p>
              </w:tc>
              <w:tc>
                <w:tcPr>
                  <w:tcW w:w="819" w:type="pct"/>
                  <w:vAlign w:val="center"/>
                </w:tcPr>
                <w:p w14:paraId="19289AE5">
                  <w:pPr>
                    <w:jc w:val="center"/>
                    <w:rPr>
                      <w:color w:val="auto"/>
                    </w:rPr>
                  </w:pPr>
                  <w:r>
                    <w:rPr>
                      <w:color w:val="auto"/>
                    </w:rPr>
                    <w:t>25</w:t>
                  </w:r>
                </w:p>
              </w:tc>
            </w:tr>
            <w:tr w14:paraId="0E86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22" w:type="pct"/>
                  <w:vAlign w:val="center"/>
                </w:tcPr>
                <w:p w14:paraId="3EAF2ADA">
                  <w:pPr>
                    <w:jc w:val="center"/>
                    <w:rPr>
                      <w:color w:val="auto"/>
                    </w:rPr>
                  </w:pPr>
                  <w:r>
                    <w:rPr>
                      <w:color w:val="auto"/>
                    </w:rPr>
                    <w:t>5</w:t>
                  </w:r>
                </w:p>
              </w:tc>
              <w:tc>
                <w:tcPr>
                  <w:tcW w:w="1452" w:type="pct"/>
                  <w:vAlign w:val="center"/>
                </w:tcPr>
                <w:p w14:paraId="3D1A6AD1">
                  <w:pPr>
                    <w:jc w:val="center"/>
                    <w:rPr>
                      <w:color w:val="auto"/>
                    </w:rPr>
                  </w:pPr>
                  <w:r>
                    <w:rPr>
                      <w:color w:val="auto"/>
                    </w:rPr>
                    <w:t>6吨机械压机</w:t>
                  </w:r>
                </w:p>
              </w:tc>
              <w:tc>
                <w:tcPr>
                  <w:tcW w:w="1368" w:type="pct"/>
                  <w:vAlign w:val="center"/>
                </w:tcPr>
                <w:p w14:paraId="791A662F">
                  <w:pPr>
                    <w:jc w:val="center"/>
                    <w:rPr>
                      <w:color w:val="auto"/>
                    </w:rPr>
                  </w:pPr>
                  <w:r>
                    <w:rPr>
                      <w:color w:val="auto"/>
                    </w:rPr>
                    <w:t>6t</w:t>
                  </w:r>
                </w:p>
              </w:tc>
              <w:tc>
                <w:tcPr>
                  <w:tcW w:w="837" w:type="pct"/>
                  <w:vAlign w:val="center"/>
                </w:tcPr>
                <w:p w14:paraId="50F2D530">
                  <w:pPr>
                    <w:jc w:val="center"/>
                    <w:rPr>
                      <w:color w:val="auto"/>
                    </w:rPr>
                  </w:pPr>
                  <w:r>
                    <w:rPr>
                      <w:color w:val="auto"/>
                    </w:rPr>
                    <w:t>/</w:t>
                  </w:r>
                </w:p>
              </w:tc>
              <w:tc>
                <w:tcPr>
                  <w:tcW w:w="819" w:type="pct"/>
                  <w:vAlign w:val="center"/>
                </w:tcPr>
                <w:p w14:paraId="6069FEBA">
                  <w:pPr>
                    <w:jc w:val="center"/>
                    <w:rPr>
                      <w:color w:val="auto"/>
                    </w:rPr>
                  </w:pPr>
                  <w:r>
                    <w:rPr>
                      <w:color w:val="auto"/>
                    </w:rPr>
                    <w:t>15</w:t>
                  </w:r>
                </w:p>
              </w:tc>
            </w:tr>
            <w:tr w14:paraId="4D3E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center"/>
                </w:tcPr>
                <w:p w14:paraId="3D631DD8">
                  <w:pPr>
                    <w:jc w:val="center"/>
                    <w:rPr>
                      <w:color w:val="auto"/>
                    </w:rPr>
                  </w:pPr>
                  <w:r>
                    <w:rPr>
                      <w:color w:val="auto"/>
                    </w:rPr>
                    <w:t>6</w:t>
                  </w:r>
                </w:p>
              </w:tc>
              <w:tc>
                <w:tcPr>
                  <w:tcW w:w="1452" w:type="pct"/>
                  <w:vAlign w:val="center"/>
                </w:tcPr>
                <w:p w14:paraId="44DBE1BE">
                  <w:pPr>
                    <w:jc w:val="center"/>
                    <w:rPr>
                      <w:color w:val="auto"/>
                    </w:rPr>
                  </w:pPr>
                  <w:r>
                    <w:rPr>
                      <w:color w:val="auto"/>
                    </w:rPr>
                    <w:t>16吨机械压机</w:t>
                  </w:r>
                </w:p>
              </w:tc>
              <w:tc>
                <w:tcPr>
                  <w:tcW w:w="1368" w:type="pct"/>
                  <w:vAlign w:val="center"/>
                </w:tcPr>
                <w:p w14:paraId="21D8507B">
                  <w:pPr>
                    <w:jc w:val="center"/>
                    <w:rPr>
                      <w:color w:val="auto"/>
                    </w:rPr>
                  </w:pPr>
                  <w:r>
                    <w:rPr>
                      <w:color w:val="auto"/>
                    </w:rPr>
                    <w:t>16t</w:t>
                  </w:r>
                </w:p>
              </w:tc>
              <w:tc>
                <w:tcPr>
                  <w:tcW w:w="837" w:type="pct"/>
                  <w:vAlign w:val="center"/>
                </w:tcPr>
                <w:p w14:paraId="73F8D2AE">
                  <w:pPr>
                    <w:jc w:val="center"/>
                    <w:rPr>
                      <w:color w:val="auto"/>
                    </w:rPr>
                  </w:pPr>
                  <w:r>
                    <w:rPr>
                      <w:color w:val="auto"/>
                    </w:rPr>
                    <w:t>/</w:t>
                  </w:r>
                </w:p>
              </w:tc>
              <w:tc>
                <w:tcPr>
                  <w:tcW w:w="819" w:type="pct"/>
                  <w:vAlign w:val="center"/>
                </w:tcPr>
                <w:p w14:paraId="7B4B607F">
                  <w:pPr>
                    <w:jc w:val="center"/>
                    <w:rPr>
                      <w:color w:val="auto"/>
                    </w:rPr>
                  </w:pPr>
                  <w:r>
                    <w:rPr>
                      <w:color w:val="auto"/>
                    </w:rPr>
                    <w:t>20</w:t>
                  </w:r>
                </w:p>
              </w:tc>
            </w:tr>
            <w:tr w14:paraId="44FF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center"/>
                </w:tcPr>
                <w:p w14:paraId="21E53EC9">
                  <w:pPr>
                    <w:jc w:val="center"/>
                    <w:rPr>
                      <w:color w:val="auto"/>
                    </w:rPr>
                  </w:pPr>
                  <w:r>
                    <w:rPr>
                      <w:color w:val="auto"/>
                    </w:rPr>
                    <w:t>7</w:t>
                  </w:r>
                </w:p>
              </w:tc>
              <w:tc>
                <w:tcPr>
                  <w:tcW w:w="1452" w:type="pct"/>
                  <w:vAlign w:val="center"/>
                </w:tcPr>
                <w:p w14:paraId="5E45E1AD">
                  <w:pPr>
                    <w:jc w:val="center"/>
                    <w:rPr>
                      <w:color w:val="auto"/>
                    </w:rPr>
                  </w:pPr>
                  <w:r>
                    <w:rPr>
                      <w:color w:val="auto"/>
                    </w:rPr>
                    <w:t>25吨机械压机</w:t>
                  </w:r>
                </w:p>
              </w:tc>
              <w:tc>
                <w:tcPr>
                  <w:tcW w:w="1368" w:type="pct"/>
                  <w:vAlign w:val="center"/>
                </w:tcPr>
                <w:p w14:paraId="276A5A68">
                  <w:pPr>
                    <w:jc w:val="center"/>
                    <w:rPr>
                      <w:color w:val="auto"/>
                    </w:rPr>
                  </w:pPr>
                  <w:r>
                    <w:rPr>
                      <w:color w:val="auto"/>
                    </w:rPr>
                    <w:t>25t</w:t>
                  </w:r>
                </w:p>
              </w:tc>
              <w:tc>
                <w:tcPr>
                  <w:tcW w:w="837" w:type="pct"/>
                  <w:vAlign w:val="center"/>
                </w:tcPr>
                <w:p w14:paraId="1FE2DFB7">
                  <w:pPr>
                    <w:jc w:val="center"/>
                    <w:rPr>
                      <w:color w:val="auto"/>
                    </w:rPr>
                  </w:pPr>
                  <w:r>
                    <w:rPr>
                      <w:color w:val="auto"/>
                    </w:rPr>
                    <w:t>/</w:t>
                  </w:r>
                </w:p>
              </w:tc>
              <w:tc>
                <w:tcPr>
                  <w:tcW w:w="819" w:type="pct"/>
                  <w:vAlign w:val="center"/>
                </w:tcPr>
                <w:p w14:paraId="043B1977">
                  <w:pPr>
                    <w:jc w:val="center"/>
                    <w:rPr>
                      <w:color w:val="auto"/>
                    </w:rPr>
                  </w:pPr>
                  <w:r>
                    <w:rPr>
                      <w:color w:val="auto"/>
                    </w:rPr>
                    <w:t>30</w:t>
                  </w:r>
                </w:p>
              </w:tc>
            </w:tr>
            <w:tr w14:paraId="0D4C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center"/>
                </w:tcPr>
                <w:p w14:paraId="402F5CB5">
                  <w:pPr>
                    <w:jc w:val="center"/>
                    <w:rPr>
                      <w:color w:val="auto"/>
                    </w:rPr>
                  </w:pPr>
                  <w:r>
                    <w:rPr>
                      <w:color w:val="auto"/>
                    </w:rPr>
                    <w:t>8</w:t>
                  </w:r>
                </w:p>
              </w:tc>
              <w:tc>
                <w:tcPr>
                  <w:tcW w:w="1452" w:type="pct"/>
                  <w:vAlign w:val="center"/>
                </w:tcPr>
                <w:p w14:paraId="17D8C4AA">
                  <w:pPr>
                    <w:jc w:val="center"/>
                    <w:rPr>
                      <w:color w:val="auto"/>
                    </w:rPr>
                  </w:pPr>
                  <w:r>
                    <w:rPr>
                      <w:color w:val="auto"/>
                    </w:rPr>
                    <w:t>40吨机械压机</w:t>
                  </w:r>
                </w:p>
              </w:tc>
              <w:tc>
                <w:tcPr>
                  <w:tcW w:w="1368" w:type="pct"/>
                  <w:vAlign w:val="center"/>
                </w:tcPr>
                <w:p w14:paraId="564B4F34">
                  <w:pPr>
                    <w:jc w:val="center"/>
                    <w:rPr>
                      <w:color w:val="auto"/>
                    </w:rPr>
                  </w:pPr>
                  <w:r>
                    <w:rPr>
                      <w:color w:val="auto"/>
                    </w:rPr>
                    <w:t>40t</w:t>
                  </w:r>
                </w:p>
              </w:tc>
              <w:tc>
                <w:tcPr>
                  <w:tcW w:w="837" w:type="pct"/>
                  <w:vAlign w:val="center"/>
                </w:tcPr>
                <w:p w14:paraId="2F12087A">
                  <w:pPr>
                    <w:jc w:val="center"/>
                    <w:rPr>
                      <w:color w:val="auto"/>
                    </w:rPr>
                  </w:pPr>
                  <w:r>
                    <w:rPr>
                      <w:color w:val="auto"/>
                    </w:rPr>
                    <w:t>/</w:t>
                  </w:r>
                </w:p>
              </w:tc>
              <w:tc>
                <w:tcPr>
                  <w:tcW w:w="819" w:type="pct"/>
                  <w:vAlign w:val="center"/>
                </w:tcPr>
                <w:p w14:paraId="675BE710">
                  <w:pPr>
                    <w:jc w:val="center"/>
                    <w:rPr>
                      <w:color w:val="auto"/>
                    </w:rPr>
                  </w:pPr>
                  <w:r>
                    <w:rPr>
                      <w:color w:val="auto"/>
                    </w:rPr>
                    <w:t>30</w:t>
                  </w:r>
                </w:p>
              </w:tc>
            </w:tr>
            <w:tr w14:paraId="24BE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center"/>
                </w:tcPr>
                <w:p w14:paraId="6F86AD30">
                  <w:pPr>
                    <w:jc w:val="center"/>
                    <w:rPr>
                      <w:color w:val="auto"/>
                    </w:rPr>
                  </w:pPr>
                  <w:r>
                    <w:rPr>
                      <w:color w:val="auto"/>
                    </w:rPr>
                    <w:t>11</w:t>
                  </w:r>
                </w:p>
              </w:tc>
              <w:tc>
                <w:tcPr>
                  <w:tcW w:w="1452" w:type="pct"/>
                  <w:vAlign w:val="center"/>
                </w:tcPr>
                <w:p w14:paraId="1257B5CE">
                  <w:pPr>
                    <w:jc w:val="center"/>
                    <w:rPr>
                      <w:color w:val="auto"/>
                    </w:rPr>
                  </w:pPr>
                  <w:r>
                    <w:rPr>
                      <w:color w:val="auto"/>
                    </w:rPr>
                    <w:t>60吨机械压机</w:t>
                  </w:r>
                </w:p>
              </w:tc>
              <w:tc>
                <w:tcPr>
                  <w:tcW w:w="1368" w:type="pct"/>
                  <w:vAlign w:val="center"/>
                </w:tcPr>
                <w:p w14:paraId="00CF0191">
                  <w:pPr>
                    <w:jc w:val="center"/>
                    <w:rPr>
                      <w:color w:val="auto"/>
                    </w:rPr>
                  </w:pPr>
                  <w:r>
                    <w:rPr>
                      <w:color w:val="auto"/>
                    </w:rPr>
                    <w:t>60t</w:t>
                  </w:r>
                </w:p>
              </w:tc>
              <w:tc>
                <w:tcPr>
                  <w:tcW w:w="837" w:type="pct"/>
                  <w:vAlign w:val="center"/>
                </w:tcPr>
                <w:p w14:paraId="5B920B07">
                  <w:pPr>
                    <w:jc w:val="center"/>
                    <w:rPr>
                      <w:color w:val="auto"/>
                    </w:rPr>
                  </w:pPr>
                  <w:r>
                    <w:rPr>
                      <w:color w:val="auto"/>
                    </w:rPr>
                    <w:t>/</w:t>
                  </w:r>
                </w:p>
              </w:tc>
              <w:tc>
                <w:tcPr>
                  <w:tcW w:w="819" w:type="pct"/>
                  <w:vAlign w:val="center"/>
                </w:tcPr>
                <w:p w14:paraId="4B845804">
                  <w:pPr>
                    <w:jc w:val="center"/>
                    <w:rPr>
                      <w:color w:val="auto"/>
                    </w:rPr>
                  </w:pPr>
                  <w:r>
                    <w:rPr>
                      <w:color w:val="auto"/>
                    </w:rPr>
                    <w:t>20</w:t>
                  </w:r>
                </w:p>
              </w:tc>
            </w:tr>
            <w:tr w14:paraId="1557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522" w:type="pct"/>
                  <w:vAlign w:val="center"/>
                </w:tcPr>
                <w:p w14:paraId="57F8DEB2">
                  <w:pPr>
                    <w:jc w:val="center"/>
                    <w:rPr>
                      <w:color w:val="auto"/>
                    </w:rPr>
                  </w:pPr>
                  <w:r>
                    <w:rPr>
                      <w:color w:val="auto"/>
                    </w:rPr>
                    <w:t>12</w:t>
                  </w:r>
                </w:p>
              </w:tc>
              <w:tc>
                <w:tcPr>
                  <w:tcW w:w="1452" w:type="pct"/>
                  <w:vAlign w:val="center"/>
                </w:tcPr>
                <w:p w14:paraId="34982145">
                  <w:pPr>
                    <w:jc w:val="center"/>
                    <w:rPr>
                      <w:color w:val="auto"/>
                    </w:rPr>
                  </w:pPr>
                  <w:r>
                    <w:rPr>
                      <w:color w:val="auto"/>
                    </w:rPr>
                    <w:t>40吨液压机</w:t>
                  </w:r>
                </w:p>
              </w:tc>
              <w:tc>
                <w:tcPr>
                  <w:tcW w:w="1368" w:type="pct"/>
                  <w:vAlign w:val="center"/>
                </w:tcPr>
                <w:p w14:paraId="05B6D247">
                  <w:pPr>
                    <w:jc w:val="center"/>
                    <w:rPr>
                      <w:color w:val="auto"/>
                    </w:rPr>
                  </w:pPr>
                  <w:r>
                    <w:rPr>
                      <w:color w:val="auto"/>
                    </w:rPr>
                    <w:t>40t</w:t>
                  </w:r>
                </w:p>
              </w:tc>
              <w:tc>
                <w:tcPr>
                  <w:tcW w:w="837" w:type="pct"/>
                  <w:vAlign w:val="center"/>
                </w:tcPr>
                <w:p w14:paraId="574CC22B">
                  <w:pPr>
                    <w:jc w:val="center"/>
                    <w:rPr>
                      <w:color w:val="auto"/>
                    </w:rPr>
                  </w:pPr>
                  <w:r>
                    <w:rPr>
                      <w:color w:val="auto"/>
                    </w:rPr>
                    <w:t>/</w:t>
                  </w:r>
                </w:p>
              </w:tc>
              <w:tc>
                <w:tcPr>
                  <w:tcW w:w="819" w:type="pct"/>
                  <w:vAlign w:val="center"/>
                </w:tcPr>
                <w:p w14:paraId="3F7B18C2">
                  <w:pPr>
                    <w:jc w:val="center"/>
                    <w:rPr>
                      <w:color w:val="auto"/>
                    </w:rPr>
                  </w:pPr>
                  <w:r>
                    <w:rPr>
                      <w:color w:val="auto"/>
                    </w:rPr>
                    <w:t>30</w:t>
                  </w:r>
                </w:p>
              </w:tc>
            </w:tr>
            <w:tr w14:paraId="5107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522" w:type="pct"/>
                  <w:shd w:val="clear" w:color="auto" w:fill="auto"/>
                  <w:vAlign w:val="top"/>
                </w:tcPr>
                <w:p w14:paraId="4122354C">
                  <w:pPr>
                    <w:spacing w:before="122"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2"/>
                      <w:sz w:val="21"/>
                      <w:szCs w:val="21"/>
                    </w:rPr>
                    <w:t>13</w:t>
                  </w:r>
                </w:p>
              </w:tc>
              <w:tc>
                <w:tcPr>
                  <w:tcW w:w="1452" w:type="pct"/>
                  <w:shd w:val="clear" w:color="auto" w:fill="auto"/>
                  <w:vAlign w:val="top"/>
                </w:tcPr>
                <w:p w14:paraId="4F47C12B">
                  <w:pPr>
                    <w:pStyle w:val="97"/>
                    <w:spacing w:before="86" w:line="220" w:lineRule="auto"/>
                    <w:ind w:left="658" w:leftChars="0"/>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6"/>
                      <w:sz w:val="21"/>
                      <w:szCs w:val="21"/>
                    </w:rPr>
                    <w:t>100</w:t>
                  </w:r>
                  <w:r>
                    <w:rPr>
                      <w:color w:val="auto"/>
                      <w:spacing w:val="-6"/>
                      <w:sz w:val="21"/>
                      <w:szCs w:val="21"/>
                    </w:rPr>
                    <w:t>吨液压机</w:t>
                  </w:r>
                </w:p>
              </w:tc>
              <w:tc>
                <w:tcPr>
                  <w:tcW w:w="1368" w:type="pct"/>
                  <w:shd w:val="clear" w:color="auto" w:fill="auto"/>
                  <w:vAlign w:val="top"/>
                </w:tcPr>
                <w:p w14:paraId="0327B0B4">
                  <w:pPr>
                    <w:spacing w:before="122" w:line="187" w:lineRule="auto"/>
                    <w:ind w:left="100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5"/>
                      <w:sz w:val="21"/>
                      <w:szCs w:val="21"/>
                    </w:rPr>
                    <w:t>100t</w:t>
                  </w:r>
                </w:p>
              </w:tc>
              <w:tc>
                <w:tcPr>
                  <w:tcW w:w="837" w:type="pct"/>
                  <w:shd w:val="clear" w:color="auto" w:fill="auto"/>
                  <w:vAlign w:val="top"/>
                </w:tcPr>
                <w:p w14:paraId="4DD3A04A">
                  <w:pPr>
                    <w:spacing w:before="119" w:line="233" w:lineRule="auto"/>
                    <w:ind w:left="68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819" w:type="pct"/>
                  <w:shd w:val="clear" w:color="auto" w:fill="auto"/>
                  <w:vAlign w:val="top"/>
                </w:tcPr>
                <w:p w14:paraId="7EA46149">
                  <w:pPr>
                    <w:spacing w:before="122" w:line="187" w:lineRule="auto"/>
                    <w:ind w:left="5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r>
            <w:tr w14:paraId="1AB7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969" w:type="dxa"/>
                  <w:shd w:val="clear" w:color="auto" w:fill="auto"/>
                  <w:vAlign w:val="top"/>
                </w:tcPr>
                <w:p w14:paraId="6031D8BB">
                  <w:pPr>
                    <w:spacing w:before="119"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2"/>
                      <w:sz w:val="21"/>
                      <w:szCs w:val="21"/>
                    </w:rPr>
                    <w:t>14</w:t>
                  </w:r>
                </w:p>
              </w:tc>
              <w:tc>
                <w:tcPr>
                  <w:tcW w:w="2695" w:type="dxa"/>
                  <w:shd w:val="clear" w:color="auto" w:fill="auto"/>
                  <w:vAlign w:val="top"/>
                </w:tcPr>
                <w:p w14:paraId="05DE32CE">
                  <w:pPr>
                    <w:pStyle w:val="97"/>
                    <w:spacing w:before="82" w:line="220" w:lineRule="auto"/>
                    <w:ind w:left="642" w:leftChars="0"/>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4"/>
                      <w:sz w:val="21"/>
                      <w:szCs w:val="21"/>
                    </w:rPr>
                    <w:t>315</w:t>
                  </w:r>
                  <w:r>
                    <w:rPr>
                      <w:color w:val="auto"/>
                      <w:spacing w:val="-4"/>
                      <w:sz w:val="21"/>
                      <w:szCs w:val="21"/>
                    </w:rPr>
                    <w:t>吨液压机</w:t>
                  </w:r>
                </w:p>
              </w:tc>
              <w:tc>
                <w:tcPr>
                  <w:tcW w:w="2539" w:type="dxa"/>
                  <w:shd w:val="clear" w:color="auto" w:fill="auto"/>
                  <w:vAlign w:val="top"/>
                </w:tcPr>
                <w:p w14:paraId="3D737ABF">
                  <w:pPr>
                    <w:spacing w:before="119" w:line="187" w:lineRule="auto"/>
                    <w:ind w:left="98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315t</w:t>
                  </w:r>
                </w:p>
              </w:tc>
              <w:tc>
                <w:tcPr>
                  <w:tcW w:w="1553" w:type="dxa"/>
                  <w:shd w:val="clear" w:color="auto" w:fill="auto"/>
                  <w:vAlign w:val="top"/>
                </w:tcPr>
                <w:p w14:paraId="7932BC7E">
                  <w:pPr>
                    <w:spacing w:before="115" w:line="233" w:lineRule="auto"/>
                    <w:ind w:left="68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1520" w:type="dxa"/>
                  <w:shd w:val="clear" w:color="auto" w:fill="auto"/>
                  <w:vAlign w:val="top"/>
                </w:tcPr>
                <w:p w14:paraId="0A0FFCEE">
                  <w:pPr>
                    <w:spacing w:before="119" w:line="187" w:lineRule="auto"/>
                    <w:ind w:left="64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r>
            <w:tr w14:paraId="58BE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969" w:type="dxa"/>
                  <w:shd w:val="clear" w:color="auto" w:fill="auto"/>
                  <w:vAlign w:val="top"/>
                </w:tcPr>
                <w:p w14:paraId="743A5CA5">
                  <w:pPr>
                    <w:spacing w:before="120"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2"/>
                      <w:sz w:val="21"/>
                      <w:szCs w:val="21"/>
                    </w:rPr>
                    <w:t>15</w:t>
                  </w:r>
                </w:p>
              </w:tc>
              <w:tc>
                <w:tcPr>
                  <w:tcW w:w="2695" w:type="dxa"/>
                  <w:shd w:val="clear" w:color="auto" w:fill="auto"/>
                  <w:vAlign w:val="top"/>
                </w:tcPr>
                <w:p w14:paraId="311CC6CF">
                  <w:pPr>
                    <w:pStyle w:val="97"/>
                    <w:spacing w:before="84" w:line="221" w:lineRule="auto"/>
                    <w:ind w:left="431" w:leftChars="0"/>
                    <w:rPr>
                      <w:rFonts w:ascii="宋体" w:hAnsi="宋体" w:eastAsia="宋体" w:cs="宋体"/>
                      <w:color w:val="auto"/>
                      <w:kern w:val="2"/>
                      <w:sz w:val="21"/>
                      <w:szCs w:val="21"/>
                      <w:lang w:val="en-US" w:eastAsia="en-US" w:bidi="ar-SA"/>
                    </w:rPr>
                  </w:pPr>
                  <w:r>
                    <w:rPr>
                      <w:color w:val="auto"/>
                      <w:spacing w:val="-4"/>
                      <w:sz w:val="21"/>
                      <w:szCs w:val="21"/>
                    </w:rPr>
                    <w:t>电加热箱式固化炉</w:t>
                  </w:r>
                </w:p>
              </w:tc>
              <w:tc>
                <w:tcPr>
                  <w:tcW w:w="2539" w:type="dxa"/>
                  <w:shd w:val="clear" w:color="auto" w:fill="auto"/>
                  <w:vAlign w:val="top"/>
                </w:tcPr>
                <w:p w14:paraId="35009BEC">
                  <w:pPr>
                    <w:spacing w:before="120" w:line="187" w:lineRule="auto"/>
                    <w:ind w:left="74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JDGHB-1</w:t>
                  </w:r>
                </w:p>
              </w:tc>
              <w:tc>
                <w:tcPr>
                  <w:tcW w:w="1553" w:type="dxa"/>
                  <w:shd w:val="clear" w:color="auto" w:fill="auto"/>
                  <w:vAlign w:val="top"/>
                </w:tcPr>
                <w:p w14:paraId="1C7E9BF8">
                  <w:pPr>
                    <w:spacing w:before="116" w:line="233" w:lineRule="auto"/>
                    <w:ind w:left="68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1520" w:type="dxa"/>
                  <w:shd w:val="clear" w:color="auto" w:fill="auto"/>
                  <w:vAlign w:val="top"/>
                </w:tcPr>
                <w:p w14:paraId="04DC4FAE">
                  <w:pPr>
                    <w:spacing w:before="120"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25</w:t>
                  </w:r>
                </w:p>
              </w:tc>
            </w:tr>
            <w:tr w14:paraId="6DCE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969" w:type="dxa"/>
                  <w:shd w:val="clear" w:color="auto" w:fill="auto"/>
                  <w:vAlign w:val="top"/>
                </w:tcPr>
                <w:p w14:paraId="09162233">
                  <w:pPr>
                    <w:spacing w:before="121"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16</w:t>
                  </w:r>
                </w:p>
              </w:tc>
              <w:tc>
                <w:tcPr>
                  <w:tcW w:w="2695" w:type="dxa"/>
                  <w:shd w:val="clear" w:color="auto" w:fill="auto"/>
                  <w:vAlign w:val="top"/>
                </w:tcPr>
                <w:p w14:paraId="17435A88">
                  <w:pPr>
                    <w:pStyle w:val="97"/>
                    <w:spacing w:before="85" w:line="221" w:lineRule="auto"/>
                    <w:ind w:left="640" w:leftChars="0"/>
                    <w:rPr>
                      <w:rFonts w:ascii="宋体" w:hAnsi="宋体" w:eastAsia="宋体" w:cs="宋体"/>
                      <w:color w:val="auto"/>
                      <w:kern w:val="2"/>
                      <w:sz w:val="21"/>
                      <w:szCs w:val="21"/>
                      <w:lang w:val="en-US" w:eastAsia="en-US" w:bidi="ar-SA"/>
                    </w:rPr>
                  </w:pPr>
                  <w:r>
                    <w:rPr>
                      <w:color w:val="auto"/>
                      <w:spacing w:val="-5"/>
                      <w:sz w:val="21"/>
                      <w:szCs w:val="21"/>
                    </w:rPr>
                    <w:t>电加热隧道炉</w:t>
                  </w:r>
                </w:p>
              </w:tc>
              <w:tc>
                <w:tcPr>
                  <w:tcW w:w="2539" w:type="dxa"/>
                  <w:shd w:val="clear" w:color="auto" w:fill="auto"/>
                  <w:vAlign w:val="top"/>
                </w:tcPr>
                <w:p w14:paraId="33AD5E5F">
                  <w:pPr>
                    <w:spacing w:before="118" w:line="190" w:lineRule="auto"/>
                    <w:ind w:left="211"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2.3m*400mm*600mm</w:t>
                  </w:r>
                </w:p>
              </w:tc>
              <w:tc>
                <w:tcPr>
                  <w:tcW w:w="1553" w:type="dxa"/>
                  <w:shd w:val="clear" w:color="auto" w:fill="auto"/>
                  <w:vAlign w:val="top"/>
                </w:tcPr>
                <w:p w14:paraId="146285D3">
                  <w:pPr>
                    <w:spacing w:before="118" w:line="233" w:lineRule="auto"/>
                    <w:ind w:left="68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1520" w:type="dxa"/>
                  <w:shd w:val="clear" w:color="auto" w:fill="auto"/>
                  <w:vAlign w:val="top"/>
                </w:tcPr>
                <w:p w14:paraId="6D765A69">
                  <w:pPr>
                    <w:spacing w:before="121"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r w14:paraId="438D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969" w:type="dxa"/>
                  <w:shd w:val="clear" w:color="auto" w:fill="auto"/>
                  <w:vAlign w:val="top"/>
                </w:tcPr>
                <w:p w14:paraId="16B22F2A">
                  <w:pPr>
                    <w:spacing w:before="122"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17</w:t>
                  </w:r>
                </w:p>
              </w:tc>
              <w:tc>
                <w:tcPr>
                  <w:tcW w:w="2695" w:type="dxa"/>
                  <w:shd w:val="clear" w:color="auto" w:fill="auto"/>
                  <w:vAlign w:val="top"/>
                </w:tcPr>
                <w:p w14:paraId="71496D04">
                  <w:pPr>
                    <w:pStyle w:val="97"/>
                    <w:spacing w:before="86"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振动光饰机</w:t>
                  </w:r>
                </w:p>
              </w:tc>
              <w:tc>
                <w:tcPr>
                  <w:tcW w:w="2539" w:type="dxa"/>
                  <w:shd w:val="clear" w:color="auto" w:fill="auto"/>
                  <w:vAlign w:val="top"/>
                </w:tcPr>
                <w:p w14:paraId="28049CBF">
                  <w:pPr>
                    <w:spacing w:before="122" w:line="187" w:lineRule="auto"/>
                    <w:ind w:left="9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K300</w:t>
                  </w:r>
                </w:p>
              </w:tc>
              <w:tc>
                <w:tcPr>
                  <w:tcW w:w="1553" w:type="dxa"/>
                  <w:shd w:val="clear" w:color="auto" w:fill="auto"/>
                  <w:vAlign w:val="top"/>
                </w:tcPr>
                <w:p w14:paraId="347A1199">
                  <w:pPr>
                    <w:spacing w:before="119" w:line="233" w:lineRule="auto"/>
                    <w:ind w:left="68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1520" w:type="dxa"/>
                  <w:shd w:val="clear" w:color="auto" w:fill="auto"/>
                  <w:vAlign w:val="top"/>
                </w:tcPr>
                <w:p w14:paraId="36DB6D6F">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r>
          </w:tbl>
          <w:p w14:paraId="35FE996F">
            <w:pPr>
              <w:spacing w:before="82" w:line="220" w:lineRule="auto"/>
              <w:ind w:left="3865"/>
              <w:rPr>
                <w:rFonts w:ascii="宋体" w:hAnsi="宋体" w:eastAsia="宋体" w:cs="宋体"/>
                <w:color w:val="auto"/>
                <w:sz w:val="21"/>
                <w:szCs w:val="21"/>
              </w:rPr>
            </w:pPr>
            <w:r>
              <w:rPr>
                <w:rFonts w:ascii="宋体" w:hAnsi="宋体" w:eastAsia="宋体" w:cs="宋体"/>
                <w:b/>
                <w:bCs/>
                <w:color w:val="auto"/>
                <w:spacing w:val="-3"/>
                <w:sz w:val="21"/>
                <w:szCs w:val="21"/>
              </w:rPr>
              <w:t>三、倒角</w:t>
            </w:r>
          </w:p>
          <w:p w14:paraId="6A57EA46">
            <w:pPr>
              <w:spacing w:line="36" w:lineRule="exact"/>
              <w:rPr>
                <w:color w:val="auto"/>
              </w:rPr>
            </w:pP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5A90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14" w:type="pct"/>
                  <w:vAlign w:val="center"/>
                </w:tcPr>
                <w:p w14:paraId="3D8AC645">
                  <w:pPr>
                    <w:jc w:val="center"/>
                    <w:rPr>
                      <w:color w:val="auto"/>
                    </w:rPr>
                  </w:pPr>
                  <w:r>
                    <w:rPr>
                      <w:color w:val="auto"/>
                    </w:rPr>
                    <w:t>1</w:t>
                  </w:r>
                </w:p>
              </w:tc>
              <w:tc>
                <w:tcPr>
                  <w:tcW w:w="1454" w:type="pct"/>
                  <w:vAlign w:val="center"/>
                </w:tcPr>
                <w:p w14:paraId="05A135EF">
                  <w:pPr>
                    <w:jc w:val="center"/>
                    <w:rPr>
                      <w:color w:val="auto"/>
                    </w:rPr>
                  </w:pPr>
                  <w:r>
                    <w:rPr>
                      <w:color w:val="auto"/>
                    </w:rPr>
                    <w:t>倒角机</w:t>
                  </w:r>
                </w:p>
              </w:tc>
              <w:tc>
                <w:tcPr>
                  <w:tcW w:w="1370" w:type="pct"/>
                  <w:vAlign w:val="center"/>
                </w:tcPr>
                <w:p w14:paraId="6D0DF0B5">
                  <w:pPr>
                    <w:jc w:val="center"/>
                    <w:rPr>
                      <w:color w:val="auto"/>
                    </w:rPr>
                  </w:pPr>
                  <w:r>
                    <w:rPr>
                      <w:color w:val="auto"/>
                    </w:rPr>
                    <w:t>300L</w:t>
                  </w:r>
                </w:p>
              </w:tc>
              <w:tc>
                <w:tcPr>
                  <w:tcW w:w="838" w:type="pct"/>
                  <w:vAlign w:val="center"/>
                </w:tcPr>
                <w:p w14:paraId="4EE40974">
                  <w:pPr>
                    <w:jc w:val="center"/>
                    <w:rPr>
                      <w:color w:val="auto"/>
                    </w:rPr>
                  </w:pPr>
                  <w:r>
                    <w:rPr>
                      <w:color w:val="auto"/>
                    </w:rPr>
                    <w:t>/</w:t>
                  </w:r>
                </w:p>
              </w:tc>
              <w:tc>
                <w:tcPr>
                  <w:tcW w:w="821" w:type="pct"/>
                  <w:vAlign w:val="center"/>
                </w:tcPr>
                <w:p w14:paraId="2FE94AFA">
                  <w:pPr>
                    <w:jc w:val="center"/>
                    <w:rPr>
                      <w:color w:val="auto"/>
                    </w:rPr>
                  </w:pPr>
                  <w:r>
                    <w:rPr>
                      <w:color w:val="auto"/>
                    </w:rPr>
                    <w:t>190</w:t>
                  </w:r>
                </w:p>
              </w:tc>
            </w:tr>
            <w:tr w14:paraId="3E34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14" w:type="pct"/>
                  <w:vAlign w:val="center"/>
                </w:tcPr>
                <w:p w14:paraId="4039B169">
                  <w:pPr>
                    <w:jc w:val="center"/>
                    <w:rPr>
                      <w:color w:val="auto"/>
                    </w:rPr>
                  </w:pPr>
                  <w:r>
                    <w:rPr>
                      <w:color w:val="auto"/>
                    </w:rPr>
                    <w:t>2</w:t>
                  </w:r>
                </w:p>
              </w:tc>
              <w:tc>
                <w:tcPr>
                  <w:tcW w:w="1454" w:type="pct"/>
                  <w:vAlign w:val="center"/>
                </w:tcPr>
                <w:p w14:paraId="69E966D0">
                  <w:pPr>
                    <w:jc w:val="center"/>
                    <w:rPr>
                      <w:color w:val="auto"/>
                    </w:rPr>
                  </w:pPr>
                  <w:r>
                    <w:rPr>
                      <w:color w:val="auto"/>
                    </w:rPr>
                    <w:t>清洗机</w:t>
                  </w:r>
                </w:p>
              </w:tc>
              <w:tc>
                <w:tcPr>
                  <w:tcW w:w="1370" w:type="pct"/>
                  <w:vAlign w:val="center"/>
                </w:tcPr>
                <w:p w14:paraId="6A143247">
                  <w:pPr>
                    <w:jc w:val="center"/>
                    <w:rPr>
                      <w:color w:val="auto"/>
                    </w:rPr>
                  </w:pPr>
                  <w:r>
                    <w:rPr>
                      <w:color w:val="auto"/>
                    </w:rPr>
                    <w:t>CGZ-N-MD-D</w:t>
                  </w:r>
                </w:p>
              </w:tc>
              <w:tc>
                <w:tcPr>
                  <w:tcW w:w="838" w:type="pct"/>
                  <w:vAlign w:val="center"/>
                </w:tcPr>
                <w:p w14:paraId="040F05B2">
                  <w:pPr>
                    <w:jc w:val="center"/>
                    <w:rPr>
                      <w:color w:val="auto"/>
                    </w:rPr>
                  </w:pPr>
                  <w:r>
                    <w:rPr>
                      <w:color w:val="auto"/>
                    </w:rPr>
                    <w:t>/</w:t>
                  </w:r>
                </w:p>
              </w:tc>
              <w:tc>
                <w:tcPr>
                  <w:tcW w:w="821" w:type="pct"/>
                  <w:vAlign w:val="center"/>
                </w:tcPr>
                <w:p w14:paraId="4E344FB9">
                  <w:pPr>
                    <w:jc w:val="center"/>
                    <w:rPr>
                      <w:color w:val="auto"/>
                    </w:rPr>
                  </w:pPr>
                  <w:r>
                    <w:rPr>
                      <w:color w:val="auto"/>
                    </w:rPr>
                    <w:t>10</w:t>
                  </w:r>
                </w:p>
              </w:tc>
            </w:tr>
          </w:tbl>
          <w:p w14:paraId="1A5EBE0B">
            <w:pPr>
              <w:spacing w:before="84" w:line="220" w:lineRule="auto"/>
              <w:jc w:val="center"/>
              <w:rPr>
                <w:rFonts w:ascii="宋体" w:hAnsi="宋体" w:eastAsia="宋体" w:cs="宋体"/>
                <w:color w:val="auto"/>
                <w:sz w:val="21"/>
                <w:szCs w:val="21"/>
              </w:rPr>
            </w:pPr>
            <w:r>
              <w:rPr>
                <w:rFonts w:ascii="宋体" w:hAnsi="宋体" w:eastAsia="宋体" w:cs="宋体"/>
                <w:b/>
                <w:bCs/>
                <w:color w:val="auto"/>
                <w:spacing w:val="-4"/>
                <w:sz w:val="21"/>
                <w:szCs w:val="21"/>
              </w:rPr>
              <w:t>四、挂镀镍铜镍线（</w:t>
            </w:r>
            <w:r>
              <w:rPr>
                <w:rFonts w:ascii="Times New Roman" w:hAnsi="Times New Roman" w:eastAsia="Times New Roman" w:cs="Times New Roman"/>
                <w:b/>
                <w:bCs/>
                <w:color w:val="auto"/>
                <w:spacing w:val="-4"/>
                <w:sz w:val="21"/>
                <w:szCs w:val="21"/>
              </w:rPr>
              <w:t>13</w:t>
            </w:r>
            <w:r>
              <w:rPr>
                <w:rFonts w:ascii="宋体" w:hAnsi="宋体" w:eastAsia="宋体" w:cs="宋体"/>
                <w:b/>
                <w:bCs/>
                <w:color w:val="auto"/>
                <w:spacing w:val="-4"/>
                <w:sz w:val="21"/>
                <w:szCs w:val="21"/>
              </w:rPr>
              <w:t>条）</w:t>
            </w:r>
          </w:p>
          <w:p w14:paraId="55F43BF5">
            <w:pPr>
              <w:spacing w:line="35" w:lineRule="exact"/>
              <w:rPr>
                <w:color w:val="auto"/>
              </w:rPr>
            </w:pPr>
          </w:p>
          <w:tbl>
            <w:tblPr>
              <w:tblStyle w:val="7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1AE5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22" w:type="pct"/>
                  <w:vAlign w:val="top"/>
                </w:tcPr>
                <w:p w14:paraId="736AECE9">
                  <w:pPr>
                    <w:spacing w:before="124"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22522B09">
                  <w:pPr>
                    <w:pStyle w:val="97"/>
                    <w:spacing w:before="87" w:line="221" w:lineRule="auto"/>
                    <w:ind w:left="614"/>
                    <w:rPr>
                      <w:color w:val="auto"/>
                      <w:sz w:val="21"/>
                      <w:szCs w:val="21"/>
                    </w:rPr>
                  </w:pPr>
                  <w:r>
                    <w:rPr>
                      <w:color w:val="auto"/>
                      <w:spacing w:val="-1"/>
                      <w:sz w:val="21"/>
                      <w:szCs w:val="21"/>
                    </w:rPr>
                    <w:t>超声波除油槽</w:t>
                  </w:r>
                </w:p>
              </w:tc>
              <w:tc>
                <w:tcPr>
                  <w:tcW w:w="1368" w:type="pct"/>
                  <w:vAlign w:val="top"/>
                </w:tcPr>
                <w:p w14:paraId="17196DBF">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1849F684">
                  <w:pPr>
                    <w:spacing w:before="124"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95F71DE">
                  <w:pPr>
                    <w:spacing w:before="12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81F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5CFB755">
                  <w:pPr>
                    <w:spacing w:before="119"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143656E0">
                  <w:pPr>
                    <w:pStyle w:val="97"/>
                    <w:spacing w:before="82" w:line="221" w:lineRule="auto"/>
                    <w:ind w:left="931"/>
                    <w:rPr>
                      <w:color w:val="auto"/>
                      <w:sz w:val="21"/>
                      <w:szCs w:val="21"/>
                    </w:rPr>
                  </w:pPr>
                  <w:r>
                    <w:rPr>
                      <w:color w:val="auto"/>
                      <w:spacing w:val="-3"/>
                      <w:sz w:val="21"/>
                      <w:szCs w:val="21"/>
                    </w:rPr>
                    <w:t>水洗槽</w:t>
                  </w:r>
                </w:p>
              </w:tc>
              <w:tc>
                <w:tcPr>
                  <w:tcW w:w="1368" w:type="pct"/>
                  <w:vAlign w:val="top"/>
                </w:tcPr>
                <w:p w14:paraId="7E9A846B">
                  <w:pPr>
                    <w:spacing w:before="115"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490190E">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795F8692">
                  <w:pPr>
                    <w:spacing w:before="11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172B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5186AC2">
                  <w:pPr>
                    <w:spacing w:before="120"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0A9116A0">
                  <w:pPr>
                    <w:pStyle w:val="97"/>
                    <w:spacing w:before="83" w:line="221" w:lineRule="auto"/>
                    <w:ind w:left="930"/>
                    <w:rPr>
                      <w:color w:val="auto"/>
                      <w:sz w:val="21"/>
                      <w:szCs w:val="21"/>
                    </w:rPr>
                  </w:pPr>
                  <w:r>
                    <w:rPr>
                      <w:color w:val="auto"/>
                      <w:spacing w:val="-2"/>
                      <w:sz w:val="21"/>
                      <w:szCs w:val="21"/>
                    </w:rPr>
                    <w:t>酸洗槽</w:t>
                  </w:r>
                </w:p>
              </w:tc>
              <w:tc>
                <w:tcPr>
                  <w:tcW w:w="1368" w:type="pct"/>
                  <w:vAlign w:val="top"/>
                </w:tcPr>
                <w:p w14:paraId="03FE1768">
                  <w:pPr>
                    <w:spacing w:before="116"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2F9CB4BE">
                  <w:pPr>
                    <w:spacing w:before="12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822457F">
                  <w:pPr>
                    <w:spacing w:before="120"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11CC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DFCD75D">
                  <w:pPr>
                    <w:spacing w:before="121"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5B355208">
                  <w:pPr>
                    <w:pStyle w:val="97"/>
                    <w:spacing w:before="84" w:line="221" w:lineRule="auto"/>
                    <w:ind w:left="931"/>
                    <w:rPr>
                      <w:color w:val="auto"/>
                      <w:sz w:val="21"/>
                      <w:szCs w:val="21"/>
                    </w:rPr>
                  </w:pPr>
                  <w:r>
                    <w:rPr>
                      <w:color w:val="auto"/>
                      <w:spacing w:val="-3"/>
                      <w:sz w:val="21"/>
                      <w:szCs w:val="21"/>
                    </w:rPr>
                    <w:t>水洗槽</w:t>
                  </w:r>
                </w:p>
              </w:tc>
              <w:tc>
                <w:tcPr>
                  <w:tcW w:w="1368" w:type="pct"/>
                  <w:vAlign w:val="top"/>
                </w:tcPr>
                <w:p w14:paraId="25A935F1">
                  <w:pPr>
                    <w:spacing w:before="117"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481269C">
                  <w:pPr>
                    <w:spacing w:before="12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7C538BC0">
                  <w:pPr>
                    <w:spacing w:before="121"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40A0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05BCAA3">
                  <w:pPr>
                    <w:spacing w:before="125"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76A2700B">
                  <w:pPr>
                    <w:pStyle w:val="97"/>
                    <w:spacing w:before="86" w:line="221" w:lineRule="auto"/>
                    <w:ind w:left="614"/>
                    <w:rPr>
                      <w:color w:val="auto"/>
                      <w:sz w:val="21"/>
                      <w:szCs w:val="21"/>
                    </w:rPr>
                  </w:pPr>
                  <w:r>
                    <w:rPr>
                      <w:color w:val="auto"/>
                      <w:spacing w:val="-1"/>
                      <w:sz w:val="21"/>
                      <w:szCs w:val="21"/>
                    </w:rPr>
                    <w:t>超声波去灰槽</w:t>
                  </w:r>
                </w:p>
              </w:tc>
              <w:tc>
                <w:tcPr>
                  <w:tcW w:w="1368" w:type="pct"/>
                  <w:vAlign w:val="top"/>
                </w:tcPr>
                <w:p w14:paraId="4D46D024">
                  <w:pPr>
                    <w:spacing w:before="118"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135BB4BA">
                  <w:pPr>
                    <w:spacing w:before="122"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258578B">
                  <w:pPr>
                    <w:spacing w:before="122"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77D9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3A4C90D">
                  <w:pPr>
                    <w:spacing w:before="123"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773961AA">
                  <w:pPr>
                    <w:pStyle w:val="97"/>
                    <w:spacing w:before="87" w:line="221" w:lineRule="auto"/>
                    <w:ind w:left="930"/>
                    <w:rPr>
                      <w:color w:val="auto"/>
                      <w:sz w:val="21"/>
                      <w:szCs w:val="21"/>
                    </w:rPr>
                  </w:pPr>
                  <w:r>
                    <w:rPr>
                      <w:color w:val="auto"/>
                      <w:spacing w:val="-2"/>
                      <w:sz w:val="21"/>
                      <w:szCs w:val="21"/>
                    </w:rPr>
                    <w:t>酸洗槽</w:t>
                  </w:r>
                </w:p>
              </w:tc>
              <w:tc>
                <w:tcPr>
                  <w:tcW w:w="1368" w:type="pct"/>
                  <w:vAlign w:val="top"/>
                </w:tcPr>
                <w:p w14:paraId="75F1D3AB">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1917E38A">
                  <w:pPr>
                    <w:spacing w:before="124"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4A6EF1C">
                  <w:pPr>
                    <w:spacing w:before="12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BED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6F8C63E">
                  <w:pPr>
                    <w:spacing w:before="128" w:line="184" w:lineRule="auto"/>
                    <w:ind w:left="40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2" w:type="pct"/>
                  <w:vAlign w:val="top"/>
                </w:tcPr>
                <w:p w14:paraId="5237E291">
                  <w:pPr>
                    <w:pStyle w:val="97"/>
                    <w:spacing w:before="88" w:line="221" w:lineRule="auto"/>
                    <w:ind w:left="931"/>
                    <w:rPr>
                      <w:color w:val="auto"/>
                      <w:sz w:val="21"/>
                      <w:szCs w:val="21"/>
                    </w:rPr>
                  </w:pPr>
                  <w:r>
                    <w:rPr>
                      <w:color w:val="auto"/>
                      <w:spacing w:val="-3"/>
                      <w:sz w:val="21"/>
                      <w:szCs w:val="21"/>
                    </w:rPr>
                    <w:t>水洗槽</w:t>
                  </w:r>
                </w:p>
              </w:tc>
              <w:tc>
                <w:tcPr>
                  <w:tcW w:w="1368" w:type="pct"/>
                  <w:vAlign w:val="top"/>
                </w:tcPr>
                <w:p w14:paraId="727031A3">
                  <w:pPr>
                    <w:spacing w:before="121"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139CDFFC">
                  <w:pPr>
                    <w:spacing w:before="125"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75EC0410">
                  <w:pPr>
                    <w:spacing w:before="125"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53C3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6707FE0">
                  <w:pPr>
                    <w:spacing w:before="126" w:line="187" w:lineRule="auto"/>
                    <w:ind w:left="41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2" w:type="pct"/>
                  <w:vAlign w:val="top"/>
                </w:tcPr>
                <w:p w14:paraId="197F159B">
                  <w:pPr>
                    <w:pStyle w:val="97"/>
                    <w:spacing w:before="89" w:line="221" w:lineRule="auto"/>
                    <w:ind w:left="614"/>
                    <w:rPr>
                      <w:color w:val="auto"/>
                      <w:sz w:val="21"/>
                      <w:szCs w:val="21"/>
                    </w:rPr>
                  </w:pPr>
                  <w:r>
                    <w:rPr>
                      <w:color w:val="auto"/>
                      <w:spacing w:val="-1"/>
                      <w:sz w:val="21"/>
                      <w:szCs w:val="21"/>
                    </w:rPr>
                    <w:t>超声波去灰槽</w:t>
                  </w:r>
                </w:p>
              </w:tc>
              <w:tc>
                <w:tcPr>
                  <w:tcW w:w="1368" w:type="pct"/>
                  <w:vAlign w:val="top"/>
                </w:tcPr>
                <w:p w14:paraId="470073B0">
                  <w:pPr>
                    <w:spacing w:before="122"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4DB98FA7">
                  <w:pPr>
                    <w:spacing w:before="12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5C88083">
                  <w:pPr>
                    <w:spacing w:before="126"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2559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286655EB">
                  <w:pPr>
                    <w:spacing w:before="127"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2" w:type="pct"/>
                  <w:vAlign w:val="top"/>
                </w:tcPr>
                <w:p w14:paraId="109ABFF7">
                  <w:pPr>
                    <w:pStyle w:val="97"/>
                    <w:spacing w:before="90" w:line="221" w:lineRule="auto"/>
                    <w:ind w:left="932"/>
                    <w:rPr>
                      <w:color w:val="auto"/>
                      <w:sz w:val="21"/>
                      <w:szCs w:val="21"/>
                    </w:rPr>
                  </w:pPr>
                  <w:r>
                    <w:rPr>
                      <w:color w:val="auto"/>
                      <w:spacing w:val="-3"/>
                      <w:sz w:val="21"/>
                      <w:szCs w:val="21"/>
                    </w:rPr>
                    <w:t>活化槽</w:t>
                  </w:r>
                </w:p>
              </w:tc>
              <w:tc>
                <w:tcPr>
                  <w:tcW w:w="1368" w:type="pct"/>
                  <w:vAlign w:val="top"/>
                </w:tcPr>
                <w:p w14:paraId="25D88164">
                  <w:pPr>
                    <w:spacing w:before="123"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C51715E">
                  <w:pPr>
                    <w:spacing w:before="127"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0185C92">
                  <w:pPr>
                    <w:spacing w:before="127"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11A5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796E6544">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2" w:type="pct"/>
                  <w:vAlign w:val="top"/>
                </w:tcPr>
                <w:p w14:paraId="2A867711">
                  <w:pPr>
                    <w:pStyle w:val="97"/>
                    <w:spacing w:before="91" w:line="221" w:lineRule="auto"/>
                    <w:ind w:left="931"/>
                    <w:rPr>
                      <w:color w:val="auto"/>
                      <w:sz w:val="21"/>
                      <w:szCs w:val="21"/>
                    </w:rPr>
                  </w:pPr>
                  <w:r>
                    <w:rPr>
                      <w:color w:val="auto"/>
                      <w:spacing w:val="-3"/>
                      <w:sz w:val="21"/>
                      <w:szCs w:val="21"/>
                    </w:rPr>
                    <w:t>水洗槽</w:t>
                  </w:r>
                </w:p>
              </w:tc>
              <w:tc>
                <w:tcPr>
                  <w:tcW w:w="1368" w:type="pct"/>
                  <w:vAlign w:val="top"/>
                </w:tcPr>
                <w:p w14:paraId="3DA66444">
                  <w:pPr>
                    <w:spacing w:before="124"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19CFA47">
                  <w:pPr>
                    <w:spacing w:before="128"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75B0F10A">
                  <w:pPr>
                    <w:spacing w:before="128"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40E5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4133BC92">
                  <w:pPr>
                    <w:spacing w:before="129"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2" w:type="pct"/>
                  <w:vAlign w:val="top"/>
                </w:tcPr>
                <w:p w14:paraId="1A3FDC9A">
                  <w:pPr>
                    <w:pStyle w:val="97"/>
                    <w:spacing w:before="93" w:line="220" w:lineRule="auto"/>
                    <w:ind w:left="827"/>
                    <w:rPr>
                      <w:color w:val="auto"/>
                      <w:sz w:val="21"/>
                      <w:szCs w:val="21"/>
                    </w:rPr>
                  </w:pPr>
                  <w:r>
                    <w:rPr>
                      <w:color w:val="auto"/>
                      <w:spacing w:val="-2"/>
                      <w:sz w:val="21"/>
                      <w:szCs w:val="21"/>
                    </w:rPr>
                    <w:t>预镀镍槽</w:t>
                  </w:r>
                </w:p>
              </w:tc>
              <w:tc>
                <w:tcPr>
                  <w:tcW w:w="1368" w:type="pct"/>
                  <w:vAlign w:val="top"/>
                </w:tcPr>
                <w:p w14:paraId="40C541B6">
                  <w:pPr>
                    <w:spacing w:before="125"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42D9DBA6">
                  <w:pPr>
                    <w:spacing w:before="12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3D1F89B4">
                  <w:pPr>
                    <w:spacing w:before="12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555E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0E32F0A3">
                  <w:pPr>
                    <w:spacing w:before="132"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2" w:type="pct"/>
                  <w:vAlign w:val="top"/>
                </w:tcPr>
                <w:p w14:paraId="36AD13E4">
                  <w:pPr>
                    <w:pStyle w:val="97"/>
                    <w:spacing w:before="95" w:line="221" w:lineRule="auto"/>
                    <w:ind w:left="950"/>
                    <w:rPr>
                      <w:color w:val="auto"/>
                      <w:sz w:val="21"/>
                      <w:szCs w:val="21"/>
                    </w:rPr>
                  </w:pPr>
                  <w:r>
                    <w:rPr>
                      <w:color w:val="auto"/>
                      <w:spacing w:val="-9"/>
                      <w:sz w:val="21"/>
                      <w:szCs w:val="21"/>
                    </w:rPr>
                    <w:t>回收槽</w:t>
                  </w:r>
                </w:p>
              </w:tc>
              <w:tc>
                <w:tcPr>
                  <w:tcW w:w="1368" w:type="pct"/>
                  <w:vAlign w:val="top"/>
                </w:tcPr>
                <w:p w14:paraId="342F2DCB">
                  <w:pPr>
                    <w:spacing w:before="128"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19437CF7">
                  <w:pPr>
                    <w:spacing w:before="132"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C19318B">
                  <w:pPr>
                    <w:spacing w:before="132"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40A0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37B8774">
                  <w:pPr>
                    <w:spacing w:before="131"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2" w:type="pct"/>
                  <w:vAlign w:val="top"/>
                </w:tcPr>
                <w:p w14:paraId="7F361E8C">
                  <w:pPr>
                    <w:pStyle w:val="97"/>
                    <w:spacing w:before="94" w:line="221" w:lineRule="auto"/>
                    <w:ind w:left="931"/>
                    <w:rPr>
                      <w:color w:val="auto"/>
                      <w:sz w:val="21"/>
                      <w:szCs w:val="21"/>
                    </w:rPr>
                  </w:pPr>
                  <w:r>
                    <w:rPr>
                      <w:color w:val="auto"/>
                      <w:spacing w:val="-3"/>
                      <w:sz w:val="21"/>
                      <w:szCs w:val="21"/>
                    </w:rPr>
                    <w:t>水洗槽</w:t>
                  </w:r>
                </w:p>
              </w:tc>
              <w:tc>
                <w:tcPr>
                  <w:tcW w:w="1368" w:type="pct"/>
                  <w:vAlign w:val="top"/>
                </w:tcPr>
                <w:p w14:paraId="5D4E85A7">
                  <w:pPr>
                    <w:spacing w:before="127"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1C68399">
                  <w:pPr>
                    <w:spacing w:before="13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6694B74">
                  <w:pPr>
                    <w:spacing w:before="131"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3024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B9BAC8D">
                  <w:pPr>
                    <w:spacing w:before="132"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2" w:type="pct"/>
                  <w:vAlign w:val="top"/>
                </w:tcPr>
                <w:p w14:paraId="70D97C05">
                  <w:pPr>
                    <w:pStyle w:val="97"/>
                    <w:spacing w:before="95" w:line="221" w:lineRule="auto"/>
                    <w:ind w:left="932"/>
                    <w:rPr>
                      <w:color w:val="auto"/>
                      <w:sz w:val="21"/>
                      <w:szCs w:val="21"/>
                    </w:rPr>
                  </w:pPr>
                  <w:r>
                    <w:rPr>
                      <w:color w:val="auto"/>
                      <w:spacing w:val="-3"/>
                      <w:sz w:val="21"/>
                      <w:szCs w:val="21"/>
                    </w:rPr>
                    <w:t>活化槽</w:t>
                  </w:r>
                </w:p>
              </w:tc>
              <w:tc>
                <w:tcPr>
                  <w:tcW w:w="1368" w:type="pct"/>
                  <w:vAlign w:val="top"/>
                </w:tcPr>
                <w:p w14:paraId="73A459FB">
                  <w:pPr>
                    <w:spacing w:before="128"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D67943C">
                  <w:pPr>
                    <w:spacing w:before="132"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5386CF5">
                  <w:pPr>
                    <w:spacing w:before="132"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0C4E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04121393">
                  <w:pPr>
                    <w:spacing w:before="13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2" w:type="pct"/>
                  <w:vAlign w:val="top"/>
                </w:tcPr>
                <w:p w14:paraId="41A45F6F">
                  <w:pPr>
                    <w:pStyle w:val="97"/>
                    <w:spacing w:before="97" w:line="221" w:lineRule="auto"/>
                    <w:ind w:left="931"/>
                    <w:rPr>
                      <w:color w:val="auto"/>
                      <w:sz w:val="21"/>
                      <w:szCs w:val="21"/>
                    </w:rPr>
                  </w:pPr>
                  <w:r>
                    <w:rPr>
                      <w:color w:val="auto"/>
                      <w:spacing w:val="-3"/>
                      <w:sz w:val="21"/>
                      <w:szCs w:val="21"/>
                    </w:rPr>
                    <w:t>水洗槽</w:t>
                  </w:r>
                </w:p>
              </w:tc>
              <w:tc>
                <w:tcPr>
                  <w:tcW w:w="1368" w:type="pct"/>
                  <w:vAlign w:val="top"/>
                </w:tcPr>
                <w:p w14:paraId="5BBC9926">
                  <w:pPr>
                    <w:spacing w:before="12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7F4F737">
                  <w:pPr>
                    <w:spacing w:before="133"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8F1A320">
                  <w:pPr>
                    <w:spacing w:before="133"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314B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0245B8F6">
                  <w:pPr>
                    <w:spacing w:before="13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2" w:type="pct"/>
                  <w:vAlign w:val="top"/>
                </w:tcPr>
                <w:p w14:paraId="268F1A37">
                  <w:pPr>
                    <w:pStyle w:val="97"/>
                    <w:spacing w:before="97" w:line="220" w:lineRule="auto"/>
                    <w:ind w:left="827"/>
                    <w:rPr>
                      <w:color w:val="auto"/>
                      <w:sz w:val="21"/>
                      <w:szCs w:val="21"/>
                    </w:rPr>
                  </w:pPr>
                  <w:r>
                    <w:rPr>
                      <w:color w:val="auto"/>
                      <w:spacing w:val="-2"/>
                      <w:sz w:val="21"/>
                      <w:szCs w:val="21"/>
                    </w:rPr>
                    <w:t>预镀镍槽</w:t>
                  </w:r>
                </w:p>
              </w:tc>
              <w:tc>
                <w:tcPr>
                  <w:tcW w:w="1368" w:type="pct"/>
                  <w:vAlign w:val="top"/>
                </w:tcPr>
                <w:p w14:paraId="0DE91399">
                  <w:pPr>
                    <w:spacing w:before="12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0007A676">
                  <w:pPr>
                    <w:spacing w:before="134"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E2573D9">
                  <w:pPr>
                    <w:spacing w:before="133"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22FA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460D4D84">
                  <w:pPr>
                    <w:spacing w:before="135"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2" w:type="pct"/>
                  <w:vAlign w:val="top"/>
                </w:tcPr>
                <w:p w14:paraId="23BC3EF4">
                  <w:pPr>
                    <w:pStyle w:val="97"/>
                    <w:spacing w:before="98" w:line="221" w:lineRule="auto"/>
                    <w:ind w:left="950"/>
                    <w:rPr>
                      <w:color w:val="auto"/>
                      <w:sz w:val="21"/>
                      <w:szCs w:val="21"/>
                    </w:rPr>
                  </w:pPr>
                  <w:r>
                    <w:rPr>
                      <w:color w:val="auto"/>
                      <w:spacing w:val="-9"/>
                      <w:sz w:val="21"/>
                      <w:szCs w:val="21"/>
                    </w:rPr>
                    <w:t>回收槽</w:t>
                  </w:r>
                </w:p>
              </w:tc>
              <w:tc>
                <w:tcPr>
                  <w:tcW w:w="1368" w:type="pct"/>
                  <w:vAlign w:val="top"/>
                </w:tcPr>
                <w:p w14:paraId="300EBC7B">
                  <w:pPr>
                    <w:spacing w:before="131"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55733D9">
                  <w:pPr>
                    <w:spacing w:before="135"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EB4728F">
                  <w:pPr>
                    <w:spacing w:before="135"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1AF5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5D5046D5">
                  <w:pPr>
                    <w:spacing w:before="135"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w:t>
                  </w:r>
                </w:p>
              </w:tc>
              <w:tc>
                <w:tcPr>
                  <w:tcW w:w="1452" w:type="pct"/>
                  <w:vAlign w:val="top"/>
                </w:tcPr>
                <w:p w14:paraId="11BAFF06">
                  <w:pPr>
                    <w:pStyle w:val="97"/>
                    <w:spacing w:before="99" w:line="221" w:lineRule="auto"/>
                    <w:ind w:left="931"/>
                    <w:rPr>
                      <w:color w:val="auto"/>
                      <w:sz w:val="21"/>
                      <w:szCs w:val="21"/>
                    </w:rPr>
                  </w:pPr>
                  <w:r>
                    <w:rPr>
                      <w:color w:val="auto"/>
                      <w:spacing w:val="-3"/>
                      <w:sz w:val="21"/>
                      <w:szCs w:val="21"/>
                    </w:rPr>
                    <w:t>水洗槽</w:t>
                  </w:r>
                </w:p>
              </w:tc>
              <w:tc>
                <w:tcPr>
                  <w:tcW w:w="1368" w:type="pct"/>
                  <w:vAlign w:val="top"/>
                </w:tcPr>
                <w:p w14:paraId="24128610">
                  <w:pPr>
                    <w:spacing w:before="131"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C779984">
                  <w:pPr>
                    <w:spacing w:before="136"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42B6479">
                  <w:pPr>
                    <w:spacing w:before="135"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057D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19DB4B2">
                  <w:pPr>
                    <w:spacing w:before="13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452" w:type="pct"/>
                  <w:vAlign w:val="top"/>
                </w:tcPr>
                <w:p w14:paraId="0327F0BD">
                  <w:pPr>
                    <w:pStyle w:val="97"/>
                    <w:spacing w:before="99" w:line="221" w:lineRule="auto"/>
                    <w:ind w:left="932"/>
                    <w:rPr>
                      <w:color w:val="auto"/>
                      <w:sz w:val="21"/>
                      <w:szCs w:val="21"/>
                    </w:rPr>
                  </w:pPr>
                  <w:r>
                    <w:rPr>
                      <w:color w:val="auto"/>
                      <w:spacing w:val="-3"/>
                      <w:sz w:val="21"/>
                      <w:szCs w:val="21"/>
                    </w:rPr>
                    <w:t>活化槽</w:t>
                  </w:r>
                </w:p>
              </w:tc>
              <w:tc>
                <w:tcPr>
                  <w:tcW w:w="1368" w:type="pct"/>
                  <w:vAlign w:val="top"/>
                </w:tcPr>
                <w:p w14:paraId="17C272DF">
                  <w:pPr>
                    <w:spacing w:before="133" w:line="190"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AD0B669">
                  <w:pPr>
                    <w:spacing w:before="13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CE19CD1">
                  <w:pPr>
                    <w:spacing w:before="136"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3300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B191DA9">
                  <w:pPr>
                    <w:spacing w:before="137"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452" w:type="pct"/>
                  <w:vAlign w:val="top"/>
                </w:tcPr>
                <w:p w14:paraId="4BC58D4A">
                  <w:pPr>
                    <w:pStyle w:val="97"/>
                    <w:spacing w:before="100" w:line="221" w:lineRule="auto"/>
                    <w:ind w:left="931"/>
                    <w:rPr>
                      <w:color w:val="auto"/>
                      <w:sz w:val="21"/>
                      <w:szCs w:val="21"/>
                    </w:rPr>
                  </w:pPr>
                  <w:r>
                    <w:rPr>
                      <w:color w:val="auto"/>
                      <w:spacing w:val="-3"/>
                      <w:sz w:val="21"/>
                      <w:szCs w:val="21"/>
                    </w:rPr>
                    <w:t>水洗槽</w:t>
                  </w:r>
                </w:p>
              </w:tc>
              <w:tc>
                <w:tcPr>
                  <w:tcW w:w="1368" w:type="pct"/>
                  <w:vAlign w:val="top"/>
                </w:tcPr>
                <w:p w14:paraId="548AF9A1">
                  <w:pPr>
                    <w:spacing w:before="133"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623E65F">
                  <w:pPr>
                    <w:spacing w:before="137"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15913002">
                  <w:pPr>
                    <w:spacing w:before="137"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0FE4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75D5C925">
                  <w:pPr>
                    <w:spacing w:before="138"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21</w:t>
                  </w:r>
                </w:p>
              </w:tc>
              <w:tc>
                <w:tcPr>
                  <w:tcW w:w="1452" w:type="pct"/>
                  <w:vAlign w:val="top"/>
                </w:tcPr>
                <w:p w14:paraId="766D635A">
                  <w:pPr>
                    <w:pStyle w:val="97"/>
                    <w:spacing w:before="102" w:line="220" w:lineRule="auto"/>
                    <w:ind w:left="928"/>
                    <w:rPr>
                      <w:color w:val="auto"/>
                      <w:sz w:val="21"/>
                      <w:szCs w:val="21"/>
                    </w:rPr>
                  </w:pPr>
                  <w:r>
                    <w:rPr>
                      <w:color w:val="auto"/>
                      <w:spacing w:val="-2"/>
                      <w:sz w:val="21"/>
                      <w:szCs w:val="21"/>
                    </w:rPr>
                    <w:t>镀铜槽</w:t>
                  </w:r>
                </w:p>
              </w:tc>
              <w:tc>
                <w:tcPr>
                  <w:tcW w:w="1368" w:type="pct"/>
                  <w:vAlign w:val="top"/>
                </w:tcPr>
                <w:p w14:paraId="2A8F8541">
                  <w:pPr>
                    <w:spacing w:before="134"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718ACBC9">
                  <w:pPr>
                    <w:spacing w:before="138"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AEFF9C5">
                  <w:pPr>
                    <w:spacing w:before="138"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60C0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CEA9E4A">
                  <w:pPr>
                    <w:spacing w:before="138"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22</w:t>
                  </w:r>
                </w:p>
              </w:tc>
              <w:tc>
                <w:tcPr>
                  <w:tcW w:w="1452" w:type="pct"/>
                  <w:vAlign w:val="top"/>
                </w:tcPr>
                <w:p w14:paraId="7A18EB44">
                  <w:pPr>
                    <w:pStyle w:val="97"/>
                    <w:spacing w:before="102" w:line="221" w:lineRule="auto"/>
                    <w:ind w:left="950"/>
                    <w:rPr>
                      <w:color w:val="auto"/>
                      <w:sz w:val="21"/>
                      <w:szCs w:val="21"/>
                    </w:rPr>
                  </w:pPr>
                  <w:r>
                    <w:rPr>
                      <w:color w:val="auto"/>
                      <w:spacing w:val="-9"/>
                      <w:sz w:val="21"/>
                      <w:szCs w:val="21"/>
                    </w:rPr>
                    <w:t>回收槽</w:t>
                  </w:r>
                </w:p>
              </w:tc>
              <w:tc>
                <w:tcPr>
                  <w:tcW w:w="1368" w:type="pct"/>
                  <w:vAlign w:val="top"/>
                </w:tcPr>
                <w:p w14:paraId="6D6FAEAB">
                  <w:pPr>
                    <w:spacing w:before="134"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A8A25FD">
                  <w:pPr>
                    <w:spacing w:before="138"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F4BEF1C">
                  <w:pPr>
                    <w:spacing w:before="138"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6CBD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666ADBCF">
                  <w:pPr>
                    <w:spacing w:before="139"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23</w:t>
                  </w:r>
                </w:p>
              </w:tc>
              <w:tc>
                <w:tcPr>
                  <w:tcW w:w="1452" w:type="pct"/>
                  <w:vAlign w:val="top"/>
                </w:tcPr>
                <w:p w14:paraId="531DB3B7">
                  <w:pPr>
                    <w:pStyle w:val="97"/>
                    <w:spacing w:before="103" w:line="221" w:lineRule="auto"/>
                    <w:ind w:left="931"/>
                    <w:rPr>
                      <w:color w:val="auto"/>
                      <w:sz w:val="21"/>
                      <w:szCs w:val="21"/>
                    </w:rPr>
                  </w:pPr>
                  <w:r>
                    <w:rPr>
                      <w:color w:val="auto"/>
                      <w:spacing w:val="-3"/>
                      <w:sz w:val="21"/>
                      <w:szCs w:val="21"/>
                    </w:rPr>
                    <w:t>水洗槽</w:t>
                  </w:r>
                </w:p>
              </w:tc>
              <w:tc>
                <w:tcPr>
                  <w:tcW w:w="1368" w:type="pct"/>
                  <w:vAlign w:val="top"/>
                </w:tcPr>
                <w:p w14:paraId="514ADAF7">
                  <w:pPr>
                    <w:spacing w:before="135"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D201A59">
                  <w:pPr>
                    <w:spacing w:before="14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AED01F9">
                  <w:pPr>
                    <w:spacing w:before="13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6E77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544DE87">
                  <w:pPr>
                    <w:spacing w:before="143"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c>
                <w:tcPr>
                  <w:tcW w:w="1452" w:type="pct"/>
                  <w:vAlign w:val="top"/>
                </w:tcPr>
                <w:p w14:paraId="66731764">
                  <w:pPr>
                    <w:pStyle w:val="97"/>
                    <w:spacing w:before="106" w:line="221" w:lineRule="auto"/>
                    <w:ind w:left="932"/>
                    <w:rPr>
                      <w:color w:val="auto"/>
                      <w:sz w:val="21"/>
                      <w:szCs w:val="21"/>
                    </w:rPr>
                  </w:pPr>
                  <w:r>
                    <w:rPr>
                      <w:color w:val="auto"/>
                      <w:spacing w:val="-3"/>
                      <w:sz w:val="21"/>
                      <w:szCs w:val="21"/>
                    </w:rPr>
                    <w:t>活化槽</w:t>
                  </w:r>
                </w:p>
              </w:tc>
              <w:tc>
                <w:tcPr>
                  <w:tcW w:w="1368" w:type="pct"/>
                  <w:vAlign w:val="top"/>
                </w:tcPr>
                <w:p w14:paraId="1A69908B">
                  <w:pPr>
                    <w:spacing w:before="13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F9DA1D3">
                  <w:pPr>
                    <w:spacing w:before="14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B41EFBB">
                  <w:pPr>
                    <w:spacing w:before="14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4A4F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0E89089">
                  <w:pPr>
                    <w:spacing w:before="141"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25</w:t>
                  </w:r>
                </w:p>
              </w:tc>
              <w:tc>
                <w:tcPr>
                  <w:tcW w:w="1452" w:type="pct"/>
                  <w:vAlign w:val="top"/>
                </w:tcPr>
                <w:p w14:paraId="4A6A41FA">
                  <w:pPr>
                    <w:pStyle w:val="97"/>
                    <w:spacing w:before="105" w:line="221" w:lineRule="auto"/>
                    <w:ind w:left="931"/>
                    <w:rPr>
                      <w:color w:val="auto"/>
                      <w:sz w:val="21"/>
                      <w:szCs w:val="21"/>
                    </w:rPr>
                  </w:pPr>
                  <w:r>
                    <w:rPr>
                      <w:color w:val="auto"/>
                      <w:spacing w:val="-3"/>
                      <w:sz w:val="21"/>
                      <w:szCs w:val="21"/>
                    </w:rPr>
                    <w:t>水洗槽</w:t>
                  </w:r>
                </w:p>
              </w:tc>
              <w:tc>
                <w:tcPr>
                  <w:tcW w:w="1368" w:type="pct"/>
                  <w:vAlign w:val="top"/>
                </w:tcPr>
                <w:p w14:paraId="2D9939DB">
                  <w:pPr>
                    <w:spacing w:before="137"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4431FD8">
                  <w:pPr>
                    <w:spacing w:before="14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7F9E5E54">
                  <w:pPr>
                    <w:spacing w:before="141"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6649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4E5F923C">
                  <w:pPr>
                    <w:spacing w:before="143"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c>
                <w:tcPr>
                  <w:tcW w:w="1452" w:type="pct"/>
                  <w:vAlign w:val="top"/>
                </w:tcPr>
                <w:p w14:paraId="35AE3452">
                  <w:pPr>
                    <w:pStyle w:val="97"/>
                    <w:spacing w:before="106" w:line="220" w:lineRule="auto"/>
                    <w:ind w:left="719"/>
                    <w:rPr>
                      <w:color w:val="auto"/>
                      <w:sz w:val="21"/>
                      <w:szCs w:val="21"/>
                    </w:rPr>
                  </w:pPr>
                  <w:r>
                    <w:rPr>
                      <w:color w:val="auto"/>
                      <w:spacing w:val="-1"/>
                      <w:sz w:val="21"/>
                      <w:szCs w:val="21"/>
                    </w:rPr>
                    <w:t>镀半光镍槽</w:t>
                  </w:r>
                </w:p>
              </w:tc>
              <w:tc>
                <w:tcPr>
                  <w:tcW w:w="1368" w:type="pct"/>
                  <w:vAlign w:val="top"/>
                </w:tcPr>
                <w:p w14:paraId="32FE8989">
                  <w:pPr>
                    <w:spacing w:before="13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4A311BC1">
                  <w:pPr>
                    <w:spacing w:before="14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762FF63">
                  <w:pPr>
                    <w:spacing w:before="14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E61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22" w:type="pct"/>
                  <w:vAlign w:val="top"/>
                </w:tcPr>
                <w:p w14:paraId="25829A7C">
                  <w:pPr>
                    <w:spacing w:before="143"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27</w:t>
                  </w:r>
                </w:p>
              </w:tc>
              <w:tc>
                <w:tcPr>
                  <w:tcW w:w="1452" w:type="pct"/>
                  <w:vAlign w:val="top"/>
                </w:tcPr>
                <w:p w14:paraId="229DED04">
                  <w:pPr>
                    <w:pStyle w:val="97"/>
                    <w:spacing w:before="107" w:line="221" w:lineRule="auto"/>
                    <w:ind w:left="950"/>
                    <w:rPr>
                      <w:color w:val="auto"/>
                      <w:sz w:val="21"/>
                      <w:szCs w:val="21"/>
                    </w:rPr>
                  </w:pPr>
                  <w:r>
                    <w:rPr>
                      <w:color w:val="auto"/>
                      <w:spacing w:val="-9"/>
                      <w:sz w:val="21"/>
                      <w:szCs w:val="21"/>
                    </w:rPr>
                    <w:t>回收槽</w:t>
                  </w:r>
                </w:p>
              </w:tc>
              <w:tc>
                <w:tcPr>
                  <w:tcW w:w="1368" w:type="pct"/>
                  <w:vAlign w:val="top"/>
                </w:tcPr>
                <w:p w14:paraId="2BBDD967">
                  <w:pPr>
                    <w:spacing w:before="13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8CF7799">
                  <w:pPr>
                    <w:spacing w:before="14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9EBED42">
                  <w:pPr>
                    <w:spacing w:before="14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393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22" w:type="pct"/>
                  <w:shd w:val="clear" w:color="auto" w:fill="auto"/>
                  <w:vAlign w:val="top"/>
                </w:tcPr>
                <w:p w14:paraId="1235827D">
                  <w:pPr>
                    <w:spacing w:before="122"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28</w:t>
                  </w:r>
                </w:p>
              </w:tc>
              <w:tc>
                <w:tcPr>
                  <w:tcW w:w="1452" w:type="pct"/>
                  <w:shd w:val="clear" w:color="auto" w:fill="auto"/>
                  <w:vAlign w:val="top"/>
                </w:tcPr>
                <w:p w14:paraId="2CF0F77C">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1368" w:type="pct"/>
                  <w:shd w:val="clear" w:color="auto" w:fill="auto"/>
                  <w:vAlign w:val="top"/>
                </w:tcPr>
                <w:p w14:paraId="568B2DD9">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837" w:type="pct"/>
                  <w:shd w:val="clear" w:color="auto" w:fill="auto"/>
                  <w:vAlign w:val="top"/>
                </w:tcPr>
                <w:p w14:paraId="72AE6A62">
                  <w:pPr>
                    <w:spacing w:before="123"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819" w:type="pct"/>
                  <w:shd w:val="clear" w:color="auto" w:fill="auto"/>
                  <w:vAlign w:val="top"/>
                </w:tcPr>
                <w:p w14:paraId="4E8FC96D">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0E2C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0E6B8D9">
                  <w:pPr>
                    <w:spacing w:before="119"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29</w:t>
                  </w:r>
                </w:p>
              </w:tc>
              <w:tc>
                <w:tcPr>
                  <w:tcW w:w="2695" w:type="dxa"/>
                  <w:shd w:val="clear" w:color="auto" w:fill="auto"/>
                  <w:vAlign w:val="top"/>
                </w:tcPr>
                <w:p w14:paraId="1B365A89">
                  <w:pPr>
                    <w:pStyle w:val="97"/>
                    <w:spacing w:before="82"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2539" w:type="dxa"/>
                  <w:shd w:val="clear" w:color="auto" w:fill="auto"/>
                  <w:vAlign w:val="top"/>
                </w:tcPr>
                <w:p w14:paraId="2FC41223">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237B04C">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23F6805">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5779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7152A7C2">
                  <w:pPr>
                    <w:spacing w:before="119"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c>
                <w:tcPr>
                  <w:tcW w:w="2695" w:type="dxa"/>
                  <w:shd w:val="clear" w:color="auto" w:fill="auto"/>
                  <w:vAlign w:val="top"/>
                </w:tcPr>
                <w:p w14:paraId="76A7961D">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2F1A5026">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D22ACB9">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423730C1">
                  <w:pPr>
                    <w:spacing w:before="119"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2111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5B77A238">
                  <w:pPr>
                    <w:spacing w:before="119"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31</w:t>
                  </w:r>
                </w:p>
              </w:tc>
              <w:tc>
                <w:tcPr>
                  <w:tcW w:w="2695" w:type="dxa"/>
                  <w:shd w:val="clear" w:color="auto" w:fill="auto"/>
                  <w:vAlign w:val="top"/>
                </w:tcPr>
                <w:p w14:paraId="2B5E81CB">
                  <w:pPr>
                    <w:pStyle w:val="97"/>
                    <w:spacing w:before="83"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镀半光镍槽</w:t>
                  </w:r>
                </w:p>
              </w:tc>
              <w:tc>
                <w:tcPr>
                  <w:tcW w:w="2539" w:type="dxa"/>
                  <w:shd w:val="clear" w:color="auto" w:fill="auto"/>
                  <w:vAlign w:val="top"/>
                </w:tcPr>
                <w:p w14:paraId="1D1D78BD">
                  <w:pPr>
                    <w:spacing w:before="115" w:line="191"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250510D1">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1213D043">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62DA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4EFC82B">
                  <w:pPr>
                    <w:spacing w:before="119"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32</w:t>
                  </w:r>
                </w:p>
              </w:tc>
              <w:tc>
                <w:tcPr>
                  <w:tcW w:w="2695" w:type="dxa"/>
                  <w:shd w:val="clear" w:color="auto" w:fill="auto"/>
                  <w:vAlign w:val="top"/>
                </w:tcPr>
                <w:p w14:paraId="1C6F8F66">
                  <w:pPr>
                    <w:pStyle w:val="97"/>
                    <w:spacing w:before="83"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镀光亮镍槽</w:t>
                  </w:r>
                </w:p>
              </w:tc>
              <w:tc>
                <w:tcPr>
                  <w:tcW w:w="2539" w:type="dxa"/>
                  <w:shd w:val="clear" w:color="auto" w:fill="auto"/>
                  <w:vAlign w:val="top"/>
                </w:tcPr>
                <w:p w14:paraId="1C2E2501">
                  <w:pPr>
                    <w:spacing w:before="115" w:line="191"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3BB519B7">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373C6E3">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73CD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250A16E6">
                  <w:pPr>
                    <w:spacing w:before="119"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33</w:t>
                  </w:r>
                </w:p>
              </w:tc>
              <w:tc>
                <w:tcPr>
                  <w:tcW w:w="2695" w:type="dxa"/>
                  <w:shd w:val="clear" w:color="auto" w:fill="auto"/>
                  <w:vAlign w:val="top"/>
                </w:tcPr>
                <w:p w14:paraId="70F24ACD">
                  <w:pPr>
                    <w:pStyle w:val="97"/>
                    <w:spacing w:before="83"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0C996909">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6BD7E546">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7B099701">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0569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795989B7">
                  <w:pPr>
                    <w:spacing w:before="120"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34</w:t>
                  </w:r>
                </w:p>
              </w:tc>
              <w:tc>
                <w:tcPr>
                  <w:tcW w:w="2695" w:type="dxa"/>
                  <w:shd w:val="clear" w:color="auto" w:fill="auto"/>
                  <w:vAlign w:val="top"/>
                </w:tcPr>
                <w:p w14:paraId="14040865">
                  <w:pPr>
                    <w:pStyle w:val="97"/>
                    <w:spacing w:before="83"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2864E057">
                  <w:pPr>
                    <w:spacing w:before="116"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16B044D3">
                  <w:pPr>
                    <w:spacing w:before="120"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4C52C458">
                  <w:pPr>
                    <w:spacing w:before="120"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06B2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148B767">
                  <w:pPr>
                    <w:spacing w:before="120"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35</w:t>
                  </w:r>
                </w:p>
              </w:tc>
              <w:tc>
                <w:tcPr>
                  <w:tcW w:w="2695" w:type="dxa"/>
                  <w:shd w:val="clear" w:color="auto" w:fill="auto"/>
                  <w:vAlign w:val="top"/>
                </w:tcPr>
                <w:p w14:paraId="7CB25077">
                  <w:pPr>
                    <w:pStyle w:val="97"/>
                    <w:spacing w:before="83"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2539" w:type="dxa"/>
                  <w:shd w:val="clear" w:color="auto" w:fill="auto"/>
                  <w:vAlign w:val="top"/>
                </w:tcPr>
                <w:p w14:paraId="27476BB7">
                  <w:pPr>
                    <w:spacing w:before="116"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C67EA03">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50719D06">
                  <w:pPr>
                    <w:spacing w:before="120"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3D78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590EC74C">
                  <w:pPr>
                    <w:spacing w:before="123"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36</w:t>
                  </w:r>
                </w:p>
              </w:tc>
              <w:tc>
                <w:tcPr>
                  <w:tcW w:w="2695" w:type="dxa"/>
                  <w:shd w:val="clear" w:color="auto" w:fill="auto"/>
                  <w:vAlign w:val="top"/>
                </w:tcPr>
                <w:p w14:paraId="5C2A3DFC">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517FAC26">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023D893E">
                  <w:pPr>
                    <w:spacing w:before="123"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D02D411">
                  <w:pPr>
                    <w:spacing w:before="123"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3523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077B9A6E">
                  <w:pPr>
                    <w:spacing w:before="121"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37</w:t>
                  </w:r>
                </w:p>
              </w:tc>
              <w:tc>
                <w:tcPr>
                  <w:tcW w:w="2695" w:type="dxa"/>
                  <w:shd w:val="clear" w:color="auto" w:fill="auto"/>
                  <w:vAlign w:val="top"/>
                </w:tcPr>
                <w:p w14:paraId="53A32EEB">
                  <w:pPr>
                    <w:pStyle w:val="97"/>
                    <w:spacing w:before="85"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镀光亮镍槽</w:t>
                  </w:r>
                </w:p>
              </w:tc>
              <w:tc>
                <w:tcPr>
                  <w:tcW w:w="2539" w:type="dxa"/>
                  <w:shd w:val="clear" w:color="auto" w:fill="auto"/>
                  <w:vAlign w:val="top"/>
                </w:tcPr>
                <w:p w14:paraId="6C4D6EEF">
                  <w:pPr>
                    <w:spacing w:before="117" w:line="191"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75D18BCC">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3E8B447">
                  <w:pPr>
                    <w:spacing w:before="121"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2D5E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55191253">
                  <w:pPr>
                    <w:spacing w:before="122"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38</w:t>
                  </w:r>
                </w:p>
              </w:tc>
              <w:tc>
                <w:tcPr>
                  <w:tcW w:w="2695" w:type="dxa"/>
                  <w:shd w:val="clear" w:color="auto" w:fill="auto"/>
                  <w:vAlign w:val="top"/>
                </w:tcPr>
                <w:p w14:paraId="478B4E93">
                  <w:pPr>
                    <w:pStyle w:val="97"/>
                    <w:spacing w:before="85"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5D198C0E">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1FBDA64">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227BEA7D">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187A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26FF80C7">
                  <w:pPr>
                    <w:spacing w:before="122"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39</w:t>
                  </w:r>
                </w:p>
              </w:tc>
              <w:tc>
                <w:tcPr>
                  <w:tcW w:w="2695" w:type="dxa"/>
                  <w:shd w:val="clear" w:color="auto" w:fill="auto"/>
                  <w:vAlign w:val="top"/>
                </w:tcPr>
                <w:p w14:paraId="0777EA71">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700B9A0C">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AE27652">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4D4AC565">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1140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05B90B8E">
                  <w:pPr>
                    <w:spacing w:before="122"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40</w:t>
                  </w:r>
                </w:p>
              </w:tc>
              <w:tc>
                <w:tcPr>
                  <w:tcW w:w="2695" w:type="dxa"/>
                  <w:shd w:val="clear" w:color="auto" w:fill="auto"/>
                  <w:vAlign w:val="top"/>
                </w:tcPr>
                <w:p w14:paraId="253FB107">
                  <w:pPr>
                    <w:pStyle w:val="97"/>
                    <w:spacing w:before="85"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2539" w:type="dxa"/>
                  <w:shd w:val="clear" w:color="auto" w:fill="auto"/>
                  <w:vAlign w:val="top"/>
                </w:tcPr>
                <w:p w14:paraId="58BC810B">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60C59019">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7D856473">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3085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BA7E71A">
                  <w:pPr>
                    <w:spacing w:before="122"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41</w:t>
                  </w:r>
                </w:p>
              </w:tc>
              <w:tc>
                <w:tcPr>
                  <w:tcW w:w="2695" w:type="dxa"/>
                  <w:shd w:val="clear" w:color="auto" w:fill="auto"/>
                  <w:vAlign w:val="top"/>
                </w:tcPr>
                <w:p w14:paraId="3103971B">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640AFDC9">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10501664">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86E3FB9">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172D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0A09F8B8">
                  <w:pPr>
                    <w:spacing w:before="123"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42</w:t>
                  </w:r>
                </w:p>
              </w:tc>
              <w:tc>
                <w:tcPr>
                  <w:tcW w:w="2695" w:type="dxa"/>
                  <w:shd w:val="clear" w:color="auto" w:fill="auto"/>
                  <w:vAlign w:val="top"/>
                </w:tcPr>
                <w:p w14:paraId="44D9BFD7">
                  <w:pPr>
                    <w:pStyle w:val="97"/>
                    <w:spacing w:before="86"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镀合金镍槽</w:t>
                  </w:r>
                </w:p>
              </w:tc>
              <w:tc>
                <w:tcPr>
                  <w:tcW w:w="2539" w:type="dxa"/>
                  <w:shd w:val="clear" w:color="auto" w:fill="auto"/>
                  <w:vAlign w:val="top"/>
                </w:tcPr>
                <w:p w14:paraId="4AA50396">
                  <w:pPr>
                    <w:spacing w:before="118" w:line="191"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4138DB5E">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24D6195">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2DE1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4290F210">
                  <w:pPr>
                    <w:spacing w:before="123"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43</w:t>
                  </w:r>
                </w:p>
              </w:tc>
              <w:tc>
                <w:tcPr>
                  <w:tcW w:w="2695" w:type="dxa"/>
                  <w:shd w:val="clear" w:color="auto" w:fill="auto"/>
                  <w:vAlign w:val="top"/>
                </w:tcPr>
                <w:p w14:paraId="0FBF45FA">
                  <w:pPr>
                    <w:pStyle w:val="97"/>
                    <w:spacing w:before="86"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45B82EF4">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2FD7C103">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15C7DE85">
                  <w:pPr>
                    <w:spacing w:before="123"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r w14:paraId="7B26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7E075A06">
                  <w:pPr>
                    <w:spacing w:before="123"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44</w:t>
                  </w:r>
                </w:p>
              </w:tc>
              <w:tc>
                <w:tcPr>
                  <w:tcW w:w="2695" w:type="dxa"/>
                  <w:shd w:val="clear" w:color="auto" w:fill="auto"/>
                  <w:vAlign w:val="top"/>
                </w:tcPr>
                <w:p w14:paraId="698A11F2">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1F61CA1D">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6446BE8F">
                  <w:pPr>
                    <w:spacing w:before="123"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390E7552">
                  <w:pPr>
                    <w:spacing w:before="123"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r>
            <w:tr w14:paraId="4AF7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372F5474">
                  <w:pPr>
                    <w:spacing w:before="123" w:line="187" w:lineRule="auto"/>
                    <w:ind w:left="33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45</w:t>
                  </w:r>
                </w:p>
              </w:tc>
              <w:tc>
                <w:tcPr>
                  <w:tcW w:w="2695" w:type="dxa"/>
                  <w:shd w:val="clear" w:color="auto" w:fill="auto"/>
                  <w:vAlign w:val="top"/>
                </w:tcPr>
                <w:p w14:paraId="082EA56C">
                  <w:pPr>
                    <w:pStyle w:val="97"/>
                    <w:spacing w:before="86"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1BC93C72">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36488201">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D4439E7">
                  <w:pPr>
                    <w:spacing w:before="123"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r>
          </w:tbl>
          <w:p w14:paraId="20530820">
            <w:pPr>
              <w:spacing w:before="82" w:line="220" w:lineRule="auto"/>
              <w:jc w:val="center"/>
              <w:rPr>
                <w:rFonts w:ascii="宋体" w:hAnsi="宋体" w:eastAsia="宋体" w:cs="宋体"/>
                <w:color w:val="auto"/>
                <w:sz w:val="21"/>
                <w:szCs w:val="21"/>
              </w:rPr>
            </w:pPr>
            <w:r>
              <w:rPr>
                <w:rFonts w:ascii="宋体" w:hAnsi="宋体" w:eastAsia="宋体" w:cs="宋体"/>
                <w:b/>
                <w:bCs/>
                <w:color w:val="auto"/>
                <w:spacing w:val="-3"/>
                <w:sz w:val="21"/>
                <w:szCs w:val="21"/>
              </w:rPr>
              <w:t>五、滚镀镍铜镍镍线（</w:t>
            </w:r>
            <w:r>
              <w:rPr>
                <w:rFonts w:ascii="Times New Roman" w:hAnsi="Times New Roman" w:eastAsia="Times New Roman" w:cs="Times New Roman"/>
                <w:b/>
                <w:bCs/>
                <w:color w:val="auto"/>
                <w:spacing w:val="-3"/>
                <w:sz w:val="21"/>
                <w:szCs w:val="21"/>
              </w:rPr>
              <w:t>12</w:t>
            </w:r>
            <w:r>
              <w:rPr>
                <w:rFonts w:ascii="宋体" w:hAnsi="宋体" w:eastAsia="宋体" w:cs="宋体"/>
                <w:b/>
                <w:bCs/>
                <w:color w:val="auto"/>
                <w:spacing w:val="-3"/>
                <w:sz w:val="21"/>
                <w:szCs w:val="21"/>
              </w:rPr>
              <w:t>条）</w:t>
            </w:r>
          </w:p>
          <w:p w14:paraId="2C124318">
            <w:pPr>
              <w:spacing w:line="36" w:lineRule="exact"/>
              <w:rPr>
                <w:color w:val="auto"/>
              </w:rPr>
            </w:pPr>
          </w:p>
          <w:tbl>
            <w:tblPr>
              <w:tblStyle w:val="75"/>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0C9A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22" w:type="pct"/>
                  <w:vAlign w:val="top"/>
                </w:tcPr>
                <w:p w14:paraId="2F18657D">
                  <w:pPr>
                    <w:spacing w:before="116"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79F7AF3D">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2C453546">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4128189D">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424F417">
                  <w:pPr>
                    <w:spacing w:before="12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1911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71573AA">
                  <w:pPr>
                    <w:spacing w:before="115"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790AEBC6">
                  <w:pPr>
                    <w:pStyle w:val="97"/>
                    <w:spacing w:before="85" w:line="221" w:lineRule="auto"/>
                    <w:ind w:left="931"/>
                    <w:rPr>
                      <w:color w:val="auto"/>
                      <w:sz w:val="21"/>
                      <w:szCs w:val="21"/>
                    </w:rPr>
                  </w:pPr>
                  <w:r>
                    <w:rPr>
                      <w:color w:val="auto"/>
                      <w:spacing w:val="-3"/>
                      <w:sz w:val="21"/>
                      <w:szCs w:val="21"/>
                    </w:rPr>
                    <w:t>水洗槽</w:t>
                  </w:r>
                </w:p>
              </w:tc>
              <w:tc>
                <w:tcPr>
                  <w:tcW w:w="1368" w:type="pct"/>
                  <w:vAlign w:val="top"/>
                </w:tcPr>
                <w:p w14:paraId="06FA8868">
                  <w:pPr>
                    <w:spacing w:before="119"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96D0ACE">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31B2A621">
                  <w:pPr>
                    <w:spacing w:before="122"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7FD8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top"/>
                </w:tcPr>
                <w:p w14:paraId="6CD9ECB2">
                  <w:pPr>
                    <w:spacing w:before="116"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4F1610DF">
                  <w:pPr>
                    <w:pStyle w:val="97"/>
                    <w:spacing w:before="84" w:line="221" w:lineRule="auto"/>
                    <w:ind w:left="930"/>
                    <w:rPr>
                      <w:color w:val="auto"/>
                      <w:sz w:val="21"/>
                      <w:szCs w:val="21"/>
                    </w:rPr>
                  </w:pPr>
                  <w:r>
                    <w:rPr>
                      <w:color w:val="auto"/>
                      <w:spacing w:val="-2"/>
                      <w:sz w:val="21"/>
                      <w:szCs w:val="21"/>
                    </w:rPr>
                    <w:t>酸洗槽</w:t>
                  </w:r>
                </w:p>
              </w:tc>
              <w:tc>
                <w:tcPr>
                  <w:tcW w:w="1368" w:type="pct"/>
                  <w:vAlign w:val="top"/>
                </w:tcPr>
                <w:p w14:paraId="0E7A58FB">
                  <w:pPr>
                    <w:spacing w:before="117"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A054157">
                  <w:pPr>
                    <w:spacing w:before="121"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18DB676">
                  <w:pPr>
                    <w:spacing w:before="121"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0002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5F49BA0">
                  <w:pPr>
                    <w:spacing w:before="118"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1705F7C9">
                  <w:pPr>
                    <w:pStyle w:val="97"/>
                    <w:spacing w:before="86" w:line="221" w:lineRule="auto"/>
                    <w:ind w:left="931"/>
                    <w:rPr>
                      <w:color w:val="auto"/>
                      <w:sz w:val="21"/>
                      <w:szCs w:val="21"/>
                    </w:rPr>
                  </w:pPr>
                  <w:r>
                    <w:rPr>
                      <w:color w:val="auto"/>
                      <w:spacing w:val="-2"/>
                      <w:sz w:val="21"/>
                      <w:szCs w:val="21"/>
                    </w:rPr>
                    <w:t>水洗槽</w:t>
                  </w:r>
                </w:p>
              </w:tc>
              <w:tc>
                <w:tcPr>
                  <w:tcW w:w="1368" w:type="pct"/>
                  <w:vAlign w:val="top"/>
                </w:tcPr>
                <w:p w14:paraId="3180B0D9">
                  <w:pPr>
                    <w:spacing w:before="120"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77EA7E8">
                  <w:pPr>
                    <w:spacing w:before="123"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F6AC4F0">
                  <w:pPr>
                    <w:spacing w:before="123"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0A65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6D43B53">
                  <w:pPr>
                    <w:spacing w:before="122"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2CA35F51">
                  <w:pPr>
                    <w:pStyle w:val="97"/>
                    <w:spacing w:before="88" w:line="221" w:lineRule="auto"/>
                    <w:ind w:left="614"/>
                    <w:rPr>
                      <w:color w:val="auto"/>
                      <w:sz w:val="21"/>
                      <w:szCs w:val="21"/>
                    </w:rPr>
                  </w:pPr>
                  <w:r>
                    <w:rPr>
                      <w:color w:val="auto"/>
                      <w:spacing w:val="-1"/>
                      <w:sz w:val="21"/>
                      <w:szCs w:val="21"/>
                    </w:rPr>
                    <w:t>超声波去灰槽</w:t>
                  </w:r>
                </w:p>
              </w:tc>
              <w:tc>
                <w:tcPr>
                  <w:tcW w:w="1368" w:type="pct"/>
                  <w:vAlign w:val="top"/>
                </w:tcPr>
                <w:p w14:paraId="67E76B00">
                  <w:pPr>
                    <w:spacing w:before="120"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5E23CD73">
                  <w:pPr>
                    <w:spacing w:before="124"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ABC3345">
                  <w:pPr>
                    <w:spacing w:before="124"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0279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top"/>
                </w:tcPr>
                <w:p w14:paraId="13B6D48B">
                  <w:pPr>
                    <w:spacing w:before="121"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2970DA88">
                  <w:pPr>
                    <w:pStyle w:val="97"/>
                    <w:spacing w:before="89" w:line="221" w:lineRule="auto"/>
                    <w:ind w:left="931"/>
                    <w:rPr>
                      <w:color w:val="auto"/>
                      <w:sz w:val="21"/>
                      <w:szCs w:val="21"/>
                    </w:rPr>
                  </w:pPr>
                  <w:r>
                    <w:rPr>
                      <w:color w:val="auto"/>
                      <w:spacing w:val="-2"/>
                      <w:sz w:val="21"/>
                      <w:szCs w:val="21"/>
                    </w:rPr>
                    <w:t>水洗槽</w:t>
                  </w:r>
                </w:p>
              </w:tc>
              <w:tc>
                <w:tcPr>
                  <w:tcW w:w="1368" w:type="pct"/>
                  <w:vAlign w:val="top"/>
                </w:tcPr>
                <w:p w14:paraId="62C2CCB2">
                  <w:pPr>
                    <w:spacing w:before="122"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28EC862">
                  <w:pPr>
                    <w:spacing w:before="126"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7322F6C">
                  <w:pPr>
                    <w:spacing w:before="126"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7BF3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A6DBFA8">
                  <w:pPr>
                    <w:spacing w:before="123" w:line="184" w:lineRule="auto"/>
                    <w:ind w:left="40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2" w:type="pct"/>
                  <w:vAlign w:val="top"/>
                </w:tcPr>
                <w:p w14:paraId="66917CC3">
                  <w:pPr>
                    <w:pStyle w:val="97"/>
                    <w:spacing w:before="91" w:line="221" w:lineRule="auto"/>
                    <w:ind w:left="932"/>
                    <w:rPr>
                      <w:color w:val="auto"/>
                      <w:sz w:val="21"/>
                      <w:szCs w:val="21"/>
                    </w:rPr>
                  </w:pPr>
                  <w:r>
                    <w:rPr>
                      <w:color w:val="auto"/>
                      <w:spacing w:val="-3"/>
                      <w:sz w:val="21"/>
                      <w:szCs w:val="21"/>
                    </w:rPr>
                    <w:t>活化槽</w:t>
                  </w:r>
                </w:p>
              </w:tc>
              <w:tc>
                <w:tcPr>
                  <w:tcW w:w="1368" w:type="pct"/>
                  <w:vAlign w:val="top"/>
                </w:tcPr>
                <w:p w14:paraId="7385FA87">
                  <w:pPr>
                    <w:spacing w:before="124"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D197173">
                  <w:pPr>
                    <w:spacing w:before="128"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612E760C">
                  <w:pPr>
                    <w:spacing w:before="128"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0084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7AA89442">
                  <w:pPr>
                    <w:spacing w:before="122" w:line="187" w:lineRule="auto"/>
                    <w:ind w:left="41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2" w:type="pct"/>
                  <w:vAlign w:val="top"/>
                </w:tcPr>
                <w:p w14:paraId="69A5E844">
                  <w:pPr>
                    <w:pStyle w:val="97"/>
                    <w:spacing w:before="93" w:line="221" w:lineRule="auto"/>
                    <w:ind w:left="931"/>
                    <w:rPr>
                      <w:color w:val="auto"/>
                      <w:sz w:val="21"/>
                      <w:szCs w:val="21"/>
                    </w:rPr>
                  </w:pPr>
                  <w:r>
                    <w:rPr>
                      <w:color w:val="auto"/>
                      <w:spacing w:val="-2"/>
                      <w:sz w:val="21"/>
                      <w:szCs w:val="21"/>
                    </w:rPr>
                    <w:t>水洗槽</w:t>
                  </w:r>
                </w:p>
              </w:tc>
              <w:tc>
                <w:tcPr>
                  <w:tcW w:w="1368" w:type="pct"/>
                  <w:vAlign w:val="top"/>
                </w:tcPr>
                <w:p w14:paraId="188C79B8">
                  <w:pPr>
                    <w:spacing w:before="126"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160B4CD">
                  <w:pPr>
                    <w:spacing w:before="13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55D71C7">
                  <w:pPr>
                    <w:spacing w:before="130"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5434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DC34D22">
                  <w:pPr>
                    <w:spacing w:before="123"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2" w:type="pct"/>
                  <w:vAlign w:val="top"/>
                </w:tcPr>
                <w:p w14:paraId="43AEB25C">
                  <w:pPr>
                    <w:pStyle w:val="97"/>
                    <w:spacing w:before="94" w:line="221" w:lineRule="auto"/>
                    <w:ind w:left="614"/>
                    <w:rPr>
                      <w:color w:val="auto"/>
                      <w:sz w:val="21"/>
                      <w:szCs w:val="21"/>
                    </w:rPr>
                  </w:pPr>
                  <w:r>
                    <w:rPr>
                      <w:color w:val="auto"/>
                      <w:spacing w:val="-1"/>
                      <w:sz w:val="21"/>
                      <w:szCs w:val="21"/>
                    </w:rPr>
                    <w:t>超声波水洗槽</w:t>
                  </w:r>
                </w:p>
              </w:tc>
              <w:tc>
                <w:tcPr>
                  <w:tcW w:w="1368" w:type="pct"/>
                  <w:vAlign w:val="top"/>
                </w:tcPr>
                <w:p w14:paraId="3BF00418">
                  <w:pPr>
                    <w:spacing w:before="127"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0CCDCD61">
                  <w:pPr>
                    <w:spacing w:before="131"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6631EDA">
                  <w:pPr>
                    <w:spacing w:before="131"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306C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6F01EF9">
                  <w:pPr>
                    <w:spacing w:before="125"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2" w:type="pct"/>
                  <w:vAlign w:val="top"/>
                </w:tcPr>
                <w:p w14:paraId="5039E233">
                  <w:pPr>
                    <w:pStyle w:val="97"/>
                    <w:spacing w:before="96" w:line="220" w:lineRule="auto"/>
                    <w:ind w:left="827"/>
                    <w:rPr>
                      <w:color w:val="auto"/>
                      <w:sz w:val="21"/>
                      <w:szCs w:val="21"/>
                    </w:rPr>
                  </w:pPr>
                  <w:r>
                    <w:rPr>
                      <w:color w:val="auto"/>
                      <w:spacing w:val="-2"/>
                      <w:sz w:val="21"/>
                      <w:szCs w:val="21"/>
                    </w:rPr>
                    <w:t>预镀镍槽</w:t>
                  </w:r>
                </w:p>
              </w:tc>
              <w:tc>
                <w:tcPr>
                  <w:tcW w:w="1368" w:type="pct"/>
                  <w:vAlign w:val="top"/>
                </w:tcPr>
                <w:p w14:paraId="156B99BD">
                  <w:pPr>
                    <w:spacing w:before="128"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73B5A6D5">
                  <w:pPr>
                    <w:spacing w:before="13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3A86256">
                  <w:pPr>
                    <w:spacing w:before="132"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07EE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8F0175A">
                  <w:pPr>
                    <w:spacing w:before="12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2" w:type="pct"/>
                  <w:vAlign w:val="top"/>
                </w:tcPr>
                <w:p w14:paraId="2C47C5D7">
                  <w:pPr>
                    <w:pStyle w:val="97"/>
                    <w:spacing w:before="96" w:line="221" w:lineRule="auto"/>
                    <w:ind w:left="950"/>
                    <w:rPr>
                      <w:color w:val="auto"/>
                      <w:sz w:val="21"/>
                      <w:szCs w:val="21"/>
                    </w:rPr>
                  </w:pPr>
                  <w:r>
                    <w:rPr>
                      <w:color w:val="auto"/>
                      <w:spacing w:val="-9"/>
                      <w:sz w:val="21"/>
                      <w:szCs w:val="21"/>
                    </w:rPr>
                    <w:t>回收槽</w:t>
                  </w:r>
                </w:p>
              </w:tc>
              <w:tc>
                <w:tcPr>
                  <w:tcW w:w="1368" w:type="pct"/>
                  <w:vAlign w:val="top"/>
                </w:tcPr>
                <w:p w14:paraId="78FE6B1D">
                  <w:pPr>
                    <w:spacing w:before="12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BA7C84C">
                  <w:pPr>
                    <w:spacing w:before="13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19A294D7">
                  <w:pPr>
                    <w:spacing w:before="13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05DF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2019484">
                  <w:pPr>
                    <w:spacing w:before="127"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2" w:type="pct"/>
                  <w:vAlign w:val="top"/>
                </w:tcPr>
                <w:p w14:paraId="3E930F92">
                  <w:pPr>
                    <w:pStyle w:val="97"/>
                    <w:spacing w:before="98" w:line="221" w:lineRule="auto"/>
                    <w:ind w:left="931"/>
                    <w:rPr>
                      <w:color w:val="auto"/>
                      <w:sz w:val="21"/>
                      <w:szCs w:val="21"/>
                    </w:rPr>
                  </w:pPr>
                  <w:r>
                    <w:rPr>
                      <w:color w:val="auto"/>
                      <w:spacing w:val="-2"/>
                      <w:sz w:val="21"/>
                      <w:szCs w:val="21"/>
                    </w:rPr>
                    <w:t>水洗槽</w:t>
                  </w:r>
                </w:p>
              </w:tc>
              <w:tc>
                <w:tcPr>
                  <w:tcW w:w="1368" w:type="pct"/>
                  <w:vAlign w:val="top"/>
                </w:tcPr>
                <w:p w14:paraId="13856F08">
                  <w:pPr>
                    <w:spacing w:before="130" w:line="23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B32D1D9">
                  <w:pPr>
                    <w:spacing w:before="134"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DA5FE0B">
                  <w:pPr>
                    <w:spacing w:before="134"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4290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6710650E">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2" w:type="pct"/>
                  <w:vAlign w:val="top"/>
                </w:tcPr>
                <w:p w14:paraId="38E00627">
                  <w:pPr>
                    <w:pStyle w:val="97"/>
                    <w:spacing w:before="99" w:line="221" w:lineRule="auto"/>
                    <w:ind w:left="932"/>
                    <w:rPr>
                      <w:color w:val="auto"/>
                      <w:sz w:val="21"/>
                      <w:szCs w:val="21"/>
                    </w:rPr>
                  </w:pPr>
                  <w:r>
                    <w:rPr>
                      <w:color w:val="auto"/>
                      <w:spacing w:val="-3"/>
                      <w:sz w:val="21"/>
                      <w:szCs w:val="21"/>
                    </w:rPr>
                    <w:t>活化槽</w:t>
                  </w:r>
                </w:p>
              </w:tc>
              <w:tc>
                <w:tcPr>
                  <w:tcW w:w="1368" w:type="pct"/>
                  <w:vAlign w:val="top"/>
                </w:tcPr>
                <w:p w14:paraId="255F9D7B">
                  <w:pPr>
                    <w:spacing w:before="132" w:line="226"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D39BD33">
                  <w:pPr>
                    <w:spacing w:before="13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D297E05">
                  <w:pPr>
                    <w:spacing w:before="136"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799A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DCE25ED">
                  <w:pPr>
                    <w:spacing w:before="13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2" w:type="pct"/>
                  <w:vAlign w:val="top"/>
                </w:tcPr>
                <w:p w14:paraId="59B167E2">
                  <w:pPr>
                    <w:pStyle w:val="97"/>
                    <w:spacing w:before="103" w:line="221" w:lineRule="auto"/>
                    <w:ind w:left="931"/>
                    <w:rPr>
                      <w:color w:val="auto"/>
                      <w:sz w:val="21"/>
                      <w:szCs w:val="21"/>
                    </w:rPr>
                  </w:pPr>
                  <w:r>
                    <w:rPr>
                      <w:color w:val="auto"/>
                      <w:spacing w:val="-2"/>
                      <w:sz w:val="21"/>
                      <w:szCs w:val="21"/>
                    </w:rPr>
                    <w:t>水洗槽</w:t>
                  </w:r>
                </w:p>
              </w:tc>
              <w:tc>
                <w:tcPr>
                  <w:tcW w:w="1368" w:type="pct"/>
                  <w:vAlign w:val="top"/>
                </w:tcPr>
                <w:p w14:paraId="28AE5EF1">
                  <w:pPr>
                    <w:spacing w:before="136" w:line="225"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60B2F392">
                  <w:pPr>
                    <w:spacing w:before="14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4D828019">
                  <w:pPr>
                    <w:spacing w:before="140"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0F25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top"/>
                </w:tcPr>
                <w:p w14:paraId="48858696">
                  <w:pPr>
                    <w:spacing w:before="134"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2" w:type="pct"/>
                  <w:vAlign w:val="top"/>
                </w:tcPr>
                <w:p w14:paraId="6732AE20">
                  <w:pPr>
                    <w:pStyle w:val="97"/>
                    <w:spacing w:before="102" w:line="220" w:lineRule="auto"/>
                    <w:ind w:left="928"/>
                    <w:rPr>
                      <w:color w:val="auto"/>
                      <w:sz w:val="21"/>
                      <w:szCs w:val="21"/>
                    </w:rPr>
                  </w:pPr>
                  <w:r>
                    <w:rPr>
                      <w:color w:val="auto"/>
                      <w:spacing w:val="-2"/>
                      <w:sz w:val="21"/>
                      <w:szCs w:val="21"/>
                    </w:rPr>
                    <w:t>镀铜槽</w:t>
                  </w:r>
                </w:p>
              </w:tc>
              <w:tc>
                <w:tcPr>
                  <w:tcW w:w="1368" w:type="pct"/>
                  <w:vAlign w:val="top"/>
                </w:tcPr>
                <w:p w14:paraId="017CCC81">
                  <w:pPr>
                    <w:spacing w:before="135" w:line="225"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0932A826">
                  <w:pPr>
                    <w:spacing w:before="13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2D745E4">
                  <w:pPr>
                    <w:spacing w:before="13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4B87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EAAE277">
                  <w:pPr>
                    <w:spacing w:before="13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2" w:type="pct"/>
                  <w:vAlign w:val="top"/>
                </w:tcPr>
                <w:p w14:paraId="46B07F41">
                  <w:pPr>
                    <w:pStyle w:val="97"/>
                    <w:spacing w:before="104" w:line="221" w:lineRule="auto"/>
                    <w:ind w:left="950"/>
                    <w:rPr>
                      <w:color w:val="auto"/>
                      <w:sz w:val="21"/>
                      <w:szCs w:val="21"/>
                    </w:rPr>
                  </w:pPr>
                  <w:r>
                    <w:rPr>
                      <w:color w:val="auto"/>
                      <w:spacing w:val="-9"/>
                      <w:sz w:val="21"/>
                      <w:szCs w:val="21"/>
                    </w:rPr>
                    <w:t>回收槽</w:t>
                  </w:r>
                </w:p>
              </w:tc>
              <w:tc>
                <w:tcPr>
                  <w:tcW w:w="1368" w:type="pct"/>
                  <w:vAlign w:val="top"/>
                </w:tcPr>
                <w:p w14:paraId="4AF8E40E">
                  <w:pPr>
                    <w:spacing w:before="137"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4FA1CE5">
                  <w:pPr>
                    <w:spacing w:before="141"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C4DC9BB">
                  <w:pPr>
                    <w:spacing w:before="141"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41F0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522" w:type="pct"/>
                  <w:vAlign w:val="top"/>
                </w:tcPr>
                <w:p w14:paraId="592219B9">
                  <w:pPr>
                    <w:spacing w:before="137"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2" w:type="pct"/>
                  <w:vAlign w:val="top"/>
                </w:tcPr>
                <w:p w14:paraId="33F062D3">
                  <w:pPr>
                    <w:pStyle w:val="97"/>
                    <w:spacing w:before="106" w:line="221" w:lineRule="auto"/>
                    <w:ind w:left="931"/>
                    <w:rPr>
                      <w:color w:val="auto"/>
                      <w:sz w:val="21"/>
                      <w:szCs w:val="21"/>
                    </w:rPr>
                  </w:pPr>
                  <w:r>
                    <w:rPr>
                      <w:color w:val="auto"/>
                      <w:spacing w:val="-2"/>
                      <w:sz w:val="21"/>
                      <w:szCs w:val="21"/>
                    </w:rPr>
                    <w:t>水洗槽</w:t>
                  </w:r>
                </w:p>
              </w:tc>
              <w:tc>
                <w:tcPr>
                  <w:tcW w:w="1368" w:type="pct"/>
                  <w:vAlign w:val="top"/>
                </w:tcPr>
                <w:p w14:paraId="1D7D49A3">
                  <w:pPr>
                    <w:spacing w:before="139"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7D45EA22">
                  <w:pPr>
                    <w:spacing w:before="14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DA5D540">
                  <w:pPr>
                    <w:spacing w:before="142"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r>
            <w:tr w14:paraId="4D28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522" w:type="pct"/>
                  <w:shd w:val="clear" w:color="auto" w:fill="auto"/>
                  <w:vAlign w:val="top"/>
                </w:tcPr>
                <w:p w14:paraId="08182023">
                  <w:pPr>
                    <w:spacing w:before="118"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18</w:t>
                  </w:r>
                </w:p>
              </w:tc>
              <w:tc>
                <w:tcPr>
                  <w:tcW w:w="1452" w:type="pct"/>
                  <w:shd w:val="clear" w:color="auto" w:fill="auto"/>
                  <w:vAlign w:val="top"/>
                </w:tcPr>
                <w:p w14:paraId="15FCE2BC">
                  <w:pPr>
                    <w:pStyle w:val="97"/>
                    <w:spacing w:before="86"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1368" w:type="pct"/>
                  <w:shd w:val="clear" w:color="auto" w:fill="auto"/>
                  <w:vAlign w:val="top"/>
                </w:tcPr>
                <w:p w14:paraId="34CAF39B">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837" w:type="pct"/>
                  <w:shd w:val="clear" w:color="auto" w:fill="auto"/>
                  <w:vAlign w:val="top"/>
                </w:tcPr>
                <w:p w14:paraId="4928D74D">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819" w:type="pct"/>
                  <w:shd w:val="clear" w:color="auto" w:fill="auto"/>
                  <w:vAlign w:val="top"/>
                </w:tcPr>
                <w:p w14:paraId="6E88E05F">
                  <w:pPr>
                    <w:spacing w:before="123"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72F0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4C773059">
                  <w:pPr>
                    <w:spacing w:before="111"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19</w:t>
                  </w:r>
                </w:p>
              </w:tc>
              <w:tc>
                <w:tcPr>
                  <w:tcW w:w="2695" w:type="dxa"/>
                  <w:shd w:val="clear" w:color="auto" w:fill="auto"/>
                  <w:vAlign w:val="top"/>
                </w:tcPr>
                <w:p w14:paraId="0488E7AD">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7A834A04">
                  <w:pPr>
                    <w:spacing w:before="115"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6F08EBC">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311B4C0A">
                  <w:pPr>
                    <w:spacing w:before="119"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24</w:t>
                  </w:r>
                </w:p>
              </w:tc>
            </w:tr>
            <w:tr w14:paraId="7568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28722529">
                  <w:pPr>
                    <w:spacing w:before="112"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c>
                <w:tcPr>
                  <w:tcW w:w="2695" w:type="dxa"/>
                  <w:shd w:val="clear" w:color="auto" w:fill="auto"/>
                  <w:vAlign w:val="top"/>
                </w:tcPr>
                <w:p w14:paraId="0B30B8A2">
                  <w:pPr>
                    <w:pStyle w:val="97"/>
                    <w:spacing w:before="83"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镀半光镍槽</w:t>
                  </w:r>
                </w:p>
              </w:tc>
              <w:tc>
                <w:tcPr>
                  <w:tcW w:w="2539" w:type="dxa"/>
                  <w:shd w:val="clear" w:color="auto" w:fill="auto"/>
                  <w:vAlign w:val="top"/>
                </w:tcPr>
                <w:p w14:paraId="38D74D44">
                  <w:pPr>
                    <w:spacing w:before="115" w:line="233"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51A1078A">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9C5B1C5">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2551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2BFB3836">
                  <w:pPr>
                    <w:spacing w:before="112"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21</w:t>
                  </w:r>
                </w:p>
              </w:tc>
              <w:tc>
                <w:tcPr>
                  <w:tcW w:w="2695" w:type="dxa"/>
                  <w:shd w:val="clear" w:color="auto" w:fill="auto"/>
                  <w:vAlign w:val="top"/>
                </w:tcPr>
                <w:p w14:paraId="706A613D">
                  <w:pPr>
                    <w:pStyle w:val="97"/>
                    <w:spacing w:before="82"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580B27A2">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1FE0DF67">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7C83ACE">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47C7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46C47E32">
                  <w:pPr>
                    <w:spacing w:before="113"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22</w:t>
                  </w:r>
                </w:p>
              </w:tc>
              <w:tc>
                <w:tcPr>
                  <w:tcW w:w="2695" w:type="dxa"/>
                  <w:shd w:val="clear" w:color="auto" w:fill="auto"/>
                  <w:vAlign w:val="top"/>
                </w:tcPr>
                <w:p w14:paraId="5D11B794">
                  <w:pPr>
                    <w:pStyle w:val="97"/>
                    <w:spacing w:before="84" w:line="220" w:lineRule="auto"/>
                    <w:ind w:left="720" w:leftChars="0"/>
                    <w:rPr>
                      <w:rFonts w:ascii="宋体" w:hAnsi="宋体" w:eastAsia="宋体" w:cs="宋体"/>
                      <w:color w:val="auto"/>
                      <w:kern w:val="2"/>
                      <w:sz w:val="21"/>
                      <w:szCs w:val="21"/>
                      <w:lang w:val="en-US" w:eastAsia="en-US" w:bidi="ar-SA"/>
                    </w:rPr>
                  </w:pPr>
                  <w:r>
                    <w:rPr>
                      <w:color w:val="auto"/>
                      <w:spacing w:val="-1"/>
                      <w:sz w:val="21"/>
                      <w:szCs w:val="21"/>
                    </w:rPr>
                    <w:t>镀光亮镍槽</w:t>
                  </w:r>
                </w:p>
              </w:tc>
              <w:tc>
                <w:tcPr>
                  <w:tcW w:w="2539" w:type="dxa"/>
                  <w:shd w:val="clear" w:color="auto" w:fill="auto"/>
                  <w:vAlign w:val="top"/>
                </w:tcPr>
                <w:p w14:paraId="4A28263D">
                  <w:pPr>
                    <w:spacing w:before="117" w:line="233"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24624B58">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19465CCF">
                  <w:pPr>
                    <w:spacing w:before="120"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37AD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4FEBD80C">
                  <w:pPr>
                    <w:spacing w:before="113"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23</w:t>
                  </w:r>
                </w:p>
              </w:tc>
              <w:tc>
                <w:tcPr>
                  <w:tcW w:w="2695" w:type="dxa"/>
                  <w:shd w:val="clear" w:color="auto" w:fill="auto"/>
                  <w:vAlign w:val="top"/>
                </w:tcPr>
                <w:p w14:paraId="66E58C3E">
                  <w:pPr>
                    <w:pStyle w:val="97"/>
                    <w:spacing w:before="84"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0978BAFF">
                  <w:pPr>
                    <w:spacing w:before="116"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382F2139">
                  <w:pPr>
                    <w:spacing w:before="121"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32A3272">
                  <w:pPr>
                    <w:spacing w:before="121"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3968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039BA7AF">
                  <w:pPr>
                    <w:spacing w:before="115"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24</w:t>
                  </w:r>
                </w:p>
              </w:tc>
              <w:tc>
                <w:tcPr>
                  <w:tcW w:w="2695" w:type="dxa"/>
                  <w:shd w:val="clear" w:color="auto" w:fill="auto"/>
                  <w:vAlign w:val="top"/>
                </w:tcPr>
                <w:p w14:paraId="29A35003">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068E0AD7">
                  <w:pPr>
                    <w:spacing w:before="118"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4E2F1FF8">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8042071">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24</w:t>
                  </w:r>
                </w:p>
              </w:tc>
            </w:tr>
            <w:tr w14:paraId="6D4C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00EADD0F">
                  <w:pPr>
                    <w:spacing w:before="115"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25</w:t>
                  </w:r>
                </w:p>
              </w:tc>
              <w:tc>
                <w:tcPr>
                  <w:tcW w:w="2695" w:type="dxa"/>
                  <w:shd w:val="clear" w:color="auto" w:fill="auto"/>
                  <w:vAlign w:val="top"/>
                </w:tcPr>
                <w:p w14:paraId="53511781">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575B4BFB">
                  <w:pPr>
                    <w:spacing w:before="118"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08FDCFC1">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55B06112">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4C99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20F493A5">
                  <w:pPr>
                    <w:spacing w:before="118"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c>
                <w:tcPr>
                  <w:tcW w:w="2695" w:type="dxa"/>
                  <w:shd w:val="clear" w:color="auto" w:fill="auto"/>
                  <w:vAlign w:val="top"/>
                </w:tcPr>
                <w:p w14:paraId="540520B3">
                  <w:pPr>
                    <w:pStyle w:val="97"/>
                    <w:spacing w:before="88"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691B1D19">
                  <w:pPr>
                    <w:spacing w:before="122"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038A513">
                  <w:pPr>
                    <w:spacing w:before="125"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015FF3F1">
                  <w:pPr>
                    <w:spacing w:before="125"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24</w:t>
                  </w:r>
                </w:p>
              </w:tc>
            </w:tr>
            <w:tr w14:paraId="7B51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2ED90CD9">
                  <w:pPr>
                    <w:spacing w:before="119"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27</w:t>
                  </w:r>
                </w:p>
              </w:tc>
              <w:tc>
                <w:tcPr>
                  <w:tcW w:w="2695" w:type="dxa"/>
                  <w:shd w:val="clear" w:color="auto" w:fill="auto"/>
                  <w:vAlign w:val="top"/>
                </w:tcPr>
                <w:p w14:paraId="5F24D7A4">
                  <w:pPr>
                    <w:pStyle w:val="97"/>
                    <w:spacing w:before="87"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5D04FDEF">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052C115C">
                  <w:pPr>
                    <w:spacing w:before="124"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2DFED233">
                  <w:pPr>
                    <w:spacing w:before="124"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bl>
          <w:p w14:paraId="5CAA3AAC">
            <w:pPr>
              <w:spacing w:before="82" w:line="234" w:lineRule="auto"/>
              <w:ind w:left="2516"/>
              <w:rPr>
                <w:rFonts w:ascii="宋体" w:hAnsi="宋体" w:eastAsia="宋体" w:cs="宋体"/>
                <w:color w:val="auto"/>
                <w:sz w:val="21"/>
                <w:szCs w:val="21"/>
              </w:rPr>
            </w:pPr>
            <w:r>
              <w:rPr>
                <w:rFonts w:ascii="宋体" w:hAnsi="宋体" w:eastAsia="宋体" w:cs="宋体"/>
                <w:b/>
                <w:bCs/>
                <w:color w:val="auto"/>
                <w:spacing w:val="-2"/>
                <w:sz w:val="21"/>
                <w:szCs w:val="21"/>
              </w:rPr>
              <w:t>六、滚镀镍铜镍</w:t>
            </w:r>
            <w:r>
              <w:rPr>
                <w:rFonts w:ascii="Times New Roman" w:hAnsi="Times New Roman" w:eastAsia="Times New Roman" w:cs="Times New Roman"/>
                <w:b/>
                <w:bCs/>
                <w:color w:val="auto"/>
                <w:spacing w:val="-2"/>
                <w:sz w:val="21"/>
                <w:szCs w:val="21"/>
              </w:rPr>
              <w:t>+</w:t>
            </w:r>
            <w:r>
              <w:rPr>
                <w:rFonts w:ascii="宋体" w:hAnsi="宋体" w:eastAsia="宋体" w:cs="宋体"/>
                <w:b/>
                <w:bCs/>
                <w:color w:val="auto"/>
                <w:spacing w:val="-2"/>
                <w:sz w:val="21"/>
                <w:szCs w:val="21"/>
              </w:rPr>
              <w:t>化学镀镍线（</w:t>
            </w:r>
            <w:r>
              <w:rPr>
                <w:rFonts w:ascii="Times New Roman" w:hAnsi="Times New Roman" w:eastAsia="Times New Roman" w:cs="Times New Roman"/>
                <w:b/>
                <w:bCs/>
                <w:color w:val="auto"/>
                <w:spacing w:val="-2"/>
                <w:sz w:val="21"/>
                <w:szCs w:val="21"/>
              </w:rPr>
              <w:t>10</w:t>
            </w:r>
            <w:r>
              <w:rPr>
                <w:rFonts w:ascii="宋体" w:hAnsi="宋体" w:eastAsia="宋体" w:cs="宋体"/>
                <w:b/>
                <w:bCs/>
                <w:color w:val="auto"/>
                <w:spacing w:val="-2"/>
                <w:sz w:val="21"/>
                <w:szCs w:val="21"/>
              </w:rPr>
              <w:t>条）</w:t>
            </w:r>
          </w:p>
          <w:p w14:paraId="20B2F09A">
            <w:pPr>
              <w:spacing w:line="21" w:lineRule="exact"/>
              <w:rPr>
                <w:color w:val="auto"/>
              </w:rPr>
            </w:pPr>
          </w:p>
          <w:tbl>
            <w:tblPr>
              <w:tblStyle w:val="75"/>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76DF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22" w:type="pct"/>
                  <w:vAlign w:val="top"/>
                </w:tcPr>
                <w:p w14:paraId="1B688DC4">
                  <w:pPr>
                    <w:spacing w:before="118"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31B91329">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64B2F6E2">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07F482B3">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1C687270">
                  <w:pPr>
                    <w:spacing w:before="12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183B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522" w:type="pct"/>
                  <w:vAlign w:val="top"/>
                </w:tcPr>
                <w:p w14:paraId="2481F9FB">
                  <w:pPr>
                    <w:spacing w:before="114"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2B4ACB18">
                  <w:pPr>
                    <w:pStyle w:val="97"/>
                    <w:spacing w:before="82" w:line="221" w:lineRule="auto"/>
                    <w:ind w:left="931"/>
                    <w:rPr>
                      <w:color w:val="auto"/>
                      <w:sz w:val="21"/>
                      <w:szCs w:val="21"/>
                    </w:rPr>
                  </w:pPr>
                  <w:r>
                    <w:rPr>
                      <w:color w:val="auto"/>
                      <w:spacing w:val="-3"/>
                      <w:sz w:val="21"/>
                      <w:szCs w:val="21"/>
                    </w:rPr>
                    <w:t>水洗槽</w:t>
                  </w:r>
                </w:p>
              </w:tc>
              <w:tc>
                <w:tcPr>
                  <w:tcW w:w="1368" w:type="pct"/>
                  <w:vAlign w:val="top"/>
                </w:tcPr>
                <w:p w14:paraId="1A8A5728">
                  <w:pPr>
                    <w:spacing w:before="116"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63F15D7C">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8000CE4">
                  <w:pPr>
                    <w:spacing w:before="11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1449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252AD7D">
                  <w:pPr>
                    <w:spacing w:before="113"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74D52A35">
                  <w:pPr>
                    <w:pStyle w:val="97"/>
                    <w:spacing w:before="84" w:line="221" w:lineRule="auto"/>
                    <w:ind w:left="930"/>
                    <w:rPr>
                      <w:color w:val="auto"/>
                      <w:sz w:val="21"/>
                      <w:szCs w:val="21"/>
                    </w:rPr>
                  </w:pPr>
                  <w:r>
                    <w:rPr>
                      <w:color w:val="auto"/>
                      <w:spacing w:val="-2"/>
                      <w:sz w:val="21"/>
                      <w:szCs w:val="21"/>
                    </w:rPr>
                    <w:t>酸洗槽</w:t>
                  </w:r>
                </w:p>
              </w:tc>
              <w:tc>
                <w:tcPr>
                  <w:tcW w:w="1368" w:type="pct"/>
                  <w:vAlign w:val="top"/>
                </w:tcPr>
                <w:p w14:paraId="2DA78D1F">
                  <w:pPr>
                    <w:spacing w:before="117"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D77F166">
                  <w:pPr>
                    <w:spacing w:before="12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4C07007">
                  <w:pPr>
                    <w:spacing w:before="120"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1FE2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695C843">
                  <w:pPr>
                    <w:spacing w:before="114"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2730E773">
                  <w:pPr>
                    <w:pStyle w:val="97"/>
                    <w:spacing w:before="85" w:line="221" w:lineRule="auto"/>
                    <w:ind w:left="931"/>
                    <w:rPr>
                      <w:color w:val="auto"/>
                      <w:sz w:val="21"/>
                      <w:szCs w:val="21"/>
                    </w:rPr>
                  </w:pPr>
                  <w:r>
                    <w:rPr>
                      <w:color w:val="auto"/>
                      <w:spacing w:val="-3"/>
                      <w:sz w:val="21"/>
                      <w:szCs w:val="21"/>
                    </w:rPr>
                    <w:t>水洗槽</w:t>
                  </w:r>
                </w:p>
              </w:tc>
              <w:tc>
                <w:tcPr>
                  <w:tcW w:w="1368" w:type="pct"/>
                  <w:vAlign w:val="top"/>
                </w:tcPr>
                <w:p w14:paraId="1DE03AF5">
                  <w:pPr>
                    <w:spacing w:before="118"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0C33E7D">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4C709EE9">
                  <w:pPr>
                    <w:spacing w:before="121"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6541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F4BB0D5">
                  <w:pPr>
                    <w:spacing w:before="118"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56410CE8">
                  <w:pPr>
                    <w:pStyle w:val="97"/>
                    <w:spacing w:before="86" w:line="221" w:lineRule="auto"/>
                    <w:ind w:left="614"/>
                    <w:rPr>
                      <w:color w:val="auto"/>
                      <w:sz w:val="21"/>
                      <w:szCs w:val="21"/>
                    </w:rPr>
                  </w:pPr>
                  <w:r>
                    <w:rPr>
                      <w:color w:val="auto"/>
                      <w:spacing w:val="-1"/>
                      <w:sz w:val="21"/>
                      <w:szCs w:val="21"/>
                    </w:rPr>
                    <w:t>超声波去灰槽</w:t>
                  </w:r>
                </w:p>
              </w:tc>
              <w:tc>
                <w:tcPr>
                  <w:tcW w:w="1368" w:type="pct"/>
                  <w:vAlign w:val="top"/>
                </w:tcPr>
                <w:p w14:paraId="4D7B7D47">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1147A26E">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1AA369FE">
                  <w:pPr>
                    <w:spacing w:before="12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58A9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3858813">
                  <w:pPr>
                    <w:spacing w:before="117"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34127B86">
                  <w:pPr>
                    <w:pStyle w:val="97"/>
                    <w:spacing w:before="87" w:line="221" w:lineRule="auto"/>
                    <w:ind w:left="930"/>
                    <w:rPr>
                      <w:color w:val="auto"/>
                      <w:sz w:val="21"/>
                      <w:szCs w:val="21"/>
                    </w:rPr>
                  </w:pPr>
                  <w:r>
                    <w:rPr>
                      <w:color w:val="auto"/>
                      <w:spacing w:val="-2"/>
                      <w:sz w:val="21"/>
                      <w:szCs w:val="21"/>
                    </w:rPr>
                    <w:t>酸洗槽</w:t>
                  </w:r>
                </w:p>
              </w:tc>
              <w:tc>
                <w:tcPr>
                  <w:tcW w:w="1368" w:type="pct"/>
                  <w:vAlign w:val="top"/>
                </w:tcPr>
                <w:p w14:paraId="11495237">
                  <w:pPr>
                    <w:spacing w:before="120"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481D751">
                  <w:pPr>
                    <w:spacing w:before="124"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1526C255">
                  <w:pPr>
                    <w:spacing w:before="124"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6B1D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4DE035A5">
                  <w:pPr>
                    <w:spacing w:before="121" w:line="184" w:lineRule="auto"/>
                    <w:ind w:left="40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2" w:type="pct"/>
                  <w:vAlign w:val="top"/>
                </w:tcPr>
                <w:p w14:paraId="00790B8A">
                  <w:pPr>
                    <w:pStyle w:val="97"/>
                    <w:spacing w:before="88" w:line="221" w:lineRule="auto"/>
                    <w:ind w:left="931"/>
                    <w:rPr>
                      <w:color w:val="auto"/>
                      <w:sz w:val="21"/>
                      <w:szCs w:val="21"/>
                    </w:rPr>
                  </w:pPr>
                  <w:r>
                    <w:rPr>
                      <w:color w:val="auto"/>
                      <w:spacing w:val="-3"/>
                      <w:sz w:val="21"/>
                      <w:szCs w:val="21"/>
                    </w:rPr>
                    <w:t>水洗槽</w:t>
                  </w:r>
                </w:p>
              </w:tc>
              <w:tc>
                <w:tcPr>
                  <w:tcW w:w="1368" w:type="pct"/>
                  <w:vAlign w:val="top"/>
                </w:tcPr>
                <w:p w14:paraId="329DC42B">
                  <w:pPr>
                    <w:spacing w:before="122"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2761CFAA">
                  <w:pPr>
                    <w:spacing w:before="125"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6673754">
                  <w:pPr>
                    <w:spacing w:before="125"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4C4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0CEF7E99">
                  <w:pPr>
                    <w:spacing w:before="118" w:line="187" w:lineRule="auto"/>
                    <w:ind w:left="41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2" w:type="pct"/>
                  <w:vAlign w:val="top"/>
                </w:tcPr>
                <w:p w14:paraId="58A7CA91">
                  <w:pPr>
                    <w:pStyle w:val="97"/>
                    <w:spacing w:before="89" w:line="221" w:lineRule="auto"/>
                    <w:ind w:left="614"/>
                    <w:rPr>
                      <w:color w:val="auto"/>
                      <w:sz w:val="21"/>
                      <w:szCs w:val="21"/>
                    </w:rPr>
                  </w:pPr>
                  <w:r>
                    <w:rPr>
                      <w:color w:val="auto"/>
                      <w:spacing w:val="-1"/>
                      <w:sz w:val="21"/>
                      <w:szCs w:val="21"/>
                    </w:rPr>
                    <w:t>超声波水洗槽</w:t>
                  </w:r>
                </w:p>
              </w:tc>
              <w:tc>
                <w:tcPr>
                  <w:tcW w:w="1368" w:type="pct"/>
                  <w:vAlign w:val="top"/>
                </w:tcPr>
                <w:p w14:paraId="698C4B15">
                  <w:pPr>
                    <w:spacing w:before="122"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5E862F71">
                  <w:pPr>
                    <w:spacing w:before="12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C3DF2D5">
                  <w:pPr>
                    <w:spacing w:before="126"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3F7C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5637B11F">
                  <w:pPr>
                    <w:spacing w:before="120"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2" w:type="pct"/>
                  <w:vAlign w:val="top"/>
                </w:tcPr>
                <w:p w14:paraId="4D2BDC96">
                  <w:pPr>
                    <w:pStyle w:val="97"/>
                    <w:spacing w:before="90" w:line="221" w:lineRule="auto"/>
                    <w:ind w:left="931"/>
                    <w:rPr>
                      <w:color w:val="auto"/>
                      <w:sz w:val="21"/>
                      <w:szCs w:val="21"/>
                    </w:rPr>
                  </w:pPr>
                  <w:r>
                    <w:rPr>
                      <w:color w:val="auto"/>
                      <w:spacing w:val="-3"/>
                      <w:sz w:val="21"/>
                      <w:szCs w:val="21"/>
                    </w:rPr>
                    <w:t>水洗槽</w:t>
                  </w:r>
                </w:p>
              </w:tc>
              <w:tc>
                <w:tcPr>
                  <w:tcW w:w="1368" w:type="pct"/>
                  <w:vAlign w:val="top"/>
                </w:tcPr>
                <w:p w14:paraId="79B48F0E">
                  <w:pPr>
                    <w:spacing w:before="123"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5EAA37D6">
                  <w:pPr>
                    <w:spacing w:before="127"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6728A4A">
                  <w:pPr>
                    <w:spacing w:before="127"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6147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D74F231">
                  <w:pPr>
                    <w:spacing w:before="12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2" w:type="pct"/>
                  <w:vAlign w:val="top"/>
                </w:tcPr>
                <w:p w14:paraId="1D42CF5C">
                  <w:pPr>
                    <w:pStyle w:val="97"/>
                    <w:spacing w:before="93" w:line="221" w:lineRule="auto"/>
                    <w:ind w:left="932"/>
                    <w:rPr>
                      <w:color w:val="auto"/>
                      <w:sz w:val="21"/>
                      <w:szCs w:val="21"/>
                    </w:rPr>
                  </w:pPr>
                  <w:r>
                    <w:rPr>
                      <w:color w:val="auto"/>
                      <w:spacing w:val="-3"/>
                      <w:sz w:val="21"/>
                      <w:szCs w:val="21"/>
                    </w:rPr>
                    <w:t>活化槽</w:t>
                  </w:r>
                </w:p>
              </w:tc>
              <w:tc>
                <w:tcPr>
                  <w:tcW w:w="1368" w:type="pct"/>
                  <w:vAlign w:val="top"/>
                </w:tcPr>
                <w:p w14:paraId="4D81CBA1">
                  <w:pPr>
                    <w:spacing w:before="127"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AF7F642">
                  <w:pPr>
                    <w:spacing w:before="13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3A6BFB9">
                  <w:pPr>
                    <w:spacing w:before="130"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3AA1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3DAEA98">
                  <w:pPr>
                    <w:spacing w:before="124"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2" w:type="pct"/>
                  <w:vAlign w:val="top"/>
                </w:tcPr>
                <w:p w14:paraId="585AECE9">
                  <w:pPr>
                    <w:pStyle w:val="97"/>
                    <w:spacing w:before="92" w:line="221" w:lineRule="auto"/>
                    <w:ind w:left="931"/>
                    <w:rPr>
                      <w:color w:val="auto"/>
                      <w:sz w:val="21"/>
                      <w:szCs w:val="21"/>
                    </w:rPr>
                  </w:pPr>
                  <w:r>
                    <w:rPr>
                      <w:color w:val="auto"/>
                      <w:spacing w:val="-3"/>
                      <w:sz w:val="21"/>
                      <w:szCs w:val="21"/>
                    </w:rPr>
                    <w:t>水洗槽</w:t>
                  </w:r>
                </w:p>
              </w:tc>
              <w:tc>
                <w:tcPr>
                  <w:tcW w:w="1368" w:type="pct"/>
                  <w:vAlign w:val="top"/>
                </w:tcPr>
                <w:p w14:paraId="6272D0C5">
                  <w:pPr>
                    <w:spacing w:before="125"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500A189">
                  <w:pPr>
                    <w:spacing w:before="12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D29B545">
                  <w:pPr>
                    <w:spacing w:before="129"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416D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7B4DD8C">
                  <w:pPr>
                    <w:spacing w:before="125"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2" w:type="pct"/>
                  <w:vAlign w:val="top"/>
                </w:tcPr>
                <w:p w14:paraId="5B9C7A3E">
                  <w:pPr>
                    <w:pStyle w:val="97"/>
                    <w:spacing w:before="93" w:line="221" w:lineRule="auto"/>
                    <w:ind w:left="614"/>
                    <w:rPr>
                      <w:color w:val="auto"/>
                      <w:sz w:val="21"/>
                      <w:szCs w:val="21"/>
                    </w:rPr>
                  </w:pPr>
                  <w:r>
                    <w:rPr>
                      <w:color w:val="auto"/>
                      <w:spacing w:val="-1"/>
                      <w:sz w:val="21"/>
                      <w:szCs w:val="21"/>
                    </w:rPr>
                    <w:t>超声波水洗槽</w:t>
                  </w:r>
                </w:p>
              </w:tc>
              <w:tc>
                <w:tcPr>
                  <w:tcW w:w="1368" w:type="pct"/>
                  <w:vAlign w:val="top"/>
                </w:tcPr>
                <w:p w14:paraId="672C21A7">
                  <w:pPr>
                    <w:spacing w:before="126"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78B36F5A">
                  <w:pPr>
                    <w:spacing w:before="13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934AB51">
                  <w:pPr>
                    <w:spacing w:before="130"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61B3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08EF164">
                  <w:pPr>
                    <w:spacing w:before="12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2" w:type="pct"/>
                  <w:vAlign w:val="top"/>
                </w:tcPr>
                <w:p w14:paraId="5AE53B0B">
                  <w:pPr>
                    <w:pStyle w:val="97"/>
                    <w:spacing w:before="95" w:line="220" w:lineRule="auto"/>
                    <w:ind w:left="745"/>
                    <w:rPr>
                      <w:color w:val="auto"/>
                      <w:sz w:val="21"/>
                      <w:szCs w:val="21"/>
                    </w:rPr>
                  </w:pPr>
                  <w:r>
                    <w:rPr>
                      <w:color w:val="auto"/>
                      <w:spacing w:val="-6"/>
                      <w:sz w:val="21"/>
                      <w:szCs w:val="21"/>
                    </w:rPr>
                    <w:t>电镀暗镍槽</w:t>
                  </w:r>
                </w:p>
              </w:tc>
              <w:tc>
                <w:tcPr>
                  <w:tcW w:w="1368" w:type="pct"/>
                  <w:vAlign w:val="top"/>
                </w:tcPr>
                <w:p w14:paraId="1AF8DD90">
                  <w:pPr>
                    <w:spacing w:before="128"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1C1836EC">
                  <w:pPr>
                    <w:spacing w:before="131"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29C0A9B9">
                  <w:pPr>
                    <w:spacing w:before="131" w:line="187"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w:t>
                  </w:r>
                </w:p>
              </w:tc>
            </w:tr>
            <w:tr w14:paraId="182D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E9B9590">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2" w:type="pct"/>
                  <w:vAlign w:val="top"/>
                </w:tcPr>
                <w:p w14:paraId="56868E39">
                  <w:pPr>
                    <w:pStyle w:val="97"/>
                    <w:spacing w:before="96" w:line="221" w:lineRule="auto"/>
                    <w:ind w:left="950"/>
                    <w:rPr>
                      <w:color w:val="auto"/>
                      <w:sz w:val="21"/>
                      <w:szCs w:val="21"/>
                    </w:rPr>
                  </w:pPr>
                  <w:r>
                    <w:rPr>
                      <w:color w:val="auto"/>
                      <w:spacing w:val="-9"/>
                      <w:sz w:val="21"/>
                      <w:szCs w:val="21"/>
                    </w:rPr>
                    <w:t>回收槽</w:t>
                  </w:r>
                </w:p>
              </w:tc>
              <w:tc>
                <w:tcPr>
                  <w:tcW w:w="1368" w:type="pct"/>
                  <w:vAlign w:val="top"/>
                </w:tcPr>
                <w:p w14:paraId="1FCB3F47">
                  <w:pPr>
                    <w:spacing w:before="129" w:line="232"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698E1F70">
                  <w:pPr>
                    <w:spacing w:before="13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413ADBF">
                  <w:pPr>
                    <w:spacing w:before="132"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573A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9288724">
                  <w:pPr>
                    <w:spacing w:before="12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2" w:type="pct"/>
                  <w:vAlign w:val="top"/>
                </w:tcPr>
                <w:p w14:paraId="2B77D3B3">
                  <w:pPr>
                    <w:pStyle w:val="97"/>
                    <w:spacing w:before="97" w:line="221" w:lineRule="auto"/>
                    <w:ind w:left="931"/>
                    <w:rPr>
                      <w:color w:val="auto"/>
                      <w:sz w:val="21"/>
                      <w:szCs w:val="21"/>
                    </w:rPr>
                  </w:pPr>
                  <w:r>
                    <w:rPr>
                      <w:color w:val="auto"/>
                      <w:spacing w:val="-3"/>
                      <w:sz w:val="21"/>
                      <w:szCs w:val="21"/>
                    </w:rPr>
                    <w:t>水洗槽</w:t>
                  </w:r>
                </w:p>
              </w:tc>
              <w:tc>
                <w:tcPr>
                  <w:tcW w:w="1368" w:type="pct"/>
                  <w:vAlign w:val="top"/>
                </w:tcPr>
                <w:p w14:paraId="19E4DC19">
                  <w:pPr>
                    <w:spacing w:before="130" w:line="23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EF3C3AF">
                  <w:pPr>
                    <w:spacing w:before="134"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5E59352">
                  <w:pPr>
                    <w:spacing w:before="134"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45E9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148AA272">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2" w:type="pct"/>
                  <w:vAlign w:val="top"/>
                </w:tcPr>
                <w:p w14:paraId="72AC4BE8">
                  <w:pPr>
                    <w:pStyle w:val="97"/>
                    <w:spacing w:before="99" w:line="221" w:lineRule="auto"/>
                    <w:ind w:left="932"/>
                    <w:rPr>
                      <w:color w:val="auto"/>
                      <w:sz w:val="21"/>
                      <w:szCs w:val="21"/>
                    </w:rPr>
                  </w:pPr>
                  <w:r>
                    <w:rPr>
                      <w:color w:val="auto"/>
                      <w:spacing w:val="-3"/>
                      <w:sz w:val="21"/>
                      <w:szCs w:val="21"/>
                    </w:rPr>
                    <w:t>活化槽</w:t>
                  </w:r>
                </w:p>
              </w:tc>
              <w:tc>
                <w:tcPr>
                  <w:tcW w:w="1368" w:type="pct"/>
                  <w:vAlign w:val="top"/>
                </w:tcPr>
                <w:p w14:paraId="59615DFA">
                  <w:pPr>
                    <w:spacing w:before="132" w:line="230"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300D945">
                  <w:pPr>
                    <w:spacing w:before="13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0BED116">
                  <w:pPr>
                    <w:spacing w:before="135"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7CF8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7F8EB31A">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2" w:type="pct"/>
                  <w:vAlign w:val="top"/>
                </w:tcPr>
                <w:p w14:paraId="2967AB26">
                  <w:pPr>
                    <w:pStyle w:val="97"/>
                    <w:spacing w:before="99" w:line="221" w:lineRule="auto"/>
                    <w:ind w:left="931"/>
                    <w:rPr>
                      <w:color w:val="auto"/>
                      <w:sz w:val="21"/>
                      <w:szCs w:val="21"/>
                    </w:rPr>
                  </w:pPr>
                  <w:r>
                    <w:rPr>
                      <w:color w:val="auto"/>
                      <w:spacing w:val="-3"/>
                      <w:sz w:val="21"/>
                      <w:szCs w:val="21"/>
                    </w:rPr>
                    <w:t>水洗槽</w:t>
                  </w:r>
                </w:p>
              </w:tc>
              <w:tc>
                <w:tcPr>
                  <w:tcW w:w="1368" w:type="pct"/>
                  <w:vAlign w:val="top"/>
                </w:tcPr>
                <w:p w14:paraId="51B0C983">
                  <w:pPr>
                    <w:spacing w:before="132" w:line="229"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330D4DB6">
                  <w:pPr>
                    <w:spacing w:before="136"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14931BB">
                  <w:pPr>
                    <w:spacing w:before="136"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017F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BB4699E">
                  <w:pPr>
                    <w:spacing w:before="130"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w:t>
                  </w:r>
                </w:p>
              </w:tc>
              <w:tc>
                <w:tcPr>
                  <w:tcW w:w="1452" w:type="pct"/>
                  <w:vAlign w:val="top"/>
                </w:tcPr>
                <w:p w14:paraId="67BFFA10">
                  <w:pPr>
                    <w:pStyle w:val="97"/>
                    <w:spacing w:before="101" w:line="220" w:lineRule="auto"/>
                    <w:ind w:left="850"/>
                    <w:rPr>
                      <w:color w:val="auto"/>
                      <w:sz w:val="21"/>
                      <w:szCs w:val="21"/>
                    </w:rPr>
                  </w:pPr>
                  <w:r>
                    <w:rPr>
                      <w:color w:val="auto"/>
                      <w:spacing w:val="-8"/>
                      <w:sz w:val="21"/>
                      <w:szCs w:val="21"/>
                    </w:rPr>
                    <w:t>电镀铜槽</w:t>
                  </w:r>
                </w:p>
              </w:tc>
              <w:tc>
                <w:tcPr>
                  <w:tcW w:w="1368" w:type="pct"/>
                  <w:vAlign w:val="top"/>
                </w:tcPr>
                <w:p w14:paraId="049B668C">
                  <w:pPr>
                    <w:spacing w:before="133" w:line="228"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2DCB4FF9">
                  <w:pPr>
                    <w:spacing w:before="137"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4F8AD31B">
                  <w:pPr>
                    <w:spacing w:before="137" w:line="187"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w:t>
                  </w:r>
                </w:p>
              </w:tc>
            </w:tr>
            <w:tr w14:paraId="11D8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3AFD7D9F">
                  <w:pPr>
                    <w:spacing w:before="131"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452" w:type="pct"/>
                  <w:vAlign w:val="top"/>
                </w:tcPr>
                <w:p w14:paraId="0AE425C1">
                  <w:pPr>
                    <w:pStyle w:val="97"/>
                    <w:spacing w:before="101" w:line="221" w:lineRule="auto"/>
                    <w:ind w:left="950"/>
                    <w:rPr>
                      <w:color w:val="auto"/>
                      <w:sz w:val="21"/>
                      <w:szCs w:val="21"/>
                    </w:rPr>
                  </w:pPr>
                  <w:r>
                    <w:rPr>
                      <w:color w:val="auto"/>
                      <w:spacing w:val="-9"/>
                      <w:sz w:val="21"/>
                      <w:szCs w:val="21"/>
                    </w:rPr>
                    <w:t>回收槽</w:t>
                  </w:r>
                </w:p>
              </w:tc>
              <w:tc>
                <w:tcPr>
                  <w:tcW w:w="1368" w:type="pct"/>
                  <w:vAlign w:val="top"/>
                </w:tcPr>
                <w:p w14:paraId="352E71D6">
                  <w:pPr>
                    <w:spacing w:before="134"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565452C">
                  <w:pPr>
                    <w:spacing w:before="138"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165E3B6">
                  <w:pPr>
                    <w:spacing w:before="138"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165D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2280A14">
                  <w:pPr>
                    <w:spacing w:before="131"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452" w:type="pct"/>
                  <w:vAlign w:val="top"/>
                </w:tcPr>
                <w:p w14:paraId="28D88410">
                  <w:pPr>
                    <w:pStyle w:val="97"/>
                    <w:spacing w:before="102" w:line="221" w:lineRule="auto"/>
                    <w:ind w:left="931"/>
                    <w:rPr>
                      <w:color w:val="auto"/>
                      <w:sz w:val="21"/>
                      <w:szCs w:val="21"/>
                    </w:rPr>
                  </w:pPr>
                  <w:r>
                    <w:rPr>
                      <w:color w:val="auto"/>
                      <w:spacing w:val="-3"/>
                      <w:sz w:val="21"/>
                      <w:szCs w:val="21"/>
                    </w:rPr>
                    <w:t>水洗槽</w:t>
                  </w:r>
                </w:p>
              </w:tc>
              <w:tc>
                <w:tcPr>
                  <w:tcW w:w="1368" w:type="pct"/>
                  <w:vAlign w:val="top"/>
                </w:tcPr>
                <w:p w14:paraId="581E4367">
                  <w:pPr>
                    <w:spacing w:before="134"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6C3307EF">
                  <w:pPr>
                    <w:spacing w:before="138"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86779F0">
                  <w:pPr>
                    <w:spacing w:before="138"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4D0C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3AB63A14">
                  <w:pPr>
                    <w:spacing w:before="132"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21</w:t>
                  </w:r>
                </w:p>
              </w:tc>
              <w:tc>
                <w:tcPr>
                  <w:tcW w:w="1452" w:type="pct"/>
                  <w:vAlign w:val="top"/>
                </w:tcPr>
                <w:p w14:paraId="1688A4D7">
                  <w:pPr>
                    <w:pStyle w:val="97"/>
                    <w:spacing w:before="103" w:line="221" w:lineRule="auto"/>
                    <w:ind w:left="932"/>
                    <w:rPr>
                      <w:color w:val="auto"/>
                      <w:sz w:val="21"/>
                      <w:szCs w:val="21"/>
                    </w:rPr>
                  </w:pPr>
                  <w:r>
                    <w:rPr>
                      <w:color w:val="auto"/>
                      <w:spacing w:val="-3"/>
                      <w:sz w:val="21"/>
                      <w:szCs w:val="21"/>
                    </w:rPr>
                    <w:t>活化槽</w:t>
                  </w:r>
                </w:p>
              </w:tc>
              <w:tc>
                <w:tcPr>
                  <w:tcW w:w="1368" w:type="pct"/>
                  <w:vAlign w:val="top"/>
                </w:tcPr>
                <w:p w14:paraId="1FCF0474">
                  <w:pPr>
                    <w:spacing w:before="135"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49024993">
                  <w:pPr>
                    <w:spacing w:before="14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DFA9B9E">
                  <w:pPr>
                    <w:spacing w:before="139"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6705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67AF2CE">
                  <w:pPr>
                    <w:spacing w:before="136"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22</w:t>
                  </w:r>
                </w:p>
              </w:tc>
              <w:tc>
                <w:tcPr>
                  <w:tcW w:w="1452" w:type="pct"/>
                  <w:vAlign w:val="top"/>
                </w:tcPr>
                <w:p w14:paraId="77AC1335">
                  <w:pPr>
                    <w:pStyle w:val="97"/>
                    <w:spacing w:before="106" w:line="221" w:lineRule="auto"/>
                    <w:ind w:left="931"/>
                    <w:rPr>
                      <w:color w:val="auto"/>
                      <w:sz w:val="21"/>
                      <w:szCs w:val="21"/>
                    </w:rPr>
                  </w:pPr>
                  <w:r>
                    <w:rPr>
                      <w:color w:val="auto"/>
                      <w:spacing w:val="-3"/>
                      <w:sz w:val="21"/>
                      <w:szCs w:val="21"/>
                    </w:rPr>
                    <w:t>水洗槽</w:t>
                  </w:r>
                </w:p>
              </w:tc>
              <w:tc>
                <w:tcPr>
                  <w:tcW w:w="1368" w:type="pct"/>
                  <w:vAlign w:val="top"/>
                </w:tcPr>
                <w:p w14:paraId="0FD4B5F5">
                  <w:pPr>
                    <w:spacing w:before="13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177AF57A">
                  <w:pPr>
                    <w:spacing w:before="143"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3222308D">
                  <w:pPr>
                    <w:spacing w:before="143" w:line="187" w:lineRule="auto"/>
                    <w:ind w:left="59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r>
            <w:tr w14:paraId="0F16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0D218DC">
                  <w:pPr>
                    <w:spacing w:before="137"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23</w:t>
                  </w:r>
                </w:p>
              </w:tc>
              <w:tc>
                <w:tcPr>
                  <w:tcW w:w="1452" w:type="pct"/>
                  <w:vAlign w:val="top"/>
                </w:tcPr>
                <w:p w14:paraId="1DEC21D4">
                  <w:pPr>
                    <w:pStyle w:val="97"/>
                    <w:spacing w:before="105" w:line="220" w:lineRule="auto"/>
                    <w:ind w:left="639"/>
                    <w:rPr>
                      <w:color w:val="auto"/>
                      <w:sz w:val="21"/>
                      <w:szCs w:val="21"/>
                    </w:rPr>
                  </w:pPr>
                  <w:r>
                    <w:rPr>
                      <w:color w:val="auto"/>
                      <w:spacing w:val="-5"/>
                      <w:sz w:val="21"/>
                      <w:szCs w:val="21"/>
                    </w:rPr>
                    <w:t>电镀半亮镍槽</w:t>
                  </w:r>
                </w:p>
              </w:tc>
              <w:tc>
                <w:tcPr>
                  <w:tcW w:w="1368" w:type="pct"/>
                  <w:vAlign w:val="top"/>
                </w:tcPr>
                <w:p w14:paraId="5590CA2C">
                  <w:pPr>
                    <w:spacing w:before="138" w:line="22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70E0DB61">
                  <w:pPr>
                    <w:spacing w:before="141"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6F2FCF2D">
                  <w:pPr>
                    <w:spacing w:before="141" w:line="187"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w:t>
                  </w:r>
                </w:p>
              </w:tc>
            </w:tr>
            <w:tr w14:paraId="3709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22" w:type="pct"/>
                  <w:vAlign w:val="top"/>
                </w:tcPr>
                <w:p w14:paraId="52050238">
                  <w:pPr>
                    <w:spacing w:before="138"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c>
                <w:tcPr>
                  <w:tcW w:w="1452" w:type="pct"/>
                  <w:vAlign w:val="top"/>
                </w:tcPr>
                <w:p w14:paraId="77167E8E">
                  <w:pPr>
                    <w:pStyle w:val="97"/>
                    <w:spacing w:before="106" w:line="221" w:lineRule="auto"/>
                    <w:ind w:left="950"/>
                    <w:rPr>
                      <w:color w:val="auto"/>
                      <w:sz w:val="21"/>
                      <w:szCs w:val="21"/>
                    </w:rPr>
                  </w:pPr>
                  <w:r>
                    <w:rPr>
                      <w:color w:val="auto"/>
                      <w:spacing w:val="-9"/>
                      <w:sz w:val="21"/>
                      <w:szCs w:val="21"/>
                    </w:rPr>
                    <w:t>回收槽</w:t>
                  </w:r>
                </w:p>
              </w:tc>
              <w:tc>
                <w:tcPr>
                  <w:tcW w:w="1368" w:type="pct"/>
                  <w:vAlign w:val="top"/>
                </w:tcPr>
                <w:p w14:paraId="75108F17">
                  <w:pPr>
                    <w:spacing w:before="13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DBB235D">
                  <w:pPr>
                    <w:spacing w:before="14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5A03E919">
                  <w:pPr>
                    <w:spacing w:before="143"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0E23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22" w:type="pct"/>
                  <w:vAlign w:val="top"/>
                </w:tcPr>
                <w:p w14:paraId="5F0D9280">
                  <w:pPr>
                    <w:spacing w:before="138" w:line="187" w:lineRule="auto"/>
                    <w:ind w:left="3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25</w:t>
                  </w:r>
                </w:p>
              </w:tc>
              <w:tc>
                <w:tcPr>
                  <w:tcW w:w="1452" w:type="pct"/>
                  <w:vAlign w:val="top"/>
                </w:tcPr>
                <w:p w14:paraId="68BA30E8">
                  <w:pPr>
                    <w:pStyle w:val="97"/>
                    <w:spacing w:before="107" w:line="220" w:lineRule="auto"/>
                    <w:ind w:left="745"/>
                    <w:rPr>
                      <w:color w:val="auto"/>
                      <w:sz w:val="21"/>
                      <w:szCs w:val="21"/>
                    </w:rPr>
                  </w:pPr>
                  <w:r>
                    <w:rPr>
                      <w:color w:val="auto"/>
                      <w:spacing w:val="-6"/>
                      <w:sz w:val="21"/>
                      <w:szCs w:val="21"/>
                    </w:rPr>
                    <w:t>电镀亮镍槽</w:t>
                  </w:r>
                </w:p>
              </w:tc>
              <w:tc>
                <w:tcPr>
                  <w:tcW w:w="1368" w:type="pct"/>
                  <w:vAlign w:val="top"/>
                </w:tcPr>
                <w:p w14:paraId="79DE53D4">
                  <w:pPr>
                    <w:spacing w:before="140"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162*290*85cm</w:t>
                  </w:r>
                </w:p>
              </w:tc>
              <w:tc>
                <w:tcPr>
                  <w:tcW w:w="837" w:type="pct"/>
                  <w:vAlign w:val="top"/>
                </w:tcPr>
                <w:p w14:paraId="1916A935">
                  <w:pPr>
                    <w:spacing w:before="143"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57EA913E">
                  <w:pPr>
                    <w:spacing w:before="143" w:line="187"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w:t>
                  </w:r>
                </w:p>
              </w:tc>
            </w:tr>
            <w:tr w14:paraId="3699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522" w:type="pct"/>
                  <w:shd w:val="clear" w:color="auto" w:fill="auto"/>
                  <w:vAlign w:val="top"/>
                </w:tcPr>
                <w:p w14:paraId="01C98E98">
                  <w:pPr>
                    <w:spacing w:before="118"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26</w:t>
                  </w:r>
                </w:p>
              </w:tc>
              <w:tc>
                <w:tcPr>
                  <w:tcW w:w="1452" w:type="pct"/>
                  <w:shd w:val="clear" w:color="auto" w:fill="auto"/>
                  <w:vAlign w:val="top"/>
                </w:tcPr>
                <w:p w14:paraId="30517543">
                  <w:pPr>
                    <w:pStyle w:val="97"/>
                    <w:spacing w:before="86"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1368" w:type="pct"/>
                  <w:shd w:val="clear" w:color="auto" w:fill="auto"/>
                  <w:vAlign w:val="top"/>
                </w:tcPr>
                <w:p w14:paraId="049CC9D9">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837" w:type="pct"/>
                  <w:shd w:val="clear" w:color="auto" w:fill="auto"/>
                  <w:vAlign w:val="top"/>
                </w:tcPr>
                <w:p w14:paraId="7DA905DD">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819" w:type="pct"/>
                  <w:shd w:val="clear" w:color="auto" w:fill="auto"/>
                  <w:vAlign w:val="top"/>
                </w:tcPr>
                <w:p w14:paraId="273CEAF9">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r w14:paraId="2640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34F3A371">
                  <w:pPr>
                    <w:spacing w:before="111"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27</w:t>
                  </w:r>
                </w:p>
              </w:tc>
              <w:tc>
                <w:tcPr>
                  <w:tcW w:w="2695" w:type="dxa"/>
                  <w:shd w:val="clear" w:color="auto" w:fill="auto"/>
                  <w:vAlign w:val="top"/>
                </w:tcPr>
                <w:p w14:paraId="602A17D6">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7BE5C378">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B4C3603">
                  <w:pPr>
                    <w:spacing w:before="119" w:line="187" w:lineRule="auto"/>
                    <w:ind w:left="66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520" w:type="dxa"/>
                  <w:shd w:val="clear" w:color="auto" w:fill="auto"/>
                  <w:vAlign w:val="top"/>
                </w:tcPr>
                <w:p w14:paraId="46712B43">
                  <w:pPr>
                    <w:spacing w:before="119" w:line="187" w:lineRule="auto"/>
                    <w:ind w:left="5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r>
            <w:tr w14:paraId="7682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52E1EC1D">
                  <w:pPr>
                    <w:spacing w:before="112"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28</w:t>
                  </w:r>
                </w:p>
              </w:tc>
              <w:tc>
                <w:tcPr>
                  <w:tcW w:w="2695" w:type="dxa"/>
                  <w:shd w:val="clear" w:color="auto" w:fill="auto"/>
                  <w:vAlign w:val="top"/>
                </w:tcPr>
                <w:p w14:paraId="727B71F4">
                  <w:pPr>
                    <w:pStyle w:val="97"/>
                    <w:spacing w:before="82"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2539" w:type="dxa"/>
                  <w:shd w:val="clear" w:color="auto" w:fill="auto"/>
                  <w:vAlign w:val="top"/>
                </w:tcPr>
                <w:p w14:paraId="1EF6DEE9">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1723AB5E">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3ADEF3E">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r w14:paraId="17AF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772F6777">
                  <w:pPr>
                    <w:spacing w:before="112"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29</w:t>
                  </w:r>
                </w:p>
              </w:tc>
              <w:tc>
                <w:tcPr>
                  <w:tcW w:w="2695" w:type="dxa"/>
                  <w:shd w:val="clear" w:color="auto" w:fill="auto"/>
                  <w:vAlign w:val="top"/>
                </w:tcPr>
                <w:p w14:paraId="1F732165">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14ACEE19">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28866B50">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2C27E7C5">
                  <w:pPr>
                    <w:spacing w:before="119"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r>
            <w:tr w14:paraId="17D1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3883BA65">
                  <w:pPr>
                    <w:spacing w:before="113"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c>
                <w:tcPr>
                  <w:tcW w:w="2695" w:type="dxa"/>
                  <w:shd w:val="clear" w:color="auto" w:fill="auto"/>
                  <w:vAlign w:val="top"/>
                </w:tcPr>
                <w:p w14:paraId="44D74813">
                  <w:pPr>
                    <w:pStyle w:val="97"/>
                    <w:spacing w:before="84" w:line="220" w:lineRule="auto"/>
                    <w:ind w:left="722" w:leftChars="0"/>
                    <w:rPr>
                      <w:rFonts w:ascii="宋体" w:hAnsi="宋体" w:eastAsia="宋体" w:cs="宋体"/>
                      <w:color w:val="auto"/>
                      <w:kern w:val="2"/>
                      <w:sz w:val="21"/>
                      <w:szCs w:val="21"/>
                      <w:lang w:val="en-US" w:eastAsia="en-US" w:bidi="ar-SA"/>
                    </w:rPr>
                  </w:pPr>
                  <w:r>
                    <w:rPr>
                      <w:color w:val="auto"/>
                      <w:spacing w:val="-1"/>
                      <w:sz w:val="21"/>
                      <w:szCs w:val="21"/>
                    </w:rPr>
                    <w:t>化学镀镍槽</w:t>
                  </w:r>
                </w:p>
              </w:tc>
              <w:tc>
                <w:tcPr>
                  <w:tcW w:w="2539" w:type="dxa"/>
                  <w:shd w:val="clear" w:color="auto" w:fill="auto"/>
                  <w:vAlign w:val="top"/>
                </w:tcPr>
                <w:p w14:paraId="7B2BD3B6">
                  <w:pPr>
                    <w:spacing w:before="117" w:line="233"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162*290*85cm</w:t>
                  </w:r>
                </w:p>
              </w:tc>
              <w:tc>
                <w:tcPr>
                  <w:tcW w:w="1553" w:type="dxa"/>
                  <w:shd w:val="clear" w:color="auto" w:fill="auto"/>
                  <w:vAlign w:val="top"/>
                </w:tcPr>
                <w:p w14:paraId="6957CF39">
                  <w:pPr>
                    <w:spacing w:before="120" w:line="187" w:lineRule="auto"/>
                    <w:ind w:left="66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520" w:type="dxa"/>
                  <w:shd w:val="clear" w:color="auto" w:fill="auto"/>
                  <w:vAlign w:val="top"/>
                </w:tcPr>
                <w:p w14:paraId="366F0B45">
                  <w:pPr>
                    <w:spacing w:before="120" w:line="187" w:lineRule="auto"/>
                    <w:ind w:left="5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30</w:t>
                  </w:r>
                </w:p>
              </w:tc>
            </w:tr>
            <w:tr w14:paraId="727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3822E7A">
                  <w:pPr>
                    <w:spacing w:before="113"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31</w:t>
                  </w:r>
                </w:p>
              </w:tc>
              <w:tc>
                <w:tcPr>
                  <w:tcW w:w="2695" w:type="dxa"/>
                  <w:shd w:val="clear" w:color="auto" w:fill="auto"/>
                  <w:vAlign w:val="top"/>
                </w:tcPr>
                <w:p w14:paraId="4F17EBE7">
                  <w:pPr>
                    <w:pStyle w:val="97"/>
                    <w:spacing w:before="84"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16DE0E74">
                  <w:pPr>
                    <w:spacing w:before="116"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017933A7">
                  <w:pPr>
                    <w:spacing w:before="121"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19BE0E32">
                  <w:pPr>
                    <w:spacing w:before="120"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r w14:paraId="0A53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1B881E1B">
                  <w:pPr>
                    <w:spacing w:before="114"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32</w:t>
                  </w:r>
                </w:p>
              </w:tc>
              <w:tc>
                <w:tcPr>
                  <w:tcW w:w="2695" w:type="dxa"/>
                  <w:shd w:val="clear" w:color="auto" w:fill="auto"/>
                  <w:vAlign w:val="top"/>
                </w:tcPr>
                <w:p w14:paraId="49CCC0C0">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13233B9E">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6297939C">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4BD2EB37">
                  <w:pPr>
                    <w:spacing w:before="122"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r>
            <w:tr w14:paraId="2C39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3D424B14">
                  <w:pPr>
                    <w:spacing w:before="115"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33</w:t>
                  </w:r>
                </w:p>
              </w:tc>
              <w:tc>
                <w:tcPr>
                  <w:tcW w:w="2695" w:type="dxa"/>
                  <w:shd w:val="clear" w:color="auto" w:fill="auto"/>
                  <w:vAlign w:val="top"/>
                </w:tcPr>
                <w:p w14:paraId="18D51D04">
                  <w:pPr>
                    <w:pStyle w:val="97"/>
                    <w:spacing w:before="85" w:line="221" w:lineRule="auto"/>
                    <w:ind w:left="933" w:leftChars="0"/>
                    <w:rPr>
                      <w:rFonts w:ascii="宋体" w:hAnsi="宋体" w:eastAsia="宋体" w:cs="宋体"/>
                      <w:color w:val="auto"/>
                      <w:kern w:val="2"/>
                      <w:sz w:val="21"/>
                      <w:szCs w:val="21"/>
                      <w:lang w:val="en-US" w:eastAsia="en-US" w:bidi="ar-SA"/>
                    </w:rPr>
                  </w:pPr>
                  <w:r>
                    <w:rPr>
                      <w:color w:val="auto"/>
                      <w:spacing w:val="-3"/>
                      <w:sz w:val="21"/>
                      <w:szCs w:val="21"/>
                    </w:rPr>
                    <w:t>活化槽</w:t>
                  </w:r>
                </w:p>
              </w:tc>
              <w:tc>
                <w:tcPr>
                  <w:tcW w:w="2539" w:type="dxa"/>
                  <w:shd w:val="clear" w:color="auto" w:fill="auto"/>
                  <w:vAlign w:val="top"/>
                </w:tcPr>
                <w:p w14:paraId="509C48F7">
                  <w:pPr>
                    <w:spacing w:before="118"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40D4DCAB">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0CEE6F79">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r w14:paraId="1DB2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335EAA14">
                  <w:pPr>
                    <w:spacing w:before="118"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34</w:t>
                  </w:r>
                </w:p>
              </w:tc>
              <w:tc>
                <w:tcPr>
                  <w:tcW w:w="2695" w:type="dxa"/>
                  <w:shd w:val="clear" w:color="auto" w:fill="auto"/>
                  <w:vAlign w:val="top"/>
                </w:tcPr>
                <w:p w14:paraId="31D9FDE1">
                  <w:pPr>
                    <w:pStyle w:val="97"/>
                    <w:spacing w:before="88"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41B003BC">
                  <w:pPr>
                    <w:spacing w:before="121"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9749471">
                  <w:pPr>
                    <w:spacing w:before="125"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7573196">
                  <w:pPr>
                    <w:spacing w:before="125"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r>
            <w:tr w14:paraId="131D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969" w:type="dxa"/>
                  <w:shd w:val="clear" w:color="auto" w:fill="auto"/>
                  <w:vAlign w:val="top"/>
                </w:tcPr>
                <w:p w14:paraId="6C5B1A2B">
                  <w:pPr>
                    <w:spacing w:before="119" w:line="187" w:lineRule="auto"/>
                    <w:ind w:left="34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35</w:t>
                  </w:r>
                </w:p>
              </w:tc>
              <w:tc>
                <w:tcPr>
                  <w:tcW w:w="2695" w:type="dxa"/>
                  <w:shd w:val="clear" w:color="auto" w:fill="auto"/>
                  <w:vAlign w:val="top"/>
                </w:tcPr>
                <w:p w14:paraId="2E9AA914">
                  <w:pPr>
                    <w:pStyle w:val="97"/>
                    <w:spacing w:before="87"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3B64E5A4">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73647EEE">
                  <w:pPr>
                    <w:spacing w:before="124"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8461939">
                  <w:pPr>
                    <w:spacing w:before="123"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r>
          </w:tbl>
          <w:p w14:paraId="3ECFE9E1">
            <w:pPr>
              <w:spacing w:before="82" w:line="220" w:lineRule="auto"/>
              <w:ind w:left="3259"/>
              <w:rPr>
                <w:rFonts w:ascii="宋体" w:hAnsi="宋体" w:eastAsia="宋体" w:cs="宋体"/>
                <w:color w:val="auto"/>
                <w:sz w:val="21"/>
                <w:szCs w:val="21"/>
              </w:rPr>
            </w:pPr>
            <w:r>
              <w:rPr>
                <w:rFonts w:ascii="宋体" w:hAnsi="宋体" w:eastAsia="宋体" w:cs="宋体"/>
                <w:b/>
                <w:bCs/>
                <w:color w:val="auto"/>
                <w:spacing w:val="-2"/>
                <w:sz w:val="21"/>
                <w:szCs w:val="21"/>
              </w:rPr>
              <w:t>七、挂镀锌线（</w:t>
            </w:r>
            <w:r>
              <w:rPr>
                <w:rFonts w:ascii="Times New Roman" w:hAnsi="Times New Roman" w:eastAsia="Times New Roman" w:cs="Times New Roman"/>
                <w:b/>
                <w:bCs/>
                <w:color w:val="auto"/>
                <w:spacing w:val="-2"/>
                <w:sz w:val="21"/>
                <w:szCs w:val="21"/>
              </w:rPr>
              <w:t>5</w:t>
            </w:r>
            <w:r>
              <w:rPr>
                <w:rFonts w:ascii="宋体" w:hAnsi="宋体" w:eastAsia="宋体" w:cs="宋体"/>
                <w:b/>
                <w:bCs/>
                <w:color w:val="auto"/>
                <w:spacing w:val="-2"/>
                <w:sz w:val="21"/>
                <w:szCs w:val="21"/>
              </w:rPr>
              <w:t>条）</w:t>
            </w:r>
          </w:p>
          <w:p w14:paraId="76CE842A">
            <w:pPr>
              <w:spacing w:line="36" w:lineRule="exact"/>
              <w:rPr>
                <w:color w:val="auto"/>
              </w:rPr>
            </w:pPr>
          </w:p>
          <w:tbl>
            <w:tblPr>
              <w:tblStyle w:val="7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57AC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4" w:type="pct"/>
                  <w:vAlign w:val="top"/>
                </w:tcPr>
                <w:p w14:paraId="6C1BA59F">
                  <w:pPr>
                    <w:spacing w:before="118"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48D59C0B">
                  <w:pPr>
                    <w:pStyle w:val="97"/>
                    <w:spacing w:before="86" w:line="221" w:lineRule="auto"/>
                    <w:ind w:left="614"/>
                    <w:rPr>
                      <w:color w:val="auto"/>
                      <w:sz w:val="21"/>
                      <w:szCs w:val="21"/>
                    </w:rPr>
                  </w:pPr>
                  <w:r>
                    <w:rPr>
                      <w:color w:val="auto"/>
                      <w:spacing w:val="-1"/>
                      <w:sz w:val="21"/>
                      <w:szCs w:val="21"/>
                    </w:rPr>
                    <w:t>超声波除油槽</w:t>
                  </w:r>
                </w:p>
              </w:tc>
              <w:tc>
                <w:tcPr>
                  <w:tcW w:w="1370" w:type="pct"/>
                  <w:vAlign w:val="top"/>
                </w:tcPr>
                <w:p w14:paraId="2EA64FC5">
                  <w:pPr>
                    <w:spacing w:before="119"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8" w:type="pct"/>
                  <w:vAlign w:val="top"/>
                </w:tcPr>
                <w:p w14:paraId="1B404416">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4A2E9FA">
                  <w:pPr>
                    <w:spacing w:before="126"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7860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EA178C4">
                  <w:pPr>
                    <w:spacing w:before="113"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07DD8721">
                  <w:pPr>
                    <w:pStyle w:val="97"/>
                    <w:spacing w:before="81" w:line="221" w:lineRule="auto"/>
                    <w:ind w:left="932"/>
                    <w:rPr>
                      <w:color w:val="auto"/>
                      <w:sz w:val="21"/>
                      <w:szCs w:val="21"/>
                    </w:rPr>
                  </w:pPr>
                  <w:r>
                    <w:rPr>
                      <w:color w:val="auto"/>
                      <w:spacing w:val="-3"/>
                      <w:sz w:val="21"/>
                      <w:szCs w:val="21"/>
                    </w:rPr>
                    <w:t>水洗槽</w:t>
                  </w:r>
                </w:p>
              </w:tc>
              <w:tc>
                <w:tcPr>
                  <w:tcW w:w="1370" w:type="pct"/>
                  <w:vAlign w:val="top"/>
                </w:tcPr>
                <w:p w14:paraId="69CE4C98">
                  <w:pPr>
                    <w:spacing w:before="114"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5B1BCB19">
                  <w:pPr>
                    <w:spacing w:before="118"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33005BCF">
                  <w:pPr>
                    <w:spacing w:before="118"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6597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AFC9286">
                  <w:pPr>
                    <w:spacing w:before="111"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3F55FFC9">
                  <w:pPr>
                    <w:pStyle w:val="97"/>
                    <w:spacing w:before="82" w:line="221" w:lineRule="auto"/>
                    <w:ind w:left="930"/>
                    <w:rPr>
                      <w:color w:val="auto"/>
                      <w:sz w:val="21"/>
                      <w:szCs w:val="21"/>
                    </w:rPr>
                  </w:pPr>
                  <w:r>
                    <w:rPr>
                      <w:color w:val="auto"/>
                      <w:spacing w:val="-2"/>
                      <w:sz w:val="21"/>
                      <w:szCs w:val="21"/>
                    </w:rPr>
                    <w:t>酸洗槽</w:t>
                  </w:r>
                </w:p>
              </w:tc>
              <w:tc>
                <w:tcPr>
                  <w:tcW w:w="1370" w:type="pct"/>
                  <w:vAlign w:val="top"/>
                </w:tcPr>
                <w:p w14:paraId="16035AE9">
                  <w:pPr>
                    <w:spacing w:before="114"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746D2010">
                  <w:pPr>
                    <w:spacing w:before="118"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B144E04">
                  <w:pPr>
                    <w:spacing w:before="121"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3642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EE8A00D">
                  <w:pPr>
                    <w:spacing w:before="111"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59693FBA">
                  <w:pPr>
                    <w:pStyle w:val="97"/>
                    <w:spacing w:before="82" w:line="221" w:lineRule="auto"/>
                    <w:ind w:left="932"/>
                    <w:rPr>
                      <w:color w:val="auto"/>
                      <w:sz w:val="21"/>
                      <w:szCs w:val="21"/>
                    </w:rPr>
                  </w:pPr>
                  <w:r>
                    <w:rPr>
                      <w:color w:val="auto"/>
                      <w:spacing w:val="-2"/>
                      <w:sz w:val="21"/>
                      <w:szCs w:val="21"/>
                    </w:rPr>
                    <w:t>水洗槽</w:t>
                  </w:r>
                </w:p>
              </w:tc>
              <w:tc>
                <w:tcPr>
                  <w:tcW w:w="1370" w:type="pct"/>
                  <w:vAlign w:val="top"/>
                </w:tcPr>
                <w:p w14:paraId="50365FD1">
                  <w:pPr>
                    <w:spacing w:before="115"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5562A424">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52AD621D">
                  <w:pPr>
                    <w:spacing w:before="118"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603C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2B83D8EC">
                  <w:pPr>
                    <w:spacing w:before="114"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1BB16ABD">
                  <w:pPr>
                    <w:pStyle w:val="97"/>
                    <w:spacing w:before="82" w:line="221" w:lineRule="auto"/>
                    <w:ind w:left="614"/>
                    <w:rPr>
                      <w:color w:val="auto"/>
                      <w:sz w:val="21"/>
                      <w:szCs w:val="21"/>
                    </w:rPr>
                  </w:pPr>
                  <w:r>
                    <w:rPr>
                      <w:color w:val="auto"/>
                      <w:spacing w:val="-1"/>
                      <w:sz w:val="21"/>
                      <w:szCs w:val="21"/>
                    </w:rPr>
                    <w:t>超声波去灰槽</w:t>
                  </w:r>
                </w:p>
              </w:tc>
              <w:tc>
                <w:tcPr>
                  <w:tcW w:w="1370" w:type="pct"/>
                  <w:vAlign w:val="top"/>
                </w:tcPr>
                <w:p w14:paraId="4858F202">
                  <w:pPr>
                    <w:spacing w:before="115"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8" w:type="pct"/>
                  <w:vAlign w:val="top"/>
                </w:tcPr>
                <w:p w14:paraId="03B450F0">
                  <w:pPr>
                    <w:spacing w:before="119"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572BB2EE">
                  <w:pPr>
                    <w:spacing w:before="122"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5ADD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B32A0CB">
                  <w:pPr>
                    <w:spacing w:before="112"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3D4A0ABF">
                  <w:pPr>
                    <w:pStyle w:val="97"/>
                    <w:spacing w:before="82" w:line="221" w:lineRule="auto"/>
                    <w:ind w:left="930"/>
                    <w:rPr>
                      <w:color w:val="auto"/>
                      <w:sz w:val="21"/>
                      <w:szCs w:val="21"/>
                    </w:rPr>
                  </w:pPr>
                  <w:r>
                    <w:rPr>
                      <w:color w:val="auto"/>
                      <w:spacing w:val="-2"/>
                      <w:sz w:val="21"/>
                      <w:szCs w:val="21"/>
                    </w:rPr>
                    <w:t>酸洗槽</w:t>
                  </w:r>
                </w:p>
              </w:tc>
              <w:tc>
                <w:tcPr>
                  <w:tcW w:w="1370" w:type="pct"/>
                  <w:vAlign w:val="top"/>
                </w:tcPr>
                <w:p w14:paraId="04F2C7E0">
                  <w:pPr>
                    <w:spacing w:before="115"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4DA9BE19">
                  <w:pPr>
                    <w:spacing w:before="119"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7D600908">
                  <w:pPr>
                    <w:spacing w:before="122"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3BBF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31960BCD">
                  <w:pPr>
                    <w:spacing w:before="115" w:line="184"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4" w:type="pct"/>
                  <w:vAlign w:val="top"/>
                </w:tcPr>
                <w:p w14:paraId="0E74809F">
                  <w:pPr>
                    <w:pStyle w:val="97"/>
                    <w:spacing w:before="82" w:line="221" w:lineRule="auto"/>
                    <w:ind w:left="932"/>
                    <w:rPr>
                      <w:color w:val="auto"/>
                      <w:sz w:val="21"/>
                      <w:szCs w:val="21"/>
                    </w:rPr>
                  </w:pPr>
                  <w:r>
                    <w:rPr>
                      <w:color w:val="auto"/>
                      <w:spacing w:val="-3"/>
                      <w:sz w:val="21"/>
                      <w:szCs w:val="21"/>
                    </w:rPr>
                    <w:t>水洗槽</w:t>
                  </w:r>
                </w:p>
              </w:tc>
              <w:tc>
                <w:tcPr>
                  <w:tcW w:w="1370" w:type="pct"/>
                  <w:vAlign w:val="top"/>
                </w:tcPr>
                <w:p w14:paraId="0134F3A6">
                  <w:pPr>
                    <w:spacing w:before="115"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8" w:type="pct"/>
                  <w:vAlign w:val="top"/>
                </w:tcPr>
                <w:p w14:paraId="79C5F510">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0DEF50FB">
                  <w:pPr>
                    <w:spacing w:before="119"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3F9C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B7C9BB6">
                  <w:pPr>
                    <w:spacing w:before="112" w:line="187" w:lineRule="auto"/>
                    <w:ind w:left="39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4" w:type="pct"/>
                  <w:vAlign w:val="top"/>
                </w:tcPr>
                <w:p w14:paraId="663B91C7">
                  <w:pPr>
                    <w:pStyle w:val="97"/>
                    <w:spacing w:before="83" w:line="221" w:lineRule="auto"/>
                    <w:ind w:left="614"/>
                    <w:rPr>
                      <w:color w:val="auto"/>
                      <w:sz w:val="21"/>
                      <w:szCs w:val="21"/>
                    </w:rPr>
                  </w:pPr>
                  <w:r>
                    <w:rPr>
                      <w:color w:val="auto"/>
                      <w:spacing w:val="-1"/>
                      <w:sz w:val="21"/>
                      <w:szCs w:val="21"/>
                    </w:rPr>
                    <w:t>超声波去灰槽</w:t>
                  </w:r>
                </w:p>
              </w:tc>
              <w:tc>
                <w:tcPr>
                  <w:tcW w:w="1370" w:type="pct"/>
                  <w:vAlign w:val="top"/>
                </w:tcPr>
                <w:p w14:paraId="59FCD6BA">
                  <w:pPr>
                    <w:spacing w:before="116"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8" w:type="pct"/>
                  <w:vAlign w:val="top"/>
                </w:tcPr>
                <w:p w14:paraId="55A6E963">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380667B6">
                  <w:pPr>
                    <w:spacing w:before="123"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43FB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4" w:type="pct"/>
                  <w:vAlign w:val="top"/>
                </w:tcPr>
                <w:p w14:paraId="2604D98E">
                  <w:pPr>
                    <w:spacing w:before="113"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4" w:type="pct"/>
                  <w:vAlign w:val="top"/>
                </w:tcPr>
                <w:p w14:paraId="234651EA">
                  <w:pPr>
                    <w:pStyle w:val="97"/>
                    <w:spacing w:before="83" w:line="221" w:lineRule="auto"/>
                    <w:ind w:left="933"/>
                    <w:rPr>
                      <w:color w:val="auto"/>
                      <w:sz w:val="21"/>
                      <w:szCs w:val="21"/>
                    </w:rPr>
                  </w:pPr>
                  <w:r>
                    <w:rPr>
                      <w:color w:val="auto"/>
                      <w:spacing w:val="-3"/>
                      <w:sz w:val="21"/>
                      <w:szCs w:val="21"/>
                    </w:rPr>
                    <w:t>活化槽</w:t>
                  </w:r>
                </w:p>
              </w:tc>
              <w:tc>
                <w:tcPr>
                  <w:tcW w:w="1370" w:type="pct"/>
                  <w:vAlign w:val="top"/>
                </w:tcPr>
                <w:p w14:paraId="44F59295">
                  <w:pPr>
                    <w:spacing w:before="116"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16D176C8">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3EFC163C">
                  <w:pPr>
                    <w:spacing w:before="123"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5AD3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FB25D54">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4" w:type="pct"/>
                  <w:vAlign w:val="top"/>
                </w:tcPr>
                <w:p w14:paraId="78AA7B5A">
                  <w:pPr>
                    <w:pStyle w:val="97"/>
                    <w:spacing w:before="85" w:line="221" w:lineRule="auto"/>
                    <w:ind w:left="932"/>
                    <w:rPr>
                      <w:color w:val="auto"/>
                      <w:sz w:val="21"/>
                      <w:szCs w:val="21"/>
                    </w:rPr>
                  </w:pPr>
                  <w:r>
                    <w:rPr>
                      <w:color w:val="auto"/>
                      <w:spacing w:val="-3"/>
                      <w:sz w:val="21"/>
                      <w:szCs w:val="21"/>
                    </w:rPr>
                    <w:t>水洗槽</w:t>
                  </w:r>
                </w:p>
              </w:tc>
              <w:tc>
                <w:tcPr>
                  <w:tcW w:w="1370" w:type="pct"/>
                  <w:vAlign w:val="top"/>
                </w:tcPr>
                <w:p w14:paraId="6CF05029">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2F0FD8F6">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163A327B">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2E21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EC4F007">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4" w:type="pct"/>
                  <w:vAlign w:val="top"/>
                </w:tcPr>
                <w:p w14:paraId="5DF5DABA">
                  <w:pPr>
                    <w:pStyle w:val="97"/>
                    <w:spacing w:before="84" w:line="220" w:lineRule="auto"/>
                    <w:ind w:left="929"/>
                    <w:rPr>
                      <w:color w:val="auto"/>
                      <w:sz w:val="21"/>
                      <w:szCs w:val="21"/>
                    </w:rPr>
                  </w:pPr>
                  <w:r>
                    <w:rPr>
                      <w:color w:val="auto"/>
                      <w:spacing w:val="-2"/>
                      <w:sz w:val="21"/>
                      <w:szCs w:val="21"/>
                    </w:rPr>
                    <w:t>镀锌槽</w:t>
                  </w:r>
                </w:p>
              </w:tc>
              <w:tc>
                <w:tcPr>
                  <w:tcW w:w="1370" w:type="pct"/>
                  <w:vAlign w:val="top"/>
                </w:tcPr>
                <w:p w14:paraId="113C68AB">
                  <w:pPr>
                    <w:spacing w:before="116"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162*180*85cm</w:t>
                  </w:r>
                </w:p>
              </w:tc>
              <w:tc>
                <w:tcPr>
                  <w:tcW w:w="838" w:type="pct"/>
                  <w:vAlign w:val="top"/>
                </w:tcPr>
                <w:p w14:paraId="66D86927">
                  <w:pPr>
                    <w:spacing w:before="120" w:line="187" w:lineRule="auto"/>
                    <w:ind w:left="6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21" w:type="pct"/>
                  <w:vAlign w:val="top"/>
                </w:tcPr>
                <w:p w14:paraId="2E2F8C89">
                  <w:pPr>
                    <w:spacing w:before="120"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r>
            <w:tr w14:paraId="252C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27EEFEE">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4" w:type="pct"/>
                  <w:vAlign w:val="top"/>
                </w:tcPr>
                <w:p w14:paraId="4079A5B5">
                  <w:pPr>
                    <w:pStyle w:val="97"/>
                    <w:spacing w:before="83" w:line="221" w:lineRule="auto"/>
                    <w:ind w:left="950"/>
                    <w:rPr>
                      <w:color w:val="auto"/>
                      <w:sz w:val="21"/>
                      <w:szCs w:val="21"/>
                    </w:rPr>
                  </w:pPr>
                  <w:r>
                    <w:rPr>
                      <w:color w:val="auto"/>
                      <w:spacing w:val="-9"/>
                      <w:sz w:val="21"/>
                      <w:szCs w:val="21"/>
                    </w:rPr>
                    <w:t>回收槽</w:t>
                  </w:r>
                </w:p>
              </w:tc>
              <w:tc>
                <w:tcPr>
                  <w:tcW w:w="1370" w:type="pct"/>
                  <w:vAlign w:val="top"/>
                </w:tcPr>
                <w:p w14:paraId="33D93002">
                  <w:pPr>
                    <w:spacing w:before="116"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1B826CBA">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4711F81F">
                  <w:pPr>
                    <w:spacing w:before="123"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770A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DD54972">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4" w:type="pct"/>
                  <w:vAlign w:val="top"/>
                </w:tcPr>
                <w:p w14:paraId="093BB6E2">
                  <w:pPr>
                    <w:pStyle w:val="97"/>
                    <w:spacing w:before="84" w:line="221" w:lineRule="auto"/>
                    <w:ind w:left="932"/>
                    <w:rPr>
                      <w:color w:val="auto"/>
                      <w:sz w:val="21"/>
                      <w:szCs w:val="21"/>
                    </w:rPr>
                  </w:pPr>
                  <w:r>
                    <w:rPr>
                      <w:color w:val="auto"/>
                      <w:spacing w:val="-3"/>
                      <w:sz w:val="21"/>
                      <w:szCs w:val="21"/>
                    </w:rPr>
                    <w:t>水洗槽</w:t>
                  </w:r>
                </w:p>
              </w:tc>
              <w:tc>
                <w:tcPr>
                  <w:tcW w:w="1370" w:type="pct"/>
                  <w:vAlign w:val="top"/>
                </w:tcPr>
                <w:p w14:paraId="43A53BC7">
                  <w:pPr>
                    <w:spacing w:before="116"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5FDBECA2">
                  <w:pPr>
                    <w:spacing w:before="12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1B14F388">
                  <w:pPr>
                    <w:spacing w:before="120"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1846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0C3BB05">
                  <w:pPr>
                    <w:spacing w:before="116"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4" w:type="pct"/>
                  <w:vAlign w:val="top"/>
                </w:tcPr>
                <w:p w14:paraId="28231C34">
                  <w:pPr>
                    <w:pStyle w:val="97"/>
                    <w:spacing w:before="84" w:line="221" w:lineRule="auto"/>
                    <w:ind w:left="933"/>
                    <w:rPr>
                      <w:color w:val="auto"/>
                      <w:sz w:val="21"/>
                      <w:szCs w:val="21"/>
                    </w:rPr>
                  </w:pPr>
                  <w:r>
                    <w:rPr>
                      <w:color w:val="auto"/>
                      <w:spacing w:val="-2"/>
                      <w:sz w:val="21"/>
                      <w:szCs w:val="21"/>
                    </w:rPr>
                    <w:t>活化槽</w:t>
                  </w:r>
                </w:p>
              </w:tc>
              <w:tc>
                <w:tcPr>
                  <w:tcW w:w="1370" w:type="pct"/>
                  <w:vAlign w:val="top"/>
                </w:tcPr>
                <w:p w14:paraId="56D1634D">
                  <w:pPr>
                    <w:spacing w:before="117"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1783B14B">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0570688B">
                  <w:pPr>
                    <w:spacing w:before="123"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3E2C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CDDB4E8">
                  <w:pPr>
                    <w:spacing w:before="113"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4" w:type="pct"/>
                  <w:vAlign w:val="top"/>
                </w:tcPr>
                <w:p w14:paraId="1191EA19">
                  <w:pPr>
                    <w:pStyle w:val="97"/>
                    <w:spacing w:before="84" w:line="220" w:lineRule="auto"/>
                    <w:ind w:left="929"/>
                    <w:rPr>
                      <w:color w:val="auto"/>
                      <w:sz w:val="21"/>
                      <w:szCs w:val="21"/>
                    </w:rPr>
                  </w:pPr>
                  <w:r>
                    <w:rPr>
                      <w:color w:val="auto"/>
                      <w:spacing w:val="-2"/>
                      <w:sz w:val="21"/>
                      <w:szCs w:val="21"/>
                    </w:rPr>
                    <w:t>镀锌槽</w:t>
                  </w:r>
                </w:p>
              </w:tc>
              <w:tc>
                <w:tcPr>
                  <w:tcW w:w="1370" w:type="pct"/>
                  <w:vAlign w:val="top"/>
                </w:tcPr>
                <w:p w14:paraId="30B40FC2">
                  <w:pPr>
                    <w:spacing w:before="117"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162*180*85cm</w:t>
                  </w:r>
                </w:p>
              </w:tc>
              <w:tc>
                <w:tcPr>
                  <w:tcW w:w="838" w:type="pct"/>
                  <w:vAlign w:val="top"/>
                </w:tcPr>
                <w:p w14:paraId="4A63BF14">
                  <w:pPr>
                    <w:spacing w:before="121" w:line="187" w:lineRule="auto"/>
                    <w:ind w:left="6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21" w:type="pct"/>
                  <w:vAlign w:val="top"/>
                </w:tcPr>
                <w:p w14:paraId="7AD4D78F">
                  <w:pPr>
                    <w:spacing w:before="121"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r>
            <w:tr w14:paraId="5E74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C41E9FC">
                  <w:pPr>
                    <w:spacing w:before="114"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4" w:type="pct"/>
                  <w:vAlign w:val="top"/>
                </w:tcPr>
                <w:p w14:paraId="58AA2C87">
                  <w:pPr>
                    <w:pStyle w:val="97"/>
                    <w:spacing w:before="85" w:line="221" w:lineRule="auto"/>
                    <w:ind w:left="950"/>
                    <w:rPr>
                      <w:color w:val="auto"/>
                      <w:sz w:val="21"/>
                      <w:szCs w:val="21"/>
                    </w:rPr>
                  </w:pPr>
                  <w:r>
                    <w:rPr>
                      <w:color w:val="auto"/>
                      <w:spacing w:val="-9"/>
                      <w:sz w:val="21"/>
                      <w:szCs w:val="21"/>
                    </w:rPr>
                    <w:t>回收槽</w:t>
                  </w:r>
                </w:p>
              </w:tc>
              <w:tc>
                <w:tcPr>
                  <w:tcW w:w="1370" w:type="pct"/>
                  <w:vAlign w:val="top"/>
                </w:tcPr>
                <w:p w14:paraId="58ACD848">
                  <w:pPr>
                    <w:spacing w:before="117"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686F0A32">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311FD236">
                  <w:pPr>
                    <w:spacing w:before="124"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4651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2FA2A765">
                  <w:pPr>
                    <w:spacing w:before="114"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4" w:type="pct"/>
                  <w:vAlign w:val="top"/>
                </w:tcPr>
                <w:p w14:paraId="3C9384D8">
                  <w:pPr>
                    <w:pStyle w:val="97"/>
                    <w:spacing w:before="85" w:line="221" w:lineRule="auto"/>
                    <w:ind w:left="932"/>
                    <w:rPr>
                      <w:color w:val="auto"/>
                      <w:sz w:val="21"/>
                      <w:szCs w:val="21"/>
                    </w:rPr>
                  </w:pPr>
                  <w:r>
                    <w:rPr>
                      <w:color w:val="auto"/>
                      <w:spacing w:val="-3"/>
                      <w:sz w:val="21"/>
                      <w:szCs w:val="21"/>
                    </w:rPr>
                    <w:t>水洗槽</w:t>
                  </w:r>
                </w:p>
              </w:tc>
              <w:tc>
                <w:tcPr>
                  <w:tcW w:w="1370" w:type="pct"/>
                  <w:vAlign w:val="top"/>
                </w:tcPr>
                <w:p w14:paraId="3347CE7B">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65E80D0F">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6839A774">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7835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3C79F64">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w:t>
                  </w:r>
                </w:p>
              </w:tc>
              <w:tc>
                <w:tcPr>
                  <w:tcW w:w="1454" w:type="pct"/>
                  <w:vAlign w:val="top"/>
                </w:tcPr>
                <w:p w14:paraId="3D8C4B1E">
                  <w:pPr>
                    <w:pStyle w:val="97"/>
                    <w:spacing w:before="85" w:line="221" w:lineRule="auto"/>
                    <w:ind w:left="948"/>
                    <w:rPr>
                      <w:color w:val="auto"/>
                      <w:sz w:val="21"/>
                      <w:szCs w:val="21"/>
                    </w:rPr>
                  </w:pPr>
                  <w:r>
                    <w:rPr>
                      <w:color w:val="auto"/>
                      <w:spacing w:val="-8"/>
                      <w:sz w:val="21"/>
                      <w:szCs w:val="21"/>
                    </w:rPr>
                    <w:t>出光槽</w:t>
                  </w:r>
                </w:p>
              </w:tc>
              <w:tc>
                <w:tcPr>
                  <w:tcW w:w="1370" w:type="pct"/>
                  <w:vAlign w:val="top"/>
                </w:tcPr>
                <w:p w14:paraId="2992D515">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3CADBB13">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FF4321F">
                  <w:pPr>
                    <w:spacing w:before="125"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r w14:paraId="642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24CC0ADC">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454" w:type="pct"/>
                  <w:vAlign w:val="top"/>
                </w:tcPr>
                <w:p w14:paraId="0CD559A7">
                  <w:pPr>
                    <w:pStyle w:val="97"/>
                    <w:spacing w:before="85" w:line="221" w:lineRule="auto"/>
                    <w:ind w:left="932"/>
                    <w:rPr>
                      <w:color w:val="auto"/>
                      <w:sz w:val="21"/>
                      <w:szCs w:val="21"/>
                    </w:rPr>
                  </w:pPr>
                  <w:r>
                    <w:rPr>
                      <w:color w:val="auto"/>
                      <w:spacing w:val="-3"/>
                      <w:sz w:val="21"/>
                      <w:szCs w:val="21"/>
                    </w:rPr>
                    <w:t>水洗槽</w:t>
                  </w:r>
                </w:p>
              </w:tc>
              <w:tc>
                <w:tcPr>
                  <w:tcW w:w="1370" w:type="pct"/>
                  <w:vAlign w:val="top"/>
                </w:tcPr>
                <w:p w14:paraId="21825B59">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3B526E63">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19EBAF54">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3655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64E6798B">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454" w:type="pct"/>
                  <w:vAlign w:val="top"/>
                </w:tcPr>
                <w:p w14:paraId="5CE32D73">
                  <w:pPr>
                    <w:pStyle w:val="97"/>
                    <w:spacing w:before="86" w:line="221" w:lineRule="auto"/>
                    <w:ind w:left="930"/>
                    <w:rPr>
                      <w:color w:val="auto"/>
                      <w:sz w:val="21"/>
                      <w:szCs w:val="21"/>
                    </w:rPr>
                  </w:pPr>
                  <w:r>
                    <w:rPr>
                      <w:color w:val="auto"/>
                      <w:spacing w:val="-2"/>
                      <w:sz w:val="21"/>
                      <w:szCs w:val="21"/>
                    </w:rPr>
                    <w:t>钝化槽</w:t>
                  </w:r>
                </w:p>
              </w:tc>
              <w:tc>
                <w:tcPr>
                  <w:tcW w:w="1370" w:type="pct"/>
                  <w:vAlign w:val="top"/>
                </w:tcPr>
                <w:p w14:paraId="2CB660E0">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77DD50E4">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7ECB0241">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131F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14" w:type="pct"/>
                  <w:vAlign w:val="top"/>
                </w:tcPr>
                <w:p w14:paraId="503F9911">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21</w:t>
                  </w:r>
                </w:p>
              </w:tc>
              <w:tc>
                <w:tcPr>
                  <w:tcW w:w="1454" w:type="pct"/>
                  <w:vAlign w:val="top"/>
                </w:tcPr>
                <w:p w14:paraId="1C3DE006">
                  <w:pPr>
                    <w:pStyle w:val="97"/>
                    <w:spacing w:before="86" w:line="221" w:lineRule="auto"/>
                    <w:ind w:left="932"/>
                    <w:rPr>
                      <w:color w:val="auto"/>
                      <w:sz w:val="21"/>
                      <w:szCs w:val="21"/>
                    </w:rPr>
                  </w:pPr>
                  <w:r>
                    <w:rPr>
                      <w:color w:val="auto"/>
                      <w:spacing w:val="-3"/>
                      <w:sz w:val="21"/>
                      <w:szCs w:val="21"/>
                    </w:rPr>
                    <w:t>水洗槽</w:t>
                  </w:r>
                </w:p>
              </w:tc>
              <w:tc>
                <w:tcPr>
                  <w:tcW w:w="1370" w:type="pct"/>
                  <w:vAlign w:val="top"/>
                </w:tcPr>
                <w:p w14:paraId="7E5F73E2">
                  <w:pPr>
                    <w:spacing w:before="118"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6BA8D131">
                  <w:pPr>
                    <w:spacing w:before="123"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04502196">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402F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4" w:type="pct"/>
                  <w:vAlign w:val="top"/>
                </w:tcPr>
                <w:p w14:paraId="58448FB3">
                  <w:pPr>
                    <w:spacing w:before="119"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22</w:t>
                  </w:r>
                </w:p>
              </w:tc>
              <w:tc>
                <w:tcPr>
                  <w:tcW w:w="1454" w:type="pct"/>
                  <w:vAlign w:val="top"/>
                </w:tcPr>
                <w:p w14:paraId="154C1CF4">
                  <w:pPr>
                    <w:pStyle w:val="97"/>
                    <w:spacing w:before="89" w:line="221" w:lineRule="auto"/>
                    <w:ind w:left="831"/>
                    <w:rPr>
                      <w:color w:val="auto"/>
                      <w:sz w:val="21"/>
                      <w:szCs w:val="21"/>
                    </w:rPr>
                  </w:pPr>
                  <w:r>
                    <w:rPr>
                      <w:color w:val="auto"/>
                      <w:spacing w:val="-3"/>
                      <w:sz w:val="21"/>
                      <w:szCs w:val="21"/>
                    </w:rPr>
                    <w:t>热水洗槽</w:t>
                  </w:r>
                </w:p>
              </w:tc>
              <w:tc>
                <w:tcPr>
                  <w:tcW w:w="1370" w:type="pct"/>
                  <w:vAlign w:val="top"/>
                </w:tcPr>
                <w:p w14:paraId="34C8CD6F">
                  <w:pPr>
                    <w:spacing w:before="122" w:line="191"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8" w:type="pct"/>
                  <w:vAlign w:val="top"/>
                </w:tcPr>
                <w:p w14:paraId="446FB8D1">
                  <w:pPr>
                    <w:spacing w:before="126"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82283C1">
                  <w:pPr>
                    <w:spacing w:before="129" w:line="184"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r>
          </w:tbl>
          <w:p w14:paraId="27972D6E">
            <w:pPr>
              <w:spacing w:before="82" w:line="220" w:lineRule="auto"/>
              <w:ind w:left="3264"/>
              <w:rPr>
                <w:rFonts w:ascii="宋体" w:hAnsi="宋体" w:eastAsia="宋体" w:cs="宋体"/>
                <w:color w:val="auto"/>
                <w:sz w:val="21"/>
                <w:szCs w:val="21"/>
              </w:rPr>
            </w:pPr>
            <w:r>
              <w:rPr>
                <w:rFonts w:ascii="宋体" w:hAnsi="宋体" w:eastAsia="宋体" w:cs="宋体"/>
                <w:b/>
                <w:bCs/>
                <w:color w:val="auto"/>
                <w:spacing w:val="-3"/>
                <w:sz w:val="21"/>
                <w:szCs w:val="21"/>
              </w:rPr>
              <w:t>八、滚镀锌线（</w:t>
            </w:r>
            <w:r>
              <w:rPr>
                <w:rFonts w:ascii="Times New Roman" w:hAnsi="Times New Roman" w:eastAsia="Times New Roman" w:cs="Times New Roman"/>
                <w:b/>
                <w:bCs/>
                <w:color w:val="auto"/>
                <w:spacing w:val="-3"/>
                <w:sz w:val="21"/>
                <w:szCs w:val="21"/>
              </w:rPr>
              <w:t>6</w:t>
            </w:r>
            <w:r>
              <w:rPr>
                <w:rFonts w:ascii="宋体" w:hAnsi="宋体" w:eastAsia="宋体" w:cs="宋体"/>
                <w:b/>
                <w:bCs/>
                <w:color w:val="auto"/>
                <w:spacing w:val="-3"/>
                <w:sz w:val="21"/>
                <w:szCs w:val="21"/>
              </w:rPr>
              <w:t>条）</w:t>
            </w:r>
          </w:p>
          <w:p w14:paraId="7BA7ED03">
            <w:pPr>
              <w:spacing w:line="37" w:lineRule="exact"/>
              <w:rPr>
                <w:color w:val="auto"/>
              </w:rPr>
            </w:pPr>
          </w:p>
          <w:tbl>
            <w:tblPr>
              <w:tblStyle w:val="7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51C4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522" w:type="pct"/>
                  <w:vAlign w:val="top"/>
                </w:tcPr>
                <w:p w14:paraId="451E9408">
                  <w:pPr>
                    <w:spacing w:before="118"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62FA9139">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176A8E85">
                  <w:pPr>
                    <w:spacing w:before="119" w:line="191"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162*75*85cm</w:t>
                  </w:r>
                </w:p>
              </w:tc>
              <w:tc>
                <w:tcPr>
                  <w:tcW w:w="837" w:type="pct"/>
                  <w:vAlign w:val="top"/>
                </w:tcPr>
                <w:p w14:paraId="2AD649C6">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BBCBCA4">
                  <w:pPr>
                    <w:spacing w:before="123" w:line="187" w:lineRule="auto"/>
                    <w:ind w:left="65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r>
            <w:tr w14:paraId="659A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22" w:type="pct"/>
                  <w:vAlign w:val="top"/>
                </w:tcPr>
                <w:p w14:paraId="2FC95EB8">
                  <w:pPr>
                    <w:spacing w:before="126"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6F1CC3BC">
                  <w:pPr>
                    <w:pStyle w:val="97"/>
                    <w:spacing w:before="94" w:line="221" w:lineRule="auto"/>
                    <w:ind w:left="931"/>
                    <w:rPr>
                      <w:color w:val="auto"/>
                      <w:sz w:val="21"/>
                      <w:szCs w:val="21"/>
                    </w:rPr>
                  </w:pPr>
                  <w:r>
                    <w:rPr>
                      <w:color w:val="auto"/>
                      <w:spacing w:val="-2"/>
                      <w:sz w:val="21"/>
                      <w:szCs w:val="21"/>
                    </w:rPr>
                    <w:t>水洗槽</w:t>
                  </w:r>
                </w:p>
              </w:tc>
              <w:tc>
                <w:tcPr>
                  <w:tcW w:w="1368" w:type="pct"/>
                  <w:vAlign w:val="top"/>
                </w:tcPr>
                <w:p w14:paraId="30C0DBE6">
                  <w:pPr>
                    <w:spacing w:before="127" w:line="233"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162*45*85cm</w:t>
                  </w:r>
                </w:p>
              </w:tc>
              <w:tc>
                <w:tcPr>
                  <w:tcW w:w="837" w:type="pct"/>
                  <w:vAlign w:val="top"/>
                </w:tcPr>
                <w:p w14:paraId="0C2206FB">
                  <w:pPr>
                    <w:spacing w:before="13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16C858BA">
                  <w:pPr>
                    <w:spacing w:before="131"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7F33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22" w:type="pct"/>
                  <w:shd w:val="clear" w:color="auto" w:fill="auto"/>
                  <w:vAlign w:val="top"/>
                </w:tcPr>
                <w:p w14:paraId="629689B7">
                  <w:pPr>
                    <w:spacing w:before="118" w:line="187" w:lineRule="auto"/>
                    <w:ind w:left="394" w:leftChars="0"/>
                    <w:outlineLvl w:val="1"/>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452" w:type="pct"/>
                  <w:shd w:val="clear" w:color="auto" w:fill="auto"/>
                  <w:vAlign w:val="top"/>
                </w:tcPr>
                <w:p w14:paraId="7BC66863">
                  <w:pPr>
                    <w:pStyle w:val="97"/>
                    <w:spacing w:before="86"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酸洗槽</w:t>
                  </w:r>
                </w:p>
              </w:tc>
              <w:tc>
                <w:tcPr>
                  <w:tcW w:w="1368" w:type="pct"/>
                  <w:shd w:val="clear" w:color="auto" w:fill="auto"/>
                  <w:vAlign w:val="top"/>
                </w:tcPr>
                <w:p w14:paraId="6A6D41C9">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837" w:type="pct"/>
                  <w:shd w:val="clear" w:color="auto" w:fill="auto"/>
                  <w:vAlign w:val="top"/>
                </w:tcPr>
                <w:p w14:paraId="6D93ED0B">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819" w:type="pct"/>
                  <w:shd w:val="clear" w:color="auto" w:fill="auto"/>
                  <w:vAlign w:val="top"/>
                </w:tcPr>
                <w:p w14:paraId="75D9D86F">
                  <w:pPr>
                    <w:spacing w:before="122"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4D5D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46559DE3">
                  <w:pPr>
                    <w:spacing w:before="112" w:line="187" w:lineRule="auto"/>
                    <w:ind w:left="3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c>
                <w:tcPr>
                  <w:tcW w:w="2695" w:type="dxa"/>
                  <w:shd w:val="clear" w:color="auto" w:fill="auto"/>
                  <w:vAlign w:val="top"/>
                </w:tcPr>
                <w:p w14:paraId="3ED838F8">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461D9D3C">
                  <w:pPr>
                    <w:spacing w:before="115"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E1153BD">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639F0A85">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0E16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1B8D8EAE">
                  <w:pPr>
                    <w:spacing w:before="115" w:line="184" w:lineRule="auto"/>
                    <w:ind w:left="39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2695" w:type="dxa"/>
                  <w:shd w:val="clear" w:color="auto" w:fill="auto"/>
                  <w:vAlign w:val="top"/>
                </w:tcPr>
                <w:p w14:paraId="76746F79">
                  <w:pPr>
                    <w:pStyle w:val="97"/>
                    <w:spacing w:before="82" w:line="221" w:lineRule="auto"/>
                    <w:ind w:left="614" w:leftChars="0"/>
                    <w:rPr>
                      <w:rFonts w:ascii="宋体" w:hAnsi="宋体" w:eastAsia="宋体" w:cs="宋体"/>
                      <w:color w:val="auto"/>
                      <w:kern w:val="2"/>
                      <w:sz w:val="21"/>
                      <w:szCs w:val="21"/>
                      <w:lang w:val="en-US" w:eastAsia="en-US" w:bidi="ar-SA"/>
                    </w:rPr>
                  </w:pPr>
                  <w:r>
                    <w:rPr>
                      <w:color w:val="auto"/>
                      <w:spacing w:val="-1"/>
                      <w:sz w:val="21"/>
                      <w:szCs w:val="21"/>
                    </w:rPr>
                    <w:t>超声波去灰槽</w:t>
                  </w:r>
                </w:p>
              </w:tc>
              <w:tc>
                <w:tcPr>
                  <w:tcW w:w="2539" w:type="dxa"/>
                  <w:shd w:val="clear" w:color="auto" w:fill="auto"/>
                  <w:vAlign w:val="top"/>
                </w:tcPr>
                <w:p w14:paraId="06D8D233">
                  <w:pPr>
                    <w:spacing w:before="115"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162*75*85cm</w:t>
                  </w:r>
                </w:p>
              </w:tc>
              <w:tc>
                <w:tcPr>
                  <w:tcW w:w="1553" w:type="dxa"/>
                  <w:shd w:val="clear" w:color="auto" w:fill="auto"/>
                  <w:vAlign w:val="top"/>
                </w:tcPr>
                <w:p w14:paraId="7F919A17">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118F848">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117E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4DFE2D15">
                  <w:pPr>
                    <w:spacing w:before="112" w:line="187" w:lineRule="auto"/>
                    <w:ind w:left="3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c>
                <w:tcPr>
                  <w:tcW w:w="2695" w:type="dxa"/>
                  <w:shd w:val="clear" w:color="auto" w:fill="auto"/>
                  <w:vAlign w:val="top"/>
                </w:tcPr>
                <w:p w14:paraId="38860969">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71D225A8">
                  <w:pPr>
                    <w:spacing w:before="116"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2DFB829E">
                  <w:pPr>
                    <w:spacing w:before="119"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16EBAD42">
                  <w:pPr>
                    <w:spacing w:before="119"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1CC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1DC8F894">
                  <w:pPr>
                    <w:spacing w:before="115" w:line="184" w:lineRule="auto"/>
                    <w:ind w:left="39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7</w:t>
                  </w:r>
                </w:p>
              </w:tc>
              <w:tc>
                <w:tcPr>
                  <w:tcW w:w="2695" w:type="dxa"/>
                  <w:shd w:val="clear" w:color="auto" w:fill="auto"/>
                  <w:vAlign w:val="top"/>
                </w:tcPr>
                <w:p w14:paraId="09E6217F">
                  <w:pPr>
                    <w:pStyle w:val="97"/>
                    <w:spacing w:before="83" w:line="221" w:lineRule="auto"/>
                    <w:ind w:left="933" w:leftChars="0"/>
                    <w:rPr>
                      <w:rFonts w:ascii="宋体" w:hAnsi="宋体" w:eastAsia="宋体" w:cs="宋体"/>
                      <w:color w:val="auto"/>
                      <w:kern w:val="2"/>
                      <w:sz w:val="21"/>
                      <w:szCs w:val="21"/>
                      <w:lang w:val="en-US" w:eastAsia="en-US" w:bidi="ar-SA"/>
                    </w:rPr>
                  </w:pPr>
                  <w:r>
                    <w:rPr>
                      <w:color w:val="auto"/>
                      <w:spacing w:val="-2"/>
                      <w:sz w:val="21"/>
                      <w:szCs w:val="21"/>
                    </w:rPr>
                    <w:t>活化槽</w:t>
                  </w:r>
                </w:p>
              </w:tc>
              <w:tc>
                <w:tcPr>
                  <w:tcW w:w="2539" w:type="dxa"/>
                  <w:shd w:val="clear" w:color="auto" w:fill="auto"/>
                  <w:vAlign w:val="top"/>
                </w:tcPr>
                <w:p w14:paraId="4DD1063B">
                  <w:pPr>
                    <w:spacing w:before="116"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0AE8501F">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E424507">
                  <w:pPr>
                    <w:spacing w:before="119"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4AC4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39924977">
                  <w:pPr>
                    <w:spacing w:before="112" w:line="187" w:lineRule="auto"/>
                    <w:ind w:left="3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c>
                <w:tcPr>
                  <w:tcW w:w="2695" w:type="dxa"/>
                  <w:shd w:val="clear" w:color="auto" w:fill="auto"/>
                  <w:vAlign w:val="top"/>
                </w:tcPr>
                <w:p w14:paraId="052D2FBA">
                  <w:pPr>
                    <w:pStyle w:val="97"/>
                    <w:spacing w:before="83"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4A297A5D">
                  <w:pPr>
                    <w:spacing w:before="116"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3A2AD6E0">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5BED74E5">
                  <w:pPr>
                    <w:spacing w:before="119"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76C3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27D97040">
                  <w:pPr>
                    <w:spacing w:before="112" w:line="187" w:lineRule="auto"/>
                    <w:ind w:left="39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9</w:t>
                  </w:r>
                </w:p>
              </w:tc>
              <w:tc>
                <w:tcPr>
                  <w:tcW w:w="2695" w:type="dxa"/>
                  <w:shd w:val="clear" w:color="auto" w:fill="auto"/>
                  <w:vAlign w:val="top"/>
                </w:tcPr>
                <w:p w14:paraId="00431AE0">
                  <w:pPr>
                    <w:pStyle w:val="97"/>
                    <w:spacing w:before="83" w:line="221" w:lineRule="auto"/>
                    <w:ind w:left="614" w:leftChars="0"/>
                    <w:rPr>
                      <w:rFonts w:ascii="宋体" w:hAnsi="宋体" w:eastAsia="宋体" w:cs="宋体"/>
                      <w:color w:val="auto"/>
                      <w:kern w:val="2"/>
                      <w:sz w:val="21"/>
                      <w:szCs w:val="21"/>
                      <w:lang w:val="en-US" w:eastAsia="en-US" w:bidi="ar-SA"/>
                    </w:rPr>
                  </w:pPr>
                  <w:r>
                    <w:rPr>
                      <w:color w:val="auto"/>
                      <w:spacing w:val="-1"/>
                      <w:sz w:val="21"/>
                      <w:szCs w:val="21"/>
                    </w:rPr>
                    <w:t>超声波水洗槽</w:t>
                  </w:r>
                </w:p>
              </w:tc>
              <w:tc>
                <w:tcPr>
                  <w:tcW w:w="2539" w:type="dxa"/>
                  <w:shd w:val="clear" w:color="auto" w:fill="auto"/>
                  <w:vAlign w:val="top"/>
                </w:tcPr>
                <w:p w14:paraId="066082C3">
                  <w:pPr>
                    <w:spacing w:before="116"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162*75*85cm</w:t>
                  </w:r>
                </w:p>
              </w:tc>
              <w:tc>
                <w:tcPr>
                  <w:tcW w:w="1553" w:type="dxa"/>
                  <w:shd w:val="clear" w:color="auto" w:fill="auto"/>
                  <w:vAlign w:val="top"/>
                </w:tcPr>
                <w:p w14:paraId="2F23344C">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011C1D1">
                  <w:pPr>
                    <w:spacing w:before="120"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1FD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2F69517E">
                  <w:pPr>
                    <w:spacing w:before="113"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c>
                <w:tcPr>
                  <w:tcW w:w="2695" w:type="dxa"/>
                  <w:shd w:val="clear" w:color="auto" w:fill="auto"/>
                  <w:vAlign w:val="top"/>
                </w:tcPr>
                <w:p w14:paraId="191EC1CD">
                  <w:pPr>
                    <w:pStyle w:val="97"/>
                    <w:spacing w:before="84" w:line="220" w:lineRule="auto"/>
                    <w:ind w:left="929" w:leftChars="0"/>
                    <w:rPr>
                      <w:rFonts w:ascii="宋体" w:hAnsi="宋体" w:eastAsia="宋体" w:cs="宋体"/>
                      <w:color w:val="auto"/>
                      <w:kern w:val="2"/>
                      <w:sz w:val="21"/>
                      <w:szCs w:val="21"/>
                      <w:lang w:val="en-US" w:eastAsia="en-US" w:bidi="ar-SA"/>
                    </w:rPr>
                  </w:pPr>
                  <w:r>
                    <w:rPr>
                      <w:color w:val="auto"/>
                      <w:spacing w:val="-1"/>
                      <w:sz w:val="21"/>
                      <w:szCs w:val="21"/>
                    </w:rPr>
                    <w:t>镀锌槽</w:t>
                  </w:r>
                </w:p>
              </w:tc>
              <w:tc>
                <w:tcPr>
                  <w:tcW w:w="2539" w:type="dxa"/>
                  <w:shd w:val="clear" w:color="auto" w:fill="auto"/>
                  <w:vAlign w:val="top"/>
                </w:tcPr>
                <w:p w14:paraId="313E3CC9">
                  <w:pPr>
                    <w:spacing w:before="116" w:line="233" w:lineRule="auto"/>
                    <w:ind w:left="5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162*180*85cm</w:t>
                  </w:r>
                </w:p>
              </w:tc>
              <w:tc>
                <w:tcPr>
                  <w:tcW w:w="1553" w:type="dxa"/>
                  <w:shd w:val="clear" w:color="auto" w:fill="auto"/>
                  <w:vAlign w:val="top"/>
                </w:tcPr>
                <w:p w14:paraId="273BE8E4">
                  <w:pPr>
                    <w:spacing w:before="120" w:line="187" w:lineRule="auto"/>
                    <w:ind w:left="66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520" w:type="dxa"/>
                  <w:shd w:val="clear" w:color="auto" w:fill="auto"/>
                  <w:vAlign w:val="top"/>
                </w:tcPr>
                <w:p w14:paraId="0671F545">
                  <w:pPr>
                    <w:spacing w:before="120"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18</w:t>
                  </w:r>
                </w:p>
              </w:tc>
            </w:tr>
            <w:tr w14:paraId="1CB1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4AD8D40F">
                  <w:pPr>
                    <w:spacing w:before="116"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11</w:t>
                  </w:r>
                </w:p>
              </w:tc>
              <w:tc>
                <w:tcPr>
                  <w:tcW w:w="2695" w:type="dxa"/>
                  <w:shd w:val="clear" w:color="auto" w:fill="auto"/>
                  <w:vAlign w:val="top"/>
                </w:tcPr>
                <w:p w14:paraId="6084244E">
                  <w:pPr>
                    <w:pStyle w:val="97"/>
                    <w:spacing w:before="86" w:line="221" w:lineRule="auto"/>
                    <w:ind w:left="950" w:leftChars="0"/>
                    <w:rPr>
                      <w:rFonts w:ascii="宋体" w:hAnsi="宋体" w:eastAsia="宋体" w:cs="宋体"/>
                      <w:color w:val="auto"/>
                      <w:kern w:val="2"/>
                      <w:sz w:val="21"/>
                      <w:szCs w:val="21"/>
                      <w:lang w:val="en-US" w:eastAsia="en-US" w:bidi="ar-SA"/>
                    </w:rPr>
                  </w:pPr>
                  <w:r>
                    <w:rPr>
                      <w:color w:val="auto"/>
                      <w:spacing w:val="-9"/>
                      <w:sz w:val="21"/>
                      <w:szCs w:val="21"/>
                    </w:rPr>
                    <w:t>回收槽</w:t>
                  </w:r>
                </w:p>
              </w:tc>
              <w:tc>
                <w:tcPr>
                  <w:tcW w:w="2539" w:type="dxa"/>
                  <w:shd w:val="clear" w:color="auto" w:fill="auto"/>
                  <w:vAlign w:val="top"/>
                </w:tcPr>
                <w:p w14:paraId="2DBC0973">
                  <w:pPr>
                    <w:spacing w:before="119" w:line="191"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609FFCAB">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185029B3">
                  <w:pPr>
                    <w:spacing w:before="123"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0CCE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1FA74F72">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c>
                <w:tcPr>
                  <w:tcW w:w="2695" w:type="dxa"/>
                  <w:shd w:val="clear" w:color="auto" w:fill="auto"/>
                  <w:vAlign w:val="top"/>
                </w:tcPr>
                <w:p w14:paraId="5D1C2AEA">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1E0E8D62">
                  <w:pPr>
                    <w:spacing w:before="118"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4860CAA">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2DE195CA">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3C4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4C802E23">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c>
                <w:tcPr>
                  <w:tcW w:w="2695" w:type="dxa"/>
                  <w:shd w:val="clear" w:color="auto" w:fill="auto"/>
                  <w:vAlign w:val="top"/>
                </w:tcPr>
                <w:p w14:paraId="32CCBE68">
                  <w:pPr>
                    <w:pStyle w:val="97"/>
                    <w:spacing w:before="85" w:line="221" w:lineRule="auto"/>
                    <w:ind w:left="948" w:leftChars="0"/>
                    <w:rPr>
                      <w:rFonts w:ascii="宋体" w:hAnsi="宋体" w:eastAsia="宋体" w:cs="宋体"/>
                      <w:color w:val="auto"/>
                      <w:kern w:val="2"/>
                      <w:sz w:val="21"/>
                      <w:szCs w:val="21"/>
                      <w:lang w:val="en-US" w:eastAsia="en-US" w:bidi="ar-SA"/>
                    </w:rPr>
                  </w:pPr>
                  <w:r>
                    <w:rPr>
                      <w:color w:val="auto"/>
                      <w:spacing w:val="-6"/>
                      <w:sz w:val="21"/>
                      <w:szCs w:val="21"/>
                    </w:rPr>
                    <w:t>出光槽</w:t>
                  </w:r>
                </w:p>
              </w:tc>
              <w:tc>
                <w:tcPr>
                  <w:tcW w:w="2539" w:type="dxa"/>
                  <w:shd w:val="clear" w:color="auto" w:fill="auto"/>
                  <w:vAlign w:val="top"/>
                </w:tcPr>
                <w:p w14:paraId="4EB4EB2F">
                  <w:pPr>
                    <w:spacing w:before="118"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2B820B08">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0CDDC111">
                  <w:pPr>
                    <w:spacing w:before="122"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46C3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170700F1">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14</w:t>
                  </w:r>
                </w:p>
              </w:tc>
              <w:tc>
                <w:tcPr>
                  <w:tcW w:w="2695" w:type="dxa"/>
                  <w:shd w:val="clear" w:color="auto" w:fill="auto"/>
                  <w:vAlign w:val="top"/>
                </w:tcPr>
                <w:p w14:paraId="29496AB6">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105C8694">
                  <w:pPr>
                    <w:spacing w:before="118"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4D63805D">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57B46002">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7C77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6CB5D32E">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15</w:t>
                  </w:r>
                </w:p>
              </w:tc>
              <w:tc>
                <w:tcPr>
                  <w:tcW w:w="2695" w:type="dxa"/>
                  <w:shd w:val="clear" w:color="auto" w:fill="auto"/>
                  <w:vAlign w:val="top"/>
                </w:tcPr>
                <w:p w14:paraId="5BF22B53">
                  <w:pPr>
                    <w:pStyle w:val="97"/>
                    <w:spacing w:before="85"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钝化槽</w:t>
                  </w:r>
                </w:p>
              </w:tc>
              <w:tc>
                <w:tcPr>
                  <w:tcW w:w="2539" w:type="dxa"/>
                  <w:shd w:val="clear" w:color="auto" w:fill="auto"/>
                  <w:vAlign w:val="top"/>
                </w:tcPr>
                <w:p w14:paraId="2A59236E">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71F5ADE">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504D0E65">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7B42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35DA9A6E">
                  <w:pPr>
                    <w:spacing w:before="115"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16</w:t>
                  </w:r>
                </w:p>
              </w:tc>
              <w:tc>
                <w:tcPr>
                  <w:tcW w:w="2695" w:type="dxa"/>
                  <w:shd w:val="clear" w:color="auto" w:fill="auto"/>
                  <w:vAlign w:val="top"/>
                </w:tcPr>
                <w:p w14:paraId="6F06CAD8">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626FA49D">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3CE05543">
                  <w:pPr>
                    <w:spacing w:before="122"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6898E1A6">
                  <w:pPr>
                    <w:spacing w:before="122"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7F6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70EC707D">
                  <w:pPr>
                    <w:spacing w:before="115"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17</w:t>
                  </w:r>
                </w:p>
              </w:tc>
              <w:tc>
                <w:tcPr>
                  <w:tcW w:w="2695" w:type="dxa"/>
                  <w:shd w:val="clear" w:color="auto" w:fill="auto"/>
                  <w:vAlign w:val="top"/>
                </w:tcPr>
                <w:p w14:paraId="25467FDF">
                  <w:pPr>
                    <w:pStyle w:val="97"/>
                    <w:spacing w:before="86" w:line="221" w:lineRule="auto"/>
                    <w:ind w:left="929" w:leftChars="0"/>
                    <w:rPr>
                      <w:rFonts w:ascii="宋体" w:hAnsi="宋体" w:eastAsia="宋体" w:cs="宋体"/>
                      <w:color w:val="auto"/>
                      <w:kern w:val="2"/>
                      <w:sz w:val="21"/>
                      <w:szCs w:val="21"/>
                      <w:lang w:val="en-US" w:eastAsia="en-US" w:bidi="ar-SA"/>
                    </w:rPr>
                  </w:pPr>
                  <w:r>
                    <w:rPr>
                      <w:color w:val="auto"/>
                      <w:spacing w:val="-1"/>
                      <w:sz w:val="21"/>
                      <w:szCs w:val="21"/>
                    </w:rPr>
                    <w:t>封闭槽</w:t>
                  </w:r>
                </w:p>
              </w:tc>
              <w:tc>
                <w:tcPr>
                  <w:tcW w:w="2539" w:type="dxa"/>
                  <w:shd w:val="clear" w:color="auto" w:fill="auto"/>
                  <w:vAlign w:val="top"/>
                </w:tcPr>
                <w:p w14:paraId="4ECE206F">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583EA3A3">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0617BD3B">
                  <w:pPr>
                    <w:spacing w:before="122"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3474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69" w:type="dxa"/>
                  <w:shd w:val="clear" w:color="auto" w:fill="auto"/>
                  <w:vAlign w:val="top"/>
                </w:tcPr>
                <w:p w14:paraId="0C9FE392">
                  <w:pPr>
                    <w:spacing w:before="115"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18</w:t>
                  </w:r>
                </w:p>
              </w:tc>
              <w:tc>
                <w:tcPr>
                  <w:tcW w:w="2695" w:type="dxa"/>
                  <w:shd w:val="clear" w:color="auto" w:fill="auto"/>
                  <w:vAlign w:val="top"/>
                </w:tcPr>
                <w:p w14:paraId="7BE749E2">
                  <w:pPr>
                    <w:pStyle w:val="97"/>
                    <w:spacing w:before="86"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03F8B31D">
                  <w:pPr>
                    <w:spacing w:before="119" w:line="233" w:lineRule="auto"/>
                    <w:ind w:left="58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162*45*85cm</w:t>
                  </w:r>
                </w:p>
              </w:tc>
              <w:tc>
                <w:tcPr>
                  <w:tcW w:w="1553" w:type="dxa"/>
                  <w:shd w:val="clear" w:color="auto" w:fill="auto"/>
                  <w:vAlign w:val="top"/>
                </w:tcPr>
                <w:p w14:paraId="4B615192">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2A5B3820">
                  <w:pPr>
                    <w:spacing w:before="123"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bl>
          <w:p w14:paraId="1F514F34">
            <w:pPr>
              <w:spacing w:before="82" w:line="220" w:lineRule="auto"/>
              <w:ind w:left="3109"/>
              <w:rPr>
                <w:rFonts w:ascii="宋体" w:hAnsi="宋体" w:eastAsia="宋体" w:cs="宋体"/>
                <w:color w:val="auto"/>
                <w:sz w:val="21"/>
                <w:szCs w:val="21"/>
              </w:rPr>
            </w:pPr>
            <w:r>
              <w:rPr>
                <w:rFonts w:ascii="宋体" w:hAnsi="宋体" w:eastAsia="宋体" w:cs="宋体"/>
                <w:b/>
                <w:bCs/>
                <w:color w:val="auto"/>
                <w:spacing w:val="-2"/>
                <w:sz w:val="21"/>
                <w:szCs w:val="21"/>
              </w:rPr>
              <w:t>九、</w:t>
            </w:r>
            <w:r>
              <w:rPr>
                <w:rFonts w:ascii="Times New Roman" w:hAnsi="Times New Roman" w:eastAsia="Times New Roman" w:cs="Times New Roman"/>
                <w:b/>
                <w:bCs/>
                <w:color w:val="auto"/>
                <w:spacing w:val="-2"/>
                <w:sz w:val="21"/>
                <w:szCs w:val="21"/>
              </w:rPr>
              <w:t>3C</w:t>
            </w:r>
            <w:r>
              <w:rPr>
                <w:rFonts w:ascii="宋体" w:hAnsi="宋体" w:eastAsia="宋体" w:cs="宋体"/>
                <w:b/>
                <w:bCs/>
                <w:color w:val="auto"/>
                <w:spacing w:val="-2"/>
                <w:sz w:val="21"/>
                <w:szCs w:val="21"/>
              </w:rPr>
              <w:t>滚镀锌线（</w:t>
            </w:r>
            <w:r>
              <w:rPr>
                <w:rFonts w:ascii="Times New Roman" w:hAnsi="Times New Roman" w:eastAsia="Times New Roman" w:cs="Times New Roman"/>
                <w:b/>
                <w:bCs/>
                <w:color w:val="auto"/>
                <w:spacing w:val="-2"/>
                <w:sz w:val="21"/>
                <w:szCs w:val="21"/>
              </w:rPr>
              <w:t>4</w:t>
            </w:r>
            <w:r>
              <w:rPr>
                <w:rFonts w:ascii="宋体" w:hAnsi="宋体" w:eastAsia="宋体" w:cs="宋体"/>
                <w:b/>
                <w:bCs/>
                <w:color w:val="auto"/>
                <w:spacing w:val="-2"/>
                <w:sz w:val="21"/>
                <w:szCs w:val="21"/>
              </w:rPr>
              <w:t>条）</w:t>
            </w:r>
          </w:p>
          <w:p w14:paraId="3D0F21B5">
            <w:pPr>
              <w:spacing w:line="36" w:lineRule="exact"/>
              <w:rPr>
                <w:color w:val="auto"/>
              </w:rPr>
            </w:pPr>
          </w:p>
          <w:tbl>
            <w:tblPr>
              <w:tblStyle w:val="75"/>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1F20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22" w:type="pct"/>
                  <w:vAlign w:val="top"/>
                </w:tcPr>
                <w:p w14:paraId="45FB6074">
                  <w:pPr>
                    <w:spacing w:before="116"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7666C889">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65ED6F5E">
                  <w:pPr>
                    <w:spacing w:before="119"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7" w:type="pct"/>
                  <w:vAlign w:val="top"/>
                </w:tcPr>
                <w:p w14:paraId="5C9CD81A">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D1CB23B">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270E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641FE59B">
                  <w:pPr>
                    <w:spacing w:before="112"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794D7A71">
                  <w:pPr>
                    <w:pStyle w:val="97"/>
                    <w:spacing w:before="83" w:line="221" w:lineRule="auto"/>
                    <w:ind w:left="931"/>
                    <w:rPr>
                      <w:color w:val="auto"/>
                      <w:sz w:val="21"/>
                      <w:szCs w:val="21"/>
                    </w:rPr>
                  </w:pPr>
                  <w:r>
                    <w:rPr>
                      <w:color w:val="auto"/>
                      <w:spacing w:val="-2"/>
                      <w:sz w:val="21"/>
                      <w:szCs w:val="21"/>
                    </w:rPr>
                    <w:t>水洗槽</w:t>
                  </w:r>
                </w:p>
              </w:tc>
              <w:tc>
                <w:tcPr>
                  <w:tcW w:w="1368" w:type="pct"/>
                  <w:vAlign w:val="top"/>
                </w:tcPr>
                <w:p w14:paraId="0D8D62BD">
                  <w:pPr>
                    <w:spacing w:before="116"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79A4B4A9">
                  <w:pPr>
                    <w:spacing w:before="12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11894C39">
                  <w:pPr>
                    <w:spacing w:before="119" w:line="187" w:lineRule="auto"/>
                    <w:ind w:left="65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5B3F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5A102C59">
                  <w:pPr>
                    <w:spacing w:before="113"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626BAED5">
                  <w:pPr>
                    <w:pStyle w:val="97"/>
                    <w:spacing w:before="84" w:line="221" w:lineRule="auto"/>
                    <w:ind w:left="930"/>
                    <w:rPr>
                      <w:color w:val="auto"/>
                      <w:sz w:val="21"/>
                      <w:szCs w:val="21"/>
                    </w:rPr>
                  </w:pPr>
                  <w:r>
                    <w:rPr>
                      <w:color w:val="auto"/>
                      <w:spacing w:val="-2"/>
                      <w:sz w:val="21"/>
                      <w:szCs w:val="21"/>
                    </w:rPr>
                    <w:t>酸洗槽</w:t>
                  </w:r>
                </w:p>
              </w:tc>
              <w:tc>
                <w:tcPr>
                  <w:tcW w:w="1368" w:type="pct"/>
                  <w:vAlign w:val="top"/>
                </w:tcPr>
                <w:p w14:paraId="5684E123">
                  <w:pPr>
                    <w:spacing w:before="117"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384CFFD1">
                  <w:pPr>
                    <w:spacing w:before="121"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BCF8864">
                  <w:pPr>
                    <w:spacing w:before="121"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F6D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7C5772B">
                  <w:pPr>
                    <w:spacing w:before="118"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38460F9F">
                  <w:pPr>
                    <w:pStyle w:val="97"/>
                    <w:spacing w:before="88" w:line="221" w:lineRule="auto"/>
                    <w:ind w:left="931"/>
                    <w:rPr>
                      <w:color w:val="auto"/>
                      <w:sz w:val="21"/>
                      <w:szCs w:val="21"/>
                    </w:rPr>
                  </w:pPr>
                  <w:r>
                    <w:rPr>
                      <w:color w:val="auto"/>
                      <w:spacing w:val="-2"/>
                      <w:sz w:val="21"/>
                      <w:szCs w:val="21"/>
                    </w:rPr>
                    <w:t>水洗槽</w:t>
                  </w:r>
                </w:p>
              </w:tc>
              <w:tc>
                <w:tcPr>
                  <w:tcW w:w="1368" w:type="pct"/>
                  <w:vAlign w:val="top"/>
                </w:tcPr>
                <w:p w14:paraId="0A6B6F55">
                  <w:pPr>
                    <w:spacing w:before="121"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4BFCED16">
                  <w:pPr>
                    <w:spacing w:before="125"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5B224D8">
                  <w:pPr>
                    <w:spacing w:before="125" w:line="187" w:lineRule="auto"/>
                    <w:ind w:left="65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49BF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0F6602FB">
                  <w:pPr>
                    <w:spacing w:before="122"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645AA79D">
                  <w:pPr>
                    <w:pStyle w:val="97"/>
                    <w:spacing w:before="87" w:line="221" w:lineRule="auto"/>
                    <w:ind w:left="614"/>
                    <w:rPr>
                      <w:color w:val="auto"/>
                      <w:sz w:val="21"/>
                      <w:szCs w:val="21"/>
                    </w:rPr>
                  </w:pPr>
                  <w:r>
                    <w:rPr>
                      <w:color w:val="auto"/>
                      <w:spacing w:val="-1"/>
                      <w:sz w:val="21"/>
                      <w:szCs w:val="21"/>
                    </w:rPr>
                    <w:t>超声波去灰槽</w:t>
                  </w:r>
                </w:p>
              </w:tc>
              <w:tc>
                <w:tcPr>
                  <w:tcW w:w="1368" w:type="pct"/>
                  <w:vAlign w:val="top"/>
                </w:tcPr>
                <w:p w14:paraId="35F83A36">
                  <w:pPr>
                    <w:spacing w:before="120"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7" w:type="pct"/>
                  <w:vAlign w:val="top"/>
                </w:tcPr>
                <w:p w14:paraId="362B69BE">
                  <w:pPr>
                    <w:spacing w:before="124"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021E308">
                  <w:pPr>
                    <w:spacing w:before="124"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0C7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16980B6">
                  <w:pPr>
                    <w:spacing w:before="120"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41AA8E8B">
                  <w:pPr>
                    <w:pStyle w:val="97"/>
                    <w:spacing w:before="88" w:line="221" w:lineRule="auto"/>
                    <w:ind w:left="930"/>
                    <w:rPr>
                      <w:color w:val="auto"/>
                      <w:sz w:val="21"/>
                      <w:szCs w:val="21"/>
                    </w:rPr>
                  </w:pPr>
                  <w:r>
                    <w:rPr>
                      <w:color w:val="auto"/>
                      <w:spacing w:val="-2"/>
                      <w:sz w:val="21"/>
                      <w:szCs w:val="21"/>
                    </w:rPr>
                    <w:t>酸洗槽</w:t>
                  </w:r>
                </w:p>
              </w:tc>
              <w:tc>
                <w:tcPr>
                  <w:tcW w:w="1368" w:type="pct"/>
                  <w:vAlign w:val="top"/>
                </w:tcPr>
                <w:p w14:paraId="0E1D9609">
                  <w:pPr>
                    <w:spacing w:before="121"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5B0D00EF">
                  <w:pPr>
                    <w:spacing w:before="125"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22898BB">
                  <w:pPr>
                    <w:spacing w:before="125"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D5B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584C48B">
                  <w:pPr>
                    <w:spacing w:before="124" w:line="184" w:lineRule="auto"/>
                    <w:ind w:left="40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2" w:type="pct"/>
                  <w:vAlign w:val="top"/>
                </w:tcPr>
                <w:p w14:paraId="365EE37A">
                  <w:pPr>
                    <w:pStyle w:val="97"/>
                    <w:spacing w:before="89" w:line="221" w:lineRule="auto"/>
                    <w:ind w:left="931"/>
                    <w:rPr>
                      <w:color w:val="auto"/>
                      <w:sz w:val="21"/>
                      <w:szCs w:val="21"/>
                    </w:rPr>
                  </w:pPr>
                  <w:r>
                    <w:rPr>
                      <w:color w:val="auto"/>
                      <w:spacing w:val="-2"/>
                      <w:sz w:val="21"/>
                      <w:szCs w:val="21"/>
                    </w:rPr>
                    <w:t>水洗槽</w:t>
                  </w:r>
                </w:p>
              </w:tc>
              <w:tc>
                <w:tcPr>
                  <w:tcW w:w="1368" w:type="pct"/>
                  <w:vAlign w:val="top"/>
                </w:tcPr>
                <w:p w14:paraId="28D081BA">
                  <w:pPr>
                    <w:spacing w:before="123"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6E74118E">
                  <w:pPr>
                    <w:spacing w:before="126"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524C422F">
                  <w:pPr>
                    <w:spacing w:before="126" w:line="187" w:lineRule="auto"/>
                    <w:ind w:left="65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F4C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2984ECB3">
                  <w:pPr>
                    <w:spacing w:before="122" w:line="187" w:lineRule="auto"/>
                    <w:ind w:left="41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2" w:type="pct"/>
                  <w:vAlign w:val="top"/>
                </w:tcPr>
                <w:p w14:paraId="100F52B2">
                  <w:pPr>
                    <w:pStyle w:val="97"/>
                    <w:spacing w:before="91" w:line="221" w:lineRule="auto"/>
                    <w:ind w:left="614"/>
                    <w:rPr>
                      <w:color w:val="auto"/>
                      <w:sz w:val="21"/>
                      <w:szCs w:val="21"/>
                    </w:rPr>
                  </w:pPr>
                  <w:r>
                    <w:rPr>
                      <w:color w:val="auto"/>
                      <w:spacing w:val="-1"/>
                      <w:sz w:val="21"/>
                      <w:szCs w:val="21"/>
                    </w:rPr>
                    <w:t>超声波去灰槽</w:t>
                  </w:r>
                </w:p>
              </w:tc>
              <w:tc>
                <w:tcPr>
                  <w:tcW w:w="1368" w:type="pct"/>
                  <w:vAlign w:val="top"/>
                </w:tcPr>
                <w:p w14:paraId="47FDB41D">
                  <w:pPr>
                    <w:spacing w:before="124"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7" w:type="pct"/>
                  <w:vAlign w:val="top"/>
                </w:tcPr>
                <w:p w14:paraId="2E14F371">
                  <w:pPr>
                    <w:spacing w:before="127"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A77EA91">
                  <w:pPr>
                    <w:spacing w:before="127"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2A1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AC390C0">
                  <w:pPr>
                    <w:spacing w:before="121"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2" w:type="pct"/>
                  <w:vAlign w:val="top"/>
                </w:tcPr>
                <w:p w14:paraId="2BF61645">
                  <w:pPr>
                    <w:pStyle w:val="97"/>
                    <w:spacing w:before="92" w:line="221" w:lineRule="auto"/>
                    <w:ind w:left="931"/>
                    <w:rPr>
                      <w:color w:val="auto"/>
                      <w:sz w:val="21"/>
                      <w:szCs w:val="21"/>
                    </w:rPr>
                  </w:pPr>
                  <w:r>
                    <w:rPr>
                      <w:color w:val="auto"/>
                      <w:spacing w:val="-2"/>
                      <w:sz w:val="21"/>
                      <w:szCs w:val="21"/>
                    </w:rPr>
                    <w:t>水洗槽</w:t>
                  </w:r>
                </w:p>
              </w:tc>
              <w:tc>
                <w:tcPr>
                  <w:tcW w:w="1368" w:type="pct"/>
                  <w:vAlign w:val="top"/>
                </w:tcPr>
                <w:p w14:paraId="7A9F4690">
                  <w:pPr>
                    <w:spacing w:before="125"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7507EFB8">
                  <w:pPr>
                    <w:spacing w:before="12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0EBFD008">
                  <w:pPr>
                    <w:spacing w:before="128" w:line="187" w:lineRule="auto"/>
                    <w:ind w:left="65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BA9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1B3654F">
                  <w:pPr>
                    <w:spacing w:before="12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2" w:type="pct"/>
                  <w:vAlign w:val="top"/>
                </w:tcPr>
                <w:p w14:paraId="7D1A4CC7">
                  <w:pPr>
                    <w:pStyle w:val="97"/>
                    <w:spacing w:before="94" w:line="221" w:lineRule="auto"/>
                    <w:ind w:left="932"/>
                    <w:rPr>
                      <w:color w:val="auto"/>
                      <w:sz w:val="21"/>
                      <w:szCs w:val="21"/>
                    </w:rPr>
                  </w:pPr>
                  <w:r>
                    <w:rPr>
                      <w:color w:val="auto"/>
                      <w:spacing w:val="-3"/>
                      <w:sz w:val="21"/>
                      <w:szCs w:val="21"/>
                    </w:rPr>
                    <w:t>活化槽</w:t>
                  </w:r>
                </w:p>
              </w:tc>
              <w:tc>
                <w:tcPr>
                  <w:tcW w:w="1368" w:type="pct"/>
                  <w:vAlign w:val="top"/>
                </w:tcPr>
                <w:p w14:paraId="438D8EA9">
                  <w:pPr>
                    <w:spacing w:before="127"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08D4998E">
                  <w:pPr>
                    <w:spacing w:before="130"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0A047BDF">
                  <w:pPr>
                    <w:spacing w:before="13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524B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4704A2EB">
                  <w:pPr>
                    <w:spacing w:before="124"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2" w:type="pct"/>
                  <w:vAlign w:val="top"/>
                </w:tcPr>
                <w:p w14:paraId="115F0740">
                  <w:pPr>
                    <w:pStyle w:val="97"/>
                    <w:spacing w:before="95" w:line="221" w:lineRule="auto"/>
                    <w:ind w:left="931"/>
                    <w:rPr>
                      <w:color w:val="auto"/>
                      <w:sz w:val="21"/>
                      <w:szCs w:val="21"/>
                    </w:rPr>
                  </w:pPr>
                  <w:r>
                    <w:rPr>
                      <w:color w:val="auto"/>
                      <w:spacing w:val="-2"/>
                      <w:sz w:val="21"/>
                      <w:szCs w:val="21"/>
                    </w:rPr>
                    <w:t>水洗槽</w:t>
                  </w:r>
                </w:p>
              </w:tc>
              <w:tc>
                <w:tcPr>
                  <w:tcW w:w="1368" w:type="pct"/>
                  <w:vAlign w:val="top"/>
                </w:tcPr>
                <w:p w14:paraId="31DD2D9F">
                  <w:pPr>
                    <w:spacing w:before="128"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19E91B35">
                  <w:pPr>
                    <w:spacing w:before="132"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61658988">
                  <w:pPr>
                    <w:spacing w:before="13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3F2C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B9F9D0C">
                  <w:pPr>
                    <w:spacing w:before="12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2" w:type="pct"/>
                  <w:vAlign w:val="top"/>
                </w:tcPr>
                <w:p w14:paraId="7AD8F8BB">
                  <w:pPr>
                    <w:pStyle w:val="97"/>
                    <w:spacing w:before="96" w:line="221" w:lineRule="auto"/>
                    <w:ind w:left="614"/>
                    <w:rPr>
                      <w:color w:val="auto"/>
                      <w:sz w:val="21"/>
                      <w:szCs w:val="21"/>
                    </w:rPr>
                  </w:pPr>
                  <w:r>
                    <w:rPr>
                      <w:color w:val="auto"/>
                      <w:spacing w:val="-1"/>
                      <w:sz w:val="21"/>
                      <w:szCs w:val="21"/>
                    </w:rPr>
                    <w:t>超声波水洗槽</w:t>
                  </w:r>
                </w:p>
              </w:tc>
              <w:tc>
                <w:tcPr>
                  <w:tcW w:w="1368" w:type="pct"/>
                  <w:vAlign w:val="top"/>
                </w:tcPr>
                <w:p w14:paraId="025C660E">
                  <w:pPr>
                    <w:spacing w:before="129" w:line="232"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7" w:type="pct"/>
                  <w:vAlign w:val="top"/>
                </w:tcPr>
                <w:p w14:paraId="4EF938C9">
                  <w:pPr>
                    <w:spacing w:before="13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292302F">
                  <w:pPr>
                    <w:spacing w:before="13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5CF2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5A97A608">
                  <w:pPr>
                    <w:spacing w:before="127"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2" w:type="pct"/>
                  <w:vAlign w:val="top"/>
                </w:tcPr>
                <w:p w14:paraId="1F8BC8C0">
                  <w:pPr>
                    <w:pStyle w:val="97"/>
                    <w:spacing w:before="98" w:line="220" w:lineRule="auto"/>
                    <w:ind w:left="928"/>
                    <w:rPr>
                      <w:color w:val="auto"/>
                      <w:sz w:val="21"/>
                      <w:szCs w:val="21"/>
                    </w:rPr>
                  </w:pPr>
                  <w:r>
                    <w:rPr>
                      <w:color w:val="auto"/>
                      <w:spacing w:val="-1"/>
                      <w:sz w:val="21"/>
                      <w:szCs w:val="21"/>
                    </w:rPr>
                    <w:t>镀锌槽</w:t>
                  </w:r>
                </w:p>
              </w:tc>
              <w:tc>
                <w:tcPr>
                  <w:tcW w:w="1368" w:type="pct"/>
                  <w:vAlign w:val="top"/>
                </w:tcPr>
                <w:p w14:paraId="58EA1FD6">
                  <w:pPr>
                    <w:spacing w:before="130" w:line="23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110*240*65cm</w:t>
                  </w:r>
                </w:p>
              </w:tc>
              <w:tc>
                <w:tcPr>
                  <w:tcW w:w="837" w:type="pct"/>
                  <w:vAlign w:val="top"/>
                </w:tcPr>
                <w:p w14:paraId="27CB065F">
                  <w:pPr>
                    <w:spacing w:before="134"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387C2DAB">
                  <w:pPr>
                    <w:spacing w:before="134"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632C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7736118A">
                  <w:pPr>
                    <w:spacing w:before="128"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2" w:type="pct"/>
                  <w:vAlign w:val="top"/>
                </w:tcPr>
                <w:p w14:paraId="275C8674">
                  <w:pPr>
                    <w:pStyle w:val="97"/>
                    <w:spacing w:before="98" w:line="221" w:lineRule="auto"/>
                    <w:ind w:left="950"/>
                    <w:rPr>
                      <w:color w:val="auto"/>
                      <w:sz w:val="21"/>
                      <w:szCs w:val="21"/>
                    </w:rPr>
                  </w:pPr>
                  <w:r>
                    <w:rPr>
                      <w:color w:val="auto"/>
                      <w:spacing w:val="-9"/>
                      <w:sz w:val="21"/>
                      <w:szCs w:val="21"/>
                    </w:rPr>
                    <w:t>回收槽</w:t>
                  </w:r>
                </w:p>
              </w:tc>
              <w:tc>
                <w:tcPr>
                  <w:tcW w:w="1368" w:type="pct"/>
                  <w:vAlign w:val="top"/>
                </w:tcPr>
                <w:p w14:paraId="02E4B899">
                  <w:pPr>
                    <w:spacing w:before="131" w:line="230"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7" w:type="pct"/>
                  <w:vAlign w:val="top"/>
                </w:tcPr>
                <w:p w14:paraId="4DAAA9A5">
                  <w:pPr>
                    <w:spacing w:before="135"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D08C832">
                  <w:pPr>
                    <w:spacing w:before="135"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1C70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63EEBF51">
                  <w:pPr>
                    <w:spacing w:before="129"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2" w:type="pct"/>
                  <w:vAlign w:val="top"/>
                </w:tcPr>
                <w:p w14:paraId="638EA23B">
                  <w:pPr>
                    <w:pStyle w:val="97"/>
                    <w:spacing w:before="100" w:line="221" w:lineRule="auto"/>
                    <w:ind w:left="931"/>
                    <w:rPr>
                      <w:color w:val="auto"/>
                      <w:sz w:val="21"/>
                      <w:szCs w:val="21"/>
                    </w:rPr>
                  </w:pPr>
                  <w:r>
                    <w:rPr>
                      <w:color w:val="auto"/>
                      <w:spacing w:val="-2"/>
                      <w:sz w:val="21"/>
                      <w:szCs w:val="21"/>
                    </w:rPr>
                    <w:t>水洗槽</w:t>
                  </w:r>
                </w:p>
              </w:tc>
              <w:tc>
                <w:tcPr>
                  <w:tcW w:w="1368" w:type="pct"/>
                  <w:vAlign w:val="top"/>
                </w:tcPr>
                <w:p w14:paraId="2F6DB2DA">
                  <w:pPr>
                    <w:spacing w:before="132" w:line="226"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7" w:type="pct"/>
                  <w:vAlign w:val="top"/>
                </w:tcPr>
                <w:p w14:paraId="6358A961">
                  <w:pPr>
                    <w:spacing w:before="136"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2539DFD0">
                  <w:pPr>
                    <w:spacing w:before="136"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748F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1F9D2E4C">
                  <w:pPr>
                    <w:spacing w:before="133"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2" w:type="pct"/>
                  <w:vAlign w:val="top"/>
                </w:tcPr>
                <w:p w14:paraId="588213C9">
                  <w:pPr>
                    <w:pStyle w:val="97"/>
                    <w:spacing w:before="104" w:line="220" w:lineRule="auto"/>
                    <w:ind w:left="928"/>
                    <w:rPr>
                      <w:color w:val="auto"/>
                      <w:sz w:val="21"/>
                      <w:szCs w:val="21"/>
                    </w:rPr>
                  </w:pPr>
                  <w:r>
                    <w:rPr>
                      <w:color w:val="auto"/>
                      <w:spacing w:val="-1"/>
                      <w:sz w:val="21"/>
                      <w:szCs w:val="21"/>
                    </w:rPr>
                    <w:t>镀锌槽</w:t>
                  </w:r>
                </w:p>
              </w:tc>
              <w:tc>
                <w:tcPr>
                  <w:tcW w:w="1368" w:type="pct"/>
                  <w:vAlign w:val="top"/>
                </w:tcPr>
                <w:p w14:paraId="7E9FFA65">
                  <w:pPr>
                    <w:spacing w:before="137" w:line="224"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110*240*65cm</w:t>
                  </w:r>
                </w:p>
              </w:tc>
              <w:tc>
                <w:tcPr>
                  <w:tcW w:w="837" w:type="pct"/>
                  <w:vAlign w:val="top"/>
                </w:tcPr>
                <w:p w14:paraId="6F23CFB5">
                  <w:pPr>
                    <w:spacing w:before="140" w:line="187"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19" w:type="pct"/>
                  <w:vAlign w:val="top"/>
                </w:tcPr>
                <w:p w14:paraId="079203CC">
                  <w:pPr>
                    <w:spacing w:before="141" w:line="187" w:lineRule="auto"/>
                    <w:ind w:left="614"/>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1506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3F186743">
                  <w:pPr>
                    <w:spacing w:before="134"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2" w:type="pct"/>
                  <w:vAlign w:val="top"/>
                </w:tcPr>
                <w:p w14:paraId="748D0848">
                  <w:pPr>
                    <w:pStyle w:val="97"/>
                    <w:spacing w:before="103" w:line="221" w:lineRule="auto"/>
                    <w:ind w:left="950"/>
                    <w:rPr>
                      <w:color w:val="auto"/>
                      <w:sz w:val="21"/>
                      <w:szCs w:val="21"/>
                    </w:rPr>
                  </w:pPr>
                  <w:r>
                    <w:rPr>
                      <w:color w:val="auto"/>
                      <w:spacing w:val="-9"/>
                      <w:sz w:val="21"/>
                      <w:szCs w:val="21"/>
                    </w:rPr>
                    <w:t>回收槽</w:t>
                  </w:r>
                </w:p>
              </w:tc>
              <w:tc>
                <w:tcPr>
                  <w:tcW w:w="1368" w:type="pct"/>
                  <w:vAlign w:val="top"/>
                </w:tcPr>
                <w:p w14:paraId="7A8BDC22">
                  <w:pPr>
                    <w:spacing w:before="135" w:line="226"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7" w:type="pct"/>
                  <w:vAlign w:val="top"/>
                </w:tcPr>
                <w:p w14:paraId="3FBDB903">
                  <w:pPr>
                    <w:spacing w:before="139"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75AD699F">
                  <w:pPr>
                    <w:spacing w:before="139"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55B4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22" w:type="pct"/>
                  <w:vAlign w:val="top"/>
                </w:tcPr>
                <w:p w14:paraId="718B981D">
                  <w:pPr>
                    <w:spacing w:before="136"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w:t>
                  </w:r>
                </w:p>
              </w:tc>
              <w:tc>
                <w:tcPr>
                  <w:tcW w:w="1452" w:type="pct"/>
                  <w:vAlign w:val="top"/>
                </w:tcPr>
                <w:p w14:paraId="54C67AA1">
                  <w:pPr>
                    <w:pStyle w:val="97"/>
                    <w:spacing w:before="104" w:line="221" w:lineRule="auto"/>
                    <w:ind w:left="931"/>
                    <w:rPr>
                      <w:color w:val="auto"/>
                      <w:sz w:val="21"/>
                      <w:szCs w:val="21"/>
                    </w:rPr>
                  </w:pPr>
                  <w:r>
                    <w:rPr>
                      <w:color w:val="auto"/>
                      <w:spacing w:val="-2"/>
                      <w:sz w:val="21"/>
                      <w:szCs w:val="21"/>
                    </w:rPr>
                    <w:t>水洗槽</w:t>
                  </w:r>
                </w:p>
              </w:tc>
              <w:tc>
                <w:tcPr>
                  <w:tcW w:w="1368" w:type="pct"/>
                  <w:vAlign w:val="top"/>
                </w:tcPr>
                <w:p w14:paraId="189552DC">
                  <w:pPr>
                    <w:spacing w:before="137" w:line="224" w:lineRule="auto"/>
                    <w:ind w:left="58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7" w:type="pct"/>
                  <w:vAlign w:val="top"/>
                </w:tcPr>
                <w:p w14:paraId="0F8FF789">
                  <w:pPr>
                    <w:spacing w:before="14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2C3FD87B">
                  <w:pPr>
                    <w:spacing w:before="140" w:line="187" w:lineRule="auto"/>
                    <w:ind w:left="65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7BF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522" w:type="pct"/>
                  <w:vAlign w:val="top"/>
                </w:tcPr>
                <w:p w14:paraId="57D21D59">
                  <w:pPr>
                    <w:spacing w:before="137" w:line="187" w:lineRule="auto"/>
                    <w:ind w:left="3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452" w:type="pct"/>
                  <w:vAlign w:val="top"/>
                </w:tcPr>
                <w:p w14:paraId="58019448">
                  <w:pPr>
                    <w:pStyle w:val="97"/>
                    <w:spacing w:before="105" w:line="221" w:lineRule="auto"/>
                    <w:ind w:left="947"/>
                    <w:rPr>
                      <w:color w:val="auto"/>
                      <w:sz w:val="21"/>
                      <w:szCs w:val="21"/>
                    </w:rPr>
                  </w:pPr>
                  <w:r>
                    <w:rPr>
                      <w:color w:val="auto"/>
                      <w:spacing w:val="-6"/>
                      <w:sz w:val="21"/>
                      <w:szCs w:val="21"/>
                    </w:rPr>
                    <w:t>出光槽</w:t>
                  </w:r>
                </w:p>
              </w:tc>
              <w:tc>
                <w:tcPr>
                  <w:tcW w:w="1368" w:type="pct"/>
                  <w:vAlign w:val="top"/>
                </w:tcPr>
                <w:p w14:paraId="29B0F360">
                  <w:pPr>
                    <w:spacing w:before="139" w:line="233" w:lineRule="auto"/>
                    <w:ind w:left="62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7" w:type="pct"/>
                  <w:vAlign w:val="top"/>
                </w:tcPr>
                <w:p w14:paraId="2CAF15F6">
                  <w:pPr>
                    <w:spacing w:before="142"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4828AE4">
                  <w:pPr>
                    <w:spacing w:before="14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838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522" w:type="pct"/>
                  <w:shd w:val="clear" w:color="auto" w:fill="auto"/>
                  <w:vAlign w:val="top"/>
                </w:tcPr>
                <w:p w14:paraId="658D242C">
                  <w:pPr>
                    <w:spacing w:before="118"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c>
                <w:tcPr>
                  <w:tcW w:w="1452" w:type="pct"/>
                  <w:shd w:val="clear" w:color="auto" w:fill="auto"/>
                  <w:vAlign w:val="top"/>
                </w:tcPr>
                <w:p w14:paraId="789EC5BA">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1368" w:type="pct"/>
                  <w:shd w:val="clear" w:color="auto" w:fill="auto"/>
                  <w:vAlign w:val="top"/>
                </w:tcPr>
                <w:p w14:paraId="6DB1C82B">
                  <w:pPr>
                    <w:spacing w:before="119" w:line="233" w:lineRule="auto"/>
                    <w:ind w:left="6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60*50*20cm</w:t>
                  </w:r>
                </w:p>
              </w:tc>
              <w:tc>
                <w:tcPr>
                  <w:tcW w:w="837" w:type="pct"/>
                  <w:shd w:val="clear" w:color="auto" w:fill="auto"/>
                  <w:vAlign w:val="top"/>
                </w:tcPr>
                <w:p w14:paraId="21F907C3">
                  <w:pPr>
                    <w:spacing w:before="123"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819" w:type="pct"/>
                  <w:shd w:val="clear" w:color="auto" w:fill="auto"/>
                  <w:vAlign w:val="top"/>
                </w:tcPr>
                <w:p w14:paraId="444E8361">
                  <w:pPr>
                    <w:spacing w:before="122" w:line="187" w:lineRule="auto"/>
                    <w:ind w:left="656" w:leftChars="0"/>
                    <w:outlineLvl w:val="1"/>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r>
            <w:tr w14:paraId="20DF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06D881DB">
                  <w:pPr>
                    <w:spacing w:before="113"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21</w:t>
                  </w:r>
                </w:p>
              </w:tc>
              <w:tc>
                <w:tcPr>
                  <w:tcW w:w="2695" w:type="dxa"/>
                  <w:shd w:val="clear" w:color="auto" w:fill="auto"/>
                  <w:vAlign w:val="top"/>
                </w:tcPr>
                <w:p w14:paraId="6E27EF94">
                  <w:pPr>
                    <w:pStyle w:val="97"/>
                    <w:spacing w:before="83"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钝化槽</w:t>
                  </w:r>
                </w:p>
              </w:tc>
              <w:tc>
                <w:tcPr>
                  <w:tcW w:w="2539" w:type="dxa"/>
                  <w:shd w:val="clear" w:color="auto" w:fill="auto"/>
                  <w:vAlign w:val="top"/>
                </w:tcPr>
                <w:p w14:paraId="5E418993">
                  <w:pPr>
                    <w:spacing w:before="116" w:line="233" w:lineRule="auto"/>
                    <w:ind w:left="6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60*50*20cm</w:t>
                  </w:r>
                </w:p>
              </w:tc>
              <w:tc>
                <w:tcPr>
                  <w:tcW w:w="1553" w:type="dxa"/>
                  <w:shd w:val="clear" w:color="auto" w:fill="auto"/>
                  <w:vAlign w:val="top"/>
                </w:tcPr>
                <w:p w14:paraId="2FF50803">
                  <w:pPr>
                    <w:spacing w:before="120" w:line="187" w:lineRule="auto"/>
                    <w:ind w:left="66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520" w:type="dxa"/>
                  <w:shd w:val="clear" w:color="auto" w:fill="auto"/>
                  <w:vAlign w:val="top"/>
                </w:tcPr>
                <w:p w14:paraId="012FE1E7">
                  <w:pPr>
                    <w:spacing w:before="120" w:line="187" w:lineRule="auto"/>
                    <w:ind w:left="65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r>
            <w:tr w14:paraId="6D2D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4D2013C0">
                  <w:pPr>
                    <w:spacing w:before="114"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22</w:t>
                  </w:r>
                </w:p>
              </w:tc>
              <w:tc>
                <w:tcPr>
                  <w:tcW w:w="2695" w:type="dxa"/>
                  <w:shd w:val="clear" w:color="auto" w:fill="auto"/>
                  <w:vAlign w:val="top"/>
                </w:tcPr>
                <w:p w14:paraId="129D46B7">
                  <w:pPr>
                    <w:pStyle w:val="97"/>
                    <w:spacing w:before="84"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23486DCF">
                  <w:pPr>
                    <w:spacing w:before="117" w:line="233" w:lineRule="auto"/>
                    <w:ind w:left="6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60*50*20cm</w:t>
                  </w:r>
                </w:p>
              </w:tc>
              <w:tc>
                <w:tcPr>
                  <w:tcW w:w="1553" w:type="dxa"/>
                  <w:shd w:val="clear" w:color="auto" w:fill="auto"/>
                  <w:vAlign w:val="top"/>
                </w:tcPr>
                <w:p w14:paraId="32E1E597">
                  <w:pPr>
                    <w:spacing w:before="121" w:line="187" w:lineRule="auto"/>
                    <w:ind w:left="66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520" w:type="dxa"/>
                  <w:shd w:val="clear" w:color="auto" w:fill="auto"/>
                  <w:vAlign w:val="top"/>
                </w:tcPr>
                <w:p w14:paraId="21811BC6">
                  <w:pPr>
                    <w:spacing w:before="121" w:line="187" w:lineRule="auto"/>
                    <w:ind w:left="61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r>
            <w:tr w14:paraId="097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69" w:type="dxa"/>
                  <w:shd w:val="clear" w:color="auto" w:fill="auto"/>
                  <w:vAlign w:val="top"/>
                </w:tcPr>
                <w:p w14:paraId="7C193F4A">
                  <w:pPr>
                    <w:spacing w:before="115" w:line="187" w:lineRule="auto"/>
                    <w:ind w:left="337"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23</w:t>
                  </w:r>
                </w:p>
              </w:tc>
              <w:tc>
                <w:tcPr>
                  <w:tcW w:w="2695" w:type="dxa"/>
                  <w:shd w:val="clear" w:color="auto" w:fill="auto"/>
                  <w:vAlign w:val="top"/>
                </w:tcPr>
                <w:p w14:paraId="30CF1C89">
                  <w:pPr>
                    <w:pStyle w:val="97"/>
                    <w:spacing w:before="85"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29ACBEAC">
                  <w:pPr>
                    <w:spacing w:before="119" w:line="233" w:lineRule="auto"/>
                    <w:ind w:left="6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60*50*20cm</w:t>
                  </w:r>
                </w:p>
              </w:tc>
              <w:tc>
                <w:tcPr>
                  <w:tcW w:w="1553" w:type="dxa"/>
                  <w:shd w:val="clear" w:color="auto" w:fill="auto"/>
                  <w:vAlign w:val="top"/>
                </w:tcPr>
                <w:p w14:paraId="03CDA079">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22359407">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bl>
          <w:p w14:paraId="0511E599">
            <w:pPr>
              <w:spacing w:before="82" w:line="234" w:lineRule="auto"/>
              <w:ind w:left="2810"/>
              <w:rPr>
                <w:rFonts w:ascii="宋体" w:hAnsi="宋体" w:eastAsia="宋体" w:cs="宋体"/>
                <w:color w:val="auto"/>
                <w:sz w:val="21"/>
                <w:szCs w:val="21"/>
              </w:rPr>
            </w:pPr>
            <w:r>
              <w:rPr>
                <w:rFonts w:ascii="宋体" w:hAnsi="宋体" w:eastAsia="宋体" w:cs="宋体"/>
                <w:b/>
                <w:bCs/>
                <w:color w:val="auto"/>
                <w:spacing w:val="-2"/>
                <w:sz w:val="21"/>
                <w:szCs w:val="21"/>
              </w:rPr>
              <w:t>十、滚镀锌</w:t>
            </w:r>
            <w:r>
              <w:rPr>
                <w:rFonts w:ascii="Times New Roman" w:hAnsi="Times New Roman" w:eastAsia="Times New Roman" w:cs="Times New Roman"/>
                <w:b/>
                <w:bCs/>
                <w:color w:val="auto"/>
                <w:spacing w:val="-2"/>
                <w:sz w:val="21"/>
                <w:szCs w:val="21"/>
              </w:rPr>
              <w:t>/</w:t>
            </w:r>
            <w:r>
              <w:rPr>
                <w:rFonts w:ascii="宋体" w:hAnsi="宋体" w:eastAsia="宋体" w:cs="宋体"/>
                <w:b/>
                <w:bCs/>
                <w:color w:val="auto"/>
                <w:spacing w:val="-2"/>
                <w:sz w:val="21"/>
                <w:szCs w:val="21"/>
              </w:rPr>
              <w:t>锌镍合金线（</w:t>
            </w:r>
            <w:r>
              <w:rPr>
                <w:rFonts w:ascii="Times New Roman" w:hAnsi="Times New Roman" w:eastAsia="Times New Roman" w:cs="Times New Roman"/>
                <w:b/>
                <w:bCs/>
                <w:color w:val="auto"/>
                <w:spacing w:val="-2"/>
                <w:sz w:val="21"/>
                <w:szCs w:val="21"/>
              </w:rPr>
              <w:t>4</w:t>
            </w:r>
            <w:r>
              <w:rPr>
                <w:rFonts w:ascii="宋体" w:hAnsi="宋体" w:eastAsia="宋体" w:cs="宋体"/>
                <w:b/>
                <w:bCs/>
                <w:color w:val="auto"/>
                <w:spacing w:val="-2"/>
                <w:sz w:val="21"/>
                <w:szCs w:val="21"/>
              </w:rPr>
              <w:t>条）</w:t>
            </w:r>
          </w:p>
          <w:p w14:paraId="1385D519">
            <w:pPr>
              <w:spacing w:line="21" w:lineRule="exact"/>
              <w:rPr>
                <w:color w:val="auto"/>
              </w:rPr>
            </w:pP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608F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514" w:type="pct"/>
                  <w:vAlign w:val="top"/>
                </w:tcPr>
                <w:p w14:paraId="5141444E">
                  <w:pPr>
                    <w:spacing w:before="116"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7D0B4C92">
                  <w:pPr>
                    <w:pStyle w:val="97"/>
                    <w:spacing w:before="86" w:line="221" w:lineRule="auto"/>
                    <w:ind w:left="614"/>
                    <w:rPr>
                      <w:color w:val="auto"/>
                      <w:sz w:val="21"/>
                      <w:szCs w:val="21"/>
                    </w:rPr>
                  </w:pPr>
                  <w:r>
                    <w:rPr>
                      <w:color w:val="auto"/>
                      <w:spacing w:val="-1"/>
                      <w:sz w:val="21"/>
                      <w:szCs w:val="21"/>
                    </w:rPr>
                    <w:t>超声波除油槽</w:t>
                  </w:r>
                </w:p>
              </w:tc>
              <w:tc>
                <w:tcPr>
                  <w:tcW w:w="1370" w:type="pct"/>
                  <w:vAlign w:val="top"/>
                </w:tcPr>
                <w:p w14:paraId="7518FC98">
                  <w:pPr>
                    <w:spacing w:before="119" w:line="233" w:lineRule="auto"/>
                    <w:ind w:left="62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8" w:type="pct"/>
                  <w:vAlign w:val="top"/>
                </w:tcPr>
                <w:p w14:paraId="35BF2C62">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6884FDC2">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E08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EFECFD2">
                  <w:pPr>
                    <w:spacing w:before="111"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479DD79B">
                  <w:pPr>
                    <w:pStyle w:val="97"/>
                    <w:spacing w:before="81" w:line="221" w:lineRule="auto"/>
                    <w:ind w:left="932"/>
                    <w:rPr>
                      <w:color w:val="auto"/>
                      <w:sz w:val="21"/>
                      <w:szCs w:val="21"/>
                    </w:rPr>
                  </w:pPr>
                  <w:r>
                    <w:rPr>
                      <w:color w:val="auto"/>
                      <w:spacing w:val="-2"/>
                      <w:sz w:val="21"/>
                      <w:szCs w:val="21"/>
                    </w:rPr>
                    <w:t>水洗槽</w:t>
                  </w:r>
                </w:p>
              </w:tc>
              <w:tc>
                <w:tcPr>
                  <w:tcW w:w="1370" w:type="pct"/>
                  <w:vAlign w:val="top"/>
                </w:tcPr>
                <w:p w14:paraId="64225335">
                  <w:pPr>
                    <w:spacing w:before="115"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04148A25">
                  <w:pPr>
                    <w:spacing w:before="118"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0288F030">
                  <w:pPr>
                    <w:spacing w:before="118"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4AD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4" w:type="pct"/>
                  <w:vAlign w:val="top"/>
                </w:tcPr>
                <w:p w14:paraId="7E291D7E">
                  <w:pPr>
                    <w:spacing w:before="111"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1FDA14F2">
                  <w:pPr>
                    <w:pStyle w:val="97"/>
                    <w:spacing w:before="82" w:line="221" w:lineRule="auto"/>
                    <w:ind w:left="930"/>
                    <w:rPr>
                      <w:color w:val="auto"/>
                      <w:sz w:val="21"/>
                      <w:szCs w:val="21"/>
                    </w:rPr>
                  </w:pPr>
                  <w:r>
                    <w:rPr>
                      <w:color w:val="auto"/>
                      <w:spacing w:val="-2"/>
                      <w:sz w:val="21"/>
                      <w:szCs w:val="21"/>
                    </w:rPr>
                    <w:t>酸洗槽</w:t>
                  </w:r>
                </w:p>
              </w:tc>
              <w:tc>
                <w:tcPr>
                  <w:tcW w:w="1370" w:type="pct"/>
                  <w:vAlign w:val="top"/>
                </w:tcPr>
                <w:p w14:paraId="717C4CE8">
                  <w:pPr>
                    <w:spacing w:before="115"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092C7EF9">
                  <w:pPr>
                    <w:spacing w:before="118"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3B4B3A59">
                  <w:pPr>
                    <w:spacing w:before="118"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D2E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70F72BC">
                  <w:pPr>
                    <w:spacing w:before="113"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50EA6DBB">
                  <w:pPr>
                    <w:pStyle w:val="97"/>
                    <w:spacing w:before="84" w:line="221" w:lineRule="auto"/>
                    <w:ind w:left="932"/>
                    <w:rPr>
                      <w:color w:val="auto"/>
                      <w:sz w:val="21"/>
                      <w:szCs w:val="21"/>
                    </w:rPr>
                  </w:pPr>
                  <w:r>
                    <w:rPr>
                      <w:color w:val="auto"/>
                      <w:spacing w:val="-2"/>
                      <w:sz w:val="21"/>
                      <w:szCs w:val="21"/>
                    </w:rPr>
                    <w:t>水洗槽</w:t>
                  </w:r>
                </w:p>
              </w:tc>
              <w:tc>
                <w:tcPr>
                  <w:tcW w:w="1370" w:type="pct"/>
                  <w:vAlign w:val="top"/>
                </w:tcPr>
                <w:p w14:paraId="5CBF25DA">
                  <w:pPr>
                    <w:spacing w:before="117"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741D7076">
                  <w:pPr>
                    <w:spacing w:before="12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16C3223D">
                  <w:pPr>
                    <w:spacing w:before="120"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2C25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61E9909">
                  <w:pPr>
                    <w:spacing w:before="117"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5DE166C9">
                  <w:pPr>
                    <w:pStyle w:val="97"/>
                    <w:spacing w:before="82" w:line="221" w:lineRule="auto"/>
                    <w:ind w:left="614"/>
                    <w:rPr>
                      <w:color w:val="auto"/>
                      <w:sz w:val="21"/>
                      <w:szCs w:val="21"/>
                    </w:rPr>
                  </w:pPr>
                  <w:r>
                    <w:rPr>
                      <w:color w:val="auto"/>
                      <w:spacing w:val="-1"/>
                      <w:sz w:val="21"/>
                      <w:szCs w:val="21"/>
                    </w:rPr>
                    <w:t>超声波去灰槽</w:t>
                  </w:r>
                </w:p>
              </w:tc>
              <w:tc>
                <w:tcPr>
                  <w:tcW w:w="1370" w:type="pct"/>
                  <w:vAlign w:val="top"/>
                </w:tcPr>
                <w:p w14:paraId="03321709">
                  <w:pPr>
                    <w:spacing w:before="115" w:line="233" w:lineRule="auto"/>
                    <w:ind w:left="62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8" w:type="pct"/>
                  <w:vAlign w:val="top"/>
                </w:tcPr>
                <w:p w14:paraId="72064783">
                  <w:pPr>
                    <w:spacing w:before="119"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1500125">
                  <w:pPr>
                    <w:spacing w:before="119"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41E8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A04DA11">
                  <w:pPr>
                    <w:spacing w:before="114"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1BAE2806">
                  <w:pPr>
                    <w:pStyle w:val="97"/>
                    <w:spacing w:before="82" w:line="221" w:lineRule="auto"/>
                    <w:ind w:left="930"/>
                    <w:rPr>
                      <w:color w:val="auto"/>
                      <w:sz w:val="21"/>
                      <w:szCs w:val="21"/>
                    </w:rPr>
                  </w:pPr>
                  <w:r>
                    <w:rPr>
                      <w:color w:val="auto"/>
                      <w:spacing w:val="-2"/>
                      <w:sz w:val="21"/>
                      <w:szCs w:val="21"/>
                    </w:rPr>
                    <w:t>酸洗槽</w:t>
                  </w:r>
                </w:p>
              </w:tc>
              <w:tc>
                <w:tcPr>
                  <w:tcW w:w="1370" w:type="pct"/>
                  <w:vAlign w:val="top"/>
                </w:tcPr>
                <w:p w14:paraId="2B9E698F">
                  <w:pPr>
                    <w:spacing w:before="116"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406391B8">
                  <w:pPr>
                    <w:spacing w:before="119"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999CA18">
                  <w:pPr>
                    <w:spacing w:before="119"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6A8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30D66D95">
                  <w:pPr>
                    <w:spacing w:before="117" w:line="184"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4" w:type="pct"/>
                  <w:vAlign w:val="top"/>
                </w:tcPr>
                <w:p w14:paraId="5A545CE6">
                  <w:pPr>
                    <w:pStyle w:val="97"/>
                    <w:spacing w:before="83" w:line="221" w:lineRule="auto"/>
                    <w:ind w:left="932"/>
                    <w:rPr>
                      <w:color w:val="auto"/>
                      <w:sz w:val="21"/>
                      <w:szCs w:val="21"/>
                    </w:rPr>
                  </w:pPr>
                  <w:r>
                    <w:rPr>
                      <w:color w:val="auto"/>
                      <w:spacing w:val="-2"/>
                      <w:sz w:val="21"/>
                      <w:szCs w:val="21"/>
                    </w:rPr>
                    <w:t>水洗槽</w:t>
                  </w:r>
                </w:p>
              </w:tc>
              <w:tc>
                <w:tcPr>
                  <w:tcW w:w="1370" w:type="pct"/>
                  <w:vAlign w:val="top"/>
                </w:tcPr>
                <w:p w14:paraId="7C10E62F">
                  <w:pPr>
                    <w:spacing w:before="116"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65FEFD75">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292DE7EF">
                  <w:pPr>
                    <w:spacing w:before="119"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331A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3C4FBE26">
                  <w:pPr>
                    <w:spacing w:before="115" w:line="187" w:lineRule="auto"/>
                    <w:ind w:left="39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4" w:type="pct"/>
                  <w:vAlign w:val="top"/>
                </w:tcPr>
                <w:p w14:paraId="1FBFD584">
                  <w:pPr>
                    <w:pStyle w:val="97"/>
                    <w:spacing w:before="83" w:line="221" w:lineRule="auto"/>
                    <w:ind w:left="614"/>
                    <w:rPr>
                      <w:color w:val="auto"/>
                      <w:sz w:val="21"/>
                      <w:szCs w:val="21"/>
                    </w:rPr>
                  </w:pPr>
                  <w:r>
                    <w:rPr>
                      <w:color w:val="auto"/>
                      <w:spacing w:val="-1"/>
                      <w:sz w:val="21"/>
                      <w:szCs w:val="21"/>
                    </w:rPr>
                    <w:t>超声波去灰槽</w:t>
                  </w:r>
                </w:p>
              </w:tc>
              <w:tc>
                <w:tcPr>
                  <w:tcW w:w="1370" w:type="pct"/>
                  <w:vAlign w:val="top"/>
                </w:tcPr>
                <w:p w14:paraId="58AC6C3E">
                  <w:pPr>
                    <w:spacing w:before="116" w:line="233" w:lineRule="auto"/>
                    <w:ind w:left="62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8" w:type="pct"/>
                  <w:vAlign w:val="top"/>
                </w:tcPr>
                <w:p w14:paraId="52A9CE76">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3D49C974">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607A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DCE8C2A">
                  <w:pPr>
                    <w:spacing w:before="112"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4" w:type="pct"/>
                  <w:vAlign w:val="top"/>
                </w:tcPr>
                <w:p w14:paraId="464833DA">
                  <w:pPr>
                    <w:pStyle w:val="97"/>
                    <w:spacing w:before="83" w:line="221" w:lineRule="auto"/>
                    <w:ind w:left="932"/>
                    <w:rPr>
                      <w:color w:val="auto"/>
                      <w:sz w:val="21"/>
                      <w:szCs w:val="21"/>
                    </w:rPr>
                  </w:pPr>
                  <w:r>
                    <w:rPr>
                      <w:color w:val="auto"/>
                      <w:spacing w:val="-2"/>
                      <w:sz w:val="21"/>
                      <w:szCs w:val="21"/>
                    </w:rPr>
                    <w:t>水洗槽</w:t>
                  </w:r>
                </w:p>
              </w:tc>
              <w:tc>
                <w:tcPr>
                  <w:tcW w:w="1370" w:type="pct"/>
                  <w:vAlign w:val="top"/>
                </w:tcPr>
                <w:p w14:paraId="5D9D800E">
                  <w:pPr>
                    <w:spacing w:before="116"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29E273CA">
                  <w:pPr>
                    <w:spacing w:before="12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2CCDB609">
                  <w:pPr>
                    <w:spacing w:before="120"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B50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CC0A85B">
                  <w:pPr>
                    <w:spacing w:before="113"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4" w:type="pct"/>
                  <w:vAlign w:val="top"/>
                </w:tcPr>
                <w:p w14:paraId="629C43BC">
                  <w:pPr>
                    <w:pStyle w:val="97"/>
                    <w:spacing w:before="83" w:line="221" w:lineRule="auto"/>
                    <w:ind w:left="933"/>
                    <w:rPr>
                      <w:color w:val="auto"/>
                      <w:sz w:val="21"/>
                      <w:szCs w:val="21"/>
                    </w:rPr>
                  </w:pPr>
                  <w:r>
                    <w:rPr>
                      <w:color w:val="auto"/>
                      <w:spacing w:val="-3"/>
                      <w:sz w:val="21"/>
                      <w:szCs w:val="21"/>
                    </w:rPr>
                    <w:t>活化槽</w:t>
                  </w:r>
                </w:p>
              </w:tc>
              <w:tc>
                <w:tcPr>
                  <w:tcW w:w="1370" w:type="pct"/>
                  <w:vAlign w:val="top"/>
                </w:tcPr>
                <w:p w14:paraId="03663BF4">
                  <w:pPr>
                    <w:spacing w:before="116"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5DE129D4">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52519515">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132D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27792C05">
                  <w:pPr>
                    <w:spacing w:before="113"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4" w:type="pct"/>
                  <w:vAlign w:val="top"/>
                </w:tcPr>
                <w:p w14:paraId="1BCFC615">
                  <w:pPr>
                    <w:pStyle w:val="97"/>
                    <w:spacing w:before="83" w:line="221" w:lineRule="auto"/>
                    <w:ind w:left="932"/>
                    <w:rPr>
                      <w:color w:val="auto"/>
                      <w:sz w:val="21"/>
                      <w:szCs w:val="21"/>
                    </w:rPr>
                  </w:pPr>
                  <w:r>
                    <w:rPr>
                      <w:color w:val="auto"/>
                      <w:spacing w:val="-2"/>
                      <w:sz w:val="21"/>
                      <w:szCs w:val="21"/>
                    </w:rPr>
                    <w:t>水洗槽</w:t>
                  </w:r>
                </w:p>
              </w:tc>
              <w:tc>
                <w:tcPr>
                  <w:tcW w:w="1370" w:type="pct"/>
                  <w:vAlign w:val="top"/>
                </w:tcPr>
                <w:p w14:paraId="752D718D">
                  <w:pPr>
                    <w:spacing w:before="117" w:line="233" w:lineRule="auto"/>
                    <w:ind w:left="6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60*50*20cm</w:t>
                  </w:r>
                </w:p>
              </w:tc>
              <w:tc>
                <w:tcPr>
                  <w:tcW w:w="838" w:type="pct"/>
                  <w:vAlign w:val="top"/>
                </w:tcPr>
                <w:p w14:paraId="5B62B394">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7FC87ABD">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5593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D425C43">
                  <w:pPr>
                    <w:spacing w:before="113"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4" w:type="pct"/>
                  <w:vAlign w:val="top"/>
                </w:tcPr>
                <w:p w14:paraId="62C6D7D2">
                  <w:pPr>
                    <w:pStyle w:val="97"/>
                    <w:spacing w:before="84" w:line="221" w:lineRule="auto"/>
                    <w:ind w:left="614"/>
                    <w:rPr>
                      <w:color w:val="auto"/>
                      <w:sz w:val="21"/>
                      <w:szCs w:val="21"/>
                    </w:rPr>
                  </w:pPr>
                  <w:r>
                    <w:rPr>
                      <w:color w:val="auto"/>
                      <w:spacing w:val="-1"/>
                      <w:sz w:val="21"/>
                      <w:szCs w:val="21"/>
                    </w:rPr>
                    <w:t>超声波水洗槽</w:t>
                  </w:r>
                </w:p>
              </w:tc>
              <w:tc>
                <w:tcPr>
                  <w:tcW w:w="1370" w:type="pct"/>
                  <w:vAlign w:val="top"/>
                </w:tcPr>
                <w:p w14:paraId="0D0D5FA7">
                  <w:pPr>
                    <w:spacing w:before="117" w:line="233" w:lineRule="auto"/>
                    <w:ind w:left="62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50*40*40cm</w:t>
                  </w:r>
                </w:p>
              </w:tc>
              <w:tc>
                <w:tcPr>
                  <w:tcW w:w="838" w:type="pct"/>
                  <w:vAlign w:val="top"/>
                </w:tcPr>
                <w:p w14:paraId="1C60287F">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698BF3D8">
                  <w:pPr>
                    <w:spacing w:before="120"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201B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06248032">
                  <w:pPr>
                    <w:spacing w:before="113"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4" w:type="pct"/>
                  <w:vAlign w:val="top"/>
                </w:tcPr>
                <w:p w14:paraId="0F256135">
                  <w:pPr>
                    <w:pStyle w:val="97"/>
                    <w:spacing w:before="84" w:line="220" w:lineRule="auto"/>
                    <w:ind w:left="929"/>
                    <w:rPr>
                      <w:color w:val="auto"/>
                      <w:sz w:val="21"/>
                      <w:szCs w:val="21"/>
                    </w:rPr>
                  </w:pPr>
                  <w:r>
                    <w:rPr>
                      <w:color w:val="auto"/>
                      <w:spacing w:val="-1"/>
                      <w:sz w:val="21"/>
                      <w:szCs w:val="21"/>
                    </w:rPr>
                    <w:t>镀锌槽</w:t>
                  </w:r>
                </w:p>
              </w:tc>
              <w:tc>
                <w:tcPr>
                  <w:tcW w:w="1370" w:type="pct"/>
                  <w:vAlign w:val="top"/>
                </w:tcPr>
                <w:p w14:paraId="48C84B33">
                  <w:pPr>
                    <w:spacing w:before="117"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110*240*65cm</w:t>
                  </w:r>
                </w:p>
              </w:tc>
              <w:tc>
                <w:tcPr>
                  <w:tcW w:w="838" w:type="pct"/>
                  <w:vAlign w:val="top"/>
                </w:tcPr>
                <w:p w14:paraId="006DA436">
                  <w:pPr>
                    <w:spacing w:before="12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00D935B2">
                  <w:pPr>
                    <w:spacing w:before="120"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374B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612D2EF0">
                  <w:pPr>
                    <w:spacing w:before="114"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1454" w:type="pct"/>
                  <w:vAlign w:val="top"/>
                </w:tcPr>
                <w:p w14:paraId="0A6DD95B">
                  <w:pPr>
                    <w:pStyle w:val="97"/>
                    <w:spacing w:before="84" w:line="221" w:lineRule="auto"/>
                    <w:ind w:left="950"/>
                    <w:rPr>
                      <w:color w:val="auto"/>
                      <w:sz w:val="21"/>
                      <w:szCs w:val="21"/>
                    </w:rPr>
                  </w:pPr>
                  <w:r>
                    <w:rPr>
                      <w:color w:val="auto"/>
                      <w:spacing w:val="-9"/>
                      <w:sz w:val="21"/>
                      <w:szCs w:val="21"/>
                    </w:rPr>
                    <w:t>回收槽</w:t>
                  </w:r>
                </w:p>
              </w:tc>
              <w:tc>
                <w:tcPr>
                  <w:tcW w:w="1370" w:type="pct"/>
                  <w:vAlign w:val="top"/>
                </w:tcPr>
                <w:p w14:paraId="04C77FF3">
                  <w:pPr>
                    <w:spacing w:before="118"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5FAA1C87">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54322503">
                  <w:pPr>
                    <w:spacing w:before="121"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066B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4" w:type="pct"/>
                  <w:vAlign w:val="top"/>
                </w:tcPr>
                <w:p w14:paraId="0A2DEFFE">
                  <w:pPr>
                    <w:spacing w:before="114"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c>
                <w:tcPr>
                  <w:tcW w:w="1454" w:type="pct"/>
                  <w:vAlign w:val="top"/>
                </w:tcPr>
                <w:p w14:paraId="73FE43B3">
                  <w:pPr>
                    <w:pStyle w:val="97"/>
                    <w:spacing w:before="85" w:line="221" w:lineRule="auto"/>
                    <w:ind w:left="932"/>
                    <w:rPr>
                      <w:color w:val="auto"/>
                      <w:sz w:val="21"/>
                      <w:szCs w:val="21"/>
                    </w:rPr>
                  </w:pPr>
                  <w:r>
                    <w:rPr>
                      <w:color w:val="auto"/>
                      <w:spacing w:val="-2"/>
                      <w:sz w:val="21"/>
                      <w:szCs w:val="21"/>
                    </w:rPr>
                    <w:t>水洗槽</w:t>
                  </w:r>
                </w:p>
              </w:tc>
              <w:tc>
                <w:tcPr>
                  <w:tcW w:w="1370" w:type="pct"/>
                  <w:vAlign w:val="top"/>
                </w:tcPr>
                <w:p w14:paraId="062001B1">
                  <w:pPr>
                    <w:spacing w:before="118"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56A0FD43">
                  <w:pPr>
                    <w:spacing w:before="121"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2389947B">
                  <w:pPr>
                    <w:spacing w:before="121"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25CC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40EDFA4">
                  <w:pPr>
                    <w:spacing w:before="116"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16</w:t>
                  </w:r>
                </w:p>
              </w:tc>
              <w:tc>
                <w:tcPr>
                  <w:tcW w:w="1454" w:type="pct"/>
                  <w:vAlign w:val="top"/>
                </w:tcPr>
                <w:p w14:paraId="0E6866C0">
                  <w:pPr>
                    <w:pStyle w:val="97"/>
                    <w:spacing w:before="87" w:line="221" w:lineRule="auto"/>
                    <w:ind w:left="933"/>
                    <w:rPr>
                      <w:color w:val="auto"/>
                      <w:sz w:val="21"/>
                      <w:szCs w:val="21"/>
                    </w:rPr>
                  </w:pPr>
                  <w:r>
                    <w:rPr>
                      <w:color w:val="auto"/>
                      <w:spacing w:val="-3"/>
                      <w:sz w:val="21"/>
                      <w:szCs w:val="21"/>
                    </w:rPr>
                    <w:t>活化槽</w:t>
                  </w:r>
                </w:p>
              </w:tc>
              <w:tc>
                <w:tcPr>
                  <w:tcW w:w="1370" w:type="pct"/>
                  <w:vAlign w:val="top"/>
                </w:tcPr>
                <w:p w14:paraId="0E216E13">
                  <w:pPr>
                    <w:spacing w:before="120"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38A74BA9">
                  <w:pPr>
                    <w:spacing w:before="124"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7D87E193">
                  <w:pPr>
                    <w:spacing w:before="124"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529A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91513B0">
                  <w:pPr>
                    <w:spacing w:before="116"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17</w:t>
                  </w:r>
                </w:p>
              </w:tc>
              <w:tc>
                <w:tcPr>
                  <w:tcW w:w="1454" w:type="pct"/>
                  <w:vAlign w:val="top"/>
                </w:tcPr>
                <w:p w14:paraId="78BDD5A8">
                  <w:pPr>
                    <w:pStyle w:val="97"/>
                    <w:spacing w:before="85" w:line="221" w:lineRule="auto"/>
                    <w:ind w:left="932"/>
                    <w:rPr>
                      <w:color w:val="auto"/>
                      <w:sz w:val="21"/>
                      <w:szCs w:val="21"/>
                    </w:rPr>
                  </w:pPr>
                  <w:r>
                    <w:rPr>
                      <w:color w:val="auto"/>
                      <w:spacing w:val="-2"/>
                      <w:sz w:val="21"/>
                      <w:szCs w:val="21"/>
                    </w:rPr>
                    <w:t>水洗槽</w:t>
                  </w:r>
                </w:p>
              </w:tc>
              <w:tc>
                <w:tcPr>
                  <w:tcW w:w="1370" w:type="pct"/>
                  <w:vAlign w:val="top"/>
                </w:tcPr>
                <w:p w14:paraId="260CB1E6">
                  <w:pPr>
                    <w:spacing w:before="118"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0808D5B7">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71ED882">
                  <w:pPr>
                    <w:spacing w:before="121"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2361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B45177D">
                  <w:pPr>
                    <w:spacing w:before="117"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18</w:t>
                  </w:r>
                </w:p>
              </w:tc>
              <w:tc>
                <w:tcPr>
                  <w:tcW w:w="1454" w:type="pct"/>
                  <w:vAlign w:val="top"/>
                </w:tcPr>
                <w:p w14:paraId="4EB714E9">
                  <w:pPr>
                    <w:pStyle w:val="97"/>
                    <w:spacing w:before="85" w:line="221" w:lineRule="auto"/>
                    <w:ind w:left="614"/>
                    <w:rPr>
                      <w:color w:val="auto"/>
                      <w:sz w:val="21"/>
                      <w:szCs w:val="21"/>
                    </w:rPr>
                  </w:pPr>
                  <w:r>
                    <w:rPr>
                      <w:color w:val="auto"/>
                      <w:spacing w:val="-1"/>
                      <w:sz w:val="21"/>
                      <w:szCs w:val="21"/>
                    </w:rPr>
                    <w:t>超声波水洗槽</w:t>
                  </w:r>
                </w:p>
              </w:tc>
              <w:tc>
                <w:tcPr>
                  <w:tcW w:w="1370" w:type="pct"/>
                  <w:vAlign w:val="top"/>
                </w:tcPr>
                <w:p w14:paraId="71351889">
                  <w:pPr>
                    <w:spacing w:before="118"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7346C62F">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6E91CA14">
                  <w:pPr>
                    <w:spacing w:before="12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436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9FBB903">
                  <w:pPr>
                    <w:spacing w:before="117"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454" w:type="pct"/>
                  <w:vAlign w:val="top"/>
                </w:tcPr>
                <w:p w14:paraId="5F1FF35E">
                  <w:pPr>
                    <w:pStyle w:val="97"/>
                    <w:spacing w:before="85" w:line="220" w:lineRule="auto"/>
                    <w:ind w:left="826"/>
                    <w:rPr>
                      <w:color w:val="auto"/>
                      <w:sz w:val="21"/>
                      <w:szCs w:val="21"/>
                    </w:rPr>
                  </w:pPr>
                  <w:r>
                    <w:rPr>
                      <w:color w:val="auto"/>
                      <w:spacing w:val="-1"/>
                      <w:sz w:val="21"/>
                      <w:szCs w:val="21"/>
                    </w:rPr>
                    <w:t>镀锌镍槽</w:t>
                  </w:r>
                </w:p>
              </w:tc>
              <w:tc>
                <w:tcPr>
                  <w:tcW w:w="1370" w:type="pct"/>
                  <w:vAlign w:val="top"/>
                </w:tcPr>
                <w:p w14:paraId="17331AFF">
                  <w:pPr>
                    <w:spacing w:before="118" w:line="233"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110*240*65cm</w:t>
                  </w:r>
                </w:p>
              </w:tc>
              <w:tc>
                <w:tcPr>
                  <w:tcW w:w="838" w:type="pct"/>
                  <w:vAlign w:val="top"/>
                </w:tcPr>
                <w:p w14:paraId="5AD33C8D">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2E7CA262">
                  <w:pPr>
                    <w:spacing w:before="122"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00DF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FCAA58B">
                  <w:pPr>
                    <w:spacing w:before="117"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454" w:type="pct"/>
                  <w:vAlign w:val="top"/>
                </w:tcPr>
                <w:p w14:paraId="1DAA822E">
                  <w:pPr>
                    <w:pStyle w:val="97"/>
                    <w:spacing w:before="85" w:line="221" w:lineRule="auto"/>
                    <w:ind w:left="950"/>
                    <w:rPr>
                      <w:color w:val="auto"/>
                      <w:sz w:val="21"/>
                      <w:szCs w:val="21"/>
                    </w:rPr>
                  </w:pPr>
                  <w:r>
                    <w:rPr>
                      <w:color w:val="auto"/>
                      <w:spacing w:val="-9"/>
                      <w:sz w:val="21"/>
                      <w:szCs w:val="21"/>
                    </w:rPr>
                    <w:t>回收槽</w:t>
                  </w:r>
                </w:p>
              </w:tc>
              <w:tc>
                <w:tcPr>
                  <w:tcW w:w="1370" w:type="pct"/>
                  <w:vAlign w:val="top"/>
                </w:tcPr>
                <w:p w14:paraId="0D5E7060">
                  <w:pPr>
                    <w:spacing w:before="118"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4BEF49D6">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6B83323">
                  <w:pPr>
                    <w:spacing w:before="12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3BCD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9CED957">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21</w:t>
                  </w:r>
                </w:p>
              </w:tc>
              <w:tc>
                <w:tcPr>
                  <w:tcW w:w="1454" w:type="pct"/>
                  <w:vAlign w:val="top"/>
                </w:tcPr>
                <w:p w14:paraId="00419E4A">
                  <w:pPr>
                    <w:pStyle w:val="97"/>
                    <w:spacing w:before="85" w:line="221" w:lineRule="auto"/>
                    <w:ind w:left="932"/>
                    <w:rPr>
                      <w:color w:val="auto"/>
                      <w:sz w:val="21"/>
                      <w:szCs w:val="21"/>
                    </w:rPr>
                  </w:pPr>
                  <w:r>
                    <w:rPr>
                      <w:color w:val="auto"/>
                      <w:spacing w:val="-2"/>
                      <w:sz w:val="21"/>
                      <w:szCs w:val="21"/>
                    </w:rPr>
                    <w:t>水洗槽</w:t>
                  </w:r>
                </w:p>
              </w:tc>
              <w:tc>
                <w:tcPr>
                  <w:tcW w:w="1370" w:type="pct"/>
                  <w:vAlign w:val="top"/>
                </w:tcPr>
                <w:p w14:paraId="52F98597">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0F61C3CE">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13210C40">
                  <w:pPr>
                    <w:spacing w:before="122"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6A10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14" w:type="pct"/>
                  <w:vAlign w:val="top"/>
                </w:tcPr>
                <w:p w14:paraId="118662EA">
                  <w:pPr>
                    <w:spacing w:before="116"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22</w:t>
                  </w:r>
                </w:p>
              </w:tc>
              <w:tc>
                <w:tcPr>
                  <w:tcW w:w="1454" w:type="pct"/>
                  <w:vAlign w:val="top"/>
                </w:tcPr>
                <w:p w14:paraId="182AF586">
                  <w:pPr>
                    <w:pStyle w:val="97"/>
                    <w:spacing w:before="86" w:line="221" w:lineRule="auto"/>
                    <w:ind w:left="948"/>
                    <w:rPr>
                      <w:color w:val="auto"/>
                      <w:sz w:val="21"/>
                      <w:szCs w:val="21"/>
                    </w:rPr>
                  </w:pPr>
                  <w:r>
                    <w:rPr>
                      <w:color w:val="auto"/>
                      <w:spacing w:val="-6"/>
                      <w:sz w:val="21"/>
                      <w:szCs w:val="21"/>
                    </w:rPr>
                    <w:t>出光槽</w:t>
                  </w:r>
                </w:p>
              </w:tc>
              <w:tc>
                <w:tcPr>
                  <w:tcW w:w="1370" w:type="pct"/>
                  <w:vAlign w:val="top"/>
                </w:tcPr>
                <w:p w14:paraId="428160C7">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4C6E92D7">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49CE2290">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C81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9066C0C">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23</w:t>
                  </w:r>
                </w:p>
              </w:tc>
              <w:tc>
                <w:tcPr>
                  <w:tcW w:w="1454" w:type="pct"/>
                  <w:vAlign w:val="top"/>
                </w:tcPr>
                <w:p w14:paraId="458D5613">
                  <w:pPr>
                    <w:pStyle w:val="97"/>
                    <w:spacing w:before="85" w:line="221" w:lineRule="auto"/>
                    <w:ind w:left="932"/>
                    <w:rPr>
                      <w:color w:val="auto"/>
                      <w:sz w:val="21"/>
                      <w:szCs w:val="21"/>
                    </w:rPr>
                  </w:pPr>
                  <w:r>
                    <w:rPr>
                      <w:color w:val="auto"/>
                      <w:spacing w:val="-2"/>
                      <w:sz w:val="21"/>
                      <w:szCs w:val="21"/>
                    </w:rPr>
                    <w:t>水洗槽</w:t>
                  </w:r>
                </w:p>
              </w:tc>
              <w:tc>
                <w:tcPr>
                  <w:tcW w:w="1370" w:type="pct"/>
                  <w:vAlign w:val="top"/>
                </w:tcPr>
                <w:p w14:paraId="6EED70C3">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0A76FD57">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vAlign w:val="top"/>
                </w:tcPr>
                <w:p w14:paraId="3476D885">
                  <w:pPr>
                    <w:spacing w:before="122"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5414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0A5DE1B">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w:t>
                  </w:r>
                </w:p>
              </w:tc>
              <w:tc>
                <w:tcPr>
                  <w:tcW w:w="1454" w:type="pct"/>
                  <w:vAlign w:val="top"/>
                </w:tcPr>
                <w:p w14:paraId="56AE9307">
                  <w:pPr>
                    <w:pStyle w:val="97"/>
                    <w:spacing w:before="86" w:line="221" w:lineRule="auto"/>
                    <w:ind w:left="614"/>
                    <w:rPr>
                      <w:color w:val="auto"/>
                      <w:sz w:val="21"/>
                      <w:szCs w:val="21"/>
                    </w:rPr>
                  </w:pPr>
                  <w:r>
                    <w:rPr>
                      <w:color w:val="auto"/>
                      <w:spacing w:val="-1"/>
                      <w:sz w:val="21"/>
                      <w:szCs w:val="21"/>
                    </w:rPr>
                    <w:t>超声波水洗槽</w:t>
                  </w:r>
                </w:p>
              </w:tc>
              <w:tc>
                <w:tcPr>
                  <w:tcW w:w="1370" w:type="pct"/>
                  <w:vAlign w:val="top"/>
                </w:tcPr>
                <w:p w14:paraId="70592C32">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22DC627A">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588A8CDA">
                  <w:pPr>
                    <w:spacing w:before="12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0447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44B63E0E">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25</w:t>
                  </w:r>
                </w:p>
              </w:tc>
              <w:tc>
                <w:tcPr>
                  <w:tcW w:w="1454" w:type="pct"/>
                  <w:vAlign w:val="top"/>
                </w:tcPr>
                <w:p w14:paraId="6696CB15">
                  <w:pPr>
                    <w:pStyle w:val="97"/>
                    <w:spacing w:before="86" w:line="221" w:lineRule="auto"/>
                    <w:ind w:left="930"/>
                    <w:rPr>
                      <w:color w:val="auto"/>
                      <w:sz w:val="21"/>
                      <w:szCs w:val="21"/>
                    </w:rPr>
                  </w:pPr>
                  <w:r>
                    <w:rPr>
                      <w:color w:val="auto"/>
                      <w:spacing w:val="-2"/>
                      <w:sz w:val="21"/>
                      <w:szCs w:val="21"/>
                    </w:rPr>
                    <w:t>钝化槽</w:t>
                  </w:r>
                </w:p>
              </w:tc>
              <w:tc>
                <w:tcPr>
                  <w:tcW w:w="1370" w:type="pct"/>
                  <w:vAlign w:val="top"/>
                </w:tcPr>
                <w:p w14:paraId="67D5B498">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1ED4712B">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2AC1F9AF">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7AA5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F04C043">
                  <w:pPr>
                    <w:spacing w:before="115"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c>
                <w:tcPr>
                  <w:tcW w:w="1454" w:type="pct"/>
                  <w:vAlign w:val="top"/>
                </w:tcPr>
                <w:p w14:paraId="2B5F333C">
                  <w:pPr>
                    <w:pStyle w:val="97"/>
                    <w:spacing w:before="86" w:line="221" w:lineRule="auto"/>
                    <w:ind w:left="932"/>
                    <w:rPr>
                      <w:color w:val="auto"/>
                      <w:sz w:val="21"/>
                      <w:szCs w:val="21"/>
                    </w:rPr>
                  </w:pPr>
                  <w:r>
                    <w:rPr>
                      <w:color w:val="auto"/>
                      <w:spacing w:val="-2"/>
                      <w:sz w:val="21"/>
                      <w:szCs w:val="21"/>
                    </w:rPr>
                    <w:t>水洗槽</w:t>
                  </w:r>
                </w:p>
              </w:tc>
              <w:tc>
                <w:tcPr>
                  <w:tcW w:w="1370" w:type="pct"/>
                  <w:vAlign w:val="top"/>
                </w:tcPr>
                <w:p w14:paraId="52DDBD57">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5BE70F4F">
                  <w:pPr>
                    <w:spacing w:before="123" w:line="187" w:lineRule="auto"/>
                    <w:ind w:left="66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21" w:type="pct"/>
                  <w:vAlign w:val="top"/>
                </w:tcPr>
                <w:p w14:paraId="0EE50479">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r w14:paraId="0C32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4" w:type="pct"/>
                  <w:vAlign w:val="top"/>
                </w:tcPr>
                <w:p w14:paraId="37633A46">
                  <w:pPr>
                    <w:spacing w:before="116" w:line="187" w:lineRule="auto"/>
                    <w:ind w:left="33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27</w:t>
                  </w:r>
                </w:p>
              </w:tc>
              <w:tc>
                <w:tcPr>
                  <w:tcW w:w="1454" w:type="pct"/>
                  <w:vAlign w:val="top"/>
                </w:tcPr>
                <w:p w14:paraId="73206594">
                  <w:pPr>
                    <w:pStyle w:val="97"/>
                    <w:spacing w:before="86" w:line="221" w:lineRule="auto"/>
                    <w:ind w:left="831"/>
                    <w:rPr>
                      <w:color w:val="auto"/>
                      <w:sz w:val="21"/>
                      <w:szCs w:val="21"/>
                    </w:rPr>
                  </w:pPr>
                  <w:r>
                    <w:rPr>
                      <w:color w:val="auto"/>
                      <w:spacing w:val="-3"/>
                      <w:sz w:val="21"/>
                      <w:szCs w:val="21"/>
                    </w:rPr>
                    <w:t>热水洗槽</w:t>
                  </w:r>
                </w:p>
              </w:tc>
              <w:tc>
                <w:tcPr>
                  <w:tcW w:w="1370" w:type="pct"/>
                  <w:vAlign w:val="top"/>
                </w:tcPr>
                <w:p w14:paraId="66558F7D">
                  <w:pPr>
                    <w:spacing w:before="119" w:line="233" w:lineRule="auto"/>
                    <w:ind w:left="5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110*60*65cm</w:t>
                  </w:r>
                </w:p>
              </w:tc>
              <w:tc>
                <w:tcPr>
                  <w:tcW w:w="838" w:type="pct"/>
                  <w:vAlign w:val="top"/>
                </w:tcPr>
                <w:p w14:paraId="48794431">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74C19435">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bl>
          <w:p w14:paraId="5FDF2340">
            <w:pPr>
              <w:spacing w:before="84" w:line="220" w:lineRule="auto"/>
              <w:ind w:left="3050"/>
              <w:rPr>
                <w:rFonts w:ascii="宋体" w:hAnsi="宋体" w:eastAsia="宋体" w:cs="宋体"/>
                <w:color w:val="auto"/>
                <w:sz w:val="21"/>
                <w:szCs w:val="21"/>
              </w:rPr>
            </w:pPr>
            <w:r>
              <w:rPr>
                <w:rFonts w:ascii="宋体" w:hAnsi="宋体" w:eastAsia="宋体" w:cs="宋体"/>
                <w:b/>
                <w:bCs/>
                <w:color w:val="auto"/>
                <w:spacing w:val="-2"/>
                <w:sz w:val="21"/>
                <w:szCs w:val="21"/>
              </w:rPr>
              <w:t>十一、滚镀磷化线（</w:t>
            </w:r>
            <w:r>
              <w:rPr>
                <w:rFonts w:ascii="Times New Roman" w:hAnsi="Times New Roman" w:eastAsia="Times New Roman" w:cs="Times New Roman"/>
                <w:b/>
                <w:bCs/>
                <w:color w:val="auto"/>
                <w:spacing w:val="-2"/>
                <w:sz w:val="21"/>
                <w:szCs w:val="21"/>
              </w:rPr>
              <w:t>4</w:t>
            </w:r>
            <w:r>
              <w:rPr>
                <w:rFonts w:ascii="宋体" w:hAnsi="宋体" w:eastAsia="宋体" w:cs="宋体"/>
                <w:b/>
                <w:bCs/>
                <w:color w:val="auto"/>
                <w:spacing w:val="-2"/>
                <w:sz w:val="21"/>
                <w:szCs w:val="21"/>
              </w:rPr>
              <w:t>条）</w:t>
            </w:r>
          </w:p>
          <w:p w14:paraId="5669E55F">
            <w:pPr>
              <w:spacing w:line="34" w:lineRule="exact"/>
              <w:rPr>
                <w:color w:val="auto"/>
              </w:rPr>
            </w:pPr>
          </w:p>
          <w:tbl>
            <w:tblPr>
              <w:tblStyle w:val="75"/>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054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4B065698">
                  <w:pPr>
                    <w:spacing w:before="118"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748EEC7A">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2E1A12D3">
                  <w:pPr>
                    <w:spacing w:before="119" w:line="191" w:lineRule="auto"/>
                    <w:ind w:left="48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100*130*110cm</w:t>
                  </w:r>
                </w:p>
              </w:tc>
              <w:tc>
                <w:tcPr>
                  <w:tcW w:w="837" w:type="pct"/>
                  <w:vAlign w:val="top"/>
                </w:tcPr>
                <w:p w14:paraId="178C6DDA">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F122652">
                  <w:pPr>
                    <w:spacing w:before="123"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3F9F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522" w:type="pct"/>
                  <w:vAlign w:val="top"/>
                </w:tcPr>
                <w:p w14:paraId="07AE2142">
                  <w:pPr>
                    <w:spacing w:before="121"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1E8AFC49">
                  <w:pPr>
                    <w:pStyle w:val="97"/>
                    <w:spacing w:before="89" w:line="221" w:lineRule="auto"/>
                    <w:ind w:left="830"/>
                    <w:rPr>
                      <w:color w:val="auto"/>
                      <w:sz w:val="21"/>
                      <w:szCs w:val="21"/>
                    </w:rPr>
                  </w:pPr>
                  <w:r>
                    <w:rPr>
                      <w:color w:val="auto"/>
                      <w:spacing w:val="-3"/>
                      <w:sz w:val="21"/>
                      <w:szCs w:val="21"/>
                    </w:rPr>
                    <w:t>热水洗槽</w:t>
                  </w:r>
                </w:p>
              </w:tc>
              <w:tc>
                <w:tcPr>
                  <w:tcW w:w="1368" w:type="pct"/>
                  <w:vAlign w:val="top"/>
                </w:tcPr>
                <w:p w14:paraId="57EB760A">
                  <w:pPr>
                    <w:spacing w:before="122" w:line="191" w:lineRule="auto"/>
                    <w:ind w:left="5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80*130*110cm</w:t>
                  </w:r>
                </w:p>
              </w:tc>
              <w:tc>
                <w:tcPr>
                  <w:tcW w:w="837" w:type="pct"/>
                  <w:vAlign w:val="top"/>
                </w:tcPr>
                <w:p w14:paraId="1F3713AC">
                  <w:pPr>
                    <w:spacing w:before="126"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684C348">
                  <w:pPr>
                    <w:spacing w:before="126"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3446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522" w:type="pct"/>
                  <w:vAlign w:val="top"/>
                </w:tcPr>
                <w:p w14:paraId="06E070CC">
                  <w:pPr>
                    <w:spacing w:before="130"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5545A00D">
                  <w:pPr>
                    <w:pStyle w:val="97"/>
                    <w:spacing w:before="98" w:line="221" w:lineRule="auto"/>
                    <w:ind w:left="931"/>
                    <w:rPr>
                      <w:color w:val="auto"/>
                      <w:sz w:val="21"/>
                      <w:szCs w:val="21"/>
                    </w:rPr>
                  </w:pPr>
                  <w:r>
                    <w:rPr>
                      <w:color w:val="auto"/>
                      <w:spacing w:val="-3"/>
                      <w:sz w:val="21"/>
                      <w:szCs w:val="21"/>
                    </w:rPr>
                    <w:t>水洗槽</w:t>
                  </w:r>
                </w:p>
              </w:tc>
              <w:tc>
                <w:tcPr>
                  <w:tcW w:w="1368" w:type="pct"/>
                  <w:vAlign w:val="top"/>
                </w:tcPr>
                <w:p w14:paraId="333CB952">
                  <w:pPr>
                    <w:spacing w:before="131" w:line="191" w:lineRule="auto"/>
                    <w:ind w:left="52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80*130*110cm</w:t>
                  </w:r>
                </w:p>
              </w:tc>
              <w:tc>
                <w:tcPr>
                  <w:tcW w:w="837" w:type="pct"/>
                  <w:vAlign w:val="top"/>
                </w:tcPr>
                <w:p w14:paraId="597DEE17">
                  <w:pPr>
                    <w:spacing w:before="135"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21EDCB1A">
                  <w:pPr>
                    <w:spacing w:before="135"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r w14:paraId="07FA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522" w:type="pct"/>
                  <w:shd w:val="clear" w:color="auto" w:fill="auto"/>
                  <w:vAlign w:val="top"/>
                </w:tcPr>
                <w:p w14:paraId="3E4284FE">
                  <w:pPr>
                    <w:spacing w:before="118" w:line="187" w:lineRule="auto"/>
                    <w:ind w:left="389" w:leftChars="0"/>
                    <w:outlineLvl w:val="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c>
                <w:tcPr>
                  <w:tcW w:w="1452" w:type="pct"/>
                  <w:shd w:val="clear" w:color="auto" w:fill="auto"/>
                  <w:vAlign w:val="top"/>
                </w:tcPr>
                <w:p w14:paraId="5E9CEA7C">
                  <w:pPr>
                    <w:pStyle w:val="97"/>
                    <w:spacing w:before="86"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酸洗槽</w:t>
                  </w:r>
                </w:p>
              </w:tc>
              <w:tc>
                <w:tcPr>
                  <w:tcW w:w="1368" w:type="pct"/>
                  <w:shd w:val="clear" w:color="auto" w:fill="auto"/>
                  <w:vAlign w:val="top"/>
                </w:tcPr>
                <w:p w14:paraId="53201BBB">
                  <w:pPr>
                    <w:spacing w:before="118"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837" w:type="pct"/>
                  <w:shd w:val="clear" w:color="auto" w:fill="auto"/>
                  <w:vAlign w:val="top"/>
                </w:tcPr>
                <w:p w14:paraId="3F1604CA">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819" w:type="pct"/>
                  <w:shd w:val="clear" w:color="auto" w:fill="auto"/>
                  <w:vAlign w:val="top"/>
                </w:tcPr>
                <w:p w14:paraId="0D0854F4">
                  <w:pPr>
                    <w:spacing w:before="123"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4083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17E6ACD3">
                  <w:pPr>
                    <w:spacing w:before="114" w:line="184" w:lineRule="auto"/>
                    <w:ind w:left="39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2695" w:type="dxa"/>
                  <w:shd w:val="clear" w:color="auto" w:fill="auto"/>
                  <w:vAlign w:val="top"/>
                </w:tcPr>
                <w:p w14:paraId="035E2E11">
                  <w:pPr>
                    <w:pStyle w:val="97"/>
                    <w:spacing w:before="82"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7DADE825">
                  <w:pPr>
                    <w:spacing w:before="115"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35685100">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2787A65">
                  <w:pPr>
                    <w:spacing w:before="119"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526F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53D44E19">
                  <w:pPr>
                    <w:spacing w:before="112" w:line="187" w:lineRule="auto"/>
                    <w:ind w:left="3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c>
                <w:tcPr>
                  <w:tcW w:w="2695" w:type="dxa"/>
                  <w:shd w:val="clear" w:color="auto" w:fill="auto"/>
                  <w:vAlign w:val="top"/>
                </w:tcPr>
                <w:p w14:paraId="0FC0080E">
                  <w:pPr>
                    <w:pStyle w:val="97"/>
                    <w:spacing w:before="82" w:line="221" w:lineRule="auto"/>
                    <w:ind w:left="614" w:leftChars="0"/>
                    <w:rPr>
                      <w:rFonts w:ascii="宋体" w:hAnsi="宋体" w:eastAsia="宋体" w:cs="宋体"/>
                      <w:color w:val="auto"/>
                      <w:kern w:val="2"/>
                      <w:sz w:val="21"/>
                      <w:szCs w:val="21"/>
                      <w:lang w:val="en-US" w:eastAsia="en-US" w:bidi="ar-SA"/>
                    </w:rPr>
                  </w:pPr>
                  <w:r>
                    <w:rPr>
                      <w:color w:val="auto"/>
                      <w:spacing w:val="-1"/>
                      <w:sz w:val="21"/>
                      <w:szCs w:val="21"/>
                    </w:rPr>
                    <w:t>超声波清洗槽</w:t>
                  </w:r>
                </w:p>
              </w:tc>
              <w:tc>
                <w:tcPr>
                  <w:tcW w:w="2539" w:type="dxa"/>
                  <w:shd w:val="clear" w:color="auto" w:fill="auto"/>
                  <w:vAlign w:val="top"/>
                </w:tcPr>
                <w:p w14:paraId="25D0C4CD">
                  <w:pPr>
                    <w:spacing w:before="115" w:line="191" w:lineRule="auto"/>
                    <w:ind w:left="4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100*130*110cm</w:t>
                  </w:r>
                </w:p>
              </w:tc>
              <w:tc>
                <w:tcPr>
                  <w:tcW w:w="1553" w:type="dxa"/>
                  <w:shd w:val="clear" w:color="auto" w:fill="auto"/>
                  <w:vAlign w:val="top"/>
                </w:tcPr>
                <w:p w14:paraId="701411FD">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B457234">
                  <w:pPr>
                    <w:spacing w:before="119"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5704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35A5E29C">
                  <w:pPr>
                    <w:spacing w:before="115" w:line="184" w:lineRule="auto"/>
                    <w:ind w:left="39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7</w:t>
                  </w:r>
                </w:p>
              </w:tc>
              <w:tc>
                <w:tcPr>
                  <w:tcW w:w="2695" w:type="dxa"/>
                  <w:shd w:val="clear" w:color="auto" w:fill="auto"/>
                  <w:vAlign w:val="top"/>
                </w:tcPr>
                <w:p w14:paraId="164546CA">
                  <w:pPr>
                    <w:pStyle w:val="97"/>
                    <w:spacing w:before="82"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酸洗槽</w:t>
                  </w:r>
                </w:p>
              </w:tc>
              <w:tc>
                <w:tcPr>
                  <w:tcW w:w="2539" w:type="dxa"/>
                  <w:shd w:val="clear" w:color="auto" w:fill="auto"/>
                  <w:vAlign w:val="top"/>
                </w:tcPr>
                <w:p w14:paraId="2C54CD2E">
                  <w:pPr>
                    <w:spacing w:before="115"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35C2E275">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2DDF8FC">
                  <w:pPr>
                    <w:spacing w:before="119"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3741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4BACE003">
                  <w:pPr>
                    <w:spacing w:before="112" w:line="187" w:lineRule="auto"/>
                    <w:ind w:left="3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c>
                <w:tcPr>
                  <w:tcW w:w="2695" w:type="dxa"/>
                  <w:shd w:val="clear" w:color="auto" w:fill="auto"/>
                  <w:vAlign w:val="top"/>
                </w:tcPr>
                <w:p w14:paraId="164B876C">
                  <w:pPr>
                    <w:pStyle w:val="97"/>
                    <w:spacing w:before="83"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5852D78F">
                  <w:pPr>
                    <w:spacing w:before="115"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05260C3E">
                  <w:pPr>
                    <w:spacing w:before="119"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5CAC7F8">
                  <w:pPr>
                    <w:spacing w:before="119"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4705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4DE138D4">
                  <w:pPr>
                    <w:spacing w:before="112" w:line="187" w:lineRule="auto"/>
                    <w:ind w:left="39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9</w:t>
                  </w:r>
                </w:p>
              </w:tc>
              <w:tc>
                <w:tcPr>
                  <w:tcW w:w="2695" w:type="dxa"/>
                  <w:shd w:val="clear" w:color="auto" w:fill="auto"/>
                  <w:vAlign w:val="top"/>
                </w:tcPr>
                <w:p w14:paraId="349802E7">
                  <w:pPr>
                    <w:pStyle w:val="97"/>
                    <w:spacing w:before="83" w:line="221" w:lineRule="auto"/>
                    <w:ind w:left="614" w:leftChars="0"/>
                    <w:rPr>
                      <w:rFonts w:ascii="宋体" w:hAnsi="宋体" w:eastAsia="宋体" w:cs="宋体"/>
                      <w:color w:val="auto"/>
                      <w:kern w:val="2"/>
                      <w:sz w:val="21"/>
                      <w:szCs w:val="21"/>
                      <w:lang w:val="en-US" w:eastAsia="en-US" w:bidi="ar-SA"/>
                    </w:rPr>
                  </w:pPr>
                  <w:r>
                    <w:rPr>
                      <w:color w:val="auto"/>
                      <w:spacing w:val="-1"/>
                      <w:sz w:val="21"/>
                      <w:szCs w:val="21"/>
                    </w:rPr>
                    <w:t>超声波清洗槽</w:t>
                  </w:r>
                </w:p>
              </w:tc>
              <w:tc>
                <w:tcPr>
                  <w:tcW w:w="2539" w:type="dxa"/>
                  <w:shd w:val="clear" w:color="auto" w:fill="auto"/>
                  <w:vAlign w:val="top"/>
                </w:tcPr>
                <w:p w14:paraId="66B399C8">
                  <w:pPr>
                    <w:spacing w:before="115" w:line="191" w:lineRule="auto"/>
                    <w:ind w:left="4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100*130*110cm</w:t>
                  </w:r>
                </w:p>
              </w:tc>
              <w:tc>
                <w:tcPr>
                  <w:tcW w:w="1553" w:type="dxa"/>
                  <w:shd w:val="clear" w:color="auto" w:fill="auto"/>
                  <w:vAlign w:val="top"/>
                </w:tcPr>
                <w:p w14:paraId="7EC8DA60">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72BBC7AA">
                  <w:pPr>
                    <w:spacing w:before="120"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483D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66613F87">
                  <w:pPr>
                    <w:spacing w:before="112"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c>
                <w:tcPr>
                  <w:tcW w:w="2695" w:type="dxa"/>
                  <w:shd w:val="clear" w:color="auto" w:fill="auto"/>
                  <w:vAlign w:val="top"/>
                </w:tcPr>
                <w:p w14:paraId="0BC93D91">
                  <w:pPr>
                    <w:pStyle w:val="97"/>
                    <w:spacing w:before="83"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3C602573">
                  <w:pPr>
                    <w:spacing w:before="116"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0F03A332">
                  <w:pPr>
                    <w:spacing w:before="120"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CE191A7">
                  <w:pPr>
                    <w:spacing w:before="120"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00C8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77877862">
                  <w:pPr>
                    <w:spacing w:before="113"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11</w:t>
                  </w:r>
                </w:p>
              </w:tc>
              <w:tc>
                <w:tcPr>
                  <w:tcW w:w="2695" w:type="dxa"/>
                  <w:shd w:val="clear" w:color="auto" w:fill="auto"/>
                  <w:vAlign w:val="top"/>
                </w:tcPr>
                <w:p w14:paraId="63DC035B">
                  <w:pPr>
                    <w:pStyle w:val="97"/>
                    <w:spacing w:before="83" w:line="221" w:lineRule="auto"/>
                    <w:ind w:left="930" w:leftChars="0"/>
                    <w:rPr>
                      <w:rFonts w:ascii="宋体" w:hAnsi="宋体" w:eastAsia="宋体" w:cs="宋体"/>
                      <w:color w:val="auto"/>
                      <w:kern w:val="2"/>
                      <w:sz w:val="21"/>
                      <w:szCs w:val="21"/>
                      <w:lang w:val="en-US" w:eastAsia="en-US" w:bidi="ar-SA"/>
                    </w:rPr>
                  </w:pPr>
                  <w:r>
                    <w:rPr>
                      <w:color w:val="auto"/>
                      <w:spacing w:val="-2"/>
                      <w:sz w:val="21"/>
                      <w:szCs w:val="21"/>
                    </w:rPr>
                    <w:t>磷化槽</w:t>
                  </w:r>
                </w:p>
              </w:tc>
              <w:tc>
                <w:tcPr>
                  <w:tcW w:w="2539" w:type="dxa"/>
                  <w:shd w:val="clear" w:color="auto" w:fill="auto"/>
                  <w:vAlign w:val="top"/>
                </w:tcPr>
                <w:p w14:paraId="02AB3D5B">
                  <w:pPr>
                    <w:spacing w:before="116"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85*130*110cm</w:t>
                  </w:r>
                </w:p>
              </w:tc>
              <w:tc>
                <w:tcPr>
                  <w:tcW w:w="1553" w:type="dxa"/>
                  <w:shd w:val="clear" w:color="auto" w:fill="auto"/>
                  <w:vAlign w:val="top"/>
                </w:tcPr>
                <w:p w14:paraId="2A5EAA15">
                  <w:pPr>
                    <w:spacing w:before="123" w:line="184" w:lineRule="auto"/>
                    <w:ind w:left="670"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5</w:t>
                  </w:r>
                </w:p>
              </w:tc>
              <w:tc>
                <w:tcPr>
                  <w:tcW w:w="1520" w:type="dxa"/>
                  <w:shd w:val="clear" w:color="auto" w:fill="auto"/>
                  <w:vAlign w:val="top"/>
                </w:tcPr>
                <w:p w14:paraId="44A1432D">
                  <w:pPr>
                    <w:spacing w:before="120" w:line="187" w:lineRule="auto"/>
                    <w:ind w:left="59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20</w:t>
                  </w:r>
                </w:p>
              </w:tc>
            </w:tr>
            <w:tr w14:paraId="5367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500CF130">
                  <w:pPr>
                    <w:spacing w:before="116"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c>
                <w:tcPr>
                  <w:tcW w:w="2695" w:type="dxa"/>
                  <w:shd w:val="clear" w:color="auto" w:fill="auto"/>
                  <w:vAlign w:val="top"/>
                </w:tcPr>
                <w:p w14:paraId="10D13736">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2539" w:type="dxa"/>
                  <w:shd w:val="clear" w:color="auto" w:fill="auto"/>
                  <w:vAlign w:val="top"/>
                </w:tcPr>
                <w:p w14:paraId="0F2EF383">
                  <w:pPr>
                    <w:spacing w:before="119"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18E30040">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65FB8293">
                  <w:pPr>
                    <w:spacing w:before="123"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1805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02607DE6">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c>
                <w:tcPr>
                  <w:tcW w:w="2695" w:type="dxa"/>
                  <w:shd w:val="clear" w:color="auto" w:fill="auto"/>
                  <w:vAlign w:val="top"/>
                </w:tcPr>
                <w:p w14:paraId="45380CE2">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4D590929">
                  <w:pPr>
                    <w:spacing w:before="117"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1"/>
                      <w:sz w:val="21"/>
                      <w:szCs w:val="21"/>
                    </w:rPr>
                    <w:t>80*130*110cm</w:t>
                  </w:r>
                </w:p>
              </w:tc>
              <w:tc>
                <w:tcPr>
                  <w:tcW w:w="1553" w:type="dxa"/>
                  <w:shd w:val="clear" w:color="auto" w:fill="auto"/>
                  <w:vAlign w:val="top"/>
                </w:tcPr>
                <w:p w14:paraId="0B5C501E">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92D60D3">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40F4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969" w:type="dxa"/>
                  <w:shd w:val="clear" w:color="auto" w:fill="auto"/>
                  <w:vAlign w:val="top"/>
                </w:tcPr>
                <w:p w14:paraId="1C491E50">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14</w:t>
                  </w:r>
                </w:p>
              </w:tc>
              <w:tc>
                <w:tcPr>
                  <w:tcW w:w="2695" w:type="dxa"/>
                  <w:shd w:val="clear" w:color="auto" w:fill="auto"/>
                  <w:vAlign w:val="top"/>
                </w:tcPr>
                <w:p w14:paraId="168351BF">
                  <w:pPr>
                    <w:pStyle w:val="97"/>
                    <w:spacing w:before="85" w:line="221" w:lineRule="auto"/>
                    <w:ind w:left="722" w:leftChars="0"/>
                    <w:rPr>
                      <w:rFonts w:ascii="宋体" w:hAnsi="宋体" w:eastAsia="宋体" w:cs="宋体"/>
                      <w:color w:val="auto"/>
                      <w:kern w:val="2"/>
                      <w:sz w:val="21"/>
                      <w:szCs w:val="21"/>
                      <w:lang w:val="en-US" w:eastAsia="en-US" w:bidi="ar-SA"/>
                    </w:rPr>
                  </w:pPr>
                  <w:r>
                    <w:rPr>
                      <w:color w:val="auto"/>
                      <w:spacing w:val="-1"/>
                      <w:sz w:val="21"/>
                      <w:szCs w:val="21"/>
                    </w:rPr>
                    <w:t>脱水封闭槽</w:t>
                  </w:r>
                </w:p>
              </w:tc>
              <w:tc>
                <w:tcPr>
                  <w:tcW w:w="2539" w:type="dxa"/>
                  <w:shd w:val="clear" w:color="auto" w:fill="auto"/>
                  <w:vAlign w:val="top"/>
                </w:tcPr>
                <w:p w14:paraId="233E2553">
                  <w:pPr>
                    <w:spacing w:before="118"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7C0F54DC">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04428B94">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71E2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644527C5">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15</w:t>
                  </w:r>
                </w:p>
              </w:tc>
              <w:tc>
                <w:tcPr>
                  <w:tcW w:w="2695" w:type="dxa"/>
                  <w:shd w:val="clear" w:color="auto" w:fill="auto"/>
                  <w:vAlign w:val="top"/>
                </w:tcPr>
                <w:p w14:paraId="7E2D4298">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46AC8057">
                  <w:pPr>
                    <w:spacing w:before="118"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65A98329">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7BC38B7">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764F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36AC2EDD">
                  <w:pPr>
                    <w:spacing w:before="117"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16</w:t>
                  </w:r>
                </w:p>
              </w:tc>
              <w:tc>
                <w:tcPr>
                  <w:tcW w:w="2695" w:type="dxa"/>
                  <w:shd w:val="clear" w:color="auto" w:fill="auto"/>
                  <w:vAlign w:val="top"/>
                </w:tcPr>
                <w:p w14:paraId="5934EC84">
                  <w:pPr>
                    <w:pStyle w:val="97"/>
                    <w:spacing w:before="85" w:line="221" w:lineRule="auto"/>
                    <w:ind w:left="932" w:leftChars="0"/>
                    <w:rPr>
                      <w:rFonts w:ascii="宋体" w:hAnsi="宋体" w:eastAsia="宋体" w:cs="宋体"/>
                      <w:color w:val="auto"/>
                      <w:kern w:val="2"/>
                      <w:sz w:val="21"/>
                      <w:szCs w:val="21"/>
                      <w:lang w:val="en-US" w:eastAsia="en-US" w:bidi="ar-SA"/>
                    </w:rPr>
                  </w:pPr>
                  <w:r>
                    <w:rPr>
                      <w:color w:val="auto"/>
                      <w:spacing w:val="-2"/>
                      <w:sz w:val="21"/>
                      <w:szCs w:val="21"/>
                    </w:rPr>
                    <w:t>水洗槽</w:t>
                  </w:r>
                </w:p>
              </w:tc>
              <w:tc>
                <w:tcPr>
                  <w:tcW w:w="2539" w:type="dxa"/>
                  <w:shd w:val="clear" w:color="auto" w:fill="auto"/>
                  <w:vAlign w:val="top"/>
                </w:tcPr>
                <w:p w14:paraId="58A923A3">
                  <w:pPr>
                    <w:spacing w:before="118"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6F39D751">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3419D1C7">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7EE5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4A12B680">
                  <w:pPr>
                    <w:spacing w:before="115"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17</w:t>
                  </w:r>
                </w:p>
              </w:tc>
              <w:tc>
                <w:tcPr>
                  <w:tcW w:w="2695" w:type="dxa"/>
                  <w:shd w:val="clear" w:color="auto" w:fill="auto"/>
                  <w:vAlign w:val="top"/>
                </w:tcPr>
                <w:p w14:paraId="2FDCD221">
                  <w:pPr>
                    <w:pStyle w:val="97"/>
                    <w:spacing w:before="86" w:line="221" w:lineRule="auto"/>
                    <w:ind w:left="831" w:leftChars="0"/>
                    <w:rPr>
                      <w:rFonts w:ascii="宋体" w:hAnsi="宋体" w:eastAsia="宋体" w:cs="宋体"/>
                      <w:color w:val="auto"/>
                      <w:kern w:val="2"/>
                      <w:sz w:val="21"/>
                      <w:szCs w:val="21"/>
                      <w:lang w:val="en-US" w:eastAsia="en-US" w:bidi="ar-SA"/>
                    </w:rPr>
                  </w:pPr>
                  <w:r>
                    <w:rPr>
                      <w:color w:val="auto"/>
                      <w:spacing w:val="-3"/>
                      <w:sz w:val="21"/>
                      <w:szCs w:val="21"/>
                    </w:rPr>
                    <w:t>热水洗槽</w:t>
                  </w:r>
                </w:p>
              </w:tc>
              <w:tc>
                <w:tcPr>
                  <w:tcW w:w="2539" w:type="dxa"/>
                  <w:shd w:val="clear" w:color="auto" w:fill="auto"/>
                  <w:vAlign w:val="top"/>
                </w:tcPr>
                <w:p w14:paraId="5EB4B80D">
                  <w:pPr>
                    <w:spacing w:before="118" w:line="191" w:lineRule="auto"/>
                    <w:ind w:left="52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80*130*110cm</w:t>
                  </w:r>
                </w:p>
              </w:tc>
              <w:tc>
                <w:tcPr>
                  <w:tcW w:w="1553" w:type="dxa"/>
                  <w:shd w:val="clear" w:color="auto" w:fill="auto"/>
                  <w:vAlign w:val="top"/>
                </w:tcPr>
                <w:p w14:paraId="229D4EB9">
                  <w:pPr>
                    <w:spacing w:before="122"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44B4D0D0">
                  <w:pPr>
                    <w:spacing w:before="122"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r w14:paraId="1A40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69" w:type="dxa"/>
                  <w:shd w:val="clear" w:color="auto" w:fill="auto"/>
                  <w:vAlign w:val="top"/>
                </w:tcPr>
                <w:p w14:paraId="096D6691">
                  <w:pPr>
                    <w:spacing w:before="115" w:line="187" w:lineRule="auto"/>
                    <w:ind w:left="35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18</w:t>
                  </w:r>
                </w:p>
              </w:tc>
              <w:tc>
                <w:tcPr>
                  <w:tcW w:w="2695" w:type="dxa"/>
                  <w:shd w:val="clear" w:color="auto" w:fill="auto"/>
                  <w:vAlign w:val="top"/>
                </w:tcPr>
                <w:p w14:paraId="2C5CB2C6">
                  <w:pPr>
                    <w:pStyle w:val="97"/>
                    <w:spacing w:before="87" w:line="221" w:lineRule="auto"/>
                    <w:ind w:left="640" w:leftChars="0"/>
                    <w:rPr>
                      <w:rFonts w:ascii="宋体" w:hAnsi="宋体" w:eastAsia="宋体" w:cs="宋体"/>
                      <w:color w:val="auto"/>
                      <w:kern w:val="2"/>
                      <w:sz w:val="21"/>
                      <w:szCs w:val="21"/>
                      <w:lang w:val="en-US" w:eastAsia="en-US" w:bidi="ar-SA"/>
                    </w:rPr>
                  </w:pPr>
                  <w:r>
                    <w:rPr>
                      <w:color w:val="auto"/>
                      <w:spacing w:val="-5"/>
                      <w:sz w:val="21"/>
                      <w:szCs w:val="21"/>
                    </w:rPr>
                    <w:t>电加热隧道炉</w:t>
                  </w:r>
                </w:p>
              </w:tc>
              <w:tc>
                <w:tcPr>
                  <w:tcW w:w="2539" w:type="dxa"/>
                  <w:shd w:val="clear" w:color="auto" w:fill="auto"/>
                  <w:vAlign w:val="top"/>
                </w:tcPr>
                <w:p w14:paraId="780161D3">
                  <w:pPr>
                    <w:spacing w:before="119" w:line="233" w:lineRule="auto"/>
                    <w:ind w:left="113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w:t>
                  </w:r>
                </w:p>
              </w:tc>
              <w:tc>
                <w:tcPr>
                  <w:tcW w:w="1553" w:type="dxa"/>
                  <w:shd w:val="clear" w:color="auto" w:fill="auto"/>
                  <w:vAlign w:val="top"/>
                </w:tcPr>
                <w:p w14:paraId="2AEFE628">
                  <w:pPr>
                    <w:spacing w:before="123"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27151A76">
                  <w:pPr>
                    <w:spacing w:before="123" w:line="187" w:lineRule="auto"/>
                    <w:ind w:left="646"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4</w:t>
                  </w:r>
                </w:p>
              </w:tc>
            </w:tr>
          </w:tbl>
          <w:p w14:paraId="41DC1FD4">
            <w:pPr>
              <w:spacing w:before="82" w:line="220" w:lineRule="auto"/>
              <w:ind w:left="2997"/>
              <w:rPr>
                <w:rFonts w:ascii="宋体" w:hAnsi="宋体" w:eastAsia="宋体" w:cs="宋体"/>
                <w:color w:val="auto"/>
                <w:sz w:val="21"/>
                <w:szCs w:val="21"/>
              </w:rPr>
            </w:pPr>
            <w:r>
              <w:rPr>
                <w:rFonts w:ascii="宋体" w:hAnsi="宋体" w:eastAsia="宋体" w:cs="宋体"/>
                <w:b/>
                <w:bCs/>
                <w:color w:val="auto"/>
                <w:spacing w:val="-2"/>
                <w:sz w:val="21"/>
                <w:szCs w:val="21"/>
              </w:rPr>
              <w:t>十二、挂镀电泳线（</w:t>
            </w:r>
            <w:r>
              <w:rPr>
                <w:rFonts w:ascii="Times New Roman" w:hAnsi="Times New Roman" w:eastAsia="Times New Roman" w:cs="Times New Roman"/>
                <w:b/>
                <w:bCs/>
                <w:color w:val="auto"/>
                <w:spacing w:val="-2"/>
                <w:sz w:val="21"/>
                <w:szCs w:val="21"/>
              </w:rPr>
              <w:t>13</w:t>
            </w:r>
            <w:r>
              <w:rPr>
                <w:rFonts w:ascii="宋体" w:hAnsi="宋体" w:eastAsia="宋体" w:cs="宋体"/>
                <w:b/>
                <w:bCs/>
                <w:color w:val="auto"/>
                <w:spacing w:val="-2"/>
                <w:sz w:val="21"/>
                <w:szCs w:val="21"/>
              </w:rPr>
              <w:t>条）</w:t>
            </w:r>
          </w:p>
          <w:p w14:paraId="7E8DC0C4">
            <w:pPr>
              <w:spacing w:line="36" w:lineRule="exact"/>
              <w:rPr>
                <w:color w:val="auto"/>
              </w:rPr>
            </w:pPr>
          </w:p>
          <w:tbl>
            <w:tblPr>
              <w:tblStyle w:val="7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7"/>
              <w:gridCol w:w="2707"/>
              <w:gridCol w:w="2550"/>
              <w:gridCol w:w="1560"/>
              <w:gridCol w:w="1528"/>
            </w:tblGrid>
            <w:tr w14:paraId="38C98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14" w:type="pct"/>
                  <w:tcBorders>
                    <w:left w:val="nil"/>
                  </w:tcBorders>
                  <w:vAlign w:val="top"/>
                </w:tcPr>
                <w:p w14:paraId="459235F9">
                  <w:pPr>
                    <w:spacing w:before="116"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0645E42B">
                  <w:pPr>
                    <w:pStyle w:val="97"/>
                    <w:spacing w:before="86" w:line="221" w:lineRule="auto"/>
                    <w:ind w:left="614"/>
                    <w:rPr>
                      <w:color w:val="auto"/>
                      <w:sz w:val="21"/>
                      <w:szCs w:val="21"/>
                    </w:rPr>
                  </w:pPr>
                  <w:r>
                    <w:rPr>
                      <w:color w:val="auto"/>
                      <w:spacing w:val="-1"/>
                      <w:sz w:val="21"/>
                      <w:szCs w:val="21"/>
                    </w:rPr>
                    <w:t>超声波除油槽</w:t>
                  </w:r>
                </w:p>
              </w:tc>
              <w:tc>
                <w:tcPr>
                  <w:tcW w:w="1370" w:type="pct"/>
                  <w:vAlign w:val="top"/>
                </w:tcPr>
                <w:p w14:paraId="2A8E5699">
                  <w:pPr>
                    <w:spacing w:before="11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150*80*120cm</w:t>
                  </w:r>
                </w:p>
              </w:tc>
              <w:tc>
                <w:tcPr>
                  <w:tcW w:w="838" w:type="pct"/>
                  <w:vAlign w:val="top"/>
                </w:tcPr>
                <w:p w14:paraId="32A5E617">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1E4026FD">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F464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76E3AD1E">
                  <w:pPr>
                    <w:spacing w:before="112"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56F0FCF3">
                  <w:pPr>
                    <w:pStyle w:val="97"/>
                    <w:spacing w:before="82" w:line="221" w:lineRule="auto"/>
                    <w:ind w:left="932"/>
                    <w:rPr>
                      <w:color w:val="auto"/>
                      <w:sz w:val="21"/>
                      <w:szCs w:val="21"/>
                    </w:rPr>
                  </w:pPr>
                  <w:r>
                    <w:rPr>
                      <w:color w:val="auto"/>
                      <w:spacing w:val="-3"/>
                      <w:sz w:val="21"/>
                      <w:szCs w:val="21"/>
                    </w:rPr>
                    <w:t>水洗槽</w:t>
                  </w:r>
                </w:p>
              </w:tc>
              <w:tc>
                <w:tcPr>
                  <w:tcW w:w="1370" w:type="pct"/>
                  <w:vAlign w:val="top"/>
                </w:tcPr>
                <w:p w14:paraId="5BC007CD">
                  <w:pPr>
                    <w:spacing w:before="115"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7979633B">
                  <w:pPr>
                    <w:spacing w:before="119"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tcBorders>
                    <w:right w:val="nil"/>
                  </w:tcBorders>
                  <w:vAlign w:val="top"/>
                </w:tcPr>
                <w:p w14:paraId="2A1B62B3">
                  <w:pPr>
                    <w:spacing w:before="119" w:line="187" w:lineRule="auto"/>
                    <w:ind w:left="5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413D2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21F59558">
                  <w:pPr>
                    <w:spacing w:before="112"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43BF3205">
                  <w:pPr>
                    <w:pStyle w:val="97"/>
                    <w:spacing w:before="83" w:line="221" w:lineRule="auto"/>
                    <w:ind w:left="933"/>
                    <w:rPr>
                      <w:color w:val="auto"/>
                      <w:sz w:val="21"/>
                      <w:szCs w:val="21"/>
                    </w:rPr>
                  </w:pPr>
                  <w:r>
                    <w:rPr>
                      <w:color w:val="auto"/>
                      <w:spacing w:val="-3"/>
                      <w:sz w:val="21"/>
                      <w:szCs w:val="21"/>
                    </w:rPr>
                    <w:t>活化槽</w:t>
                  </w:r>
                </w:p>
              </w:tc>
              <w:tc>
                <w:tcPr>
                  <w:tcW w:w="1370" w:type="pct"/>
                  <w:vAlign w:val="top"/>
                </w:tcPr>
                <w:p w14:paraId="538AE6B7">
                  <w:pPr>
                    <w:spacing w:before="116"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4E898871">
                  <w:pPr>
                    <w:spacing w:before="120"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07E492D4">
                  <w:pPr>
                    <w:spacing w:before="120"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69030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514" w:type="pct"/>
                  <w:tcBorders>
                    <w:left w:val="nil"/>
                  </w:tcBorders>
                  <w:vAlign w:val="top"/>
                </w:tcPr>
                <w:p w14:paraId="1ED6C714">
                  <w:pPr>
                    <w:spacing w:before="113"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7E7635A9">
                  <w:pPr>
                    <w:pStyle w:val="97"/>
                    <w:spacing w:before="83" w:line="221" w:lineRule="auto"/>
                    <w:ind w:left="932"/>
                    <w:rPr>
                      <w:color w:val="auto"/>
                      <w:sz w:val="21"/>
                      <w:szCs w:val="21"/>
                    </w:rPr>
                  </w:pPr>
                  <w:r>
                    <w:rPr>
                      <w:color w:val="auto"/>
                      <w:spacing w:val="-3"/>
                      <w:sz w:val="21"/>
                      <w:szCs w:val="21"/>
                    </w:rPr>
                    <w:t>水洗槽</w:t>
                  </w:r>
                </w:p>
              </w:tc>
              <w:tc>
                <w:tcPr>
                  <w:tcW w:w="1370" w:type="pct"/>
                  <w:vAlign w:val="top"/>
                </w:tcPr>
                <w:p w14:paraId="685C5491">
                  <w:pPr>
                    <w:spacing w:before="116"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0CFB025E">
                  <w:pPr>
                    <w:spacing w:before="12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tcBorders>
                    <w:right w:val="nil"/>
                  </w:tcBorders>
                  <w:vAlign w:val="top"/>
                </w:tcPr>
                <w:p w14:paraId="3E32983C">
                  <w:pPr>
                    <w:spacing w:before="120" w:line="187" w:lineRule="auto"/>
                    <w:ind w:left="5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30858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365FF0C7">
                  <w:pPr>
                    <w:spacing w:before="119"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5EE76009">
                  <w:pPr>
                    <w:pStyle w:val="97"/>
                    <w:spacing w:before="86" w:line="221" w:lineRule="auto"/>
                    <w:ind w:left="932"/>
                    <w:rPr>
                      <w:color w:val="auto"/>
                      <w:sz w:val="21"/>
                      <w:szCs w:val="21"/>
                    </w:rPr>
                  </w:pPr>
                  <w:r>
                    <w:rPr>
                      <w:color w:val="auto"/>
                      <w:spacing w:val="-3"/>
                      <w:sz w:val="21"/>
                      <w:szCs w:val="21"/>
                    </w:rPr>
                    <w:t>水洗槽</w:t>
                  </w:r>
                </w:p>
              </w:tc>
              <w:tc>
                <w:tcPr>
                  <w:tcW w:w="1370" w:type="pct"/>
                  <w:vAlign w:val="top"/>
                </w:tcPr>
                <w:p w14:paraId="15D0FCCE">
                  <w:pPr>
                    <w:spacing w:before="11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7209932F">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59C79CA2">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2C691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42D23388">
                  <w:pPr>
                    <w:spacing w:before="116"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1F8ADB7A">
                  <w:pPr>
                    <w:pStyle w:val="97"/>
                    <w:spacing w:before="84" w:line="221" w:lineRule="auto"/>
                    <w:ind w:left="932"/>
                    <w:rPr>
                      <w:color w:val="auto"/>
                      <w:sz w:val="21"/>
                      <w:szCs w:val="21"/>
                    </w:rPr>
                  </w:pPr>
                  <w:r>
                    <w:rPr>
                      <w:color w:val="auto"/>
                      <w:spacing w:val="-3"/>
                      <w:sz w:val="21"/>
                      <w:szCs w:val="21"/>
                    </w:rPr>
                    <w:t>水洗槽</w:t>
                  </w:r>
                </w:p>
              </w:tc>
              <w:tc>
                <w:tcPr>
                  <w:tcW w:w="1370" w:type="pct"/>
                  <w:vAlign w:val="top"/>
                </w:tcPr>
                <w:p w14:paraId="759E66D7">
                  <w:pPr>
                    <w:spacing w:before="117"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07F96051">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59F5B195">
                  <w:pPr>
                    <w:spacing w:before="121"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2AC3C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2BE99F4E">
                  <w:pPr>
                    <w:spacing w:before="119" w:line="184"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4" w:type="pct"/>
                  <w:vAlign w:val="top"/>
                </w:tcPr>
                <w:p w14:paraId="50B9403E">
                  <w:pPr>
                    <w:pStyle w:val="97"/>
                    <w:spacing w:before="84" w:line="221" w:lineRule="auto"/>
                    <w:ind w:left="932"/>
                    <w:rPr>
                      <w:color w:val="auto"/>
                      <w:sz w:val="21"/>
                      <w:szCs w:val="21"/>
                    </w:rPr>
                  </w:pPr>
                  <w:r>
                    <w:rPr>
                      <w:color w:val="auto"/>
                      <w:spacing w:val="-3"/>
                      <w:sz w:val="21"/>
                      <w:szCs w:val="21"/>
                    </w:rPr>
                    <w:t>水洗槽</w:t>
                  </w:r>
                </w:p>
              </w:tc>
              <w:tc>
                <w:tcPr>
                  <w:tcW w:w="1370" w:type="pct"/>
                  <w:vAlign w:val="top"/>
                </w:tcPr>
                <w:p w14:paraId="62B31062">
                  <w:pPr>
                    <w:spacing w:before="117"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1B930FD5">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0558C746">
                  <w:pPr>
                    <w:spacing w:before="121"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02F8A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392A8C9C">
                  <w:pPr>
                    <w:spacing w:before="116" w:line="187" w:lineRule="auto"/>
                    <w:ind w:left="39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4" w:type="pct"/>
                  <w:vAlign w:val="top"/>
                </w:tcPr>
                <w:p w14:paraId="2C9C06F2">
                  <w:pPr>
                    <w:pStyle w:val="97"/>
                    <w:spacing w:before="85" w:line="221" w:lineRule="auto"/>
                    <w:ind w:left="932"/>
                    <w:rPr>
                      <w:color w:val="auto"/>
                      <w:sz w:val="21"/>
                      <w:szCs w:val="21"/>
                    </w:rPr>
                  </w:pPr>
                  <w:r>
                    <w:rPr>
                      <w:color w:val="auto"/>
                      <w:spacing w:val="-3"/>
                      <w:sz w:val="21"/>
                      <w:szCs w:val="21"/>
                    </w:rPr>
                    <w:t>水洗槽</w:t>
                  </w:r>
                </w:p>
              </w:tc>
              <w:tc>
                <w:tcPr>
                  <w:tcW w:w="1370" w:type="pct"/>
                  <w:vAlign w:val="top"/>
                </w:tcPr>
                <w:p w14:paraId="75D0372E">
                  <w:pPr>
                    <w:spacing w:before="117"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48B5CAFF">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6794CACA">
                  <w:pPr>
                    <w:spacing w:before="121"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663CE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73F616EF">
                  <w:pPr>
                    <w:spacing w:before="117"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4" w:type="pct"/>
                  <w:vAlign w:val="top"/>
                </w:tcPr>
                <w:p w14:paraId="5FBB60F5">
                  <w:pPr>
                    <w:pStyle w:val="97"/>
                    <w:spacing w:before="85" w:line="221" w:lineRule="auto"/>
                    <w:ind w:left="954"/>
                    <w:rPr>
                      <w:color w:val="auto"/>
                      <w:sz w:val="21"/>
                      <w:szCs w:val="21"/>
                    </w:rPr>
                  </w:pPr>
                  <w:r>
                    <w:rPr>
                      <w:color w:val="auto"/>
                      <w:spacing w:val="-10"/>
                      <w:sz w:val="21"/>
                      <w:szCs w:val="21"/>
                    </w:rPr>
                    <w:t>电泳槽</w:t>
                  </w:r>
                </w:p>
              </w:tc>
              <w:tc>
                <w:tcPr>
                  <w:tcW w:w="1370" w:type="pct"/>
                  <w:vAlign w:val="top"/>
                </w:tcPr>
                <w:p w14:paraId="44FAE3B2">
                  <w:pPr>
                    <w:spacing w:before="117"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150*80*120cm</w:t>
                  </w:r>
                </w:p>
              </w:tc>
              <w:tc>
                <w:tcPr>
                  <w:tcW w:w="838" w:type="pct"/>
                  <w:vAlign w:val="top"/>
                </w:tcPr>
                <w:p w14:paraId="4F3D349A">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21" w:type="pct"/>
                  <w:tcBorders>
                    <w:right w:val="nil"/>
                  </w:tcBorders>
                  <w:vAlign w:val="top"/>
                </w:tcPr>
                <w:p w14:paraId="6B588EB9">
                  <w:pPr>
                    <w:spacing w:before="121" w:line="187" w:lineRule="auto"/>
                    <w:ind w:left="5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26</w:t>
                  </w:r>
                </w:p>
              </w:tc>
            </w:tr>
            <w:tr w14:paraId="25AB2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67328B60">
                  <w:pPr>
                    <w:spacing w:before="114"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1454" w:type="pct"/>
                  <w:vAlign w:val="top"/>
                </w:tcPr>
                <w:p w14:paraId="48364997">
                  <w:pPr>
                    <w:pStyle w:val="97"/>
                    <w:spacing w:before="85" w:line="221" w:lineRule="auto"/>
                    <w:ind w:left="950"/>
                    <w:rPr>
                      <w:color w:val="auto"/>
                      <w:sz w:val="21"/>
                      <w:szCs w:val="21"/>
                    </w:rPr>
                  </w:pPr>
                  <w:r>
                    <w:rPr>
                      <w:color w:val="auto"/>
                      <w:spacing w:val="-9"/>
                      <w:sz w:val="21"/>
                      <w:szCs w:val="21"/>
                    </w:rPr>
                    <w:t>回收槽</w:t>
                  </w:r>
                </w:p>
              </w:tc>
              <w:tc>
                <w:tcPr>
                  <w:tcW w:w="1370" w:type="pct"/>
                  <w:vAlign w:val="top"/>
                </w:tcPr>
                <w:p w14:paraId="470EEDD0">
                  <w:pPr>
                    <w:spacing w:before="118"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465A2AD3">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49985C29">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5112A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14" w:type="pct"/>
                  <w:tcBorders>
                    <w:left w:val="nil"/>
                  </w:tcBorders>
                  <w:vAlign w:val="top"/>
                </w:tcPr>
                <w:p w14:paraId="7DAB78FE">
                  <w:pPr>
                    <w:spacing w:before="115"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1454" w:type="pct"/>
                  <w:vAlign w:val="top"/>
                </w:tcPr>
                <w:p w14:paraId="366FAC5D">
                  <w:pPr>
                    <w:pStyle w:val="97"/>
                    <w:spacing w:before="86" w:line="221" w:lineRule="auto"/>
                    <w:ind w:left="950"/>
                    <w:rPr>
                      <w:color w:val="auto"/>
                      <w:sz w:val="21"/>
                      <w:szCs w:val="21"/>
                    </w:rPr>
                  </w:pPr>
                  <w:r>
                    <w:rPr>
                      <w:color w:val="auto"/>
                      <w:spacing w:val="-9"/>
                      <w:sz w:val="21"/>
                      <w:szCs w:val="21"/>
                    </w:rPr>
                    <w:t>回收槽</w:t>
                  </w:r>
                </w:p>
              </w:tc>
              <w:tc>
                <w:tcPr>
                  <w:tcW w:w="1370" w:type="pct"/>
                  <w:vAlign w:val="top"/>
                </w:tcPr>
                <w:p w14:paraId="229BA458">
                  <w:pPr>
                    <w:spacing w:before="118"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4A6864D0">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48C27FCB">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1F16D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 w:hRule="atLeast"/>
              </w:trPr>
              <w:tc>
                <w:tcPr>
                  <w:tcW w:w="514" w:type="pct"/>
                  <w:tcBorders>
                    <w:left w:val="nil"/>
                  </w:tcBorders>
                  <w:vAlign w:val="top"/>
                </w:tcPr>
                <w:p w14:paraId="5353E31F">
                  <w:pPr>
                    <w:spacing w:before="116"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1454" w:type="pct"/>
                  <w:vAlign w:val="top"/>
                </w:tcPr>
                <w:p w14:paraId="6910E8B5">
                  <w:pPr>
                    <w:pStyle w:val="97"/>
                    <w:spacing w:before="87" w:line="219" w:lineRule="auto"/>
                    <w:ind w:left="729"/>
                    <w:rPr>
                      <w:color w:val="auto"/>
                      <w:sz w:val="21"/>
                      <w:szCs w:val="21"/>
                    </w:rPr>
                  </w:pPr>
                  <w:r>
                    <w:rPr>
                      <w:color w:val="auto"/>
                      <w:spacing w:val="-3"/>
                      <w:sz w:val="21"/>
                      <w:szCs w:val="21"/>
                    </w:rPr>
                    <w:t>喷淋水洗槽</w:t>
                  </w:r>
                </w:p>
              </w:tc>
              <w:tc>
                <w:tcPr>
                  <w:tcW w:w="1370" w:type="pct"/>
                  <w:vAlign w:val="top"/>
                </w:tcPr>
                <w:p w14:paraId="1DC7D0C6">
                  <w:pPr>
                    <w:spacing w:before="11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150*80*120cm</w:t>
                  </w:r>
                </w:p>
              </w:tc>
              <w:tc>
                <w:tcPr>
                  <w:tcW w:w="838" w:type="pct"/>
                  <w:vAlign w:val="top"/>
                </w:tcPr>
                <w:p w14:paraId="3346F9FD">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00ADCE2E">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7A2F4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14" w:type="pct"/>
                  <w:tcBorders>
                    <w:left w:val="nil"/>
                  </w:tcBorders>
                  <w:vAlign w:val="top"/>
                </w:tcPr>
                <w:p w14:paraId="4A8B260A">
                  <w:pPr>
                    <w:spacing w:before="116" w:line="187" w:lineRule="auto"/>
                    <w:ind w:left="35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1454" w:type="pct"/>
                  <w:vAlign w:val="top"/>
                </w:tcPr>
                <w:p w14:paraId="3F31FC74">
                  <w:pPr>
                    <w:pStyle w:val="97"/>
                    <w:spacing w:before="86" w:line="221" w:lineRule="auto"/>
                    <w:ind w:left="930"/>
                    <w:rPr>
                      <w:color w:val="auto"/>
                      <w:sz w:val="21"/>
                      <w:szCs w:val="21"/>
                    </w:rPr>
                  </w:pPr>
                  <w:r>
                    <w:rPr>
                      <w:color w:val="auto"/>
                      <w:spacing w:val="-2"/>
                      <w:sz w:val="21"/>
                      <w:szCs w:val="21"/>
                    </w:rPr>
                    <w:t>脱水槽</w:t>
                  </w:r>
                </w:p>
              </w:tc>
              <w:tc>
                <w:tcPr>
                  <w:tcW w:w="1370" w:type="pct"/>
                  <w:vAlign w:val="top"/>
                </w:tcPr>
                <w:p w14:paraId="778E9C21">
                  <w:pPr>
                    <w:spacing w:before="119" w:line="191" w:lineRule="auto"/>
                    <w:ind w:left="5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150*45*120cm</w:t>
                  </w:r>
                </w:p>
              </w:tc>
              <w:tc>
                <w:tcPr>
                  <w:tcW w:w="838" w:type="pct"/>
                  <w:vAlign w:val="top"/>
                </w:tcPr>
                <w:p w14:paraId="6ECCCE4A">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tcBorders>
                    <w:right w:val="nil"/>
                  </w:tcBorders>
                  <w:vAlign w:val="top"/>
                </w:tcPr>
                <w:p w14:paraId="3E3ECE61">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bl>
          <w:p w14:paraId="2BF5987B">
            <w:pPr>
              <w:spacing w:before="82" w:line="220" w:lineRule="auto"/>
              <w:ind w:left="3156"/>
              <w:rPr>
                <w:rFonts w:ascii="宋体" w:hAnsi="宋体" w:eastAsia="宋体" w:cs="宋体"/>
                <w:color w:val="auto"/>
                <w:sz w:val="21"/>
                <w:szCs w:val="21"/>
              </w:rPr>
            </w:pPr>
            <w:r>
              <w:rPr>
                <w:rFonts w:ascii="宋体" w:hAnsi="宋体" w:eastAsia="宋体" w:cs="宋体"/>
                <w:b/>
                <w:bCs/>
                <w:color w:val="auto"/>
                <w:spacing w:val="-2"/>
                <w:sz w:val="21"/>
                <w:szCs w:val="21"/>
              </w:rPr>
              <w:t>十三、滚镀锡线（</w:t>
            </w:r>
            <w:r>
              <w:rPr>
                <w:rFonts w:ascii="Times New Roman" w:hAnsi="Times New Roman" w:eastAsia="Times New Roman" w:cs="Times New Roman"/>
                <w:b/>
                <w:bCs/>
                <w:color w:val="auto"/>
                <w:spacing w:val="-2"/>
                <w:sz w:val="21"/>
                <w:szCs w:val="21"/>
              </w:rPr>
              <w:t>3</w:t>
            </w:r>
            <w:r>
              <w:rPr>
                <w:rFonts w:ascii="宋体" w:hAnsi="宋体" w:eastAsia="宋体" w:cs="宋体"/>
                <w:b/>
                <w:bCs/>
                <w:color w:val="auto"/>
                <w:spacing w:val="-2"/>
                <w:sz w:val="21"/>
                <w:szCs w:val="21"/>
              </w:rPr>
              <w:t>条）</w:t>
            </w:r>
          </w:p>
          <w:p w14:paraId="04FC44F8">
            <w:pPr>
              <w:spacing w:line="37" w:lineRule="exact"/>
              <w:rPr>
                <w:color w:val="auto"/>
              </w:rPr>
            </w:pPr>
          </w:p>
          <w:tbl>
            <w:tblPr>
              <w:tblStyle w:val="75"/>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2700"/>
              <w:gridCol w:w="2544"/>
              <w:gridCol w:w="1557"/>
              <w:gridCol w:w="1523"/>
            </w:tblGrid>
            <w:tr w14:paraId="25BE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22" w:type="pct"/>
                  <w:vAlign w:val="top"/>
                </w:tcPr>
                <w:p w14:paraId="2144879D">
                  <w:pPr>
                    <w:spacing w:before="116"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251603BD">
                  <w:pPr>
                    <w:pStyle w:val="97"/>
                    <w:spacing w:before="86" w:line="221" w:lineRule="auto"/>
                    <w:ind w:left="614"/>
                    <w:rPr>
                      <w:color w:val="auto"/>
                      <w:sz w:val="21"/>
                      <w:szCs w:val="21"/>
                    </w:rPr>
                  </w:pPr>
                  <w:r>
                    <w:rPr>
                      <w:color w:val="auto"/>
                      <w:spacing w:val="-1"/>
                      <w:sz w:val="21"/>
                      <w:szCs w:val="21"/>
                    </w:rPr>
                    <w:t>超声波除油槽</w:t>
                  </w:r>
                </w:p>
              </w:tc>
              <w:tc>
                <w:tcPr>
                  <w:tcW w:w="1368" w:type="pct"/>
                  <w:vAlign w:val="top"/>
                </w:tcPr>
                <w:p w14:paraId="05D82F41">
                  <w:pPr>
                    <w:spacing w:before="119" w:line="191" w:lineRule="auto"/>
                    <w:ind w:left="7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162*75*85</w:t>
                  </w:r>
                </w:p>
              </w:tc>
              <w:tc>
                <w:tcPr>
                  <w:tcW w:w="837" w:type="pct"/>
                  <w:vAlign w:val="top"/>
                </w:tcPr>
                <w:p w14:paraId="2128AD49">
                  <w:pPr>
                    <w:spacing w:before="123"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1DC4B24B">
                  <w:pPr>
                    <w:spacing w:before="123" w:line="187" w:lineRule="auto"/>
                    <w:ind w:left="6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r>
            <w:tr w14:paraId="106D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522" w:type="pct"/>
                  <w:vAlign w:val="top"/>
                </w:tcPr>
                <w:p w14:paraId="1A4B0CB5">
                  <w:pPr>
                    <w:spacing w:before="115"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57A75CA9">
                  <w:pPr>
                    <w:pStyle w:val="97"/>
                    <w:spacing w:before="57" w:line="221" w:lineRule="auto"/>
                    <w:ind w:left="931"/>
                    <w:rPr>
                      <w:color w:val="auto"/>
                      <w:sz w:val="21"/>
                      <w:szCs w:val="21"/>
                    </w:rPr>
                  </w:pPr>
                  <w:r>
                    <w:rPr>
                      <w:color w:val="auto"/>
                      <w:spacing w:val="-3"/>
                      <w:sz w:val="21"/>
                      <w:szCs w:val="21"/>
                    </w:rPr>
                    <w:t>水洗槽</w:t>
                  </w:r>
                </w:p>
              </w:tc>
              <w:tc>
                <w:tcPr>
                  <w:tcW w:w="1368" w:type="pct"/>
                  <w:vAlign w:val="top"/>
                </w:tcPr>
                <w:p w14:paraId="53644591">
                  <w:pPr>
                    <w:spacing w:before="118" w:line="191" w:lineRule="auto"/>
                    <w:ind w:left="7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w:t>
                  </w:r>
                </w:p>
              </w:tc>
              <w:tc>
                <w:tcPr>
                  <w:tcW w:w="837" w:type="pct"/>
                  <w:vAlign w:val="top"/>
                </w:tcPr>
                <w:p w14:paraId="6CE11D6D">
                  <w:pPr>
                    <w:spacing w:before="122"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6A6F64FA">
                  <w:pPr>
                    <w:spacing w:before="122" w:line="187" w:lineRule="auto"/>
                    <w:ind w:left="65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r>
            <w:tr w14:paraId="5499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489DADB3">
                  <w:pPr>
                    <w:spacing w:before="121"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4B348186">
                  <w:pPr>
                    <w:pStyle w:val="97"/>
                    <w:spacing w:before="63" w:line="221" w:lineRule="auto"/>
                    <w:ind w:left="932"/>
                    <w:rPr>
                      <w:color w:val="auto"/>
                      <w:sz w:val="21"/>
                      <w:szCs w:val="21"/>
                    </w:rPr>
                  </w:pPr>
                  <w:r>
                    <w:rPr>
                      <w:color w:val="auto"/>
                      <w:spacing w:val="-3"/>
                      <w:sz w:val="21"/>
                      <w:szCs w:val="21"/>
                    </w:rPr>
                    <w:t>活化槽</w:t>
                  </w:r>
                </w:p>
              </w:tc>
              <w:tc>
                <w:tcPr>
                  <w:tcW w:w="1368" w:type="pct"/>
                  <w:vAlign w:val="top"/>
                </w:tcPr>
                <w:p w14:paraId="21F98D79">
                  <w:pPr>
                    <w:spacing w:before="124" w:line="191" w:lineRule="auto"/>
                    <w:ind w:left="7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w:t>
                  </w:r>
                </w:p>
              </w:tc>
              <w:tc>
                <w:tcPr>
                  <w:tcW w:w="837" w:type="pct"/>
                  <w:vAlign w:val="top"/>
                </w:tcPr>
                <w:p w14:paraId="15064818">
                  <w:pPr>
                    <w:spacing w:before="128"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487D0BF1">
                  <w:pPr>
                    <w:spacing w:before="128" w:line="187" w:lineRule="auto"/>
                    <w:ind w:left="6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r>
            <w:tr w14:paraId="70A4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1FB674E7">
                  <w:pPr>
                    <w:spacing w:before="125"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6C25A22B">
                  <w:pPr>
                    <w:pStyle w:val="97"/>
                    <w:spacing w:before="93" w:line="221" w:lineRule="auto"/>
                    <w:ind w:left="931"/>
                    <w:rPr>
                      <w:color w:val="auto"/>
                      <w:sz w:val="21"/>
                      <w:szCs w:val="21"/>
                    </w:rPr>
                  </w:pPr>
                  <w:r>
                    <w:rPr>
                      <w:color w:val="auto"/>
                      <w:spacing w:val="-3"/>
                      <w:sz w:val="21"/>
                      <w:szCs w:val="21"/>
                    </w:rPr>
                    <w:t>水洗槽</w:t>
                  </w:r>
                </w:p>
              </w:tc>
              <w:tc>
                <w:tcPr>
                  <w:tcW w:w="1368" w:type="pct"/>
                  <w:vAlign w:val="top"/>
                </w:tcPr>
                <w:p w14:paraId="0CC59F04">
                  <w:pPr>
                    <w:spacing w:before="126" w:line="191" w:lineRule="auto"/>
                    <w:ind w:left="7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w:t>
                  </w:r>
                </w:p>
              </w:tc>
              <w:tc>
                <w:tcPr>
                  <w:tcW w:w="837" w:type="pct"/>
                  <w:vAlign w:val="top"/>
                </w:tcPr>
                <w:p w14:paraId="75A15E92">
                  <w:pPr>
                    <w:spacing w:before="130" w:line="187" w:lineRule="auto"/>
                    <w:ind w:left="66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19" w:type="pct"/>
                  <w:vAlign w:val="top"/>
                </w:tcPr>
                <w:p w14:paraId="1F00B432">
                  <w:pPr>
                    <w:spacing w:before="130" w:line="187" w:lineRule="auto"/>
                    <w:ind w:left="65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r>
            <w:tr w14:paraId="011A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22" w:type="pct"/>
                  <w:vAlign w:val="top"/>
                </w:tcPr>
                <w:p w14:paraId="5D43D8CE">
                  <w:pPr>
                    <w:spacing w:before="132"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175B63E9">
                  <w:pPr>
                    <w:pStyle w:val="97"/>
                    <w:spacing w:before="98" w:line="220" w:lineRule="auto"/>
                    <w:ind w:left="928"/>
                    <w:rPr>
                      <w:color w:val="auto"/>
                      <w:sz w:val="21"/>
                      <w:szCs w:val="21"/>
                    </w:rPr>
                  </w:pPr>
                  <w:r>
                    <w:rPr>
                      <w:color w:val="auto"/>
                      <w:spacing w:val="-2"/>
                      <w:sz w:val="21"/>
                      <w:szCs w:val="21"/>
                    </w:rPr>
                    <w:t>镀锡槽</w:t>
                  </w:r>
                </w:p>
              </w:tc>
              <w:tc>
                <w:tcPr>
                  <w:tcW w:w="1368" w:type="pct"/>
                  <w:vAlign w:val="top"/>
                </w:tcPr>
                <w:p w14:paraId="5196CB63">
                  <w:pPr>
                    <w:spacing w:before="130" w:line="191" w:lineRule="auto"/>
                    <w:ind w:left="66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162*290*85</w:t>
                  </w:r>
                </w:p>
              </w:tc>
              <w:tc>
                <w:tcPr>
                  <w:tcW w:w="837" w:type="pct"/>
                  <w:vAlign w:val="top"/>
                </w:tcPr>
                <w:p w14:paraId="35091CE1">
                  <w:pPr>
                    <w:spacing w:before="134"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22AC840">
                  <w:pPr>
                    <w:spacing w:before="134" w:line="187" w:lineRule="auto"/>
                    <w:ind w:left="6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r>
            <w:tr w14:paraId="38DD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522" w:type="pct"/>
                  <w:vAlign w:val="top"/>
                </w:tcPr>
                <w:p w14:paraId="5DFF5CD6">
                  <w:pPr>
                    <w:spacing w:before="134"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1DE704EE">
                  <w:pPr>
                    <w:pStyle w:val="97"/>
                    <w:spacing w:before="102" w:line="221" w:lineRule="auto"/>
                    <w:ind w:left="950"/>
                    <w:rPr>
                      <w:color w:val="auto"/>
                      <w:sz w:val="21"/>
                      <w:szCs w:val="21"/>
                    </w:rPr>
                  </w:pPr>
                  <w:r>
                    <w:rPr>
                      <w:color w:val="auto"/>
                      <w:spacing w:val="-9"/>
                      <w:sz w:val="21"/>
                      <w:szCs w:val="21"/>
                    </w:rPr>
                    <w:t>回收槽</w:t>
                  </w:r>
                </w:p>
              </w:tc>
              <w:tc>
                <w:tcPr>
                  <w:tcW w:w="1368" w:type="pct"/>
                  <w:vAlign w:val="top"/>
                </w:tcPr>
                <w:p w14:paraId="233DC510">
                  <w:pPr>
                    <w:spacing w:before="135" w:line="191" w:lineRule="auto"/>
                    <w:ind w:left="7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162*45*85</w:t>
                  </w:r>
                </w:p>
              </w:tc>
              <w:tc>
                <w:tcPr>
                  <w:tcW w:w="837" w:type="pct"/>
                  <w:vAlign w:val="top"/>
                </w:tcPr>
                <w:p w14:paraId="21EF3234">
                  <w:pPr>
                    <w:spacing w:before="139" w:line="18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19" w:type="pct"/>
                  <w:vAlign w:val="top"/>
                </w:tcPr>
                <w:p w14:paraId="33212F45">
                  <w:pPr>
                    <w:spacing w:before="139" w:line="187" w:lineRule="auto"/>
                    <w:ind w:left="6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r>
            <w:tr w14:paraId="5442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522" w:type="pct"/>
                  <w:shd w:val="clear" w:color="auto" w:fill="auto"/>
                  <w:vAlign w:val="top"/>
                </w:tcPr>
                <w:p w14:paraId="74D8F17F">
                  <w:pPr>
                    <w:spacing w:before="121" w:line="184" w:lineRule="auto"/>
                    <w:ind w:left="394"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7</w:t>
                  </w:r>
                </w:p>
              </w:tc>
              <w:tc>
                <w:tcPr>
                  <w:tcW w:w="1452" w:type="pct"/>
                  <w:shd w:val="clear" w:color="auto" w:fill="auto"/>
                  <w:vAlign w:val="top"/>
                </w:tcPr>
                <w:p w14:paraId="42E7C3B0">
                  <w:pPr>
                    <w:pStyle w:val="97"/>
                    <w:spacing w:before="86" w:line="221" w:lineRule="auto"/>
                    <w:ind w:left="932" w:leftChars="0"/>
                    <w:rPr>
                      <w:rFonts w:ascii="宋体" w:hAnsi="宋体" w:eastAsia="宋体" w:cs="宋体"/>
                      <w:color w:val="auto"/>
                      <w:kern w:val="2"/>
                      <w:sz w:val="21"/>
                      <w:szCs w:val="21"/>
                      <w:lang w:val="en-US" w:eastAsia="en-US" w:bidi="ar-SA"/>
                    </w:rPr>
                  </w:pPr>
                  <w:r>
                    <w:rPr>
                      <w:color w:val="auto"/>
                      <w:spacing w:val="-3"/>
                      <w:sz w:val="21"/>
                      <w:szCs w:val="21"/>
                    </w:rPr>
                    <w:t>水洗槽</w:t>
                  </w:r>
                </w:p>
              </w:tc>
              <w:tc>
                <w:tcPr>
                  <w:tcW w:w="1368" w:type="pct"/>
                  <w:shd w:val="clear" w:color="auto" w:fill="auto"/>
                  <w:vAlign w:val="top"/>
                </w:tcPr>
                <w:p w14:paraId="70EE1E1A">
                  <w:pPr>
                    <w:spacing w:before="118" w:line="191" w:lineRule="auto"/>
                    <w:ind w:left="71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w:t>
                  </w:r>
                </w:p>
              </w:tc>
              <w:tc>
                <w:tcPr>
                  <w:tcW w:w="837" w:type="pct"/>
                  <w:shd w:val="clear" w:color="auto" w:fill="auto"/>
                  <w:vAlign w:val="top"/>
                </w:tcPr>
                <w:p w14:paraId="07BDCB1D">
                  <w:pPr>
                    <w:spacing w:before="122" w:line="187" w:lineRule="auto"/>
                    <w:ind w:left="66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819" w:type="pct"/>
                  <w:shd w:val="clear" w:color="auto" w:fill="auto"/>
                  <w:vAlign w:val="top"/>
                </w:tcPr>
                <w:p w14:paraId="1B4ECDDE">
                  <w:pPr>
                    <w:spacing w:before="122"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r>
            <w:tr w14:paraId="45AD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969" w:type="dxa"/>
                  <w:shd w:val="clear" w:color="auto" w:fill="auto"/>
                  <w:vAlign w:val="top"/>
                </w:tcPr>
                <w:p w14:paraId="51B6EC75">
                  <w:pPr>
                    <w:spacing w:before="113" w:line="187" w:lineRule="auto"/>
                    <w:ind w:left="399"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c>
                <w:tcPr>
                  <w:tcW w:w="2695" w:type="dxa"/>
                  <w:shd w:val="clear" w:color="auto" w:fill="auto"/>
                  <w:vAlign w:val="top"/>
                </w:tcPr>
                <w:p w14:paraId="20A41FE7">
                  <w:pPr>
                    <w:pStyle w:val="97"/>
                    <w:spacing w:before="84" w:line="221" w:lineRule="auto"/>
                    <w:ind w:left="929" w:leftChars="0"/>
                    <w:rPr>
                      <w:rFonts w:ascii="宋体" w:hAnsi="宋体" w:eastAsia="宋体" w:cs="宋体"/>
                      <w:color w:val="auto"/>
                      <w:kern w:val="2"/>
                      <w:sz w:val="21"/>
                      <w:szCs w:val="21"/>
                      <w:lang w:val="en-US" w:eastAsia="en-US" w:bidi="ar-SA"/>
                    </w:rPr>
                  </w:pPr>
                  <w:r>
                    <w:rPr>
                      <w:color w:val="auto"/>
                      <w:spacing w:val="-2"/>
                      <w:sz w:val="21"/>
                      <w:szCs w:val="21"/>
                    </w:rPr>
                    <w:t>封闭槽</w:t>
                  </w:r>
                </w:p>
              </w:tc>
              <w:tc>
                <w:tcPr>
                  <w:tcW w:w="2539" w:type="dxa"/>
                  <w:shd w:val="clear" w:color="auto" w:fill="auto"/>
                  <w:vAlign w:val="top"/>
                </w:tcPr>
                <w:p w14:paraId="2F148D15">
                  <w:pPr>
                    <w:spacing w:before="117" w:line="191" w:lineRule="auto"/>
                    <w:ind w:left="718"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3"/>
                      <w:sz w:val="21"/>
                      <w:szCs w:val="21"/>
                    </w:rPr>
                    <w:t>162*45*85</w:t>
                  </w:r>
                </w:p>
              </w:tc>
              <w:tc>
                <w:tcPr>
                  <w:tcW w:w="1553" w:type="dxa"/>
                  <w:shd w:val="clear" w:color="auto" w:fill="auto"/>
                  <w:vAlign w:val="top"/>
                </w:tcPr>
                <w:p w14:paraId="32266787">
                  <w:pPr>
                    <w:spacing w:before="121" w:line="187" w:lineRule="auto"/>
                    <w:ind w:left="685"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520" w:type="dxa"/>
                  <w:shd w:val="clear" w:color="auto" w:fill="auto"/>
                  <w:vAlign w:val="top"/>
                </w:tcPr>
                <w:p w14:paraId="57DA46DF">
                  <w:pPr>
                    <w:spacing w:before="121" w:line="187" w:lineRule="auto"/>
                    <w:ind w:left="652" w:leftChars="0"/>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r>
          </w:tbl>
          <w:p w14:paraId="7F1866D3">
            <w:pPr>
              <w:spacing w:before="82" w:line="220" w:lineRule="auto"/>
              <w:ind w:left="3261"/>
              <w:rPr>
                <w:rFonts w:ascii="宋体" w:hAnsi="宋体" w:eastAsia="宋体" w:cs="宋体"/>
                <w:color w:val="auto"/>
                <w:sz w:val="21"/>
                <w:szCs w:val="21"/>
              </w:rPr>
            </w:pPr>
            <w:r>
              <w:rPr>
                <w:rFonts w:ascii="宋体" w:hAnsi="宋体" w:eastAsia="宋体" w:cs="宋体"/>
                <w:b/>
                <w:bCs/>
                <w:color w:val="auto"/>
                <w:spacing w:val="-3"/>
                <w:sz w:val="21"/>
                <w:szCs w:val="21"/>
              </w:rPr>
              <w:t>十四、退镀线（</w:t>
            </w:r>
            <w:r>
              <w:rPr>
                <w:rFonts w:ascii="Times New Roman" w:hAnsi="Times New Roman" w:eastAsia="Times New Roman" w:cs="Times New Roman"/>
                <w:b/>
                <w:bCs/>
                <w:color w:val="auto"/>
                <w:spacing w:val="-3"/>
                <w:sz w:val="21"/>
                <w:szCs w:val="21"/>
              </w:rPr>
              <w:t>8</w:t>
            </w:r>
            <w:r>
              <w:rPr>
                <w:rFonts w:ascii="宋体" w:hAnsi="宋体" w:eastAsia="宋体" w:cs="宋体"/>
                <w:b/>
                <w:bCs/>
                <w:color w:val="auto"/>
                <w:spacing w:val="-3"/>
                <w:sz w:val="21"/>
                <w:szCs w:val="21"/>
              </w:rPr>
              <w:t>条）</w:t>
            </w:r>
          </w:p>
          <w:p w14:paraId="66810ADE">
            <w:pPr>
              <w:spacing w:line="36" w:lineRule="exact"/>
              <w:rPr>
                <w:color w:val="auto"/>
              </w:rPr>
            </w:pP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5A28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4" w:type="pct"/>
                  <w:vAlign w:val="top"/>
                </w:tcPr>
                <w:p w14:paraId="63AFEF74">
                  <w:pPr>
                    <w:spacing w:before="123"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5E020186">
                  <w:pPr>
                    <w:pStyle w:val="97"/>
                    <w:spacing w:before="87" w:line="220" w:lineRule="auto"/>
                    <w:ind w:left="930"/>
                    <w:rPr>
                      <w:color w:val="auto"/>
                      <w:sz w:val="21"/>
                      <w:szCs w:val="21"/>
                    </w:rPr>
                  </w:pPr>
                  <w:r>
                    <w:rPr>
                      <w:color w:val="auto"/>
                      <w:spacing w:val="-2"/>
                      <w:sz w:val="21"/>
                      <w:szCs w:val="21"/>
                    </w:rPr>
                    <w:t>退镀槽</w:t>
                  </w:r>
                </w:p>
              </w:tc>
              <w:tc>
                <w:tcPr>
                  <w:tcW w:w="1370" w:type="pct"/>
                  <w:vAlign w:val="top"/>
                </w:tcPr>
                <w:p w14:paraId="2D2F6B63">
                  <w:pPr>
                    <w:spacing w:before="119" w:line="233"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70*70*50cm</w:t>
                  </w:r>
                </w:p>
              </w:tc>
              <w:tc>
                <w:tcPr>
                  <w:tcW w:w="838" w:type="pct"/>
                  <w:vAlign w:val="top"/>
                </w:tcPr>
                <w:p w14:paraId="33DCC100">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09170754">
                  <w:pPr>
                    <w:spacing w:before="123"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r w14:paraId="36C3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4" w:type="pct"/>
                  <w:vAlign w:val="top"/>
                </w:tcPr>
                <w:p w14:paraId="3AC9DE0D">
                  <w:pPr>
                    <w:spacing w:before="121"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44C94429">
                  <w:pPr>
                    <w:pStyle w:val="97"/>
                    <w:spacing w:before="84" w:line="221" w:lineRule="auto"/>
                    <w:ind w:left="932"/>
                    <w:rPr>
                      <w:color w:val="auto"/>
                      <w:sz w:val="21"/>
                      <w:szCs w:val="21"/>
                    </w:rPr>
                  </w:pPr>
                  <w:r>
                    <w:rPr>
                      <w:color w:val="auto"/>
                      <w:spacing w:val="-3"/>
                      <w:sz w:val="21"/>
                      <w:szCs w:val="21"/>
                    </w:rPr>
                    <w:t>水洗槽</w:t>
                  </w:r>
                </w:p>
              </w:tc>
              <w:tc>
                <w:tcPr>
                  <w:tcW w:w="1370" w:type="pct"/>
                  <w:vAlign w:val="top"/>
                </w:tcPr>
                <w:p w14:paraId="085FCCD1">
                  <w:pPr>
                    <w:spacing w:before="118" w:line="233"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70*60*30cm</w:t>
                  </w:r>
                </w:p>
              </w:tc>
              <w:tc>
                <w:tcPr>
                  <w:tcW w:w="838" w:type="pct"/>
                  <w:vAlign w:val="top"/>
                </w:tcPr>
                <w:p w14:paraId="2C76746A">
                  <w:pPr>
                    <w:spacing w:before="121"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FD4A3C6">
                  <w:pPr>
                    <w:spacing w:before="121" w:line="187" w:lineRule="auto"/>
                    <w:ind w:left="65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r>
          </w:tbl>
          <w:p w14:paraId="2EFFCF41">
            <w:pPr>
              <w:spacing w:before="82" w:line="221" w:lineRule="auto"/>
              <w:ind w:left="3208"/>
              <w:rPr>
                <w:rFonts w:ascii="宋体" w:hAnsi="宋体" w:eastAsia="宋体" w:cs="宋体"/>
                <w:color w:val="auto"/>
                <w:sz w:val="21"/>
                <w:szCs w:val="21"/>
              </w:rPr>
            </w:pPr>
            <w:r>
              <w:rPr>
                <w:rFonts w:ascii="宋体" w:hAnsi="宋体" w:eastAsia="宋体" w:cs="宋体"/>
                <w:b/>
                <w:bCs/>
                <w:color w:val="auto"/>
                <w:spacing w:val="-3"/>
                <w:sz w:val="21"/>
                <w:szCs w:val="21"/>
              </w:rPr>
              <w:t>十五、喷涂线（</w:t>
            </w:r>
            <w:r>
              <w:rPr>
                <w:rFonts w:ascii="Times New Roman" w:hAnsi="Times New Roman" w:eastAsia="Times New Roman" w:cs="Times New Roman"/>
                <w:b/>
                <w:bCs/>
                <w:color w:val="auto"/>
                <w:spacing w:val="-3"/>
                <w:sz w:val="21"/>
                <w:szCs w:val="21"/>
              </w:rPr>
              <w:t>14</w:t>
            </w:r>
            <w:r>
              <w:rPr>
                <w:rFonts w:ascii="宋体" w:hAnsi="宋体" w:eastAsia="宋体" w:cs="宋体"/>
                <w:b/>
                <w:bCs/>
                <w:color w:val="auto"/>
                <w:spacing w:val="-3"/>
                <w:sz w:val="21"/>
                <w:szCs w:val="21"/>
              </w:rPr>
              <w:t>条）</w:t>
            </w:r>
          </w:p>
          <w:p w14:paraId="6DE33749">
            <w:pPr>
              <w:spacing w:line="36" w:lineRule="exact"/>
              <w:rPr>
                <w:color w:val="auto"/>
              </w:rPr>
            </w:pPr>
          </w:p>
          <w:tbl>
            <w:tblPr>
              <w:tblStyle w:val="7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1021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24DD3599">
                  <w:pPr>
                    <w:spacing w:before="123"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1CD1810C">
                  <w:pPr>
                    <w:pStyle w:val="97"/>
                    <w:spacing w:before="86" w:line="221" w:lineRule="auto"/>
                    <w:ind w:left="1044"/>
                    <w:rPr>
                      <w:color w:val="auto"/>
                      <w:sz w:val="21"/>
                      <w:szCs w:val="21"/>
                    </w:rPr>
                  </w:pPr>
                  <w:r>
                    <w:rPr>
                      <w:color w:val="auto"/>
                      <w:spacing w:val="-4"/>
                      <w:sz w:val="21"/>
                      <w:szCs w:val="21"/>
                    </w:rPr>
                    <w:t>喷枪</w:t>
                  </w:r>
                </w:p>
              </w:tc>
              <w:tc>
                <w:tcPr>
                  <w:tcW w:w="1370" w:type="pct"/>
                  <w:vAlign w:val="top"/>
                </w:tcPr>
                <w:p w14:paraId="5DDD81B1">
                  <w:pPr>
                    <w:spacing w:before="119"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1A8D9B8C">
                  <w:pPr>
                    <w:spacing w:before="123"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4367EC9">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r>
            <w:tr w14:paraId="166F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14" w:type="pct"/>
                  <w:vAlign w:val="top"/>
                </w:tcPr>
                <w:p w14:paraId="6013038D">
                  <w:pPr>
                    <w:spacing w:before="119"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2C90364D">
                  <w:pPr>
                    <w:pStyle w:val="97"/>
                    <w:spacing w:before="83" w:line="220" w:lineRule="auto"/>
                    <w:ind w:left="619"/>
                    <w:rPr>
                      <w:color w:val="auto"/>
                      <w:sz w:val="21"/>
                      <w:szCs w:val="21"/>
                    </w:rPr>
                  </w:pPr>
                  <w:r>
                    <w:rPr>
                      <w:color w:val="auto"/>
                      <w:spacing w:val="-2"/>
                      <w:sz w:val="21"/>
                      <w:szCs w:val="21"/>
                    </w:rPr>
                    <w:t>半自动翻面机</w:t>
                  </w:r>
                </w:p>
              </w:tc>
              <w:tc>
                <w:tcPr>
                  <w:tcW w:w="1370" w:type="pct"/>
                  <w:vAlign w:val="top"/>
                </w:tcPr>
                <w:p w14:paraId="2517F806">
                  <w:pPr>
                    <w:spacing w:before="116"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071BFB03">
                  <w:pPr>
                    <w:spacing w:before="119"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09B71E99">
                  <w:pPr>
                    <w:spacing w:before="119"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r>
            <w:tr w14:paraId="0B78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1303AB96">
                  <w:pPr>
                    <w:spacing w:before="122"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65BB01FC">
                  <w:pPr>
                    <w:pStyle w:val="97"/>
                    <w:spacing w:before="86" w:line="220" w:lineRule="auto"/>
                    <w:ind w:left="640"/>
                    <w:rPr>
                      <w:color w:val="auto"/>
                      <w:sz w:val="21"/>
                      <w:szCs w:val="21"/>
                    </w:rPr>
                  </w:pPr>
                  <w:r>
                    <w:rPr>
                      <w:color w:val="auto"/>
                      <w:spacing w:val="-5"/>
                      <w:sz w:val="21"/>
                      <w:szCs w:val="21"/>
                    </w:rPr>
                    <w:t>电加热干燥箱</w:t>
                  </w:r>
                </w:p>
              </w:tc>
              <w:tc>
                <w:tcPr>
                  <w:tcW w:w="1370" w:type="pct"/>
                  <w:vAlign w:val="top"/>
                </w:tcPr>
                <w:p w14:paraId="5E3CB5A0">
                  <w:pPr>
                    <w:pStyle w:val="97"/>
                    <w:spacing w:before="86" w:line="229" w:lineRule="auto"/>
                    <w:ind w:left="770"/>
                    <w:rPr>
                      <w:color w:val="auto"/>
                      <w:sz w:val="21"/>
                      <w:szCs w:val="21"/>
                    </w:rPr>
                  </w:pPr>
                  <w:r>
                    <w:rPr>
                      <w:rFonts w:ascii="Times New Roman" w:hAnsi="Times New Roman" w:eastAsia="Times New Roman" w:cs="Times New Roman"/>
                      <w:color w:val="auto"/>
                      <w:spacing w:val="-1"/>
                      <w:sz w:val="21"/>
                      <w:szCs w:val="21"/>
                    </w:rPr>
                    <w:t>JC101</w:t>
                  </w:r>
                  <w:r>
                    <w:rPr>
                      <w:color w:val="auto"/>
                      <w:spacing w:val="-1"/>
                      <w:sz w:val="21"/>
                      <w:szCs w:val="21"/>
                    </w:rPr>
                    <w:t>型</w:t>
                  </w:r>
                </w:p>
              </w:tc>
              <w:tc>
                <w:tcPr>
                  <w:tcW w:w="838" w:type="pct"/>
                  <w:vAlign w:val="top"/>
                </w:tcPr>
                <w:p w14:paraId="1F13448A">
                  <w:pPr>
                    <w:spacing w:before="125" w:line="184" w:lineRule="auto"/>
                    <w:ind w:left="66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821" w:type="pct"/>
                  <w:vAlign w:val="top"/>
                </w:tcPr>
                <w:p w14:paraId="2631B028">
                  <w:pPr>
                    <w:spacing w:before="122" w:line="187" w:lineRule="auto"/>
                    <w:ind w:left="59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98</w:t>
                  </w:r>
                </w:p>
              </w:tc>
            </w:tr>
            <w:tr w14:paraId="461A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767186F9">
                  <w:pPr>
                    <w:spacing w:before="122"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68B561CD">
                  <w:pPr>
                    <w:pStyle w:val="97"/>
                    <w:spacing w:before="85" w:line="220" w:lineRule="auto"/>
                    <w:ind w:left="544"/>
                    <w:rPr>
                      <w:color w:val="auto"/>
                      <w:sz w:val="21"/>
                      <w:szCs w:val="21"/>
                    </w:rPr>
                  </w:pPr>
                  <w:r>
                    <w:rPr>
                      <w:color w:val="auto"/>
                      <w:spacing w:val="-6"/>
                      <w:sz w:val="21"/>
                      <w:szCs w:val="21"/>
                    </w:rPr>
                    <w:t>自动旋转混油机</w:t>
                  </w:r>
                </w:p>
              </w:tc>
              <w:tc>
                <w:tcPr>
                  <w:tcW w:w="1370" w:type="pct"/>
                  <w:vAlign w:val="top"/>
                </w:tcPr>
                <w:p w14:paraId="63C636DC">
                  <w:pPr>
                    <w:spacing w:before="122" w:line="187" w:lineRule="auto"/>
                    <w:ind w:left="99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30A</w:t>
                  </w:r>
                </w:p>
              </w:tc>
              <w:tc>
                <w:tcPr>
                  <w:tcW w:w="838" w:type="pct"/>
                  <w:vAlign w:val="top"/>
                </w:tcPr>
                <w:p w14:paraId="5C2B8406">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B096A85">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r>
            <w:tr w14:paraId="46AD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514" w:type="pct"/>
                  <w:vAlign w:val="top"/>
                </w:tcPr>
                <w:p w14:paraId="29F24801">
                  <w:pPr>
                    <w:spacing w:before="125"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375D2E3B">
                  <w:pPr>
                    <w:pStyle w:val="97"/>
                    <w:spacing w:before="86" w:line="221" w:lineRule="auto"/>
                    <w:ind w:left="745"/>
                    <w:rPr>
                      <w:color w:val="auto"/>
                      <w:sz w:val="21"/>
                      <w:szCs w:val="21"/>
                    </w:rPr>
                  </w:pPr>
                  <w:r>
                    <w:rPr>
                      <w:color w:val="auto"/>
                      <w:spacing w:val="-6"/>
                      <w:sz w:val="21"/>
                      <w:szCs w:val="21"/>
                    </w:rPr>
                    <w:t>电加热烘箱</w:t>
                  </w:r>
                </w:p>
              </w:tc>
              <w:tc>
                <w:tcPr>
                  <w:tcW w:w="1370" w:type="pct"/>
                  <w:vAlign w:val="top"/>
                </w:tcPr>
                <w:p w14:paraId="495E7D9F">
                  <w:pPr>
                    <w:spacing w:before="122" w:line="187" w:lineRule="auto"/>
                    <w:ind w:left="74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ZRAX-12</w:t>
                  </w:r>
                </w:p>
              </w:tc>
              <w:tc>
                <w:tcPr>
                  <w:tcW w:w="838" w:type="pct"/>
                  <w:vAlign w:val="top"/>
                </w:tcPr>
                <w:p w14:paraId="2C085ADA">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1DE28357">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r>
            <w:tr w14:paraId="14E7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6EE99637">
                  <w:pPr>
                    <w:spacing w:before="122"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3F49A1E8">
                  <w:pPr>
                    <w:pStyle w:val="97"/>
                    <w:spacing w:before="85" w:line="221" w:lineRule="auto"/>
                    <w:ind w:left="932"/>
                    <w:rPr>
                      <w:color w:val="auto"/>
                      <w:sz w:val="21"/>
                      <w:szCs w:val="21"/>
                    </w:rPr>
                  </w:pPr>
                  <w:r>
                    <w:rPr>
                      <w:color w:val="auto"/>
                      <w:spacing w:val="-2"/>
                      <w:sz w:val="21"/>
                      <w:szCs w:val="21"/>
                    </w:rPr>
                    <w:t>水帘柜</w:t>
                  </w:r>
                </w:p>
              </w:tc>
              <w:tc>
                <w:tcPr>
                  <w:tcW w:w="1370" w:type="pct"/>
                  <w:vAlign w:val="top"/>
                </w:tcPr>
                <w:p w14:paraId="605F5A76">
                  <w:pPr>
                    <w:spacing w:before="119" w:line="233" w:lineRule="auto"/>
                    <w:ind w:left="46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320*200*300cm</w:t>
                  </w:r>
                </w:p>
              </w:tc>
              <w:tc>
                <w:tcPr>
                  <w:tcW w:w="838" w:type="pct"/>
                  <w:vAlign w:val="top"/>
                </w:tcPr>
                <w:p w14:paraId="5EA67CA5">
                  <w:pPr>
                    <w:spacing w:before="122" w:line="187" w:lineRule="auto"/>
                    <w:ind w:left="68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21" w:type="pct"/>
                  <w:vAlign w:val="top"/>
                </w:tcPr>
                <w:p w14:paraId="5AE04A27">
                  <w:pPr>
                    <w:spacing w:before="122"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r>
          </w:tbl>
          <w:p w14:paraId="0B9DA251">
            <w:pPr>
              <w:spacing w:before="82" w:line="221" w:lineRule="auto"/>
              <w:ind w:left="3024"/>
              <w:rPr>
                <w:rFonts w:ascii="宋体" w:hAnsi="宋体" w:eastAsia="宋体" w:cs="宋体"/>
                <w:color w:val="auto"/>
                <w:sz w:val="21"/>
                <w:szCs w:val="21"/>
              </w:rPr>
            </w:pPr>
            <w:r>
              <w:rPr>
                <w:rFonts w:ascii="宋体" w:hAnsi="宋体" w:eastAsia="宋体" w:cs="宋体"/>
                <w:b/>
                <w:bCs/>
                <w:color w:val="auto"/>
                <w:spacing w:val="-3"/>
                <w:sz w:val="21"/>
                <w:szCs w:val="21"/>
              </w:rPr>
              <w:t>十六、公共设备及辅助设备</w:t>
            </w:r>
          </w:p>
          <w:p w14:paraId="25FE0640">
            <w:pPr>
              <w:spacing w:line="36" w:lineRule="exact"/>
              <w:rPr>
                <w:color w:val="auto"/>
              </w:rPr>
            </w:pP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2051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730CBF39">
                  <w:pPr>
                    <w:spacing w:before="116"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06083DF6">
                  <w:pPr>
                    <w:pStyle w:val="97"/>
                    <w:spacing w:before="87" w:line="221" w:lineRule="auto"/>
                    <w:ind w:left="722"/>
                    <w:rPr>
                      <w:color w:val="auto"/>
                      <w:sz w:val="21"/>
                      <w:szCs w:val="21"/>
                    </w:rPr>
                  </w:pPr>
                  <w:r>
                    <w:rPr>
                      <w:color w:val="auto"/>
                      <w:spacing w:val="-2"/>
                      <w:sz w:val="21"/>
                      <w:szCs w:val="21"/>
                    </w:rPr>
                    <w:t>燃气热风炉</w:t>
                  </w:r>
                </w:p>
              </w:tc>
              <w:tc>
                <w:tcPr>
                  <w:tcW w:w="1370" w:type="pct"/>
                  <w:vAlign w:val="top"/>
                </w:tcPr>
                <w:p w14:paraId="42FED93A">
                  <w:pPr>
                    <w:spacing w:before="123" w:line="187" w:lineRule="auto"/>
                    <w:ind w:left="850"/>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0.5MW</w:t>
                  </w:r>
                </w:p>
              </w:tc>
              <w:tc>
                <w:tcPr>
                  <w:tcW w:w="838" w:type="pct"/>
                  <w:vAlign w:val="top"/>
                </w:tcPr>
                <w:p w14:paraId="251B0D9A">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5C6C1477">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r w14:paraId="1D23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690ADDAE">
                  <w:pPr>
                    <w:spacing w:before="112"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4D0A8298">
                  <w:pPr>
                    <w:pStyle w:val="97"/>
                    <w:spacing w:before="82" w:line="221" w:lineRule="auto"/>
                    <w:ind w:left="616"/>
                    <w:rPr>
                      <w:color w:val="auto"/>
                      <w:sz w:val="21"/>
                      <w:szCs w:val="21"/>
                    </w:rPr>
                  </w:pPr>
                  <w:r>
                    <w:rPr>
                      <w:color w:val="auto"/>
                      <w:spacing w:val="-1"/>
                      <w:sz w:val="21"/>
                      <w:szCs w:val="21"/>
                    </w:rPr>
                    <w:t>燃气热水锅炉</w:t>
                  </w:r>
                </w:p>
              </w:tc>
              <w:tc>
                <w:tcPr>
                  <w:tcW w:w="1370" w:type="pct"/>
                  <w:vAlign w:val="top"/>
                </w:tcPr>
                <w:p w14:paraId="1DB20809">
                  <w:pPr>
                    <w:spacing w:before="119" w:line="187" w:lineRule="auto"/>
                    <w:ind w:left="8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4.2MW</w:t>
                  </w:r>
                </w:p>
              </w:tc>
              <w:tc>
                <w:tcPr>
                  <w:tcW w:w="838" w:type="pct"/>
                  <w:vAlign w:val="top"/>
                </w:tcPr>
                <w:p w14:paraId="7AE1FD0D">
                  <w:pPr>
                    <w:spacing w:before="116"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6B2D4BE7">
                  <w:pPr>
                    <w:pStyle w:val="97"/>
                    <w:spacing w:before="83" w:line="222" w:lineRule="auto"/>
                    <w:ind w:right="4"/>
                    <w:jc w:val="right"/>
                    <w:rPr>
                      <w:color w:val="auto"/>
                      <w:sz w:val="21"/>
                      <w:szCs w:val="21"/>
                    </w:rPr>
                  </w:pPr>
                  <w:r>
                    <w:rPr>
                      <w:rFonts w:ascii="Times New Roman" w:hAnsi="Times New Roman" w:eastAsia="Times New Roman" w:cs="Times New Roman"/>
                      <w:color w:val="auto"/>
                      <w:spacing w:val="-11"/>
                      <w:sz w:val="21"/>
                      <w:szCs w:val="21"/>
                    </w:rPr>
                    <w:t>3</w:t>
                  </w:r>
                  <w:r>
                    <w:rPr>
                      <w:color w:val="auto"/>
                      <w:spacing w:val="-11"/>
                      <w:sz w:val="21"/>
                      <w:szCs w:val="21"/>
                    </w:rPr>
                    <w:t>（</w:t>
                  </w:r>
                  <w:r>
                    <w:rPr>
                      <w:rFonts w:ascii="Times New Roman" w:hAnsi="Times New Roman" w:eastAsia="Times New Roman" w:cs="Times New Roman"/>
                      <w:color w:val="auto"/>
                      <w:spacing w:val="-11"/>
                      <w:sz w:val="21"/>
                      <w:szCs w:val="21"/>
                    </w:rPr>
                    <w:t>2</w:t>
                  </w:r>
                  <w:r>
                    <w:rPr>
                      <w:color w:val="auto"/>
                      <w:spacing w:val="-11"/>
                      <w:sz w:val="21"/>
                      <w:szCs w:val="21"/>
                    </w:rPr>
                    <w:t>用</w:t>
                  </w:r>
                  <w:r>
                    <w:rPr>
                      <w:rFonts w:ascii="Times New Roman" w:hAnsi="Times New Roman" w:eastAsia="Times New Roman" w:cs="Times New Roman"/>
                      <w:color w:val="auto"/>
                      <w:spacing w:val="-11"/>
                      <w:sz w:val="21"/>
                      <w:szCs w:val="21"/>
                    </w:rPr>
                    <w:t>1</w:t>
                  </w:r>
                  <w:r>
                    <w:rPr>
                      <w:color w:val="auto"/>
                      <w:spacing w:val="-11"/>
                      <w:sz w:val="21"/>
                      <w:szCs w:val="21"/>
                    </w:rPr>
                    <w:t>备）</w:t>
                  </w:r>
                </w:p>
              </w:tc>
            </w:tr>
            <w:tr w14:paraId="1804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101F5415">
                  <w:pPr>
                    <w:spacing w:before="113"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4FB3B643">
                  <w:pPr>
                    <w:pStyle w:val="97"/>
                    <w:spacing w:before="84" w:line="221" w:lineRule="auto"/>
                    <w:ind w:left="618"/>
                    <w:rPr>
                      <w:color w:val="auto"/>
                      <w:sz w:val="21"/>
                      <w:szCs w:val="21"/>
                    </w:rPr>
                  </w:pPr>
                  <w:r>
                    <w:rPr>
                      <w:color w:val="auto"/>
                      <w:spacing w:val="-2"/>
                      <w:sz w:val="21"/>
                      <w:szCs w:val="21"/>
                    </w:rPr>
                    <w:t>纯水制备系统</w:t>
                  </w:r>
                </w:p>
              </w:tc>
              <w:tc>
                <w:tcPr>
                  <w:tcW w:w="1370" w:type="pct"/>
                  <w:vAlign w:val="top"/>
                </w:tcPr>
                <w:p w14:paraId="2E9D6725">
                  <w:pPr>
                    <w:spacing w:before="99" w:line="252" w:lineRule="exact"/>
                    <w:ind w:left="86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20m</w:t>
                  </w:r>
                  <w:r>
                    <w:rPr>
                      <w:rFonts w:ascii="Times New Roman" w:hAnsi="Times New Roman" w:eastAsia="Times New Roman" w:cs="Times New Roman"/>
                      <w:color w:val="auto"/>
                      <w:spacing w:val="-1"/>
                      <w:position w:val="6"/>
                      <w:sz w:val="13"/>
                      <w:szCs w:val="13"/>
                    </w:rPr>
                    <w:t>3</w:t>
                  </w:r>
                  <w:r>
                    <w:rPr>
                      <w:rFonts w:ascii="Times New Roman" w:hAnsi="Times New Roman" w:eastAsia="Times New Roman" w:cs="Times New Roman"/>
                      <w:color w:val="auto"/>
                      <w:spacing w:val="-1"/>
                      <w:sz w:val="21"/>
                      <w:szCs w:val="21"/>
                    </w:rPr>
                    <w:t>/h</w:t>
                  </w:r>
                </w:p>
              </w:tc>
              <w:tc>
                <w:tcPr>
                  <w:tcW w:w="838" w:type="pct"/>
                  <w:vAlign w:val="top"/>
                </w:tcPr>
                <w:p w14:paraId="58AE06F5">
                  <w:pPr>
                    <w:spacing w:before="117"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2B7DBBE6">
                  <w:pPr>
                    <w:pStyle w:val="97"/>
                    <w:spacing w:before="84" w:line="222" w:lineRule="auto"/>
                    <w:ind w:right="4"/>
                    <w:jc w:val="right"/>
                    <w:rPr>
                      <w:color w:val="auto"/>
                      <w:sz w:val="21"/>
                      <w:szCs w:val="21"/>
                    </w:rPr>
                  </w:pPr>
                  <w:r>
                    <w:rPr>
                      <w:rFonts w:ascii="Times New Roman" w:hAnsi="Times New Roman" w:eastAsia="Times New Roman" w:cs="Times New Roman"/>
                      <w:color w:val="auto"/>
                      <w:spacing w:val="-7"/>
                      <w:sz w:val="21"/>
                      <w:szCs w:val="21"/>
                    </w:rPr>
                    <w:t>5</w:t>
                  </w:r>
                  <w:r>
                    <w:rPr>
                      <w:color w:val="auto"/>
                      <w:spacing w:val="-7"/>
                      <w:sz w:val="21"/>
                      <w:szCs w:val="21"/>
                    </w:rPr>
                    <w:t>（</w:t>
                  </w:r>
                  <w:r>
                    <w:rPr>
                      <w:rFonts w:ascii="Times New Roman" w:hAnsi="Times New Roman" w:eastAsia="Times New Roman" w:cs="Times New Roman"/>
                      <w:color w:val="auto"/>
                      <w:spacing w:val="-7"/>
                      <w:sz w:val="21"/>
                      <w:szCs w:val="21"/>
                    </w:rPr>
                    <w:t>3</w:t>
                  </w:r>
                  <w:r>
                    <w:rPr>
                      <w:color w:val="auto"/>
                      <w:spacing w:val="-7"/>
                      <w:sz w:val="21"/>
                      <w:szCs w:val="21"/>
                    </w:rPr>
                    <w:t>用</w:t>
                  </w:r>
                  <w:r>
                    <w:rPr>
                      <w:rFonts w:ascii="Times New Roman" w:hAnsi="Times New Roman" w:eastAsia="Times New Roman" w:cs="Times New Roman"/>
                      <w:color w:val="auto"/>
                      <w:spacing w:val="-7"/>
                      <w:sz w:val="21"/>
                      <w:szCs w:val="21"/>
                    </w:rPr>
                    <w:t>2</w:t>
                  </w:r>
                  <w:r>
                    <w:rPr>
                      <w:color w:val="auto"/>
                      <w:spacing w:val="-7"/>
                      <w:sz w:val="21"/>
                      <w:szCs w:val="21"/>
                    </w:rPr>
                    <w:t>备）</w:t>
                  </w:r>
                </w:p>
              </w:tc>
            </w:tr>
            <w:tr w14:paraId="4D53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501F65F1">
                  <w:pPr>
                    <w:spacing w:before="114"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68C3CCAC">
                  <w:pPr>
                    <w:pStyle w:val="97"/>
                    <w:spacing w:before="85" w:line="220" w:lineRule="auto"/>
                    <w:ind w:left="936"/>
                    <w:rPr>
                      <w:color w:val="auto"/>
                      <w:sz w:val="21"/>
                      <w:szCs w:val="21"/>
                    </w:rPr>
                  </w:pPr>
                  <w:r>
                    <w:rPr>
                      <w:color w:val="auto"/>
                      <w:spacing w:val="-3"/>
                      <w:sz w:val="21"/>
                      <w:szCs w:val="21"/>
                    </w:rPr>
                    <w:t>空压机</w:t>
                  </w:r>
                </w:p>
              </w:tc>
              <w:tc>
                <w:tcPr>
                  <w:tcW w:w="1370" w:type="pct"/>
                  <w:vAlign w:val="top"/>
                </w:tcPr>
                <w:p w14:paraId="3CF42F53">
                  <w:pPr>
                    <w:pStyle w:val="97"/>
                    <w:spacing w:before="85" w:line="221" w:lineRule="auto"/>
                    <w:ind w:left="447"/>
                    <w:rPr>
                      <w:rFonts w:ascii="Times New Roman" w:hAnsi="Times New Roman" w:eastAsia="Times New Roman" w:cs="Times New Roman"/>
                      <w:color w:val="auto"/>
                      <w:sz w:val="21"/>
                      <w:szCs w:val="21"/>
                    </w:rPr>
                  </w:pPr>
                  <w:r>
                    <w:rPr>
                      <w:color w:val="auto"/>
                      <w:spacing w:val="-1"/>
                      <w:sz w:val="21"/>
                      <w:szCs w:val="21"/>
                    </w:rPr>
                    <w:t>螺杆式，</w:t>
                  </w:r>
                  <w:r>
                    <w:rPr>
                      <w:rFonts w:ascii="Times New Roman" w:hAnsi="Times New Roman" w:eastAsia="Times New Roman" w:cs="Times New Roman"/>
                      <w:color w:val="auto"/>
                      <w:spacing w:val="-1"/>
                      <w:sz w:val="21"/>
                      <w:szCs w:val="21"/>
                    </w:rPr>
                    <w:t>250kW</w:t>
                  </w:r>
                </w:p>
              </w:tc>
              <w:tc>
                <w:tcPr>
                  <w:tcW w:w="838" w:type="pct"/>
                  <w:vAlign w:val="top"/>
                </w:tcPr>
                <w:p w14:paraId="62DF741E">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3770C16B">
                  <w:pPr>
                    <w:pStyle w:val="97"/>
                    <w:spacing w:before="85" w:line="222" w:lineRule="auto"/>
                    <w:ind w:right="4"/>
                    <w:jc w:val="right"/>
                    <w:rPr>
                      <w:color w:val="auto"/>
                      <w:sz w:val="21"/>
                      <w:szCs w:val="21"/>
                    </w:rPr>
                  </w:pPr>
                  <w:r>
                    <w:rPr>
                      <w:rFonts w:ascii="Times New Roman" w:hAnsi="Times New Roman" w:eastAsia="Times New Roman" w:cs="Times New Roman"/>
                      <w:color w:val="auto"/>
                      <w:spacing w:val="-11"/>
                      <w:sz w:val="21"/>
                      <w:szCs w:val="21"/>
                    </w:rPr>
                    <w:t>2</w:t>
                  </w:r>
                  <w:r>
                    <w:rPr>
                      <w:color w:val="auto"/>
                      <w:spacing w:val="-11"/>
                      <w:sz w:val="21"/>
                      <w:szCs w:val="21"/>
                    </w:rPr>
                    <w:t>（</w:t>
                  </w:r>
                  <w:r>
                    <w:rPr>
                      <w:rFonts w:ascii="Times New Roman" w:hAnsi="Times New Roman" w:eastAsia="Times New Roman" w:cs="Times New Roman"/>
                      <w:color w:val="auto"/>
                      <w:spacing w:val="-11"/>
                      <w:sz w:val="21"/>
                      <w:szCs w:val="21"/>
                    </w:rPr>
                    <w:t>1</w:t>
                  </w:r>
                  <w:r>
                    <w:rPr>
                      <w:color w:val="auto"/>
                      <w:spacing w:val="-11"/>
                      <w:sz w:val="21"/>
                      <w:szCs w:val="21"/>
                    </w:rPr>
                    <w:t>用</w:t>
                  </w:r>
                  <w:r>
                    <w:rPr>
                      <w:rFonts w:ascii="Times New Roman" w:hAnsi="Times New Roman" w:eastAsia="Times New Roman" w:cs="Times New Roman"/>
                      <w:color w:val="auto"/>
                      <w:spacing w:val="-11"/>
                      <w:sz w:val="21"/>
                      <w:szCs w:val="21"/>
                    </w:rPr>
                    <w:t>1</w:t>
                  </w:r>
                  <w:r>
                    <w:rPr>
                      <w:color w:val="auto"/>
                      <w:spacing w:val="-11"/>
                      <w:sz w:val="21"/>
                      <w:szCs w:val="21"/>
                    </w:rPr>
                    <w:t>备）</w:t>
                  </w:r>
                </w:p>
              </w:tc>
            </w:tr>
            <w:tr w14:paraId="06A2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6240337A">
                  <w:pPr>
                    <w:spacing w:before="117"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7AA37F7D">
                  <w:pPr>
                    <w:pStyle w:val="97"/>
                    <w:spacing w:before="86" w:line="221" w:lineRule="auto"/>
                    <w:ind w:left="616"/>
                    <w:rPr>
                      <w:color w:val="auto"/>
                      <w:sz w:val="21"/>
                      <w:szCs w:val="21"/>
                    </w:rPr>
                  </w:pPr>
                  <w:r>
                    <w:rPr>
                      <w:color w:val="auto"/>
                      <w:spacing w:val="-1"/>
                      <w:sz w:val="21"/>
                      <w:szCs w:val="21"/>
                    </w:rPr>
                    <w:t>燃气蒸汽锅炉</w:t>
                  </w:r>
                </w:p>
              </w:tc>
              <w:tc>
                <w:tcPr>
                  <w:tcW w:w="1370" w:type="pct"/>
                  <w:vAlign w:val="top"/>
                </w:tcPr>
                <w:p w14:paraId="20004BA3">
                  <w:pPr>
                    <w:spacing w:before="119" w:line="190" w:lineRule="auto"/>
                    <w:ind w:left="100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2t/h</w:t>
                  </w:r>
                </w:p>
              </w:tc>
              <w:tc>
                <w:tcPr>
                  <w:tcW w:w="838" w:type="pct"/>
                  <w:vAlign w:val="top"/>
                </w:tcPr>
                <w:p w14:paraId="7BE1233C">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196D4A76">
                  <w:pPr>
                    <w:pStyle w:val="97"/>
                    <w:spacing w:before="85" w:line="222" w:lineRule="auto"/>
                    <w:ind w:right="4"/>
                    <w:jc w:val="right"/>
                    <w:rPr>
                      <w:color w:val="auto"/>
                      <w:sz w:val="21"/>
                      <w:szCs w:val="21"/>
                    </w:rPr>
                  </w:pPr>
                  <w:r>
                    <w:rPr>
                      <w:rFonts w:ascii="Times New Roman" w:hAnsi="Times New Roman" w:eastAsia="Times New Roman" w:cs="Times New Roman"/>
                      <w:color w:val="auto"/>
                      <w:spacing w:val="-11"/>
                      <w:sz w:val="21"/>
                      <w:szCs w:val="21"/>
                    </w:rPr>
                    <w:t>2</w:t>
                  </w:r>
                  <w:r>
                    <w:rPr>
                      <w:color w:val="auto"/>
                      <w:spacing w:val="-11"/>
                      <w:sz w:val="21"/>
                      <w:szCs w:val="21"/>
                    </w:rPr>
                    <w:t>（</w:t>
                  </w:r>
                  <w:r>
                    <w:rPr>
                      <w:rFonts w:ascii="Times New Roman" w:hAnsi="Times New Roman" w:eastAsia="Times New Roman" w:cs="Times New Roman"/>
                      <w:color w:val="auto"/>
                      <w:spacing w:val="-11"/>
                      <w:sz w:val="21"/>
                      <w:szCs w:val="21"/>
                    </w:rPr>
                    <w:t>1</w:t>
                  </w:r>
                  <w:r>
                    <w:rPr>
                      <w:color w:val="auto"/>
                      <w:spacing w:val="-11"/>
                      <w:sz w:val="21"/>
                      <w:szCs w:val="21"/>
                    </w:rPr>
                    <w:t>用</w:t>
                  </w:r>
                  <w:r>
                    <w:rPr>
                      <w:rFonts w:ascii="Times New Roman" w:hAnsi="Times New Roman" w:eastAsia="Times New Roman" w:cs="Times New Roman"/>
                      <w:color w:val="auto"/>
                      <w:spacing w:val="-11"/>
                      <w:sz w:val="21"/>
                      <w:szCs w:val="21"/>
                    </w:rPr>
                    <w:t>1</w:t>
                  </w:r>
                  <w:r>
                    <w:rPr>
                      <w:color w:val="auto"/>
                      <w:spacing w:val="-11"/>
                      <w:sz w:val="21"/>
                      <w:szCs w:val="21"/>
                    </w:rPr>
                    <w:t>备）</w:t>
                  </w:r>
                </w:p>
              </w:tc>
            </w:tr>
            <w:tr w14:paraId="7798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1D5CCCC0">
                  <w:pPr>
                    <w:spacing w:before="115"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6DBF411D">
                  <w:pPr>
                    <w:pStyle w:val="97"/>
                    <w:spacing w:before="86" w:line="220" w:lineRule="auto"/>
                    <w:ind w:left="931"/>
                    <w:rPr>
                      <w:color w:val="auto"/>
                      <w:sz w:val="21"/>
                      <w:szCs w:val="21"/>
                    </w:rPr>
                  </w:pPr>
                  <w:r>
                    <w:rPr>
                      <w:color w:val="auto"/>
                      <w:spacing w:val="-2"/>
                      <w:sz w:val="21"/>
                      <w:szCs w:val="21"/>
                    </w:rPr>
                    <w:t>鼓风机</w:t>
                  </w:r>
                </w:p>
              </w:tc>
              <w:tc>
                <w:tcPr>
                  <w:tcW w:w="1370" w:type="pct"/>
                  <w:vAlign w:val="top"/>
                </w:tcPr>
                <w:p w14:paraId="1066DB17">
                  <w:pPr>
                    <w:spacing w:before="119"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37B9C606">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32ECAB14">
                  <w:pPr>
                    <w:spacing w:before="122" w:line="187" w:lineRule="auto"/>
                    <w:ind w:left="6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r>
          </w:tbl>
          <w:p w14:paraId="1EC2EE01">
            <w:pPr>
              <w:spacing w:before="83" w:line="221" w:lineRule="auto"/>
              <w:ind w:left="3549"/>
              <w:rPr>
                <w:rFonts w:ascii="宋体" w:hAnsi="宋体" w:eastAsia="宋体" w:cs="宋体"/>
                <w:color w:val="auto"/>
                <w:sz w:val="21"/>
                <w:szCs w:val="21"/>
              </w:rPr>
            </w:pPr>
            <w:r>
              <w:rPr>
                <w:rFonts w:ascii="宋体" w:hAnsi="宋体" w:eastAsia="宋体" w:cs="宋体"/>
                <w:b/>
                <w:bCs/>
                <w:color w:val="auto"/>
                <w:spacing w:val="-3"/>
                <w:sz w:val="21"/>
                <w:szCs w:val="21"/>
              </w:rPr>
              <w:t>十七、废气处理</w:t>
            </w:r>
          </w:p>
          <w:p w14:paraId="3E14F819">
            <w:pPr>
              <w:spacing w:line="32" w:lineRule="exact"/>
              <w:rPr>
                <w:color w:val="auto"/>
              </w:rPr>
            </w:pPr>
          </w:p>
          <w:tbl>
            <w:tblPr>
              <w:tblStyle w:val="7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2705"/>
              <w:gridCol w:w="2549"/>
              <w:gridCol w:w="1559"/>
              <w:gridCol w:w="1528"/>
            </w:tblGrid>
            <w:tr w14:paraId="493A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3D51A2BD">
                  <w:pPr>
                    <w:spacing w:before="118" w:line="187" w:lineRule="auto"/>
                    <w:ind w:left="4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4" w:type="pct"/>
                  <w:vAlign w:val="top"/>
                </w:tcPr>
                <w:p w14:paraId="02B05689">
                  <w:pPr>
                    <w:pStyle w:val="97"/>
                    <w:spacing w:before="89" w:line="220" w:lineRule="auto"/>
                    <w:ind w:left="721"/>
                    <w:rPr>
                      <w:color w:val="auto"/>
                      <w:sz w:val="21"/>
                      <w:szCs w:val="21"/>
                    </w:rPr>
                  </w:pPr>
                  <w:r>
                    <w:rPr>
                      <w:color w:val="auto"/>
                      <w:spacing w:val="-1"/>
                      <w:sz w:val="21"/>
                      <w:szCs w:val="21"/>
                    </w:rPr>
                    <w:t>布袋除尘器</w:t>
                  </w:r>
                </w:p>
              </w:tc>
              <w:tc>
                <w:tcPr>
                  <w:tcW w:w="1370" w:type="pct"/>
                  <w:vAlign w:val="top"/>
                </w:tcPr>
                <w:p w14:paraId="67DAAFD3">
                  <w:pPr>
                    <w:spacing w:before="122"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2B5CB19E">
                  <w:pPr>
                    <w:spacing w:before="122"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1CBE0B43">
                  <w:pPr>
                    <w:spacing w:before="125" w:line="187" w:lineRule="auto"/>
                    <w:ind w:left="65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r>
            <w:tr w14:paraId="0BEC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02EA47E0">
                  <w:pPr>
                    <w:spacing w:before="114" w:line="187" w:lineRule="auto"/>
                    <w:ind w:left="39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4" w:type="pct"/>
                  <w:vAlign w:val="top"/>
                </w:tcPr>
                <w:p w14:paraId="6CDA03B3">
                  <w:pPr>
                    <w:pStyle w:val="97"/>
                    <w:spacing w:before="83" w:line="223" w:lineRule="auto"/>
                    <w:ind w:left="930"/>
                    <w:rPr>
                      <w:color w:val="auto"/>
                      <w:sz w:val="21"/>
                      <w:szCs w:val="21"/>
                    </w:rPr>
                  </w:pPr>
                  <w:r>
                    <w:rPr>
                      <w:color w:val="auto"/>
                      <w:spacing w:val="-2"/>
                      <w:sz w:val="21"/>
                      <w:szCs w:val="21"/>
                    </w:rPr>
                    <w:t>过滤器</w:t>
                  </w:r>
                </w:p>
              </w:tc>
              <w:tc>
                <w:tcPr>
                  <w:tcW w:w="1370" w:type="pct"/>
                  <w:vAlign w:val="top"/>
                </w:tcPr>
                <w:p w14:paraId="03622F5C">
                  <w:pPr>
                    <w:spacing w:before="116"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504FE494">
                  <w:pPr>
                    <w:spacing w:before="116"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24431AF1">
                  <w:pPr>
                    <w:spacing w:before="119" w:line="187" w:lineRule="auto"/>
                    <w:ind w:left="64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r>
            <w:tr w14:paraId="7BAD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5518E5F8">
                  <w:pPr>
                    <w:spacing w:before="115" w:line="187" w:lineRule="auto"/>
                    <w:ind w:left="39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4" w:type="pct"/>
                  <w:vAlign w:val="top"/>
                </w:tcPr>
                <w:p w14:paraId="5D14F117">
                  <w:pPr>
                    <w:pStyle w:val="97"/>
                    <w:spacing w:before="84" w:line="220" w:lineRule="auto"/>
                    <w:ind w:left="304"/>
                    <w:rPr>
                      <w:color w:val="auto"/>
                      <w:sz w:val="21"/>
                      <w:szCs w:val="21"/>
                    </w:rPr>
                  </w:pPr>
                  <w:r>
                    <w:rPr>
                      <w:color w:val="auto"/>
                      <w:spacing w:val="-1"/>
                      <w:sz w:val="21"/>
                      <w:szCs w:val="21"/>
                    </w:rPr>
                    <w:t>活性炭吸附浓缩设备</w:t>
                  </w:r>
                </w:p>
              </w:tc>
              <w:tc>
                <w:tcPr>
                  <w:tcW w:w="1370" w:type="pct"/>
                  <w:vAlign w:val="top"/>
                </w:tcPr>
                <w:p w14:paraId="763CC6B6">
                  <w:pPr>
                    <w:spacing w:before="117"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555CF58A">
                  <w:pPr>
                    <w:spacing w:before="117"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1E406C6A">
                  <w:pPr>
                    <w:spacing w:before="120" w:line="187" w:lineRule="auto"/>
                    <w:ind w:left="64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r>
            <w:tr w14:paraId="6238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14" w:type="pct"/>
                  <w:vAlign w:val="top"/>
                </w:tcPr>
                <w:p w14:paraId="11D0CAC8">
                  <w:pPr>
                    <w:spacing w:before="117" w:line="18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4" w:type="pct"/>
                  <w:vAlign w:val="top"/>
                </w:tcPr>
                <w:p w14:paraId="02622BE3">
                  <w:pPr>
                    <w:pStyle w:val="97"/>
                    <w:spacing w:before="85" w:line="220" w:lineRule="auto"/>
                    <w:ind w:left="615"/>
                    <w:rPr>
                      <w:color w:val="auto"/>
                      <w:sz w:val="21"/>
                      <w:szCs w:val="21"/>
                    </w:rPr>
                  </w:pPr>
                  <w:r>
                    <w:rPr>
                      <w:color w:val="auto"/>
                      <w:spacing w:val="-1"/>
                      <w:sz w:val="21"/>
                      <w:szCs w:val="21"/>
                    </w:rPr>
                    <w:t>催化燃烧设备</w:t>
                  </w:r>
                </w:p>
              </w:tc>
              <w:tc>
                <w:tcPr>
                  <w:tcW w:w="1370" w:type="pct"/>
                  <w:vAlign w:val="top"/>
                </w:tcPr>
                <w:p w14:paraId="44EBEC61">
                  <w:pPr>
                    <w:spacing w:before="118"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75774AFA">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3544FD15">
                  <w:pPr>
                    <w:spacing w:before="122" w:line="187" w:lineRule="auto"/>
                    <w:ind w:left="64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r>
            <w:tr w14:paraId="774A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514" w:type="pct"/>
                  <w:vAlign w:val="top"/>
                </w:tcPr>
                <w:p w14:paraId="5728EB1F">
                  <w:pPr>
                    <w:spacing w:before="120" w:line="184" w:lineRule="auto"/>
                    <w:ind w:left="39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4" w:type="pct"/>
                  <w:vAlign w:val="top"/>
                </w:tcPr>
                <w:p w14:paraId="621F7068">
                  <w:pPr>
                    <w:pStyle w:val="97"/>
                    <w:spacing w:before="86" w:line="219" w:lineRule="auto"/>
                    <w:ind w:left="938"/>
                    <w:rPr>
                      <w:color w:val="auto"/>
                      <w:sz w:val="21"/>
                      <w:szCs w:val="21"/>
                    </w:rPr>
                  </w:pPr>
                  <w:r>
                    <w:rPr>
                      <w:color w:val="auto"/>
                      <w:spacing w:val="-3"/>
                      <w:sz w:val="21"/>
                      <w:szCs w:val="21"/>
                    </w:rPr>
                    <w:t>喷淋塔</w:t>
                  </w:r>
                </w:p>
              </w:tc>
              <w:tc>
                <w:tcPr>
                  <w:tcW w:w="1370" w:type="pct"/>
                  <w:vAlign w:val="top"/>
                </w:tcPr>
                <w:p w14:paraId="653716FC">
                  <w:pPr>
                    <w:spacing w:before="118"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6E929043">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662777CC">
                  <w:pPr>
                    <w:spacing w:before="125" w:line="184" w:lineRule="auto"/>
                    <w:ind w:left="6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r>
            <w:tr w14:paraId="7644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514" w:type="pct"/>
                  <w:vAlign w:val="top"/>
                </w:tcPr>
                <w:p w14:paraId="68200B3D">
                  <w:pPr>
                    <w:spacing w:before="116" w:line="187" w:lineRule="auto"/>
                    <w:ind w:left="39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4" w:type="pct"/>
                  <w:vAlign w:val="top"/>
                </w:tcPr>
                <w:p w14:paraId="6620132B">
                  <w:pPr>
                    <w:pStyle w:val="97"/>
                    <w:spacing w:before="87" w:line="220" w:lineRule="auto"/>
                    <w:ind w:left="1037"/>
                    <w:rPr>
                      <w:color w:val="auto"/>
                      <w:sz w:val="21"/>
                      <w:szCs w:val="21"/>
                    </w:rPr>
                  </w:pPr>
                  <w:r>
                    <w:rPr>
                      <w:color w:val="auto"/>
                      <w:spacing w:val="-2"/>
                      <w:sz w:val="21"/>
                      <w:szCs w:val="21"/>
                    </w:rPr>
                    <w:t>风机</w:t>
                  </w:r>
                </w:p>
              </w:tc>
              <w:tc>
                <w:tcPr>
                  <w:tcW w:w="1370" w:type="pct"/>
                  <w:vAlign w:val="top"/>
                </w:tcPr>
                <w:p w14:paraId="4DB6E8B5">
                  <w:pPr>
                    <w:spacing w:before="119"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8" w:type="pct"/>
                  <w:vAlign w:val="top"/>
                </w:tcPr>
                <w:p w14:paraId="753B9F26">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21" w:type="pct"/>
                  <w:vAlign w:val="top"/>
                </w:tcPr>
                <w:p w14:paraId="35EC98F5">
                  <w:pPr>
                    <w:spacing w:before="123" w:line="187" w:lineRule="auto"/>
                    <w:ind w:left="61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r>
          </w:tbl>
          <w:p w14:paraId="77572540">
            <w:pPr>
              <w:spacing w:before="83" w:line="221" w:lineRule="auto"/>
              <w:ind w:left="3549"/>
              <w:rPr>
                <w:rFonts w:ascii="宋体" w:hAnsi="宋体" w:eastAsia="宋体" w:cs="宋体"/>
                <w:color w:val="auto"/>
                <w:sz w:val="21"/>
                <w:szCs w:val="21"/>
              </w:rPr>
            </w:pPr>
            <w:r>
              <w:rPr>
                <w:rFonts w:ascii="宋体" w:hAnsi="宋体" w:eastAsia="宋体" w:cs="宋体"/>
                <w:b/>
                <w:bCs/>
                <w:color w:val="auto"/>
                <w:spacing w:val="-3"/>
                <w:sz w:val="21"/>
                <w:szCs w:val="21"/>
              </w:rPr>
              <w:t>十八、废水处理</w:t>
            </w:r>
          </w:p>
          <w:p w14:paraId="736F2B7C">
            <w:pPr>
              <w:spacing w:line="36" w:lineRule="exact"/>
              <w:rPr>
                <w:color w:val="auto"/>
              </w:rPr>
            </w:pP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0"/>
              <w:gridCol w:w="2701"/>
              <w:gridCol w:w="2545"/>
              <w:gridCol w:w="1557"/>
              <w:gridCol w:w="1524"/>
            </w:tblGrid>
            <w:tr w14:paraId="2267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22" w:type="pct"/>
                  <w:vAlign w:val="top"/>
                </w:tcPr>
                <w:p w14:paraId="075D519C">
                  <w:pPr>
                    <w:spacing w:before="116" w:line="187" w:lineRule="auto"/>
                    <w:ind w:left="42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452" w:type="pct"/>
                  <w:vAlign w:val="top"/>
                </w:tcPr>
                <w:p w14:paraId="584A54CD">
                  <w:pPr>
                    <w:pStyle w:val="97"/>
                    <w:spacing w:before="87" w:line="220" w:lineRule="auto"/>
                    <w:ind w:left="930"/>
                    <w:rPr>
                      <w:color w:val="auto"/>
                      <w:sz w:val="21"/>
                      <w:szCs w:val="21"/>
                    </w:rPr>
                  </w:pPr>
                  <w:r>
                    <w:rPr>
                      <w:color w:val="auto"/>
                      <w:spacing w:val="-2"/>
                      <w:sz w:val="21"/>
                      <w:szCs w:val="21"/>
                    </w:rPr>
                    <w:t>气浮机</w:t>
                  </w:r>
                </w:p>
              </w:tc>
              <w:tc>
                <w:tcPr>
                  <w:tcW w:w="1368" w:type="pct"/>
                  <w:vAlign w:val="top"/>
                </w:tcPr>
                <w:p w14:paraId="5D8EB2D0">
                  <w:pPr>
                    <w:spacing w:before="119"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6454D494">
                  <w:pPr>
                    <w:spacing w:before="119"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7E92766E">
                  <w:pPr>
                    <w:spacing w:before="123"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5A49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3504F3A0">
                  <w:pPr>
                    <w:spacing w:before="114" w:line="187" w:lineRule="auto"/>
                    <w:ind w:left="40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452" w:type="pct"/>
                  <w:vAlign w:val="top"/>
                </w:tcPr>
                <w:p w14:paraId="073EFC85">
                  <w:pPr>
                    <w:pStyle w:val="97"/>
                    <w:spacing w:before="84" w:line="221" w:lineRule="auto"/>
                    <w:ind w:left="720"/>
                    <w:rPr>
                      <w:color w:val="auto"/>
                      <w:sz w:val="21"/>
                      <w:szCs w:val="21"/>
                    </w:rPr>
                  </w:pPr>
                  <w:r>
                    <w:rPr>
                      <w:color w:val="auto"/>
                      <w:spacing w:val="-1"/>
                      <w:sz w:val="21"/>
                      <w:szCs w:val="21"/>
                    </w:rPr>
                    <w:t>微滤膜系统</w:t>
                  </w:r>
                </w:p>
              </w:tc>
              <w:tc>
                <w:tcPr>
                  <w:tcW w:w="1368" w:type="pct"/>
                  <w:vAlign w:val="top"/>
                </w:tcPr>
                <w:p w14:paraId="4C84A351">
                  <w:pPr>
                    <w:spacing w:before="118"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17DA5396">
                  <w:pPr>
                    <w:spacing w:before="11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46B61123">
                  <w:pPr>
                    <w:spacing w:before="121"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0B93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top"/>
                </w:tcPr>
                <w:p w14:paraId="5A86BA3C">
                  <w:pPr>
                    <w:spacing w:before="117"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452" w:type="pct"/>
                  <w:vAlign w:val="top"/>
                </w:tcPr>
                <w:p w14:paraId="71A0A5EA">
                  <w:pPr>
                    <w:pStyle w:val="97"/>
                    <w:spacing w:before="88" w:line="221" w:lineRule="auto"/>
                    <w:ind w:left="615"/>
                    <w:rPr>
                      <w:color w:val="auto"/>
                      <w:sz w:val="21"/>
                      <w:szCs w:val="21"/>
                    </w:rPr>
                  </w:pPr>
                  <w:r>
                    <w:rPr>
                      <w:color w:val="auto"/>
                      <w:spacing w:val="-1"/>
                      <w:sz w:val="21"/>
                      <w:szCs w:val="21"/>
                    </w:rPr>
                    <w:t>酸膜回收系统</w:t>
                  </w:r>
                </w:p>
              </w:tc>
              <w:tc>
                <w:tcPr>
                  <w:tcW w:w="1368" w:type="pct"/>
                  <w:vAlign w:val="top"/>
                </w:tcPr>
                <w:p w14:paraId="57D31938">
                  <w:pPr>
                    <w:spacing w:before="121"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12A4D94B">
                  <w:pPr>
                    <w:spacing w:before="121"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5D466B42">
                  <w:pPr>
                    <w:spacing w:before="124"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1844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7BA5C3A1">
                  <w:pPr>
                    <w:spacing w:before="119" w:line="187" w:lineRule="auto"/>
                    <w:ind w:left="40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452" w:type="pct"/>
                  <w:vAlign w:val="top"/>
                </w:tcPr>
                <w:p w14:paraId="62758EE2">
                  <w:pPr>
                    <w:pStyle w:val="97"/>
                    <w:spacing w:before="90" w:line="220" w:lineRule="auto"/>
                    <w:ind w:left="430"/>
                    <w:rPr>
                      <w:color w:val="auto"/>
                      <w:sz w:val="21"/>
                      <w:szCs w:val="21"/>
                    </w:rPr>
                  </w:pPr>
                  <w:r>
                    <w:rPr>
                      <w:color w:val="auto"/>
                      <w:spacing w:val="-4"/>
                      <w:sz w:val="21"/>
                      <w:szCs w:val="21"/>
                    </w:rPr>
                    <w:t>电催化氧化反应器</w:t>
                  </w:r>
                </w:p>
              </w:tc>
              <w:tc>
                <w:tcPr>
                  <w:tcW w:w="1368" w:type="pct"/>
                  <w:vAlign w:val="top"/>
                </w:tcPr>
                <w:p w14:paraId="15BA85C1">
                  <w:pPr>
                    <w:spacing w:before="123"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73CD1C9A">
                  <w:pPr>
                    <w:spacing w:before="123"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06A372ED">
                  <w:pPr>
                    <w:spacing w:before="127" w:line="187" w:lineRule="auto"/>
                    <w:ind w:left="64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r>
            <w:tr w14:paraId="5B64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22" w:type="pct"/>
                  <w:vAlign w:val="top"/>
                </w:tcPr>
                <w:p w14:paraId="0B62F402">
                  <w:pPr>
                    <w:spacing w:before="125" w:line="184" w:lineRule="auto"/>
                    <w:ind w:left="41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452" w:type="pct"/>
                  <w:vAlign w:val="top"/>
                </w:tcPr>
                <w:p w14:paraId="4733CE19">
                  <w:pPr>
                    <w:pStyle w:val="97"/>
                    <w:spacing w:before="93" w:line="220" w:lineRule="auto"/>
                    <w:ind w:left="624"/>
                    <w:rPr>
                      <w:color w:val="auto"/>
                      <w:sz w:val="21"/>
                      <w:szCs w:val="21"/>
                    </w:rPr>
                  </w:pPr>
                  <w:r>
                    <w:rPr>
                      <w:color w:val="auto"/>
                      <w:spacing w:val="-3"/>
                      <w:sz w:val="21"/>
                      <w:szCs w:val="21"/>
                    </w:rPr>
                    <w:t>多介质过滤器</w:t>
                  </w:r>
                </w:p>
              </w:tc>
              <w:tc>
                <w:tcPr>
                  <w:tcW w:w="1368" w:type="pct"/>
                  <w:vAlign w:val="top"/>
                </w:tcPr>
                <w:p w14:paraId="18C78118">
                  <w:pPr>
                    <w:spacing w:before="126" w:line="231"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2DB34E9E">
                  <w:pPr>
                    <w:spacing w:before="126" w:line="231"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54461AC2">
                  <w:pPr>
                    <w:spacing w:before="130"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4988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798EB4D3">
                  <w:pPr>
                    <w:spacing w:before="128"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452" w:type="pct"/>
                  <w:vAlign w:val="top"/>
                </w:tcPr>
                <w:p w14:paraId="2E86CD14">
                  <w:pPr>
                    <w:pStyle w:val="97"/>
                    <w:spacing w:before="99" w:line="222" w:lineRule="auto"/>
                    <w:ind w:left="825"/>
                    <w:rPr>
                      <w:color w:val="auto"/>
                      <w:sz w:val="21"/>
                      <w:szCs w:val="21"/>
                    </w:rPr>
                  </w:pPr>
                  <w:r>
                    <w:rPr>
                      <w:color w:val="auto"/>
                      <w:spacing w:val="-1"/>
                      <w:sz w:val="21"/>
                      <w:szCs w:val="21"/>
                    </w:rPr>
                    <w:t>超滤系统</w:t>
                  </w:r>
                </w:p>
              </w:tc>
              <w:tc>
                <w:tcPr>
                  <w:tcW w:w="1368" w:type="pct"/>
                  <w:vAlign w:val="top"/>
                </w:tcPr>
                <w:p w14:paraId="5F7F908E">
                  <w:pPr>
                    <w:spacing w:before="131" w:line="228"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7623CECF">
                  <w:pPr>
                    <w:spacing w:before="131" w:line="228"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18C047D4">
                  <w:pPr>
                    <w:spacing w:before="135"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401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22" w:type="pct"/>
                  <w:vAlign w:val="top"/>
                </w:tcPr>
                <w:p w14:paraId="7CCE41F1">
                  <w:pPr>
                    <w:spacing w:before="134" w:line="184" w:lineRule="auto"/>
                    <w:ind w:left="40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1452" w:type="pct"/>
                  <w:vAlign w:val="top"/>
                </w:tcPr>
                <w:p w14:paraId="0CA96CB7">
                  <w:pPr>
                    <w:pStyle w:val="97"/>
                    <w:spacing w:before="100" w:line="221" w:lineRule="auto"/>
                    <w:ind w:left="721"/>
                    <w:rPr>
                      <w:color w:val="auto"/>
                      <w:sz w:val="21"/>
                      <w:szCs w:val="21"/>
                    </w:rPr>
                  </w:pPr>
                  <w:r>
                    <w:rPr>
                      <w:color w:val="auto"/>
                      <w:spacing w:val="-2"/>
                      <w:sz w:val="21"/>
                      <w:szCs w:val="21"/>
                    </w:rPr>
                    <w:t>反渗透系统</w:t>
                  </w:r>
                </w:p>
              </w:tc>
              <w:tc>
                <w:tcPr>
                  <w:tcW w:w="1368" w:type="pct"/>
                  <w:vAlign w:val="top"/>
                </w:tcPr>
                <w:p w14:paraId="7285268D">
                  <w:pPr>
                    <w:spacing w:before="132" w:line="227"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24437754">
                  <w:pPr>
                    <w:spacing w:before="132" w:line="227"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7595D1FB">
                  <w:pPr>
                    <w:spacing w:before="136" w:line="187" w:lineRule="auto"/>
                    <w:ind w:left="6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0D84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22" w:type="pct"/>
                  <w:vAlign w:val="top"/>
                </w:tcPr>
                <w:p w14:paraId="2C33500F">
                  <w:pPr>
                    <w:spacing w:before="134" w:line="187" w:lineRule="auto"/>
                    <w:ind w:left="41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1452" w:type="pct"/>
                  <w:vAlign w:val="top"/>
                </w:tcPr>
                <w:p w14:paraId="4FFC70FE">
                  <w:pPr>
                    <w:pStyle w:val="97"/>
                    <w:spacing w:before="103" w:line="220" w:lineRule="auto"/>
                    <w:ind w:left="722"/>
                    <w:rPr>
                      <w:color w:val="auto"/>
                      <w:sz w:val="21"/>
                      <w:szCs w:val="21"/>
                    </w:rPr>
                  </w:pPr>
                  <w:r>
                    <w:rPr>
                      <w:color w:val="auto"/>
                      <w:spacing w:val="-2"/>
                      <w:sz w:val="21"/>
                      <w:szCs w:val="21"/>
                    </w:rPr>
                    <w:t>污泥压滤机</w:t>
                  </w:r>
                </w:p>
              </w:tc>
              <w:tc>
                <w:tcPr>
                  <w:tcW w:w="1368" w:type="pct"/>
                  <w:vAlign w:val="top"/>
                </w:tcPr>
                <w:p w14:paraId="45751432">
                  <w:pPr>
                    <w:spacing w:before="135" w:line="225"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35DAB6AA">
                  <w:pPr>
                    <w:spacing w:before="135" w:line="225"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43E0E766">
                  <w:pPr>
                    <w:spacing w:before="142" w:line="184" w:lineRule="auto"/>
                    <w:ind w:left="65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r>
            <w:tr w14:paraId="7A5C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522" w:type="pct"/>
                  <w:vAlign w:val="top"/>
                </w:tcPr>
                <w:p w14:paraId="1B841215">
                  <w:pPr>
                    <w:spacing w:before="137" w:line="187" w:lineRule="auto"/>
                    <w:ind w:left="40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1452" w:type="pct"/>
                  <w:vAlign w:val="top"/>
                </w:tcPr>
                <w:p w14:paraId="5BD6BBF9">
                  <w:pPr>
                    <w:pStyle w:val="97"/>
                    <w:spacing w:before="105" w:line="221" w:lineRule="auto"/>
                    <w:ind w:left="1142"/>
                    <w:rPr>
                      <w:color w:val="auto"/>
                      <w:sz w:val="21"/>
                      <w:szCs w:val="21"/>
                    </w:rPr>
                  </w:pPr>
                  <w:r>
                    <w:rPr>
                      <w:color w:val="auto"/>
                      <w:sz w:val="21"/>
                      <w:szCs w:val="21"/>
                    </w:rPr>
                    <w:t>泵</w:t>
                  </w:r>
                </w:p>
              </w:tc>
              <w:tc>
                <w:tcPr>
                  <w:tcW w:w="1368" w:type="pct"/>
                  <w:vAlign w:val="top"/>
                </w:tcPr>
                <w:p w14:paraId="1EEF8A5C">
                  <w:pPr>
                    <w:spacing w:before="138" w:line="233" w:lineRule="auto"/>
                    <w:ind w:left="113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37" w:type="pct"/>
                  <w:vAlign w:val="top"/>
                </w:tcPr>
                <w:p w14:paraId="5FFCF3E5">
                  <w:pPr>
                    <w:spacing w:before="138" w:line="233" w:lineRule="auto"/>
                    <w:ind w:left="684"/>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819" w:type="pct"/>
                  <w:vAlign w:val="top"/>
                </w:tcPr>
                <w:p w14:paraId="3609599E">
                  <w:pPr>
                    <w:spacing w:before="141" w:line="187" w:lineRule="auto"/>
                    <w:ind w:left="5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33</w:t>
                  </w:r>
                </w:p>
              </w:tc>
            </w:tr>
          </w:tbl>
          <w:p w14:paraId="79DEBE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kern w:val="0"/>
                <w:sz w:val="24"/>
                <w:szCs w:val="24"/>
                <w:lang w:val="en-US" w:eastAsia="zh-CN" w:bidi="ar-SA"/>
              </w:rPr>
            </w:pPr>
            <w:r>
              <w:rPr>
                <w:rFonts w:hint="eastAsia" w:ascii="Times New Roman" w:hAnsi="Times New Roman" w:eastAsia="宋体" w:cs="宋体"/>
                <w:b/>
                <w:bCs/>
                <w:color w:val="auto"/>
                <w:kern w:val="0"/>
                <w:sz w:val="24"/>
                <w:szCs w:val="24"/>
                <w:lang w:val="en-US" w:eastAsia="zh-CN" w:bidi="ar-SA"/>
              </w:rPr>
              <w:t>七、现有工程劳动定员及工作制度</w:t>
            </w:r>
          </w:p>
          <w:p w14:paraId="706576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auto"/>
                <w:kern w:val="0"/>
                <w:sz w:val="24"/>
                <w:szCs w:val="24"/>
                <w:lang w:val="en-US" w:eastAsia="zh-CN" w:bidi="ar-SA"/>
              </w:rPr>
            </w:pPr>
            <w:r>
              <w:rPr>
                <w:rFonts w:hint="eastAsia" w:ascii="Times New Roman" w:hAnsi="Times New Roman" w:eastAsia="宋体" w:cs="宋体"/>
                <w:b w:val="0"/>
                <w:bCs w:val="0"/>
                <w:color w:val="auto"/>
                <w:kern w:val="0"/>
                <w:sz w:val="24"/>
                <w:szCs w:val="24"/>
                <w:lang w:val="en-US" w:eastAsia="zh-CN" w:bidi="ar-SA"/>
              </w:rPr>
              <w:t>劳动定员：本项目劳动定员790人。</w:t>
            </w:r>
          </w:p>
          <w:p w14:paraId="128268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auto"/>
                <w:kern w:val="0"/>
                <w:sz w:val="24"/>
                <w:szCs w:val="24"/>
                <w:lang w:val="en-US" w:eastAsia="zh-CN" w:bidi="ar-SA"/>
              </w:rPr>
            </w:pPr>
            <w:r>
              <w:rPr>
                <w:rFonts w:hint="eastAsia" w:ascii="Times New Roman" w:hAnsi="Times New Roman" w:eastAsia="宋体" w:cs="宋体"/>
                <w:b w:val="0"/>
                <w:bCs w:val="0"/>
                <w:color w:val="auto"/>
                <w:kern w:val="0"/>
                <w:sz w:val="24"/>
                <w:szCs w:val="24"/>
                <w:lang w:val="en-US" w:eastAsia="zh-CN" w:bidi="ar-SA"/>
              </w:rPr>
              <w:t>工作制度：采用三班生产，每班工作8小时。</w:t>
            </w:r>
          </w:p>
          <w:p w14:paraId="6C159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auto"/>
                <w:kern w:val="0"/>
                <w:sz w:val="24"/>
                <w:szCs w:val="24"/>
                <w:lang w:val="en-US" w:eastAsia="zh-CN" w:bidi="ar-SA"/>
              </w:rPr>
            </w:pPr>
            <w:r>
              <w:rPr>
                <w:rFonts w:hint="eastAsia" w:ascii="Times New Roman" w:hAnsi="Times New Roman" w:eastAsia="宋体" w:cs="宋体"/>
                <w:b w:val="0"/>
                <w:bCs w:val="0"/>
                <w:color w:val="auto"/>
                <w:kern w:val="0"/>
                <w:sz w:val="24"/>
                <w:szCs w:val="24"/>
                <w:lang w:val="en-US" w:eastAsia="zh-CN" w:bidi="ar-SA"/>
              </w:rPr>
              <w:t>年工作日：全年工作</w:t>
            </w:r>
            <w:r>
              <w:rPr>
                <w:rFonts w:hint="eastAsia" w:cs="宋体"/>
                <w:b w:val="0"/>
                <w:bCs w:val="0"/>
                <w:color w:val="auto"/>
                <w:kern w:val="0"/>
                <w:sz w:val="24"/>
                <w:szCs w:val="24"/>
                <w:lang w:val="en-US" w:eastAsia="zh-CN" w:bidi="ar-SA"/>
              </w:rPr>
              <w:t>时间为</w:t>
            </w:r>
            <w:r>
              <w:rPr>
                <w:rFonts w:hint="eastAsia" w:ascii="Times New Roman" w:hAnsi="Times New Roman" w:eastAsia="宋体" w:cs="宋体"/>
                <w:b w:val="0"/>
                <w:bCs w:val="0"/>
                <w:color w:val="auto"/>
                <w:kern w:val="0"/>
                <w:sz w:val="24"/>
                <w:szCs w:val="24"/>
                <w:lang w:val="en-US" w:eastAsia="zh-CN" w:bidi="ar-SA"/>
              </w:rPr>
              <w:t>3</w:t>
            </w:r>
            <w:r>
              <w:rPr>
                <w:rFonts w:hint="eastAsia" w:cs="宋体"/>
                <w:b w:val="0"/>
                <w:bCs w:val="0"/>
                <w:color w:val="auto"/>
                <w:kern w:val="0"/>
                <w:sz w:val="24"/>
                <w:szCs w:val="24"/>
                <w:lang w:val="en-US" w:eastAsia="zh-CN" w:bidi="ar-SA"/>
              </w:rPr>
              <w:t>5</w:t>
            </w:r>
            <w:r>
              <w:rPr>
                <w:rFonts w:hint="eastAsia" w:ascii="Times New Roman" w:hAnsi="Times New Roman" w:eastAsia="宋体" w:cs="宋体"/>
                <w:b w:val="0"/>
                <w:bCs w:val="0"/>
                <w:color w:val="auto"/>
                <w:kern w:val="0"/>
                <w:sz w:val="24"/>
                <w:szCs w:val="24"/>
                <w:lang w:val="en-US" w:eastAsia="zh-CN" w:bidi="ar-SA"/>
              </w:rPr>
              <w:t>0天（其中注射粘结磁生产线、模压粘结磁生产线、表面处理线（除退镀线外）年工作3</w:t>
            </w:r>
            <w:r>
              <w:rPr>
                <w:rFonts w:hint="eastAsia" w:cs="宋体"/>
                <w:b w:val="0"/>
                <w:bCs w:val="0"/>
                <w:color w:val="auto"/>
                <w:kern w:val="0"/>
                <w:sz w:val="24"/>
                <w:szCs w:val="24"/>
                <w:lang w:val="en-US" w:eastAsia="zh-CN" w:bidi="ar-SA"/>
              </w:rPr>
              <w:t>5</w:t>
            </w:r>
            <w:r>
              <w:rPr>
                <w:rFonts w:hint="eastAsia" w:ascii="Times New Roman" w:hAnsi="Times New Roman" w:eastAsia="宋体" w:cs="宋体"/>
                <w:b w:val="0"/>
                <w:bCs w:val="0"/>
                <w:color w:val="auto"/>
                <w:kern w:val="0"/>
                <w:sz w:val="24"/>
                <w:szCs w:val="24"/>
                <w:lang w:val="en-US" w:eastAsia="zh-CN" w:bidi="ar-SA"/>
              </w:rPr>
              <w:t>0天，退镀线年工作150天）。</w:t>
            </w:r>
          </w:p>
          <w:p w14:paraId="03259D00">
            <w:pPr>
              <w:pStyle w:val="60"/>
              <w:adjustRightInd/>
              <w:spacing w:before="0" w:after="0" w:line="360" w:lineRule="auto"/>
              <w:ind w:firstLine="482" w:firstLineChars="200"/>
              <w:jc w:val="left"/>
              <w:rPr>
                <w:rFonts w:hint="eastAsia" w:ascii="Times New Roman" w:hAnsi="Times New Roman"/>
                <w:b/>
                <w:bCs/>
                <w:color w:val="auto"/>
                <w:lang w:val="en-US" w:eastAsia="zh-CN"/>
              </w:rPr>
            </w:pPr>
            <w:r>
              <w:rPr>
                <w:rFonts w:hint="eastAsia" w:ascii="Times New Roman" w:hAnsi="Times New Roman"/>
                <w:b/>
                <w:bCs/>
                <w:color w:val="auto"/>
                <w:lang w:val="en-US" w:eastAsia="zh-CN"/>
              </w:rPr>
              <w:t>八、现有工程排气筒高度合理性分析</w:t>
            </w:r>
          </w:p>
          <w:p w14:paraId="60B8A2BF">
            <w:pPr>
              <w:pStyle w:val="60"/>
              <w:adjustRightInd/>
              <w:spacing w:before="0" w:after="0" w:line="360" w:lineRule="auto"/>
              <w:ind w:firstLine="480" w:firstLineChars="200"/>
              <w:jc w:val="left"/>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本项目位于7#和9#车间，相邻现有工程生产车间为3#、5#、8#、10#车间，8#、10#车间未进行规划，空置。现有工程排气筒高度分别为32m和34m，7#车间厂房高度为22.5m、9#车间厂房高度为19.5m，因此，7#和9#车间的厂房高度不影响现有工程，现有工程排气筒高度超过本项目厂房高度5m，设置合理。</w:t>
            </w:r>
          </w:p>
          <w:p w14:paraId="65A9490D">
            <w:pPr>
              <w:pStyle w:val="60"/>
              <w:adjustRightInd/>
              <w:spacing w:before="0" w:after="0" w:line="360" w:lineRule="auto"/>
              <w:ind w:firstLine="482" w:firstLineChars="200"/>
              <w:jc w:val="left"/>
              <w:rPr>
                <w:rFonts w:hint="eastAsia" w:ascii="Times New Roman" w:hAnsi="Times New Roman"/>
                <w:b/>
                <w:bCs/>
                <w:color w:val="auto"/>
                <w:lang w:val="en-US" w:eastAsia="zh-CN"/>
              </w:rPr>
            </w:pPr>
            <w:r>
              <w:rPr>
                <w:rFonts w:hint="eastAsia" w:ascii="Times New Roman" w:hAnsi="Times New Roman"/>
                <w:b/>
                <w:bCs/>
                <w:color w:val="auto"/>
                <w:lang w:val="en-US" w:eastAsia="zh-CN"/>
              </w:rPr>
              <w:t>九、</w:t>
            </w:r>
            <w:r>
              <w:rPr>
                <w:rFonts w:hint="eastAsia" w:ascii="Times New Roman" w:hAnsi="Times New Roman"/>
                <w:b/>
                <w:bCs/>
                <w:color w:val="auto"/>
              </w:rPr>
              <w:t>与本项目有关的现有工程</w:t>
            </w:r>
            <w:r>
              <w:rPr>
                <w:rFonts w:hint="eastAsia" w:ascii="Times New Roman" w:hAnsi="Times New Roman"/>
                <w:b/>
                <w:bCs/>
                <w:color w:val="auto"/>
                <w:lang w:val="en-US" w:eastAsia="zh-CN"/>
              </w:rPr>
              <w:t>生产工艺</w:t>
            </w:r>
          </w:p>
          <w:p w14:paraId="0ED9BE37">
            <w:pPr>
              <w:pStyle w:val="60"/>
              <w:adjustRightInd/>
              <w:spacing w:before="0" w:after="0" w:line="360" w:lineRule="auto"/>
              <w:jc w:val="left"/>
              <w:rPr>
                <w:rFonts w:hint="default" w:ascii="Times New Roman" w:hAnsi="Times New Roman"/>
                <w:b w:val="0"/>
                <w:bCs w:val="0"/>
                <w:color w:val="auto"/>
                <w:lang w:val="en-US" w:eastAsia="zh-CN"/>
              </w:rPr>
            </w:pPr>
            <w:r>
              <w:rPr>
                <w:color w:val="auto"/>
              </w:rPr>
              <w:drawing>
                <wp:inline distT="0" distB="0" distL="114300" distR="114300">
                  <wp:extent cx="5742940" cy="2799080"/>
                  <wp:effectExtent l="0" t="0" r="10160" b="12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0"/>
                          <a:stretch>
                            <a:fillRect/>
                          </a:stretch>
                        </pic:blipFill>
                        <pic:spPr>
                          <a:xfrm>
                            <a:off x="0" y="0"/>
                            <a:ext cx="5742940" cy="2799080"/>
                          </a:xfrm>
                          <a:prstGeom prst="rect">
                            <a:avLst/>
                          </a:prstGeom>
                          <a:noFill/>
                          <a:ln>
                            <a:noFill/>
                          </a:ln>
                        </pic:spPr>
                      </pic:pic>
                    </a:graphicData>
                  </a:graphic>
                </wp:inline>
              </w:drawing>
            </w:r>
          </w:p>
          <w:p w14:paraId="2FAFE310">
            <w:pPr>
              <w:pStyle w:val="60"/>
              <w:adjustRightInd/>
              <w:spacing w:before="0" w:after="0" w:line="360" w:lineRule="auto"/>
              <w:jc w:val="center"/>
              <w:rPr>
                <w:rFonts w:hint="default" w:ascii="Times New Roman" w:hAnsi="Times New Roman"/>
                <w:b/>
                <w:bCs/>
                <w:color w:val="auto"/>
                <w:lang w:val="en-US" w:eastAsia="zh-CN"/>
              </w:rPr>
            </w:pPr>
            <w:r>
              <w:rPr>
                <w:rFonts w:hint="eastAsia" w:ascii="Times New Roman" w:hAnsi="Times New Roman"/>
                <w:b/>
                <w:bCs/>
                <w:color w:val="auto"/>
                <w:lang w:val="en-US" w:eastAsia="zh-CN"/>
              </w:rPr>
              <w:t>图2-4现有工程磁材处理工艺流程图</w:t>
            </w:r>
          </w:p>
          <w:p w14:paraId="5C3E9F60">
            <w:pPr>
              <w:pStyle w:val="60"/>
              <w:adjustRightInd/>
              <w:spacing w:before="0" w:after="0" w:line="360" w:lineRule="auto"/>
              <w:ind w:firstLine="482" w:firstLineChars="200"/>
              <w:jc w:val="left"/>
              <w:rPr>
                <w:rFonts w:hint="eastAsia" w:ascii="Times New Roman" w:hAnsi="Times New Roman"/>
                <w:b/>
                <w:bCs/>
                <w:color w:val="auto"/>
                <w:lang w:val="en-US" w:eastAsia="zh-CN"/>
              </w:rPr>
            </w:pPr>
            <w:r>
              <w:rPr>
                <w:rFonts w:hint="eastAsia" w:ascii="Times New Roman" w:hAnsi="Times New Roman"/>
                <w:b/>
                <w:bCs/>
                <w:color w:val="auto"/>
                <w:lang w:val="en-US" w:eastAsia="zh-CN"/>
              </w:rPr>
              <w:t>十、本项目依托现有工程表面处理的可行性</w:t>
            </w:r>
          </w:p>
          <w:p w14:paraId="736AFC3A">
            <w:pPr>
              <w:pStyle w:val="60"/>
              <w:adjustRightInd/>
              <w:spacing w:before="0" w:after="0" w:line="360" w:lineRule="auto"/>
              <w:ind w:firstLine="480" w:firstLineChars="200"/>
              <w:jc w:val="left"/>
              <w:rPr>
                <w:rFonts w:hint="default" w:ascii="Times New Roman" w:hAnsi="Times New Roman" w:eastAsia="宋体" w:cs="仿宋"/>
                <w:color w:val="auto"/>
                <w:sz w:val="24"/>
                <w:lang w:val="en-US" w:eastAsia="zh-CN"/>
              </w:rPr>
            </w:pPr>
            <w:r>
              <w:rPr>
                <w:rFonts w:hint="eastAsia" w:ascii="Times New Roman" w:hAnsi="Times New Roman"/>
                <w:b w:val="0"/>
                <w:bCs w:val="0"/>
                <w:color w:val="auto"/>
                <w:sz w:val="24"/>
                <w:lang w:val="en-US" w:eastAsia="zh-CN"/>
              </w:rPr>
              <w:t>根据现有工程的工艺流程，批复了本项目所需的</w:t>
            </w:r>
            <w:r>
              <w:rPr>
                <w:rFonts w:hint="eastAsia" w:ascii="Times New Roman" w:hAnsi="Times New Roman" w:cs="宋体"/>
                <w:color w:val="auto"/>
                <w:sz w:val="24"/>
              </w:rPr>
              <w:t>振动倒角、</w:t>
            </w:r>
            <w:r>
              <w:rPr>
                <w:rFonts w:ascii="Times New Roman" w:hAnsi="Times New Roman" w:cs="仿宋"/>
                <w:color w:val="auto"/>
                <w:sz w:val="24"/>
              </w:rPr>
              <w:t>磷化、电镀</w:t>
            </w:r>
            <w:r>
              <w:rPr>
                <w:rFonts w:hint="eastAsia" w:ascii="Times New Roman" w:hAnsi="Times New Roman" w:cs="仿宋"/>
                <w:color w:val="auto"/>
                <w:sz w:val="24"/>
                <w:lang w:eastAsia="zh-CN"/>
              </w:rPr>
              <w:t>、</w:t>
            </w:r>
            <w:r>
              <w:rPr>
                <w:rFonts w:hint="eastAsia" w:ascii="Times New Roman" w:hAnsi="Times New Roman" w:cs="仿宋"/>
                <w:color w:val="auto"/>
                <w:sz w:val="24"/>
                <w:lang w:val="en-US" w:eastAsia="zh-CN"/>
              </w:rPr>
              <w:t>钝化工序，同时由母公司调整给了本项目5000吨处理能力，故本项目所需的</w:t>
            </w:r>
            <w:r>
              <w:rPr>
                <w:rFonts w:hint="eastAsia" w:ascii="Times New Roman" w:hAnsi="Times New Roman" w:cs="宋体"/>
                <w:color w:val="auto"/>
                <w:sz w:val="24"/>
              </w:rPr>
              <w:t>振动倒角、</w:t>
            </w:r>
            <w:r>
              <w:rPr>
                <w:rFonts w:ascii="Times New Roman" w:hAnsi="Times New Roman" w:cs="仿宋"/>
                <w:color w:val="auto"/>
                <w:sz w:val="24"/>
              </w:rPr>
              <w:t>磷化、电镀</w:t>
            </w:r>
            <w:r>
              <w:rPr>
                <w:rFonts w:hint="eastAsia" w:ascii="Times New Roman" w:hAnsi="Times New Roman" w:cs="仿宋"/>
                <w:color w:val="auto"/>
                <w:sz w:val="24"/>
                <w:lang w:eastAsia="zh-CN"/>
              </w:rPr>
              <w:t>、</w:t>
            </w:r>
            <w:r>
              <w:rPr>
                <w:rFonts w:hint="eastAsia" w:ascii="Times New Roman" w:hAnsi="Times New Roman" w:cs="仿宋"/>
                <w:color w:val="auto"/>
                <w:sz w:val="24"/>
                <w:lang w:val="en-US" w:eastAsia="zh-CN"/>
              </w:rPr>
              <w:t>钝化依托一期可行。</w:t>
            </w:r>
          </w:p>
          <w:p w14:paraId="7394C52A">
            <w:pPr>
              <w:pStyle w:val="60"/>
              <w:adjustRightInd/>
              <w:spacing w:before="0" w:after="0" w:line="360" w:lineRule="auto"/>
              <w:ind w:firstLine="482" w:firstLineChars="200"/>
              <w:jc w:val="left"/>
              <w:rPr>
                <w:rFonts w:ascii="Times New Roman" w:hAnsi="Times New Roman"/>
                <w:b/>
                <w:bCs/>
                <w:color w:val="auto"/>
              </w:rPr>
            </w:pPr>
            <w:r>
              <w:rPr>
                <w:rFonts w:hint="eastAsia" w:ascii="Times New Roman" w:hAnsi="Times New Roman"/>
                <w:b/>
                <w:bCs/>
                <w:color w:val="auto"/>
                <w:lang w:val="en-US" w:eastAsia="zh-CN"/>
              </w:rPr>
              <w:t>十一</w:t>
            </w:r>
            <w:r>
              <w:rPr>
                <w:rFonts w:hint="eastAsia" w:ascii="Times New Roman" w:hAnsi="Times New Roman"/>
                <w:b/>
                <w:bCs/>
                <w:color w:val="auto"/>
              </w:rPr>
              <w:t>、与本项目有关的现有工程污水处理工艺</w:t>
            </w:r>
          </w:p>
          <w:p w14:paraId="25983D30">
            <w:pPr>
              <w:pStyle w:val="60"/>
              <w:adjustRightInd/>
              <w:spacing w:before="0" w:after="0" w:line="360" w:lineRule="auto"/>
              <w:ind w:firstLine="480" w:firstLineChars="200"/>
              <w:jc w:val="left"/>
              <w:rPr>
                <w:rFonts w:ascii="Times New Roman" w:hAnsi="Times New Roman"/>
                <w:color w:val="auto"/>
              </w:rPr>
            </w:pPr>
            <w:r>
              <w:rPr>
                <w:rFonts w:ascii="Times New Roman" w:hAnsi="Times New Roman"/>
                <w:color w:val="auto"/>
              </w:rPr>
              <w:t>（1）前处理废水</w:t>
            </w:r>
          </w:p>
          <w:p w14:paraId="6A3F54AF">
            <w:pPr>
              <w:pStyle w:val="60"/>
              <w:adjustRightInd/>
              <w:spacing w:before="0" w:after="0" w:line="360" w:lineRule="auto"/>
              <w:ind w:firstLine="480" w:firstLineChars="200"/>
              <w:jc w:val="center"/>
              <w:rPr>
                <w:color w:val="auto"/>
              </w:rPr>
            </w:pPr>
            <w:r>
              <w:rPr>
                <w:color w:val="auto"/>
              </w:rPr>
              <w:drawing>
                <wp:inline distT="0" distB="0" distL="114300" distR="114300">
                  <wp:extent cx="3506470" cy="5115560"/>
                  <wp:effectExtent l="0" t="0" r="17780" b="889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1"/>
                          <a:stretch>
                            <a:fillRect/>
                          </a:stretch>
                        </pic:blipFill>
                        <pic:spPr>
                          <a:xfrm>
                            <a:off x="0" y="0"/>
                            <a:ext cx="3506470" cy="5115560"/>
                          </a:xfrm>
                          <a:prstGeom prst="rect">
                            <a:avLst/>
                          </a:prstGeom>
                          <a:noFill/>
                          <a:ln>
                            <a:noFill/>
                          </a:ln>
                        </pic:spPr>
                      </pic:pic>
                    </a:graphicData>
                  </a:graphic>
                </wp:inline>
              </w:drawing>
            </w:r>
          </w:p>
          <w:p w14:paraId="06F8187E">
            <w:pPr>
              <w:pStyle w:val="60"/>
              <w:adjustRightInd/>
              <w:spacing w:before="0" w:after="0" w:line="360" w:lineRule="auto"/>
              <w:ind w:firstLine="482" w:firstLineChars="200"/>
              <w:jc w:val="center"/>
              <w:rPr>
                <w:b/>
                <w:bCs/>
                <w:color w:val="auto"/>
              </w:rPr>
            </w:pPr>
            <w:r>
              <w:rPr>
                <w:rFonts w:hint="eastAsia" w:ascii="Times New Roman" w:hAnsi="Times New Roman"/>
                <w:b/>
                <w:bCs/>
                <w:color w:val="auto"/>
              </w:rPr>
              <w:t>图2-</w:t>
            </w:r>
            <w:r>
              <w:rPr>
                <w:rFonts w:hint="eastAsia" w:ascii="Times New Roman" w:hAnsi="Times New Roman"/>
                <w:b/>
                <w:bCs/>
                <w:color w:val="auto"/>
                <w:lang w:val="en-US" w:eastAsia="zh-CN"/>
              </w:rPr>
              <w:t>5</w:t>
            </w:r>
            <w:r>
              <w:rPr>
                <w:rFonts w:hint="eastAsia" w:ascii="Times New Roman" w:hAnsi="Times New Roman"/>
                <w:b/>
                <w:bCs/>
                <w:color w:val="auto"/>
              </w:rPr>
              <w:t>前处理废水预处理系统处理工艺图</w:t>
            </w:r>
          </w:p>
          <w:p w14:paraId="592355AF">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①</w:t>
            </w:r>
            <w:r>
              <w:rPr>
                <w:rFonts w:ascii="Times New Roman" w:hAnsi="Times New Roman"/>
                <w:color w:val="auto"/>
              </w:rPr>
              <w:t>一级pH调整池：投加碱，将废水pH调到9左右，通过pH在线监测仪控制投药量。</w:t>
            </w:r>
          </w:p>
          <w:p w14:paraId="3C3F573F">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②</w:t>
            </w:r>
            <w:r>
              <w:rPr>
                <w:rFonts w:ascii="Times New Roman" w:hAnsi="Times New Roman"/>
                <w:color w:val="auto"/>
              </w:rPr>
              <w:t>一级化学混凝沉淀池：包括混凝池、絮凝池和沉淀池。在混凝池和絮凝池中投加PAC和PAM，使废水中氢氧化物沉淀产生大的絮体和矾花，易于进行固液分离，去除废水中金属离子、COD等。沉淀池采用斜管式沉淀池，进行固液分离，上清液进入澄清液池，污泥进入污泥浓缩池。</w:t>
            </w:r>
          </w:p>
          <w:p w14:paraId="2EFFD72A">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③</w:t>
            </w:r>
            <w:r>
              <w:rPr>
                <w:rFonts w:ascii="Times New Roman" w:hAnsi="Times New Roman"/>
                <w:color w:val="auto"/>
              </w:rPr>
              <w:t>后续处理单元：包括气浮、二级pH调整池、二级化学混凝沉淀池，主要目的进一步去除水中的油类、磷、重金属物质等。</w:t>
            </w:r>
          </w:p>
          <w:p w14:paraId="29281305">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（2）混合废水处理系统</w:t>
            </w:r>
          </w:p>
          <w:p w14:paraId="1D02F494">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处理规模3000m</w:t>
            </w:r>
            <w:r>
              <w:rPr>
                <w:rFonts w:hint="eastAsia" w:ascii="Times New Roman" w:hAnsi="Times New Roman"/>
                <w:color w:val="auto"/>
                <w:vertAlign w:val="superscript"/>
              </w:rPr>
              <w:t>3</w:t>
            </w:r>
            <w:r>
              <w:rPr>
                <w:rFonts w:hint="eastAsia" w:ascii="Times New Roman" w:hAnsi="Times New Roman"/>
                <w:color w:val="auto"/>
              </w:rPr>
              <w:t>/d。</w:t>
            </w:r>
          </w:p>
          <w:p w14:paraId="45DB9EAA">
            <w:pPr>
              <w:pStyle w:val="60"/>
              <w:adjustRightInd/>
              <w:spacing w:before="0" w:after="0" w:line="360" w:lineRule="auto"/>
              <w:jc w:val="center"/>
              <w:rPr>
                <w:color w:val="auto"/>
              </w:rPr>
            </w:pPr>
            <w:r>
              <w:rPr>
                <w:color w:val="auto"/>
              </w:rPr>
              <w:drawing>
                <wp:inline distT="0" distB="0" distL="114300" distR="114300">
                  <wp:extent cx="3486150" cy="6048375"/>
                  <wp:effectExtent l="0" t="0" r="0"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2"/>
                          <a:stretch>
                            <a:fillRect/>
                          </a:stretch>
                        </pic:blipFill>
                        <pic:spPr>
                          <a:xfrm>
                            <a:off x="0" y="0"/>
                            <a:ext cx="3486150" cy="6048375"/>
                          </a:xfrm>
                          <a:prstGeom prst="rect">
                            <a:avLst/>
                          </a:prstGeom>
                          <a:noFill/>
                          <a:ln>
                            <a:noFill/>
                          </a:ln>
                        </pic:spPr>
                      </pic:pic>
                    </a:graphicData>
                  </a:graphic>
                </wp:inline>
              </w:drawing>
            </w:r>
          </w:p>
          <w:p w14:paraId="2A33451C">
            <w:pPr>
              <w:pStyle w:val="60"/>
              <w:adjustRightInd/>
              <w:spacing w:before="0" w:after="0" w:line="360" w:lineRule="auto"/>
              <w:jc w:val="center"/>
              <w:rPr>
                <w:color w:val="auto"/>
              </w:rPr>
            </w:pPr>
            <w:r>
              <w:rPr>
                <w:rFonts w:hint="eastAsia" w:ascii="Times New Roman" w:hAnsi="Times New Roman"/>
                <w:b/>
                <w:bCs/>
                <w:color w:val="auto"/>
              </w:rPr>
              <w:t>图2-</w:t>
            </w:r>
            <w:r>
              <w:rPr>
                <w:rFonts w:hint="eastAsia" w:ascii="Times New Roman" w:hAnsi="Times New Roman"/>
                <w:b/>
                <w:bCs/>
                <w:color w:val="auto"/>
                <w:lang w:val="en-US" w:eastAsia="zh-CN"/>
              </w:rPr>
              <w:t>6</w:t>
            </w:r>
            <w:r>
              <w:rPr>
                <w:rFonts w:hint="eastAsia"/>
                <w:b/>
                <w:bCs/>
                <w:color w:val="auto"/>
              </w:rPr>
              <w:t>混合废水处理系统处理工艺图</w:t>
            </w:r>
          </w:p>
          <w:p w14:paraId="669A12C3">
            <w:pPr>
              <w:pStyle w:val="60"/>
              <w:adjustRightInd/>
              <w:spacing w:before="0" w:after="0" w:line="360" w:lineRule="auto"/>
              <w:ind w:firstLine="480" w:firstLineChars="200"/>
              <w:rPr>
                <w:rFonts w:ascii="Times New Roman" w:hAnsi="Times New Roman"/>
                <w:color w:val="auto"/>
              </w:rPr>
            </w:pPr>
            <w:r>
              <w:rPr>
                <w:rFonts w:hint="eastAsia" w:ascii="Times New Roman" w:hAnsi="Times New Roman"/>
                <w:color w:val="auto"/>
              </w:rPr>
              <w:t>①</w:t>
            </w:r>
            <w:r>
              <w:rPr>
                <w:rFonts w:ascii="Times New Roman" w:hAnsi="Times New Roman"/>
                <w:color w:val="auto"/>
              </w:rPr>
              <w:t>pH调整池：投加碱，将废水pH调到9左右，通过pH在线监测仪控制投药量。</w:t>
            </w:r>
          </w:p>
          <w:p w14:paraId="2C177BB3">
            <w:pPr>
              <w:pStyle w:val="60"/>
              <w:adjustRightInd/>
              <w:spacing w:before="0" w:after="0" w:line="360" w:lineRule="auto"/>
              <w:ind w:firstLine="480" w:firstLineChars="200"/>
              <w:rPr>
                <w:rFonts w:ascii="Times New Roman" w:hAnsi="Times New Roman"/>
                <w:color w:val="auto"/>
              </w:rPr>
            </w:pPr>
            <w:r>
              <w:rPr>
                <w:rFonts w:hint="eastAsia" w:ascii="Times New Roman" w:hAnsi="Times New Roman"/>
                <w:color w:val="auto"/>
              </w:rPr>
              <w:t>②</w:t>
            </w:r>
            <w:r>
              <w:rPr>
                <w:rFonts w:ascii="Times New Roman" w:hAnsi="Times New Roman"/>
                <w:color w:val="auto"/>
              </w:rPr>
              <w:t>重捕剂反应池+化学混凝沉淀池：在重捕剂反应池中加入重捕剂，在混凝池和絮凝池中投加PAC和PAM，使废水中氢氧化物沉淀产生大的絮体和矾花，易于进行固液分离，去除废水中金属离子、COD等。沉淀池采用斜管式沉淀池，进行固液分离，上清液进入生化进水调节池，污泥进入污泥浓缩池。</w:t>
            </w:r>
          </w:p>
          <w:p w14:paraId="203F6436">
            <w:pPr>
              <w:pStyle w:val="60"/>
              <w:adjustRightInd/>
              <w:spacing w:before="0" w:after="0" w:line="360" w:lineRule="auto"/>
              <w:ind w:firstLine="480" w:firstLineChars="200"/>
              <w:rPr>
                <w:rFonts w:ascii="Times New Roman" w:hAnsi="Times New Roman"/>
                <w:color w:val="auto"/>
              </w:rPr>
            </w:pPr>
            <w:r>
              <w:rPr>
                <w:rFonts w:hint="eastAsia" w:ascii="Times New Roman" w:hAnsi="Times New Roman"/>
                <w:color w:val="auto"/>
              </w:rPr>
              <w:t>③</w:t>
            </w:r>
            <w:r>
              <w:rPr>
                <w:rFonts w:ascii="Times New Roman" w:hAnsi="Times New Roman"/>
                <w:color w:val="auto"/>
              </w:rPr>
              <w:t>生化处理：采用厌氧-缺氧-好氧法，污水首先进入厌氧池，兼性厌氧菌将污水中的易降解有机物转化成VFAs。回流污泥带入的聚磷菌将体内的聚磷分解，此为释磷，所释放的能量一部分可供好氧的聚磷菌在厌氧环境下维持生存，另一部分供聚磷菌主动吸收VFAs，并在体内储存PHB。进入缺氧区，反硝化细菌就利用混合液回流带入的硝酸盐及进水中的有机物进行反硝化脱氮，接着进入好氧区，聚磷菌除了吸收利用污水中残留的易降解BOD外，主要分解体内储存的PHB产生能量供自身生长繁殖，并主动吸收环境中的溶解磷，此为吸磷，以聚磷的形式在体内储存。污水经厌氧，缺氧区，有机物分别被聚磷菌和反硝化细菌利用后浓度已很低，有利于自养的硝化菌的生长繁殖。最后，混合液进入沉淀池，进行泥水分离，上清液进入混凝沉淀池，沉淀污泥的一部分回流厌氧池，另一部分作为剩余污泥进入污泥浓缩池。</w:t>
            </w:r>
          </w:p>
          <w:p w14:paraId="14F6F81D">
            <w:pPr>
              <w:pStyle w:val="60"/>
              <w:adjustRightInd/>
              <w:spacing w:before="0" w:after="0" w:line="360" w:lineRule="auto"/>
              <w:ind w:firstLine="480" w:firstLineChars="200"/>
              <w:rPr>
                <w:rFonts w:ascii="Times New Roman" w:hAnsi="Times New Roman"/>
                <w:color w:val="auto"/>
              </w:rPr>
            </w:pPr>
            <w:r>
              <w:rPr>
                <w:rFonts w:hint="eastAsia" w:ascii="Times New Roman" w:hAnsi="Times New Roman"/>
                <w:color w:val="auto"/>
              </w:rPr>
              <w:t>④</w:t>
            </w:r>
            <w:r>
              <w:rPr>
                <w:rFonts w:ascii="Times New Roman" w:hAnsi="Times New Roman"/>
                <w:color w:val="auto"/>
              </w:rPr>
              <w:t>混凝沉淀池：投加PAC、PAM，进一步去除水中的污染物。</w:t>
            </w:r>
          </w:p>
          <w:p w14:paraId="1AD6D81C">
            <w:pPr>
              <w:pStyle w:val="60"/>
              <w:adjustRightInd/>
              <w:spacing w:before="0" w:after="0" w:line="360" w:lineRule="auto"/>
              <w:ind w:firstLine="480" w:firstLineChars="200"/>
              <w:rPr>
                <w:rFonts w:ascii="Times New Roman" w:hAnsi="Times New Roman"/>
                <w:color w:val="auto"/>
              </w:rPr>
            </w:pPr>
            <w:r>
              <w:rPr>
                <w:rFonts w:ascii="Times New Roman" w:hAnsi="Times New Roman"/>
                <w:color w:val="auto"/>
              </w:rPr>
              <w:t>2）中水回用系统</w:t>
            </w:r>
          </w:p>
          <w:p w14:paraId="74560910">
            <w:pPr>
              <w:pStyle w:val="60"/>
              <w:adjustRightInd/>
              <w:spacing w:before="0" w:after="0" w:line="360" w:lineRule="auto"/>
              <w:ind w:firstLine="480" w:firstLineChars="200"/>
              <w:jc w:val="left"/>
              <w:rPr>
                <w:rFonts w:ascii="Times New Roman" w:hAnsi="Times New Roman"/>
                <w:color w:val="auto"/>
              </w:rPr>
            </w:pPr>
            <w:r>
              <w:rPr>
                <w:rFonts w:hint="eastAsia" w:ascii="Times New Roman" w:hAnsi="Times New Roman"/>
                <w:color w:val="auto"/>
              </w:rPr>
              <w:t>处理规模3000m</w:t>
            </w:r>
            <w:r>
              <w:rPr>
                <w:rFonts w:hint="eastAsia" w:ascii="Times New Roman" w:hAnsi="Times New Roman"/>
                <w:color w:val="auto"/>
                <w:vertAlign w:val="superscript"/>
              </w:rPr>
              <w:t>3</w:t>
            </w:r>
            <w:r>
              <w:rPr>
                <w:rFonts w:hint="eastAsia" w:ascii="Times New Roman" w:hAnsi="Times New Roman"/>
                <w:color w:val="auto"/>
              </w:rPr>
              <w:t>/d。</w:t>
            </w:r>
          </w:p>
          <w:p w14:paraId="323AEB82">
            <w:pPr>
              <w:pStyle w:val="60"/>
              <w:adjustRightInd/>
              <w:spacing w:before="0" w:after="0" w:line="360" w:lineRule="auto"/>
              <w:jc w:val="center"/>
              <w:rPr>
                <w:color w:val="auto"/>
              </w:rPr>
            </w:pPr>
            <w:r>
              <w:rPr>
                <w:color w:val="auto"/>
              </w:rPr>
              <w:drawing>
                <wp:inline distT="0" distB="0" distL="114300" distR="114300">
                  <wp:extent cx="3458210" cy="4231005"/>
                  <wp:effectExtent l="0" t="0" r="8890" b="1714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3"/>
                          <a:stretch>
                            <a:fillRect/>
                          </a:stretch>
                        </pic:blipFill>
                        <pic:spPr>
                          <a:xfrm>
                            <a:off x="0" y="0"/>
                            <a:ext cx="3458210" cy="4231005"/>
                          </a:xfrm>
                          <a:prstGeom prst="rect">
                            <a:avLst/>
                          </a:prstGeom>
                          <a:noFill/>
                          <a:ln>
                            <a:noFill/>
                          </a:ln>
                        </pic:spPr>
                      </pic:pic>
                    </a:graphicData>
                  </a:graphic>
                </wp:inline>
              </w:drawing>
            </w:r>
          </w:p>
          <w:p w14:paraId="1473008F">
            <w:pPr>
              <w:pStyle w:val="60"/>
              <w:adjustRightInd/>
              <w:spacing w:before="0" w:after="0" w:line="360" w:lineRule="auto"/>
              <w:jc w:val="center"/>
              <w:rPr>
                <w:rFonts w:ascii="Times New Roman" w:hAnsi="Times New Roman"/>
                <w:color w:val="auto"/>
              </w:rPr>
            </w:pPr>
            <w:r>
              <w:rPr>
                <w:rFonts w:hint="eastAsia" w:ascii="Times New Roman" w:hAnsi="Times New Roman"/>
                <w:b/>
                <w:bCs/>
                <w:color w:val="auto"/>
              </w:rPr>
              <w:t>图2-</w:t>
            </w:r>
            <w:r>
              <w:rPr>
                <w:rFonts w:hint="eastAsia" w:ascii="Times New Roman" w:hAnsi="Times New Roman"/>
                <w:b/>
                <w:bCs/>
                <w:color w:val="auto"/>
                <w:lang w:val="en-US" w:eastAsia="zh-CN"/>
              </w:rPr>
              <w:t>7</w:t>
            </w:r>
            <w:r>
              <w:rPr>
                <w:rFonts w:hint="eastAsia" w:ascii="Times New Roman" w:hAnsi="Times New Roman"/>
                <w:b/>
                <w:bCs/>
                <w:color w:val="auto"/>
              </w:rPr>
              <w:t>中水回用系统处理工艺图</w:t>
            </w:r>
          </w:p>
          <w:p w14:paraId="3651E483">
            <w:pPr>
              <w:spacing w:line="360" w:lineRule="auto"/>
              <w:ind w:right="87" w:firstLine="476" w:firstLineChars="200"/>
              <w:rPr>
                <w:rFonts w:cs="宋体"/>
                <w:color w:val="auto"/>
                <w:sz w:val="24"/>
              </w:rPr>
            </w:pPr>
            <w:r>
              <w:rPr>
                <w:rFonts w:cs="宋体"/>
                <w:color w:val="auto"/>
                <w:spacing w:val="-1"/>
                <w:sz w:val="24"/>
              </w:rPr>
              <w:t>废水先经过多介质过滤器和超滤装置，去除</w:t>
            </w:r>
            <w:r>
              <w:rPr>
                <w:color w:val="auto"/>
                <w:spacing w:val="-1"/>
                <w:sz w:val="24"/>
              </w:rPr>
              <w:t>SS</w:t>
            </w:r>
            <w:r>
              <w:rPr>
                <w:rFonts w:cs="宋体"/>
                <w:color w:val="auto"/>
                <w:spacing w:val="-1"/>
                <w:sz w:val="24"/>
              </w:rPr>
              <w:t>、胶体颗粒等物质，超滤系</w:t>
            </w:r>
            <w:r>
              <w:rPr>
                <w:rFonts w:cs="宋体"/>
                <w:color w:val="auto"/>
                <w:spacing w:val="-3"/>
                <w:sz w:val="24"/>
              </w:rPr>
              <w:t>统产水进入反渗透系统，反渗透浓水经过混凝沉淀后达标排放，反渗透</w:t>
            </w:r>
            <w:r>
              <w:rPr>
                <w:rFonts w:cs="宋体"/>
                <w:color w:val="auto"/>
                <w:spacing w:val="-4"/>
                <w:sz w:val="24"/>
              </w:rPr>
              <w:t>产水输送</w:t>
            </w:r>
            <w:r>
              <w:rPr>
                <w:rFonts w:cs="宋体"/>
                <w:color w:val="auto"/>
                <w:spacing w:val="-3"/>
                <w:sz w:val="24"/>
              </w:rPr>
              <w:t>至回用用水点，混凝沉淀污泥排入污泥浓缩池。</w:t>
            </w:r>
          </w:p>
          <w:p w14:paraId="2CBCF3F4">
            <w:pPr>
              <w:spacing w:line="360" w:lineRule="auto"/>
              <w:ind w:firstLine="476" w:firstLineChars="200"/>
              <w:rPr>
                <w:rFonts w:cs="宋体"/>
                <w:color w:val="auto"/>
                <w:sz w:val="24"/>
              </w:rPr>
            </w:pPr>
            <w:r>
              <w:rPr>
                <w:rFonts w:cs="宋体"/>
                <w:color w:val="auto"/>
                <w:spacing w:val="-1"/>
                <w:sz w:val="24"/>
              </w:rPr>
              <w:t>超滤：超滤膜的孔径范围在</w:t>
            </w:r>
            <w:r>
              <w:rPr>
                <w:color w:val="auto"/>
                <w:spacing w:val="-1"/>
                <w:sz w:val="24"/>
              </w:rPr>
              <w:t>0.1</w:t>
            </w:r>
            <w:r>
              <w:rPr>
                <w:rFonts w:cs="宋体"/>
                <w:color w:val="auto"/>
                <w:spacing w:val="-1"/>
                <w:sz w:val="24"/>
              </w:rPr>
              <w:t>～</w:t>
            </w:r>
            <w:r>
              <w:rPr>
                <w:color w:val="auto"/>
                <w:spacing w:val="-1"/>
                <w:sz w:val="24"/>
              </w:rPr>
              <w:t>0.01um</w:t>
            </w:r>
            <w:r>
              <w:rPr>
                <w:rFonts w:cs="宋体"/>
                <w:color w:val="auto"/>
                <w:spacing w:val="-1"/>
                <w:sz w:val="24"/>
              </w:rPr>
              <w:t>，能从水溶液中分离分子量大于数</w:t>
            </w:r>
            <w:r>
              <w:rPr>
                <w:rFonts w:cs="宋体"/>
                <w:color w:val="auto"/>
                <w:spacing w:val="-7"/>
                <w:sz w:val="24"/>
              </w:rPr>
              <w:t>千的大分子和胶体物质，包括悬浮物、胶体、有机大分子、细菌、</w:t>
            </w:r>
            <w:r>
              <w:rPr>
                <w:rFonts w:cs="宋体"/>
                <w:color w:val="auto"/>
                <w:spacing w:val="-8"/>
                <w:sz w:val="24"/>
              </w:rPr>
              <w:t>微生物等杂质。</w:t>
            </w:r>
            <w:r>
              <w:rPr>
                <w:rFonts w:cs="宋体"/>
                <w:color w:val="auto"/>
                <w:spacing w:val="-3"/>
                <w:sz w:val="24"/>
              </w:rPr>
              <w:t>由于它的优良过滤性能，因而被广泛应用于各种水处理系统中，并已在回收</w:t>
            </w:r>
            <w:r>
              <w:rPr>
                <w:rFonts w:cs="宋体"/>
                <w:color w:val="auto"/>
                <w:spacing w:val="-4"/>
                <w:sz w:val="24"/>
              </w:rPr>
              <w:t>水系</w:t>
            </w:r>
            <w:r>
              <w:rPr>
                <w:rFonts w:cs="宋体"/>
                <w:color w:val="auto"/>
                <w:spacing w:val="-3"/>
                <w:sz w:val="24"/>
              </w:rPr>
              <w:t>统中推广使用，以替代常规预处理方式。中空纤维超滤膜作为预处理可以确</w:t>
            </w:r>
            <w:r>
              <w:rPr>
                <w:rFonts w:cs="宋体"/>
                <w:color w:val="auto"/>
                <w:spacing w:val="-4"/>
                <w:sz w:val="24"/>
              </w:rPr>
              <w:t>保反</w:t>
            </w:r>
            <w:r>
              <w:rPr>
                <w:rFonts w:cs="宋体"/>
                <w:color w:val="auto"/>
                <w:spacing w:val="-3"/>
                <w:sz w:val="24"/>
              </w:rPr>
              <w:t>渗透进水的低浊度、低</w:t>
            </w:r>
            <w:r>
              <w:rPr>
                <w:color w:val="auto"/>
                <w:spacing w:val="-3"/>
                <w:sz w:val="24"/>
              </w:rPr>
              <w:t>SDI</w:t>
            </w:r>
            <w:r>
              <w:rPr>
                <w:rFonts w:cs="宋体"/>
                <w:color w:val="auto"/>
                <w:spacing w:val="-3"/>
                <w:sz w:val="24"/>
              </w:rPr>
              <w:t>，尤其做为后续</w:t>
            </w:r>
            <w:r>
              <w:rPr>
                <w:color w:val="auto"/>
                <w:spacing w:val="-3"/>
                <w:sz w:val="24"/>
              </w:rPr>
              <w:t>RO</w:t>
            </w:r>
            <w:r>
              <w:rPr>
                <w:rFonts w:cs="宋体"/>
                <w:color w:val="auto"/>
                <w:spacing w:val="-3"/>
                <w:sz w:val="24"/>
              </w:rPr>
              <w:t>膜处理系统的预处理。由于反渗透处理技术对于进水有很严格的要求，超滤膜分离技术用于水处理可彻底地去除水</w:t>
            </w:r>
            <w:r>
              <w:rPr>
                <w:rFonts w:cs="宋体"/>
                <w:color w:val="auto"/>
                <w:spacing w:val="-6"/>
                <w:sz w:val="24"/>
              </w:rPr>
              <w:t>中的胶体、细菌、微生物、悬浮物等，出水的</w:t>
            </w:r>
            <w:r>
              <w:rPr>
                <w:color w:val="auto"/>
                <w:spacing w:val="-6"/>
                <w:sz w:val="24"/>
              </w:rPr>
              <w:t>TSS</w:t>
            </w:r>
            <w:r>
              <w:rPr>
                <w:rFonts w:cs="宋体"/>
                <w:color w:val="auto"/>
                <w:spacing w:val="-6"/>
                <w:sz w:val="24"/>
              </w:rPr>
              <w:t>可达到小于</w:t>
            </w:r>
            <w:r>
              <w:rPr>
                <w:color w:val="auto"/>
                <w:spacing w:val="-6"/>
                <w:sz w:val="24"/>
              </w:rPr>
              <w:t>0.1</w:t>
            </w:r>
            <w:r>
              <w:rPr>
                <w:color w:val="auto"/>
                <w:spacing w:val="-7"/>
                <w:sz w:val="24"/>
              </w:rPr>
              <w:t>ppm</w:t>
            </w:r>
            <w:r>
              <w:rPr>
                <w:rFonts w:cs="宋体"/>
                <w:color w:val="auto"/>
                <w:spacing w:val="-7"/>
                <w:sz w:val="24"/>
              </w:rPr>
              <w:t>，污染指数</w:t>
            </w:r>
            <w:r>
              <w:rPr>
                <w:rFonts w:cs="宋体"/>
                <w:color w:val="auto"/>
                <w:spacing w:val="-2"/>
                <w:sz w:val="24"/>
              </w:rPr>
              <w:t>（</w:t>
            </w:r>
            <w:r>
              <w:rPr>
                <w:color w:val="auto"/>
                <w:spacing w:val="-2"/>
                <w:sz w:val="24"/>
              </w:rPr>
              <w:t>SDI</w:t>
            </w:r>
            <w:r>
              <w:rPr>
                <w:rFonts w:cs="宋体"/>
                <w:color w:val="auto"/>
                <w:spacing w:val="-2"/>
                <w:sz w:val="24"/>
              </w:rPr>
              <w:t>）可小于</w:t>
            </w:r>
            <w:r>
              <w:rPr>
                <w:color w:val="auto"/>
                <w:spacing w:val="-2"/>
                <w:sz w:val="24"/>
              </w:rPr>
              <w:t>3</w:t>
            </w:r>
            <w:r>
              <w:rPr>
                <w:rFonts w:cs="宋体"/>
                <w:color w:val="auto"/>
                <w:spacing w:val="-2"/>
                <w:sz w:val="24"/>
              </w:rPr>
              <w:t>。</w:t>
            </w:r>
          </w:p>
          <w:p w14:paraId="372FBC52">
            <w:pPr>
              <w:spacing w:line="360" w:lineRule="auto"/>
              <w:ind w:right="87" w:firstLine="468" w:firstLineChars="200"/>
              <w:rPr>
                <w:rFonts w:cs="宋体"/>
                <w:color w:val="auto"/>
                <w:sz w:val="24"/>
              </w:rPr>
            </w:pPr>
            <w:r>
              <w:rPr>
                <w:rFonts w:cs="宋体"/>
                <w:color w:val="auto"/>
                <w:spacing w:val="-3"/>
                <w:sz w:val="24"/>
              </w:rPr>
              <w:t>反渗透：反渗透是一种借助选择透过（半透过）性膜的</w:t>
            </w:r>
            <w:r>
              <w:rPr>
                <w:rFonts w:cs="宋体"/>
                <w:color w:val="auto"/>
                <w:spacing w:val="-4"/>
                <w:sz w:val="24"/>
              </w:rPr>
              <w:t>功能，以压力为推动</w:t>
            </w:r>
            <w:r>
              <w:rPr>
                <w:rFonts w:cs="宋体"/>
                <w:color w:val="auto"/>
                <w:sz w:val="24"/>
              </w:rPr>
              <w:t>力的膜分离技术，膜元件由反渗透膜导流布和中心</w:t>
            </w:r>
            <w:r>
              <w:rPr>
                <w:rFonts w:cs="宋体"/>
                <w:color w:val="auto"/>
                <w:spacing w:val="-1"/>
                <w:sz w:val="24"/>
              </w:rPr>
              <w:t>管等制作而成，将多根</w:t>
            </w:r>
            <w:r>
              <w:rPr>
                <w:color w:val="auto"/>
                <w:spacing w:val="-1"/>
                <w:sz w:val="24"/>
              </w:rPr>
              <w:t>RO</w:t>
            </w:r>
            <w:r>
              <w:rPr>
                <w:rFonts w:cs="宋体"/>
                <w:color w:val="auto"/>
                <w:spacing w:val="-1"/>
                <w:sz w:val="24"/>
              </w:rPr>
              <w:t>膜</w:t>
            </w:r>
          </w:p>
          <w:p w14:paraId="2C92FC8D">
            <w:pPr>
              <w:spacing w:line="360" w:lineRule="auto"/>
              <w:ind w:right="45" w:firstLine="480" w:firstLineChars="200"/>
              <w:rPr>
                <w:rFonts w:cs="宋体"/>
                <w:color w:val="auto"/>
                <w:sz w:val="24"/>
              </w:rPr>
            </w:pPr>
            <w:r>
              <w:rPr>
                <w:rFonts w:cs="宋体"/>
                <w:color w:val="auto"/>
                <w:sz w:val="24"/>
              </w:rPr>
              <w:t>元件装入耐压壳体，组成</w:t>
            </w:r>
            <w:r>
              <w:rPr>
                <w:color w:val="auto"/>
                <w:sz w:val="24"/>
              </w:rPr>
              <w:t>RO</w:t>
            </w:r>
            <w:r>
              <w:rPr>
                <w:rFonts w:cs="宋体"/>
                <w:color w:val="auto"/>
                <w:sz w:val="24"/>
              </w:rPr>
              <w:t>组件。本工艺是脱盐系</w:t>
            </w:r>
            <w:r>
              <w:rPr>
                <w:rFonts w:cs="宋体"/>
                <w:color w:val="auto"/>
                <w:spacing w:val="-1"/>
                <w:sz w:val="24"/>
              </w:rPr>
              <w:t>统的关键，成熟的工艺设计</w:t>
            </w:r>
            <w:r>
              <w:rPr>
                <w:rFonts w:cs="宋体"/>
                <w:color w:val="auto"/>
                <w:spacing w:val="-3"/>
                <w:sz w:val="24"/>
              </w:rPr>
              <w:t>和合理的操作，控制及管理，直接决定着系统的正常、稳定出水。并关系到反渗透膜的使用寿命，透过反渗透膜元件的出水，去除了绝大部分无机盐和几乎所有</w:t>
            </w:r>
            <w:r>
              <w:rPr>
                <w:rFonts w:cs="宋体"/>
                <w:color w:val="auto"/>
                <w:spacing w:val="-10"/>
                <w:sz w:val="24"/>
              </w:rPr>
              <w:t>的有机物，微生物（细菌、热源等）从而确保了本系统产</w:t>
            </w:r>
            <w:r>
              <w:rPr>
                <w:rFonts w:cs="宋体"/>
                <w:color w:val="auto"/>
                <w:spacing w:val="-11"/>
                <w:sz w:val="24"/>
              </w:rPr>
              <w:t>品水的高质量、高品质。</w:t>
            </w:r>
          </w:p>
          <w:p w14:paraId="0C0374F3">
            <w:pPr>
              <w:pStyle w:val="60"/>
              <w:adjustRightInd/>
              <w:spacing w:before="0" w:after="0" w:line="360" w:lineRule="auto"/>
              <w:ind w:firstLine="482" w:firstLineChars="200"/>
              <w:rPr>
                <w:rFonts w:hint="eastAsia" w:eastAsia="宋体"/>
                <w:b/>
                <w:bCs/>
                <w:color w:val="auto"/>
                <w:lang w:val="en-US" w:eastAsia="zh-CN"/>
              </w:rPr>
            </w:pPr>
            <w:r>
              <w:rPr>
                <w:rFonts w:hint="eastAsia"/>
                <w:b/>
                <w:bCs/>
                <w:color w:val="auto"/>
                <w:lang w:val="en-US" w:eastAsia="zh-CN"/>
              </w:rPr>
              <w:t>十二、现有工程危化品储存方式和场所</w:t>
            </w:r>
          </w:p>
          <w:p w14:paraId="75C56267">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eastAsia="宋体" w:cs="黑体"/>
                <w:color w:val="auto"/>
                <w:spacing w:val="-1"/>
                <w:sz w:val="24"/>
                <w:szCs w:val="24"/>
                <w:lang w:val="en-US" w:eastAsia="zh-CN"/>
              </w:rPr>
            </w:pPr>
            <w:r>
              <w:rPr>
                <w:rFonts w:hint="eastAsia" w:ascii="Times New Roman" w:hAnsi="Times New Roman" w:eastAsia="宋体" w:cs="黑体"/>
                <w:color w:val="auto"/>
                <w:spacing w:val="-1"/>
                <w:sz w:val="24"/>
                <w:szCs w:val="24"/>
                <w:lang w:val="en-US" w:eastAsia="zh-CN"/>
              </w:rPr>
              <w:t>根据《关于江西劲诚永磁新材料有限公司高效节能电机用磁材基地项目环境影响报告书的批复》（赣环审〔2024〕6号），现有工程</w:t>
            </w:r>
            <w:r>
              <w:rPr>
                <w:rFonts w:ascii="Times New Roman" w:hAnsi="Times New Roman" w:eastAsia="宋体" w:cs="黑体"/>
                <w:color w:val="auto"/>
                <w:spacing w:val="-1"/>
                <w:sz w:val="24"/>
                <w:szCs w:val="24"/>
              </w:rPr>
              <w:t>危险物质</w:t>
            </w:r>
            <w:r>
              <w:rPr>
                <w:rFonts w:hint="eastAsia" w:ascii="Times New Roman" w:hAnsi="Times New Roman" w:eastAsia="宋体" w:cs="黑体"/>
                <w:color w:val="auto"/>
                <w:spacing w:val="-1"/>
                <w:sz w:val="24"/>
                <w:szCs w:val="24"/>
                <w:lang w:val="en-US" w:eastAsia="zh-CN"/>
              </w:rPr>
              <w:t>详见下表：</w:t>
            </w:r>
          </w:p>
          <w:p w14:paraId="021365CE">
            <w:pPr>
              <w:jc w:val="center"/>
              <w:rPr>
                <w:b/>
                <w:bCs/>
                <w:color w:val="auto"/>
                <w:sz w:val="24"/>
                <w:szCs w:val="24"/>
              </w:rPr>
            </w:pPr>
            <w:r>
              <w:rPr>
                <w:b/>
                <w:bCs/>
                <w:color w:val="auto"/>
                <w:sz w:val="24"/>
                <w:szCs w:val="24"/>
              </w:rPr>
              <w:t>表</w:t>
            </w:r>
            <w:r>
              <w:rPr>
                <w:rFonts w:hint="eastAsia"/>
                <w:b/>
                <w:bCs/>
                <w:color w:val="auto"/>
                <w:sz w:val="24"/>
                <w:szCs w:val="24"/>
                <w:lang w:val="en-US" w:eastAsia="zh-CN"/>
              </w:rPr>
              <w:t>2-15</w:t>
            </w:r>
            <w:r>
              <w:rPr>
                <w:b/>
                <w:bCs/>
                <w:color w:val="auto"/>
                <w:sz w:val="24"/>
                <w:szCs w:val="24"/>
              </w:rPr>
              <w:t>建设项目危险物质数量和分布情况</w:t>
            </w:r>
          </w:p>
          <w:p w14:paraId="225EE52F">
            <w:pPr>
              <w:spacing w:line="68" w:lineRule="exact"/>
              <w:rPr>
                <w:color w:val="auto"/>
                <w:sz w:val="24"/>
                <w:szCs w:val="24"/>
              </w:rPr>
            </w:pPr>
          </w:p>
          <w:tbl>
            <w:tblPr>
              <w:tblStyle w:val="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6"/>
              <w:gridCol w:w="1625"/>
              <w:gridCol w:w="1152"/>
              <w:gridCol w:w="1047"/>
              <w:gridCol w:w="1623"/>
              <w:gridCol w:w="1623"/>
              <w:gridCol w:w="1558"/>
            </w:tblGrid>
            <w:tr w14:paraId="10D8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359" w:type="pct"/>
                  <w:shd w:val="clear" w:color="auto" w:fill="auto"/>
                  <w:vAlign w:val="center"/>
                </w:tcPr>
                <w:p w14:paraId="46C54127">
                  <w:pPr>
                    <w:jc w:val="center"/>
                    <w:rPr>
                      <w:b/>
                      <w:bCs/>
                      <w:color w:val="auto"/>
                    </w:rPr>
                  </w:pPr>
                  <w:r>
                    <w:rPr>
                      <w:b/>
                      <w:bCs/>
                      <w:color w:val="auto"/>
                    </w:rPr>
                    <w:t>序号</w:t>
                  </w:r>
                </w:p>
              </w:tc>
              <w:tc>
                <w:tcPr>
                  <w:tcW w:w="874" w:type="pct"/>
                  <w:shd w:val="clear" w:color="auto" w:fill="auto"/>
                  <w:vAlign w:val="center"/>
                </w:tcPr>
                <w:p w14:paraId="0240D464">
                  <w:pPr>
                    <w:jc w:val="center"/>
                    <w:rPr>
                      <w:b/>
                      <w:bCs/>
                      <w:color w:val="auto"/>
                    </w:rPr>
                  </w:pPr>
                  <w:r>
                    <w:rPr>
                      <w:b/>
                      <w:bCs/>
                      <w:color w:val="auto"/>
                    </w:rPr>
                    <w:t>危险物质名称</w:t>
                  </w:r>
                </w:p>
              </w:tc>
              <w:tc>
                <w:tcPr>
                  <w:tcW w:w="620" w:type="pct"/>
                  <w:shd w:val="clear" w:color="auto" w:fill="auto"/>
                  <w:vAlign w:val="center"/>
                </w:tcPr>
                <w:p w14:paraId="554C0F1A">
                  <w:pPr>
                    <w:jc w:val="center"/>
                    <w:rPr>
                      <w:b/>
                      <w:bCs/>
                      <w:color w:val="auto"/>
                    </w:rPr>
                  </w:pPr>
                  <w:r>
                    <w:rPr>
                      <w:b/>
                      <w:bCs/>
                      <w:color w:val="auto"/>
                    </w:rPr>
                    <w:t>CAS号</w:t>
                  </w:r>
                </w:p>
              </w:tc>
              <w:tc>
                <w:tcPr>
                  <w:tcW w:w="563" w:type="pct"/>
                  <w:shd w:val="clear" w:color="auto" w:fill="auto"/>
                  <w:vAlign w:val="center"/>
                </w:tcPr>
                <w:p w14:paraId="47B911AF">
                  <w:pPr>
                    <w:jc w:val="center"/>
                    <w:rPr>
                      <w:b/>
                      <w:bCs/>
                      <w:color w:val="auto"/>
                    </w:rPr>
                  </w:pPr>
                  <w:r>
                    <w:rPr>
                      <w:b/>
                      <w:bCs/>
                      <w:color w:val="auto"/>
                    </w:rPr>
                    <w:t>形态</w:t>
                  </w:r>
                </w:p>
              </w:tc>
              <w:tc>
                <w:tcPr>
                  <w:tcW w:w="873" w:type="pct"/>
                  <w:shd w:val="clear" w:color="auto" w:fill="auto"/>
                  <w:vAlign w:val="center"/>
                </w:tcPr>
                <w:p w14:paraId="50550284">
                  <w:pPr>
                    <w:jc w:val="center"/>
                    <w:rPr>
                      <w:rFonts w:hint="default" w:eastAsia="宋体"/>
                      <w:b/>
                      <w:bCs/>
                      <w:color w:val="auto"/>
                      <w:lang w:val="en-US" w:eastAsia="zh-CN"/>
                    </w:rPr>
                  </w:pPr>
                  <w:r>
                    <w:rPr>
                      <w:rFonts w:hint="eastAsia"/>
                      <w:b/>
                      <w:bCs/>
                      <w:color w:val="auto"/>
                      <w:lang w:val="en-US" w:eastAsia="zh-CN"/>
                    </w:rPr>
                    <w:t>贮存方式</w:t>
                  </w:r>
                </w:p>
              </w:tc>
              <w:tc>
                <w:tcPr>
                  <w:tcW w:w="873" w:type="pct"/>
                  <w:shd w:val="clear" w:color="auto" w:fill="auto"/>
                  <w:vAlign w:val="center"/>
                </w:tcPr>
                <w:p w14:paraId="0557E2EC">
                  <w:pPr>
                    <w:jc w:val="center"/>
                    <w:rPr>
                      <w:rFonts w:hint="default" w:eastAsia="宋体"/>
                      <w:b/>
                      <w:bCs/>
                      <w:color w:val="auto"/>
                      <w:lang w:val="en-US" w:eastAsia="zh-CN"/>
                    </w:rPr>
                  </w:pPr>
                  <w:r>
                    <w:rPr>
                      <w:rFonts w:hint="eastAsia"/>
                      <w:b/>
                      <w:bCs/>
                      <w:color w:val="auto"/>
                      <w:lang w:val="en-US" w:eastAsia="zh-CN"/>
                    </w:rPr>
                    <w:t>贮存场所</w:t>
                  </w:r>
                </w:p>
              </w:tc>
              <w:tc>
                <w:tcPr>
                  <w:tcW w:w="836" w:type="pct"/>
                  <w:shd w:val="clear" w:color="auto" w:fill="auto"/>
                  <w:vAlign w:val="center"/>
                </w:tcPr>
                <w:p w14:paraId="0D8F6BA1">
                  <w:pPr>
                    <w:jc w:val="center"/>
                    <w:rPr>
                      <w:b/>
                      <w:bCs/>
                      <w:color w:val="auto"/>
                    </w:rPr>
                  </w:pPr>
                  <w:r>
                    <w:rPr>
                      <w:b/>
                      <w:bCs/>
                      <w:color w:val="auto"/>
                    </w:rPr>
                    <w:t>最大储存量（t）</w:t>
                  </w:r>
                </w:p>
              </w:tc>
            </w:tr>
            <w:tr w14:paraId="4360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7BA093CC">
                  <w:pPr>
                    <w:jc w:val="center"/>
                    <w:rPr>
                      <w:color w:val="auto"/>
                    </w:rPr>
                  </w:pPr>
                  <w:r>
                    <w:rPr>
                      <w:color w:val="auto"/>
                    </w:rPr>
                    <w:t>1</w:t>
                  </w:r>
                </w:p>
              </w:tc>
              <w:tc>
                <w:tcPr>
                  <w:tcW w:w="874" w:type="pct"/>
                  <w:vAlign w:val="center"/>
                </w:tcPr>
                <w:p w14:paraId="648C3252">
                  <w:pPr>
                    <w:jc w:val="center"/>
                    <w:rPr>
                      <w:color w:val="auto"/>
                    </w:rPr>
                  </w:pPr>
                  <w:r>
                    <w:rPr>
                      <w:color w:val="auto"/>
                    </w:rPr>
                    <w:t>钴及其化合物</w:t>
                  </w:r>
                </w:p>
              </w:tc>
              <w:tc>
                <w:tcPr>
                  <w:tcW w:w="620" w:type="pct"/>
                  <w:vAlign w:val="center"/>
                </w:tcPr>
                <w:p w14:paraId="212C71B6">
                  <w:pPr>
                    <w:jc w:val="center"/>
                    <w:rPr>
                      <w:color w:val="auto"/>
                    </w:rPr>
                  </w:pPr>
                  <w:r>
                    <w:rPr>
                      <w:color w:val="auto"/>
                    </w:rPr>
                    <w:t>/</w:t>
                  </w:r>
                </w:p>
              </w:tc>
              <w:tc>
                <w:tcPr>
                  <w:tcW w:w="563" w:type="pct"/>
                  <w:vAlign w:val="center"/>
                </w:tcPr>
                <w:p w14:paraId="12E9ABA4">
                  <w:pPr>
                    <w:jc w:val="center"/>
                    <w:rPr>
                      <w:color w:val="auto"/>
                    </w:rPr>
                  </w:pPr>
                  <w:r>
                    <w:rPr>
                      <w:color w:val="auto"/>
                    </w:rPr>
                    <w:t>固态、液态</w:t>
                  </w:r>
                </w:p>
              </w:tc>
              <w:tc>
                <w:tcPr>
                  <w:tcW w:w="873" w:type="pct"/>
                  <w:vAlign w:val="center"/>
                </w:tcPr>
                <w:p w14:paraId="65F04228">
                  <w:pPr>
                    <w:jc w:val="center"/>
                    <w:rPr>
                      <w:rFonts w:hint="eastAsia" w:eastAsia="宋体"/>
                      <w:color w:val="auto"/>
                      <w:lang w:val="en-US" w:eastAsia="zh-CN"/>
                    </w:rPr>
                  </w:pPr>
                  <w:r>
                    <w:rPr>
                      <w:rFonts w:hint="eastAsia"/>
                      <w:color w:val="auto"/>
                      <w:lang w:val="en-US" w:eastAsia="zh-CN"/>
                    </w:rPr>
                    <w:t>桶装</w:t>
                  </w:r>
                </w:p>
              </w:tc>
              <w:tc>
                <w:tcPr>
                  <w:tcW w:w="873" w:type="pct"/>
                  <w:vAlign w:val="center"/>
                </w:tcPr>
                <w:p w14:paraId="2623C49F">
                  <w:pPr>
                    <w:jc w:val="center"/>
                    <w:rPr>
                      <w:color w:val="auto"/>
                    </w:rPr>
                  </w:pPr>
                  <w:r>
                    <w:rPr>
                      <w:rFonts w:hint="eastAsia"/>
                      <w:color w:val="auto"/>
                      <w:lang w:val="en-US" w:eastAsia="zh-CN"/>
                    </w:rPr>
                    <w:t>1#</w:t>
                  </w:r>
                  <w:r>
                    <w:rPr>
                      <w:color w:val="auto"/>
                    </w:rPr>
                    <w:t>仓库</w:t>
                  </w:r>
                </w:p>
              </w:tc>
              <w:tc>
                <w:tcPr>
                  <w:tcW w:w="836" w:type="pct"/>
                  <w:vAlign w:val="center"/>
                </w:tcPr>
                <w:p w14:paraId="4D2D15DC">
                  <w:pPr>
                    <w:jc w:val="center"/>
                    <w:rPr>
                      <w:color w:val="auto"/>
                    </w:rPr>
                  </w:pPr>
                  <w:r>
                    <w:rPr>
                      <w:color w:val="auto"/>
                    </w:rPr>
                    <w:t>1.49</w:t>
                  </w:r>
                </w:p>
              </w:tc>
            </w:tr>
            <w:tr w14:paraId="3652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66802352">
                  <w:pPr>
                    <w:jc w:val="center"/>
                    <w:rPr>
                      <w:color w:val="auto"/>
                    </w:rPr>
                  </w:pPr>
                  <w:r>
                    <w:rPr>
                      <w:color w:val="auto"/>
                    </w:rPr>
                    <w:t>2</w:t>
                  </w:r>
                </w:p>
              </w:tc>
              <w:tc>
                <w:tcPr>
                  <w:tcW w:w="874" w:type="pct"/>
                  <w:shd w:val="clear" w:color="auto" w:fill="auto"/>
                  <w:vAlign w:val="center"/>
                </w:tcPr>
                <w:p w14:paraId="1F631693">
                  <w:pPr>
                    <w:jc w:val="center"/>
                    <w:rPr>
                      <w:rFonts w:ascii="Times New Roman" w:hAnsi="Times New Roman" w:eastAsia="宋体" w:cs="Times New Roman"/>
                      <w:color w:val="auto"/>
                      <w:kern w:val="2"/>
                      <w:sz w:val="21"/>
                      <w:szCs w:val="24"/>
                      <w:lang w:val="en-US" w:eastAsia="zh-CN" w:bidi="ar-SA"/>
                    </w:rPr>
                  </w:pPr>
                  <w:r>
                    <w:rPr>
                      <w:color w:val="auto"/>
                    </w:rPr>
                    <w:t>硝酸</w:t>
                  </w:r>
                </w:p>
              </w:tc>
              <w:tc>
                <w:tcPr>
                  <w:tcW w:w="620" w:type="pct"/>
                  <w:shd w:val="clear" w:color="auto" w:fill="auto"/>
                  <w:vAlign w:val="center"/>
                </w:tcPr>
                <w:p w14:paraId="08884116">
                  <w:pPr>
                    <w:jc w:val="center"/>
                    <w:rPr>
                      <w:rFonts w:ascii="Times New Roman" w:hAnsi="Times New Roman" w:eastAsia="宋体" w:cs="Times New Roman"/>
                      <w:color w:val="auto"/>
                      <w:kern w:val="2"/>
                      <w:sz w:val="21"/>
                      <w:szCs w:val="24"/>
                      <w:lang w:val="en-US" w:eastAsia="zh-CN" w:bidi="ar-SA"/>
                    </w:rPr>
                  </w:pPr>
                  <w:r>
                    <w:rPr>
                      <w:color w:val="auto"/>
                    </w:rPr>
                    <w:t>7697-37-2</w:t>
                  </w:r>
                </w:p>
              </w:tc>
              <w:tc>
                <w:tcPr>
                  <w:tcW w:w="563" w:type="pct"/>
                  <w:shd w:val="clear" w:color="auto" w:fill="auto"/>
                  <w:vAlign w:val="center"/>
                </w:tcPr>
                <w:p w14:paraId="0DA5CF37">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543D82DB">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7051C09E">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E91BC68">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13.92</w:t>
                  </w:r>
                </w:p>
              </w:tc>
            </w:tr>
            <w:tr w14:paraId="0E66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09C939B1">
                  <w:pPr>
                    <w:jc w:val="center"/>
                    <w:rPr>
                      <w:color w:val="auto"/>
                    </w:rPr>
                  </w:pPr>
                  <w:r>
                    <w:rPr>
                      <w:color w:val="auto"/>
                    </w:rPr>
                    <w:t>3</w:t>
                  </w:r>
                </w:p>
              </w:tc>
              <w:tc>
                <w:tcPr>
                  <w:tcW w:w="874" w:type="pct"/>
                  <w:shd w:val="clear" w:color="auto" w:fill="auto"/>
                  <w:vAlign w:val="center"/>
                </w:tcPr>
                <w:p w14:paraId="3C7F4218">
                  <w:pPr>
                    <w:jc w:val="center"/>
                    <w:rPr>
                      <w:rFonts w:ascii="Times New Roman" w:hAnsi="Times New Roman" w:eastAsia="宋体" w:cs="Times New Roman"/>
                      <w:color w:val="auto"/>
                      <w:kern w:val="2"/>
                      <w:sz w:val="21"/>
                      <w:szCs w:val="24"/>
                      <w:lang w:val="en-US" w:eastAsia="zh-CN" w:bidi="ar-SA"/>
                    </w:rPr>
                  </w:pPr>
                  <w:r>
                    <w:rPr>
                      <w:color w:val="auto"/>
                    </w:rPr>
                    <w:t>镍及其化合物</w:t>
                  </w:r>
                </w:p>
              </w:tc>
              <w:tc>
                <w:tcPr>
                  <w:tcW w:w="620" w:type="pct"/>
                  <w:shd w:val="clear" w:color="auto" w:fill="auto"/>
                  <w:vAlign w:val="center"/>
                </w:tcPr>
                <w:p w14:paraId="61F57A7F">
                  <w:pPr>
                    <w:jc w:val="center"/>
                    <w:rPr>
                      <w:rFonts w:ascii="Times New Roman" w:hAnsi="Times New Roman" w:eastAsia="宋体" w:cs="Times New Roman"/>
                      <w:color w:val="auto"/>
                      <w:kern w:val="2"/>
                      <w:sz w:val="21"/>
                      <w:szCs w:val="24"/>
                      <w:lang w:val="en-US" w:eastAsia="zh-CN" w:bidi="ar-SA"/>
                    </w:rPr>
                  </w:pPr>
                  <w:r>
                    <w:rPr>
                      <w:color w:val="auto"/>
                    </w:rPr>
                    <w:t>/</w:t>
                  </w:r>
                </w:p>
              </w:tc>
              <w:tc>
                <w:tcPr>
                  <w:tcW w:w="563" w:type="pct"/>
                  <w:shd w:val="clear" w:color="auto" w:fill="auto"/>
                  <w:vAlign w:val="center"/>
                </w:tcPr>
                <w:p w14:paraId="454BCD9A">
                  <w:pPr>
                    <w:jc w:val="center"/>
                    <w:rPr>
                      <w:rFonts w:ascii="Times New Roman" w:hAnsi="Times New Roman" w:eastAsia="宋体" w:cs="Times New Roman"/>
                      <w:color w:val="auto"/>
                      <w:kern w:val="2"/>
                      <w:sz w:val="21"/>
                      <w:szCs w:val="24"/>
                      <w:lang w:val="en-US" w:eastAsia="zh-CN" w:bidi="ar-SA"/>
                    </w:rPr>
                  </w:pPr>
                  <w:r>
                    <w:rPr>
                      <w:color w:val="auto"/>
                    </w:rPr>
                    <w:t>固态</w:t>
                  </w:r>
                </w:p>
              </w:tc>
              <w:tc>
                <w:tcPr>
                  <w:tcW w:w="873" w:type="pct"/>
                  <w:shd w:val="clear" w:color="auto" w:fill="auto"/>
                  <w:vAlign w:val="center"/>
                </w:tcPr>
                <w:p w14:paraId="4344D862">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桶装/袋装</w:t>
                  </w:r>
                </w:p>
              </w:tc>
              <w:tc>
                <w:tcPr>
                  <w:tcW w:w="873" w:type="pct"/>
                  <w:shd w:val="clear" w:color="auto" w:fill="auto"/>
                  <w:vAlign w:val="center"/>
                </w:tcPr>
                <w:p w14:paraId="09F16C1A">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1552D814">
                  <w:pPr>
                    <w:jc w:val="center"/>
                    <w:rPr>
                      <w:rFonts w:hint="default" w:ascii="Times New Roman" w:hAnsi="Times New Roman" w:eastAsia="宋体" w:cs="Times New Roman"/>
                      <w:color w:val="auto"/>
                      <w:kern w:val="2"/>
                      <w:sz w:val="21"/>
                      <w:szCs w:val="24"/>
                      <w:lang w:val="en-US" w:eastAsia="zh-CN" w:bidi="ar-SA"/>
                    </w:rPr>
                  </w:pPr>
                  <w:r>
                    <w:rPr>
                      <w:color w:val="auto"/>
                    </w:rPr>
                    <w:t>5.15</w:t>
                  </w:r>
                </w:p>
              </w:tc>
            </w:tr>
            <w:tr w14:paraId="2344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359" w:type="pct"/>
                  <w:vAlign w:val="center"/>
                </w:tcPr>
                <w:p w14:paraId="68C831DE">
                  <w:pPr>
                    <w:jc w:val="center"/>
                    <w:rPr>
                      <w:color w:val="auto"/>
                    </w:rPr>
                  </w:pPr>
                  <w:r>
                    <w:rPr>
                      <w:color w:val="auto"/>
                    </w:rPr>
                    <w:t>4</w:t>
                  </w:r>
                </w:p>
              </w:tc>
              <w:tc>
                <w:tcPr>
                  <w:tcW w:w="874" w:type="pct"/>
                  <w:shd w:val="clear" w:color="auto" w:fill="auto"/>
                  <w:vAlign w:val="center"/>
                </w:tcPr>
                <w:p w14:paraId="14FDD425">
                  <w:pPr>
                    <w:jc w:val="center"/>
                    <w:rPr>
                      <w:rFonts w:ascii="Times New Roman" w:hAnsi="Times New Roman" w:eastAsia="宋体" w:cs="Times New Roman"/>
                      <w:color w:val="auto"/>
                      <w:kern w:val="2"/>
                      <w:sz w:val="21"/>
                      <w:szCs w:val="24"/>
                      <w:lang w:val="en-US" w:eastAsia="zh-CN" w:bidi="ar-SA"/>
                    </w:rPr>
                  </w:pPr>
                  <w:r>
                    <w:rPr>
                      <w:color w:val="auto"/>
                    </w:rPr>
                    <w:t>硫酸镍</w:t>
                  </w:r>
                </w:p>
              </w:tc>
              <w:tc>
                <w:tcPr>
                  <w:tcW w:w="620" w:type="pct"/>
                  <w:shd w:val="clear" w:color="auto" w:fill="auto"/>
                  <w:vAlign w:val="center"/>
                </w:tcPr>
                <w:p w14:paraId="4DE2424F">
                  <w:pPr>
                    <w:jc w:val="center"/>
                    <w:rPr>
                      <w:rFonts w:ascii="Times New Roman" w:hAnsi="Times New Roman" w:eastAsia="宋体" w:cs="Times New Roman"/>
                      <w:color w:val="auto"/>
                      <w:kern w:val="2"/>
                      <w:sz w:val="21"/>
                      <w:szCs w:val="24"/>
                      <w:lang w:val="en-US" w:eastAsia="zh-CN" w:bidi="ar-SA"/>
                    </w:rPr>
                  </w:pPr>
                  <w:r>
                    <w:rPr>
                      <w:color w:val="auto"/>
                    </w:rPr>
                    <w:t>7786-81-4</w:t>
                  </w:r>
                </w:p>
              </w:tc>
              <w:tc>
                <w:tcPr>
                  <w:tcW w:w="563" w:type="pct"/>
                  <w:shd w:val="clear" w:color="auto" w:fill="auto"/>
                  <w:vAlign w:val="center"/>
                </w:tcPr>
                <w:p w14:paraId="79360231">
                  <w:pPr>
                    <w:jc w:val="center"/>
                    <w:rPr>
                      <w:rFonts w:ascii="Times New Roman" w:hAnsi="Times New Roman" w:eastAsia="宋体" w:cs="Times New Roman"/>
                      <w:color w:val="auto"/>
                      <w:kern w:val="2"/>
                      <w:sz w:val="21"/>
                      <w:szCs w:val="24"/>
                      <w:lang w:val="en-US" w:eastAsia="zh-CN" w:bidi="ar-SA"/>
                    </w:rPr>
                  </w:pPr>
                  <w:r>
                    <w:rPr>
                      <w:color w:val="auto"/>
                    </w:rPr>
                    <w:t>固态</w:t>
                  </w:r>
                </w:p>
              </w:tc>
              <w:tc>
                <w:tcPr>
                  <w:tcW w:w="873" w:type="pct"/>
                  <w:shd w:val="clear" w:color="auto" w:fill="auto"/>
                  <w:vAlign w:val="center"/>
                </w:tcPr>
                <w:p w14:paraId="621E7C5E">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袋装</w:t>
                  </w:r>
                </w:p>
              </w:tc>
              <w:tc>
                <w:tcPr>
                  <w:tcW w:w="873" w:type="pct"/>
                  <w:shd w:val="clear" w:color="auto" w:fill="auto"/>
                  <w:vAlign w:val="center"/>
                </w:tcPr>
                <w:p w14:paraId="3032AF42">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74C732F">
                  <w:pPr>
                    <w:jc w:val="center"/>
                    <w:rPr>
                      <w:rFonts w:ascii="Times New Roman" w:hAnsi="Times New Roman" w:eastAsia="宋体" w:cs="Times New Roman"/>
                      <w:color w:val="auto"/>
                      <w:kern w:val="2"/>
                      <w:sz w:val="21"/>
                      <w:szCs w:val="24"/>
                      <w:lang w:val="en-US" w:eastAsia="zh-CN" w:bidi="ar-SA"/>
                    </w:rPr>
                  </w:pPr>
                  <w:r>
                    <w:rPr>
                      <w:color w:val="auto"/>
                    </w:rPr>
                    <w:t>3</w:t>
                  </w:r>
                </w:p>
              </w:tc>
            </w:tr>
            <w:tr w14:paraId="7233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32AAD460">
                  <w:pPr>
                    <w:jc w:val="center"/>
                    <w:rPr>
                      <w:color w:val="auto"/>
                    </w:rPr>
                  </w:pPr>
                  <w:r>
                    <w:rPr>
                      <w:color w:val="auto"/>
                    </w:rPr>
                    <w:t>5</w:t>
                  </w:r>
                </w:p>
              </w:tc>
              <w:tc>
                <w:tcPr>
                  <w:tcW w:w="874" w:type="pct"/>
                  <w:shd w:val="clear" w:color="auto" w:fill="auto"/>
                  <w:vAlign w:val="center"/>
                </w:tcPr>
                <w:p w14:paraId="451ADF03">
                  <w:pPr>
                    <w:jc w:val="center"/>
                    <w:rPr>
                      <w:rFonts w:ascii="Times New Roman" w:hAnsi="Times New Roman" w:eastAsia="宋体" w:cs="Times New Roman"/>
                      <w:color w:val="auto"/>
                      <w:kern w:val="2"/>
                      <w:sz w:val="21"/>
                      <w:szCs w:val="24"/>
                      <w:lang w:val="en-US" w:eastAsia="zh-CN" w:bidi="ar-SA"/>
                    </w:rPr>
                  </w:pPr>
                  <w:r>
                    <w:rPr>
                      <w:color w:val="auto"/>
                    </w:rPr>
                    <w:t>氯化镍</w:t>
                  </w:r>
                </w:p>
              </w:tc>
              <w:tc>
                <w:tcPr>
                  <w:tcW w:w="620" w:type="pct"/>
                  <w:shd w:val="clear" w:color="auto" w:fill="auto"/>
                  <w:vAlign w:val="center"/>
                </w:tcPr>
                <w:p w14:paraId="5C354426">
                  <w:pPr>
                    <w:jc w:val="center"/>
                    <w:rPr>
                      <w:rFonts w:ascii="Times New Roman" w:hAnsi="Times New Roman" w:eastAsia="宋体" w:cs="Times New Roman"/>
                      <w:color w:val="auto"/>
                      <w:kern w:val="2"/>
                      <w:sz w:val="21"/>
                      <w:szCs w:val="24"/>
                      <w:lang w:val="en-US" w:eastAsia="zh-CN" w:bidi="ar-SA"/>
                    </w:rPr>
                  </w:pPr>
                  <w:r>
                    <w:rPr>
                      <w:color w:val="auto"/>
                    </w:rPr>
                    <w:t>7718-54-9</w:t>
                  </w:r>
                </w:p>
              </w:tc>
              <w:tc>
                <w:tcPr>
                  <w:tcW w:w="563" w:type="pct"/>
                  <w:shd w:val="clear" w:color="auto" w:fill="auto"/>
                  <w:vAlign w:val="center"/>
                </w:tcPr>
                <w:p w14:paraId="2DFFA4CB">
                  <w:pPr>
                    <w:jc w:val="center"/>
                    <w:rPr>
                      <w:rFonts w:ascii="Times New Roman" w:hAnsi="Times New Roman" w:eastAsia="宋体" w:cs="Times New Roman"/>
                      <w:color w:val="auto"/>
                      <w:kern w:val="2"/>
                      <w:sz w:val="21"/>
                      <w:szCs w:val="24"/>
                      <w:lang w:val="en-US" w:eastAsia="zh-CN" w:bidi="ar-SA"/>
                    </w:rPr>
                  </w:pPr>
                  <w:r>
                    <w:rPr>
                      <w:color w:val="auto"/>
                    </w:rPr>
                    <w:t>固态</w:t>
                  </w:r>
                </w:p>
              </w:tc>
              <w:tc>
                <w:tcPr>
                  <w:tcW w:w="873" w:type="pct"/>
                  <w:shd w:val="clear" w:color="auto" w:fill="auto"/>
                  <w:vAlign w:val="center"/>
                </w:tcPr>
                <w:p w14:paraId="4F7FB24B">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袋装</w:t>
                  </w:r>
                </w:p>
              </w:tc>
              <w:tc>
                <w:tcPr>
                  <w:tcW w:w="873" w:type="pct"/>
                  <w:shd w:val="clear" w:color="auto" w:fill="auto"/>
                  <w:vAlign w:val="center"/>
                </w:tcPr>
                <w:p w14:paraId="0FDCCE38">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E206D8C">
                  <w:pPr>
                    <w:jc w:val="center"/>
                    <w:rPr>
                      <w:rFonts w:ascii="Times New Roman" w:hAnsi="Times New Roman" w:eastAsia="宋体" w:cs="Times New Roman"/>
                      <w:color w:val="auto"/>
                      <w:kern w:val="2"/>
                      <w:sz w:val="21"/>
                      <w:szCs w:val="24"/>
                      <w:lang w:val="en-US" w:eastAsia="zh-CN" w:bidi="ar-SA"/>
                    </w:rPr>
                  </w:pPr>
                  <w:r>
                    <w:rPr>
                      <w:color w:val="auto"/>
                    </w:rPr>
                    <w:t>2</w:t>
                  </w:r>
                </w:p>
              </w:tc>
            </w:tr>
            <w:tr w14:paraId="4650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02A55FCD">
                  <w:pPr>
                    <w:jc w:val="center"/>
                    <w:rPr>
                      <w:color w:val="auto"/>
                    </w:rPr>
                  </w:pPr>
                  <w:r>
                    <w:rPr>
                      <w:color w:val="auto"/>
                    </w:rPr>
                    <w:t>6</w:t>
                  </w:r>
                </w:p>
              </w:tc>
              <w:tc>
                <w:tcPr>
                  <w:tcW w:w="874" w:type="pct"/>
                  <w:shd w:val="clear" w:color="auto" w:fill="auto"/>
                  <w:vAlign w:val="center"/>
                </w:tcPr>
                <w:p w14:paraId="12276A50">
                  <w:pPr>
                    <w:jc w:val="center"/>
                    <w:rPr>
                      <w:rFonts w:ascii="Times New Roman" w:hAnsi="Times New Roman" w:eastAsia="宋体" w:cs="Times New Roman"/>
                      <w:color w:val="auto"/>
                      <w:kern w:val="2"/>
                      <w:sz w:val="21"/>
                      <w:szCs w:val="24"/>
                      <w:lang w:val="en-US" w:eastAsia="zh-CN" w:bidi="ar-SA"/>
                    </w:rPr>
                  </w:pPr>
                  <w:r>
                    <w:rPr>
                      <w:color w:val="auto"/>
                    </w:rPr>
                    <w:t>硫酸</w:t>
                  </w:r>
                </w:p>
              </w:tc>
              <w:tc>
                <w:tcPr>
                  <w:tcW w:w="620" w:type="pct"/>
                  <w:shd w:val="clear" w:color="auto" w:fill="auto"/>
                  <w:vAlign w:val="center"/>
                </w:tcPr>
                <w:p w14:paraId="26455776">
                  <w:pPr>
                    <w:jc w:val="center"/>
                    <w:rPr>
                      <w:rFonts w:ascii="Times New Roman" w:hAnsi="Times New Roman" w:eastAsia="宋体" w:cs="Times New Roman"/>
                      <w:color w:val="auto"/>
                      <w:kern w:val="2"/>
                      <w:sz w:val="21"/>
                      <w:szCs w:val="24"/>
                      <w:lang w:val="en-US" w:eastAsia="zh-CN" w:bidi="ar-SA"/>
                    </w:rPr>
                  </w:pPr>
                  <w:r>
                    <w:rPr>
                      <w:color w:val="auto"/>
                    </w:rPr>
                    <w:t>7664-93-9</w:t>
                  </w:r>
                </w:p>
              </w:tc>
              <w:tc>
                <w:tcPr>
                  <w:tcW w:w="563" w:type="pct"/>
                  <w:shd w:val="clear" w:color="auto" w:fill="auto"/>
                  <w:vAlign w:val="center"/>
                </w:tcPr>
                <w:p w14:paraId="7618B972">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7A7B2C47">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649F432F">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4819DF6">
                  <w:pPr>
                    <w:jc w:val="center"/>
                    <w:rPr>
                      <w:rFonts w:ascii="Times New Roman" w:hAnsi="Times New Roman" w:eastAsia="宋体" w:cs="Times New Roman"/>
                      <w:color w:val="auto"/>
                      <w:kern w:val="2"/>
                      <w:sz w:val="21"/>
                      <w:szCs w:val="24"/>
                      <w:lang w:val="en-US" w:eastAsia="zh-CN" w:bidi="ar-SA"/>
                    </w:rPr>
                  </w:pPr>
                  <w:r>
                    <w:rPr>
                      <w:rFonts w:hint="eastAsia"/>
                      <w:color w:val="auto"/>
                    </w:rPr>
                    <w:t>1.575</w:t>
                  </w:r>
                </w:p>
              </w:tc>
            </w:tr>
            <w:tr w14:paraId="05EF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7D35A334">
                  <w:pPr>
                    <w:jc w:val="center"/>
                    <w:rPr>
                      <w:color w:val="auto"/>
                    </w:rPr>
                  </w:pPr>
                  <w:r>
                    <w:rPr>
                      <w:color w:val="auto"/>
                    </w:rPr>
                    <w:t>7</w:t>
                  </w:r>
                </w:p>
              </w:tc>
              <w:tc>
                <w:tcPr>
                  <w:tcW w:w="874" w:type="pct"/>
                  <w:shd w:val="clear" w:color="auto" w:fill="auto"/>
                  <w:vAlign w:val="center"/>
                </w:tcPr>
                <w:p w14:paraId="0EF45AF4">
                  <w:pPr>
                    <w:jc w:val="center"/>
                    <w:rPr>
                      <w:rFonts w:ascii="Times New Roman" w:hAnsi="Times New Roman" w:eastAsia="宋体" w:cs="Times New Roman"/>
                      <w:color w:val="auto"/>
                      <w:kern w:val="2"/>
                      <w:sz w:val="21"/>
                      <w:szCs w:val="24"/>
                      <w:lang w:val="en-US" w:eastAsia="zh-CN" w:bidi="ar-SA"/>
                    </w:rPr>
                  </w:pPr>
                  <w:r>
                    <w:rPr>
                      <w:color w:val="auto"/>
                    </w:rPr>
                    <w:t>铜及其化合物</w:t>
                  </w:r>
                </w:p>
              </w:tc>
              <w:tc>
                <w:tcPr>
                  <w:tcW w:w="620" w:type="pct"/>
                  <w:shd w:val="clear" w:color="auto" w:fill="auto"/>
                  <w:vAlign w:val="center"/>
                </w:tcPr>
                <w:p w14:paraId="270DFEA3">
                  <w:pPr>
                    <w:jc w:val="center"/>
                    <w:rPr>
                      <w:rFonts w:ascii="Times New Roman" w:hAnsi="Times New Roman" w:eastAsia="宋体" w:cs="Times New Roman"/>
                      <w:color w:val="auto"/>
                      <w:kern w:val="2"/>
                      <w:sz w:val="21"/>
                      <w:szCs w:val="24"/>
                      <w:lang w:val="en-US" w:eastAsia="zh-CN" w:bidi="ar-SA"/>
                    </w:rPr>
                  </w:pPr>
                  <w:r>
                    <w:rPr>
                      <w:color w:val="auto"/>
                    </w:rPr>
                    <w:t>/</w:t>
                  </w:r>
                </w:p>
              </w:tc>
              <w:tc>
                <w:tcPr>
                  <w:tcW w:w="563" w:type="pct"/>
                  <w:shd w:val="clear" w:color="auto" w:fill="auto"/>
                  <w:vAlign w:val="center"/>
                </w:tcPr>
                <w:p w14:paraId="11773D22">
                  <w:pPr>
                    <w:jc w:val="center"/>
                    <w:rPr>
                      <w:rFonts w:ascii="Times New Roman" w:hAnsi="Times New Roman" w:eastAsia="宋体" w:cs="Times New Roman"/>
                      <w:color w:val="auto"/>
                      <w:kern w:val="2"/>
                      <w:sz w:val="21"/>
                      <w:szCs w:val="24"/>
                      <w:lang w:val="en-US" w:eastAsia="zh-CN" w:bidi="ar-SA"/>
                    </w:rPr>
                  </w:pPr>
                  <w:r>
                    <w:rPr>
                      <w:color w:val="auto"/>
                    </w:rPr>
                    <w:t>固态</w:t>
                  </w:r>
                </w:p>
              </w:tc>
              <w:tc>
                <w:tcPr>
                  <w:tcW w:w="873" w:type="pct"/>
                  <w:shd w:val="clear" w:color="auto" w:fill="auto"/>
                  <w:vAlign w:val="center"/>
                </w:tcPr>
                <w:p w14:paraId="7DB9B470">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桶装/袋装</w:t>
                  </w:r>
                </w:p>
              </w:tc>
              <w:tc>
                <w:tcPr>
                  <w:tcW w:w="873" w:type="pct"/>
                  <w:shd w:val="clear" w:color="auto" w:fill="auto"/>
                  <w:vAlign w:val="center"/>
                </w:tcPr>
                <w:p w14:paraId="7537A036">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6A66C229">
                  <w:pPr>
                    <w:jc w:val="center"/>
                    <w:rPr>
                      <w:rFonts w:ascii="Times New Roman" w:hAnsi="Times New Roman" w:eastAsia="宋体" w:cs="Times New Roman"/>
                      <w:color w:val="auto"/>
                      <w:kern w:val="2"/>
                      <w:sz w:val="21"/>
                      <w:szCs w:val="24"/>
                      <w:lang w:val="en-US" w:eastAsia="zh-CN" w:bidi="ar-SA"/>
                    </w:rPr>
                  </w:pPr>
                  <w:r>
                    <w:rPr>
                      <w:color w:val="auto"/>
                    </w:rPr>
                    <w:t>5.84</w:t>
                  </w:r>
                </w:p>
              </w:tc>
            </w:tr>
            <w:tr w14:paraId="0C40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1CD37105">
                  <w:pPr>
                    <w:jc w:val="center"/>
                    <w:rPr>
                      <w:color w:val="auto"/>
                    </w:rPr>
                  </w:pPr>
                  <w:r>
                    <w:rPr>
                      <w:color w:val="auto"/>
                    </w:rPr>
                    <w:t>8</w:t>
                  </w:r>
                </w:p>
              </w:tc>
              <w:tc>
                <w:tcPr>
                  <w:tcW w:w="874" w:type="pct"/>
                  <w:shd w:val="clear" w:color="auto" w:fill="auto"/>
                  <w:vAlign w:val="center"/>
                </w:tcPr>
                <w:p w14:paraId="494DB894">
                  <w:pPr>
                    <w:jc w:val="center"/>
                    <w:rPr>
                      <w:rFonts w:ascii="Times New Roman" w:hAnsi="Times New Roman" w:eastAsia="宋体" w:cs="Times New Roman"/>
                      <w:color w:val="auto"/>
                      <w:kern w:val="2"/>
                      <w:sz w:val="21"/>
                      <w:szCs w:val="24"/>
                      <w:lang w:val="en-US" w:eastAsia="zh-CN" w:bidi="ar-SA"/>
                    </w:rPr>
                  </w:pPr>
                  <w:r>
                    <w:rPr>
                      <w:color w:val="auto"/>
                    </w:rPr>
                    <w:t>盐酸</w:t>
                  </w:r>
                </w:p>
              </w:tc>
              <w:tc>
                <w:tcPr>
                  <w:tcW w:w="620" w:type="pct"/>
                  <w:shd w:val="clear" w:color="auto" w:fill="auto"/>
                  <w:vAlign w:val="center"/>
                </w:tcPr>
                <w:p w14:paraId="1732075B">
                  <w:pPr>
                    <w:jc w:val="center"/>
                    <w:rPr>
                      <w:rFonts w:ascii="Times New Roman" w:hAnsi="Times New Roman" w:eastAsia="宋体" w:cs="Times New Roman"/>
                      <w:color w:val="auto"/>
                      <w:kern w:val="2"/>
                      <w:sz w:val="21"/>
                      <w:szCs w:val="24"/>
                      <w:lang w:val="en-US" w:eastAsia="zh-CN" w:bidi="ar-SA"/>
                    </w:rPr>
                  </w:pPr>
                  <w:r>
                    <w:rPr>
                      <w:color w:val="auto"/>
                    </w:rPr>
                    <w:t>7647-01-0</w:t>
                  </w:r>
                </w:p>
              </w:tc>
              <w:tc>
                <w:tcPr>
                  <w:tcW w:w="563" w:type="pct"/>
                  <w:shd w:val="clear" w:color="auto" w:fill="auto"/>
                  <w:vAlign w:val="center"/>
                </w:tcPr>
                <w:p w14:paraId="403E50EA">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58AD339F">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1546B967">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386BC77A">
                  <w:pPr>
                    <w:jc w:val="center"/>
                    <w:rPr>
                      <w:rFonts w:ascii="Times New Roman" w:hAnsi="Times New Roman" w:eastAsia="宋体" w:cs="Times New Roman"/>
                      <w:color w:val="auto"/>
                      <w:kern w:val="2"/>
                      <w:sz w:val="21"/>
                      <w:szCs w:val="24"/>
                      <w:lang w:val="en-US" w:eastAsia="zh-CN" w:bidi="ar-SA"/>
                    </w:rPr>
                  </w:pPr>
                  <w:r>
                    <w:rPr>
                      <w:color w:val="auto"/>
                    </w:rPr>
                    <w:t>0.1</w:t>
                  </w:r>
                </w:p>
              </w:tc>
            </w:tr>
            <w:tr w14:paraId="7837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17EA56B1">
                  <w:pPr>
                    <w:jc w:val="center"/>
                    <w:rPr>
                      <w:color w:val="auto"/>
                    </w:rPr>
                  </w:pPr>
                  <w:r>
                    <w:rPr>
                      <w:color w:val="auto"/>
                    </w:rPr>
                    <w:t>9</w:t>
                  </w:r>
                </w:p>
              </w:tc>
              <w:tc>
                <w:tcPr>
                  <w:tcW w:w="874" w:type="pct"/>
                  <w:shd w:val="clear" w:color="auto" w:fill="auto"/>
                  <w:vAlign w:val="center"/>
                </w:tcPr>
                <w:p w14:paraId="1805A386">
                  <w:pPr>
                    <w:jc w:val="center"/>
                    <w:rPr>
                      <w:rFonts w:ascii="Times New Roman" w:hAnsi="Times New Roman" w:eastAsia="宋体" w:cs="Times New Roman"/>
                      <w:color w:val="auto"/>
                      <w:kern w:val="2"/>
                      <w:sz w:val="21"/>
                      <w:szCs w:val="24"/>
                      <w:lang w:val="en-US" w:eastAsia="zh-CN" w:bidi="ar-SA"/>
                    </w:rPr>
                  </w:pPr>
                  <w:r>
                    <w:rPr>
                      <w:color w:val="auto"/>
                    </w:rPr>
                    <w:t>铬及其化合物</w:t>
                  </w:r>
                </w:p>
              </w:tc>
              <w:tc>
                <w:tcPr>
                  <w:tcW w:w="620" w:type="pct"/>
                  <w:shd w:val="clear" w:color="auto" w:fill="auto"/>
                  <w:vAlign w:val="center"/>
                </w:tcPr>
                <w:p w14:paraId="75A954C5">
                  <w:pPr>
                    <w:jc w:val="center"/>
                    <w:rPr>
                      <w:rFonts w:ascii="Times New Roman" w:hAnsi="Times New Roman" w:eastAsia="宋体" w:cs="Times New Roman"/>
                      <w:color w:val="auto"/>
                      <w:kern w:val="2"/>
                      <w:sz w:val="21"/>
                      <w:szCs w:val="24"/>
                      <w:lang w:val="en-US" w:eastAsia="zh-CN" w:bidi="ar-SA"/>
                    </w:rPr>
                  </w:pPr>
                  <w:r>
                    <w:rPr>
                      <w:color w:val="auto"/>
                    </w:rPr>
                    <w:t>/</w:t>
                  </w:r>
                </w:p>
              </w:tc>
              <w:tc>
                <w:tcPr>
                  <w:tcW w:w="563" w:type="pct"/>
                  <w:shd w:val="clear" w:color="auto" w:fill="auto"/>
                  <w:vAlign w:val="center"/>
                </w:tcPr>
                <w:p w14:paraId="1EDF590C">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71C8009F">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3EB98AE5">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07D4AB7">
                  <w:pPr>
                    <w:jc w:val="center"/>
                    <w:rPr>
                      <w:rFonts w:ascii="Times New Roman" w:hAnsi="Times New Roman" w:eastAsia="宋体" w:cs="Times New Roman"/>
                      <w:color w:val="auto"/>
                      <w:kern w:val="2"/>
                      <w:sz w:val="21"/>
                      <w:szCs w:val="24"/>
                      <w:lang w:val="en-US" w:eastAsia="zh-CN" w:bidi="ar-SA"/>
                    </w:rPr>
                  </w:pPr>
                  <w:r>
                    <w:rPr>
                      <w:color w:val="auto"/>
                    </w:rPr>
                    <w:t>0.12</w:t>
                  </w:r>
                </w:p>
              </w:tc>
            </w:tr>
            <w:tr w14:paraId="5514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71EC018C">
                  <w:pPr>
                    <w:jc w:val="center"/>
                    <w:rPr>
                      <w:color w:val="auto"/>
                    </w:rPr>
                  </w:pPr>
                  <w:r>
                    <w:rPr>
                      <w:color w:val="auto"/>
                    </w:rPr>
                    <w:t>10</w:t>
                  </w:r>
                </w:p>
              </w:tc>
              <w:tc>
                <w:tcPr>
                  <w:tcW w:w="874" w:type="pct"/>
                  <w:shd w:val="clear" w:color="auto" w:fill="auto"/>
                  <w:vAlign w:val="center"/>
                </w:tcPr>
                <w:p w14:paraId="4EBBBDEE">
                  <w:pPr>
                    <w:jc w:val="center"/>
                    <w:rPr>
                      <w:rFonts w:ascii="Times New Roman" w:hAnsi="Times New Roman" w:eastAsia="宋体" w:cs="Times New Roman"/>
                      <w:color w:val="auto"/>
                      <w:kern w:val="2"/>
                      <w:sz w:val="21"/>
                      <w:szCs w:val="24"/>
                      <w:lang w:val="en-US" w:eastAsia="zh-CN" w:bidi="ar-SA"/>
                    </w:rPr>
                  </w:pPr>
                  <w:r>
                    <w:rPr>
                      <w:color w:val="auto"/>
                    </w:rPr>
                    <w:t>磷酸</w:t>
                  </w:r>
                </w:p>
              </w:tc>
              <w:tc>
                <w:tcPr>
                  <w:tcW w:w="620" w:type="pct"/>
                  <w:shd w:val="clear" w:color="auto" w:fill="auto"/>
                  <w:vAlign w:val="center"/>
                </w:tcPr>
                <w:p w14:paraId="7D4D66BC">
                  <w:pPr>
                    <w:jc w:val="center"/>
                    <w:rPr>
                      <w:rFonts w:ascii="Times New Roman" w:hAnsi="Times New Roman" w:eastAsia="宋体" w:cs="Times New Roman"/>
                      <w:color w:val="auto"/>
                      <w:kern w:val="2"/>
                      <w:sz w:val="21"/>
                      <w:szCs w:val="24"/>
                      <w:lang w:val="en-US" w:eastAsia="zh-CN" w:bidi="ar-SA"/>
                    </w:rPr>
                  </w:pPr>
                  <w:r>
                    <w:rPr>
                      <w:color w:val="auto"/>
                    </w:rPr>
                    <w:t>7664-38-2</w:t>
                  </w:r>
                </w:p>
              </w:tc>
              <w:tc>
                <w:tcPr>
                  <w:tcW w:w="563" w:type="pct"/>
                  <w:shd w:val="clear" w:color="auto" w:fill="auto"/>
                  <w:vAlign w:val="center"/>
                </w:tcPr>
                <w:p w14:paraId="63A11811">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71603CB9">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1DA448F4">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7402504E">
                  <w:pPr>
                    <w:jc w:val="center"/>
                    <w:rPr>
                      <w:rFonts w:ascii="Times New Roman" w:hAnsi="Times New Roman" w:eastAsia="宋体" w:cs="Times New Roman"/>
                      <w:color w:val="auto"/>
                      <w:kern w:val="2"/>
                      <w:sz w:val="21"/>
                      <w:szCs w:val="24"/>
                      <w:lang w:val="en-US" w:eastAsia="zh-CN" w:bidi="ar-SA"/>
                    </w:rPr>
                  </w:pPr>
                  <w:r>
                    <w:rPr>
                      <w:color w:val="auto"/>
                    </w:rPr>
                    <w:t>0.8</w:t>
                  </w:r>
                </w:p>
              </w:tc>
            </w:tr>
            <w:tr w14:paraId="0411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359" w:type="pct"/>
                  <w:vAlign w:val="center"/>
                </w:tcPr>
                <w:p w14:paraId="513125B1">
                  <w:pPr>
                    <w:jc w:val="center"/>
                    <w:rPr>
                      <w:color w:val="auto"/>
                    </w:rPr>
                  </w:pPr>
                  <w:r>
                    <w:rPr>
                      <w:color w:val="auto"/>
                    </w:rPr>
                    <w:t>11</w:t>
                  </w:r>
                </w:p>
              </w:tc>
              <w:tc>
                <w:tcPr>
                  <w:tcW w:w="874" w:type="pct"/>
                  <w:shd w:val="clear" w:color="auto" w:fill="auto"/>
                  <w:vAlign w:val="center"/>
                </w:tcPr>
                <w:p w14:paraId="5EC11136">
                  <w:pPr>
                    <w:jc w:val="center"/>
                    <w:rPr>
                      <w:rFonts w:ascii="Times New Roman" w:hAnsi="Times New Roman" w:eastAsia="宋体" w:cs="Times New Roman"/>
                      <w:color w:val="auto"/>
                      <w:kern w:val="2"/>
                      <w:sz w:val="21"/>
                      <w:szCs w:val="24"/>
                      <w:lang w:val="en-US" w:eastAsia="zh-CN" w:bidi="ar-SA"/>
                    </w:rPr>
                  </w:pPr>
                  <w:r>
                    <w:rPr>
                      <w:color w:val="auto"/>
                    </w:rPr>
                    <w:t>异丙醇</w:t>
                  </w:r>
                </w:p>
              </w:tc>
              <w:tc>
                <w:tcPr>
                  <w:tcW w:w="620" w:type="pct"/>
                  <w:shd w:val="clear" w:color="auto" w:fill="auto"/>
                  <w:vAlign w:val="center"/>
                </w:tcPr>
                <w:p w14:paraId="02CA1E8C">
                  <w:pPr>
                    <w:jc w:val="center"/>
                    <w:rPr>
                      <w:rFonts w:ascii="Times New Roman" w:hAnsi="Times New Roman" w:eastAsia="宋体" w:cs="Times New Roman"/>
                      <w:color w:val="auto"/>
                      <w:kern w:val="2"/>
                      <w:sz w:val="21"/>
                      <w:szCs w:val="24"/>
                      <w:lang w:val="en-US" w:eastAsia="zh-CN" w:bidi="ar-SA"/>
                    </w:rPr>
                  </w:pPr>
                  <w:r>
                    <w:rPr>
                      <w:color w:val="auto"/>
                    </w:rPr>
                    <w:t>67-63-0</w:t>
                  </w:r>
                </w:p>
              </w:tc>
              <w:tc>
                <w:tcPr>
                  <w:tcW w:w="563" w:type="pct"/>
                  <w:shd w:val="clear" w:color="auto" w:fill="auto"/>
                  <w:vAlign w:val="center"/>
                </w:tcPr>
                <w:p w14:paraId="0BE7A53C">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745A5CE8">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0C178C21">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6ABCB7EE">
                  <w:pPr>
                    <w:jc w:val="center"/>
                    <w:rPr>
                      <w:rFonts w:ascii="Times New Roman" w:hAnsi="Times New Roman" w:eastAsia="宋体" w:cs="Times New Roman"/>
                      <w:color w:val="auto"/>
                      <w:kern w:val="2"/>
                      <w:sz w:val="21"/>
                      <w:szCs w:val="24"/>
                      <w:lang w:val="en-US" w:eastAsia="zh-CN" w:bidi="ar-SA"/>
                    </w:rPr>
                  </w:pPr>
                  <w:r>
                    <w:rPr>
                      <w:color w:val="auto"/>
                    </w:rPr>
                    <w:t>0.065</w:t>
                  </w:r>
                </w:p>
              </w:tc>
            </w:tr>
            <w:tr w14:paraId="3ADB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360B6BB8">
                  <w:pPr>
                    <w:jc w:val="center"/>
                    <w:rPr>
                      <w:color w:val="auto"/>
                    </w:rPr>
                  </w:pPr>
                  <w:r>
                    <w:rPr>
                      <w:color w:val="auto"/>
                    </w:rPr>
                    <w:t>12</w:t>
                  </w:r>
                </w:p>
              </w:tc>
              <w:tc>
                <w:tcPr>
                  <w:tcW w:w="874" w:type="pct"/>
                  <w:shd w:val="clear" w:color="auto" w:fill="auto"/>
                  <w:vAlign w:val="center"/>
                </w:tcPr>
                <w:p w14:paraId="39BD9FAE">
                  <w:pPr>
                    <w:jc w:val="center"/>
                    <w:rPr>
                      <w:rFonts w:ascii="Times New Roman" w:hAnsi="Times New Roman" w:eastAsia="宋体" w:cs="Times New Roman"/>
                      <w:color w:val="auto"/>
                      <w:kern w:val="2"/>
                      <w:sz w:val="21"/>
                      <w:szCs w:val="24"/>
                      <w:lang w:val="en-US" w:eastAsia="zh-CN" w:bidi="ar-SA"/>
                    </w:rPr>
                  </w:pPr>
                  <w:r>
                    <w:rPr>
                      <w:color w:val="auto"/>
                    </w:rPr>
                    <w:t>二甲苯</w:t>
                  </w:r>
                </w:p>
              </w:tc>
              <w:tc>
                <w:tcPr>
                  <w:tcW w:w="620" w:type="pct"/>
                  <w:shd w:val="clear" w:color="auto" w:fill="auto"/>
                  <w:vAlign w:val="center"/>
                </w:tcPr>
                <w:p w14:paraId="3E68D951">
                  <w:pPr>
                    <w:jc w:val="center"/>
                    <w:rPr>
                      <w:rFonts w:ascii="Times New Roman" w:hAnsi="Times New Roman" w:eastAsia="宋体" w:cs="Times New Roman"/>
                      <w:color w:val="auto"/>
                      <w:kern w:val="2"/>
                      <w:sz w:val="21"/>
                      <w:szCs w:val="24"/>
                      <w:lang w:val="en-US" w:eastAsia="zh-CN" w:bidi="ar-SA"/>
                    </w:rPr>
                  </w:pPr>
                  <w:r>
                    <w:rPr>
                      <w:color w:val="auto"/>
                    </w:rPr>
                    <w:t>1330-20-7</w:t>
                  </w:r>
                </w:p>
              </w:tc>
              <w:tc>
                <w:tcPr>
                  <w:tcW w:w="563" w:type="pct"/>
                  <w:shd w:val="clear" w:color="auto" w:fill="auto"/>
                  <w:vAlign w:val="center"/>
                </w:tcPr>
                <w:p w14:paraId="00549330">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069C7F91">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4705D9CB">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B4340C0">
                  <w:pPr>
                    <w:jc w:val="center"/>
                    <w:rPr>
                      <w:rFonts w:ascii="Times New Roman" w:hAnsi="Times New Roman" w:eastAsia="宋体" w:cs="Times New Roman"/>
                      <w:color w:val="auto"/>
                      <w:kern w:val="2"/>
                      <w:sz w:val="21"/>
                      <w:szCs w:val="24"/>
                      <w:lang w:val="en-US" w:eastAsia="zh-CN" w:bidi="ar-SA"/>
                    </w:rPr>
                  </w:pPr>
                  <w:r>
                    <w:rPr>
                      <w:color w:val="auto"/>
                    </w:rPr>
                    <w:t>0.103</w:t>
                  </w:r>
                </w:p>
              </w:tc>
            </w:tr>
            <w:tr w14:paraId="3BA5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104366BA">
                  <w:pPr>
                    <w:jc w:val="center"/>
                    <w:rPr>
                      <w:color w:val="auto"/>
                    </w:rPr>
                  </w:pPr>
                  <w:r>
                    <w:rPr>
                      <w:color w:val="auto"/>
                    </w:rPr>
                    <w:t>13</w:t>
                  </w:r>
                </w:p>
              </w:tc>
              <w:tc>
                <w:tcPr>
                  <w:tcW w:w="874" w:type="pct"/>
                  <w:shd w:val="clear" w:color="auto" w:fill="auto"/>
                  <w:vAlign w:val="center"/>
                </w:tcPr>
                <w:p w14:paraId="446FF797">
                  <w:pPr>
                    <w:jc w:val="center"/>
                    <w:rPr>
                      <w:rFonts w:ascii="Times New Roman" w:hAnsi="Times New Roman" w:eastAsia="宋体" w:cs="Times New Roman"/>
                      <w:color w:val="auto"/>
                      <w:kern w:val="2"/>
                      <w:sz w:val="21"/>
                      <w:szCs w:val="24"/>
                      <w:lang w:val="en-US" w:eastAsia="zh-CN" w:bidi="ar-SA"/>
                    </w:rPr>
                  </w:pPr>
                  <w:r>
                    <w:rPr>
                      <w:color w:val="auto"/>
                    </w:rPr>
                    <w:t>丁醇</w:t>
                  </w:r>
                </w:p>
              </w:tc>
              <w:tc>
                <w:tcPr>
                  <w:tcW w:w="620" w:type="pct"/>
                  <w:shd w:val="clear" w:color="auto" w:fill="auto"/>
                  <w:vAlign w:val="center"/>
                </w:tcPr>
                <w:p w14:paraId="32B9F4FA">
                  <w:pPr>
                    <w:jc w:val="center"/>
                    <w:rPr>
                      <w:rFonts w:ascii="Times New Roman" w:hAnsi="Times New Roman" w:eastAsia="宋体" w:cs="Times New Roman"/>
                      <w:color w:val="auto"/>
                      <w:kern w:val="2"/>
                      <w:sz w:val="21"/>
                      <w:szCs w:val="24"/>
                      <w:lang w:val="en-US" w:eastAsia="zh-CN" w:bidi="ar-SA"/>
                    </w:rPr>
                  </w:pPr>
                  <w:r>
                    <w:rPr>
                      <w:color w:val="auto"/>
                    </w:rPr>
                    <w:t>71-36-3</w:t>
                  </w:r>
                </w:p>
              </w:tc>
              <w:tc>
                <w:tcPr>
                  <w:tcW w:w="563" w:type="pct"/>
                  <w:shd w:val="clear" w:color="auto" w:fill="auto"/>
                  <w:vAlign w:val="center"/>
                </w:tcPr>
                <w:p w14:paraId="7B896E08">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19471B2B">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61E05EAC">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74963831">
                  <w:pPr>
                    <w:jc w:val="center"/>
                    <w:rPr>
                      <w:rFonts w:ascii="Times New Roman" w:hAnsi="Times New Roman" w:eastAsia="宋体" w:cs="Times New Roman"/>
                      <w:color w:val="auto"/>
                      <w:kern w:val="2"/>
                      <w:sz w:val="21"/>
                      <w:szCs w:val="24"/>
                      <w:lang w:val="en-US" w:eastAsia="zh-CN" w:bidi="ar-SA"/>
                    </w:rPr>
                  </w:pPr>
                  <w:r>
                    <w:rPr>
                      <w:color w:val="auto"/>
                    </w:rPr>
                    <w:t>0.053</w:t>
                  </w:r>
                </w:p>
              </w:tc>
            </w:tr>
            <w:tr w14:paraId="7025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501E7E3C">
                  <w:pPr>
                    <w:jc w:val="center"/>
                    <w:rPr>
                      <w:color w:val="auto"/>
                    </w:rPr>
                  </w:pPr>
                  <w:r>
                    <w:rPr>
                      <w:color w:val="auto"/>
                    </w:rPr>
                    <w:t>14</w:t>
                  </w:r>
                </w:p>
              </w:tc>
              <w:tc>
                <w:tcPr>
                  <w:tcW w:w="874" w:type="pct"/>
                  <w:shd w:val="clear" w:color="auto" w:fill="auto"/>
                  <w:vAlign w:val="center"/>
                </w:tcPr>
                <w:p w14:paraId="6697D9FB">
                  <w:pPr>
                    <w:jc w:val="center"/>
                    <w:rPr>
                      <w:rFonts w:ascii="Times New Roman" w:hAnsi="Times New Roman" w:eastAsia="宋体" w:cs="Times New Roman"/>
                      <w:color w:val="auto"/>
                      <w:kern w:val="2"/>
                      <w:sz w:val="21"/>
                      <w:szCs w:val="24"/>
                      <w:lang w:val="en-US" w:eastAsia="zh-CN" w:bidi="ar-SA"/>
                    </w:rPr>
                  </w:pPr>
                  <w:r>
                    <w:rPr>
                      <w:color w:val="auto"/>
                    </w:rPr>
                    <w:t>甲醛</w:t>
                  </w:r>
                </w:p>
              </w:tc>
              <w:tc>
                <w:tcPr>
                  <w:tcW w:w="620" w:type="pct"/>
                  <w:shd w:val="clear" w:color="auto" w:fill="auto"/>
                  <w:vAlign w:val="center"/>
                </w:tcPr>
                <w:p w14:paraId="2DC06284">
                  <w:pPr>
                    <w:jc w:val="center"/>
                    <w:rPr>
                      <w:rFonts w:ascii="Times New Roman" w:hAnsi="Times New Roman" w:eastAsia="宋体" w:cs="Times New Roman"/>
                      <w:color w:val="auto"/>
                      <w:kern w:val="2"/>
                      <w:sz w:val="21"/>
                      <w:szCs w:val="24"/>
                      <w:lang w:val="en-US" w:eastAsia="zh-CN" w:bidi="ar-SA"/>
                    </w:rPr>
                  </w:pPr>
                  <w:r>
                    <w:rPr>
                      <w:color w:val="auto"/>
                    </w:rPr>
                    <w:t>50-00-0</w:t>
                  </w:r>
                </w:p>
              </w:tc>
              <w:tc>
                <w:tcPr>
                  <w:tcW w:w="563" w:type="pct"/>
                  <w:shd w:val="clear" w:color="auto" w:fill="auto"/>
                  <w:vAlign w:val="center"/>
                </w:tcPr>
                <w:p w14:paraId="67BFF1C7">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7D30F9F7">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6C69B04E">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A30B607">
                  <w:pPr>
                    <w:jc w:val="center"/>
                    <w:rPr>
                      <w:rFonts w:ascii="Times New Roman" w:hAnsi="Times New Roman" w:eastAsia="宋体" w:cs="Times New Roman"/>
                      <w:color w:val="auto"/>
                      <w:kern w:val="2"/>
                      <w:sz w:val="21"/>
                      <w:szCs w:val="24"/>
                      <w:lang w:val="en-US" w:eastAsia="zh-CN" w:bidi="ar-SA"/>
                    </w:rPr>
                  </w:pPr>
                  <w:r>
                    <w:rPr>
                      <w:color w:val="auto"/>
                    </w:rPr>
                    <w:t>0.002</w:t>
                  </w:r>
                </w:p>
              </w:tc>
            </w:tr>
            <w:tr w14:paraId="31DF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4D36E737">
                  <w:pPr>
                    <w:jc w:val="center"/>
                    <w:rPr>
                      <w:color w:val="auto"/>
                    </w:rPr>
                  </w:pPr>
                  <w:r>
                    <w:rPr>
                      <w:color w:val="auto"/>
                    </w:rPr>
                    <w:t>15</w:t>
                  </w:r>
                </w:p>
              </w:tc>
              <w:tc>
                <w:tcPr>
                  <w:tcW w:w="874" w:type="pct"/>
                  <w:shd w:val="clear" w:color="auto" w:fill="auto"/>
                  <w:vAlign w:val="center"/>
                </w:tcPr>
                <w:p w14:paraId="1309B555">
                  <w:pPr>
                    <w:jc w:val="center"/>
                    <w:rPr>
                      <w:rFonts w:ascii="Times New Roman" w:hAnsi="Times New Roman" w:eastAsia="宋体" w:cs="Times New Roman"/>
                      <w:color w:val="auto"/>
                      <w:kern w:val="2"/>
                      <w:sz w:val="21"/>
                      <w:szCs w:val="24"/>
                      <w:lang w:val="en-US" w:eastAsia="zh-CN" w:bidi="ar-SA"/>
                    </w:rPr>
                  </w:pPr>
                  <w:r>
                    <w:rPr>
                      <w:color w:val="auto"/>
                    </w:rPr>
                    <w:t>甲苯</w:t>
                  </w:r>
                </w:p>
              </w:tc>
              <w:tc>
                <w:tcPr>
                  <w:tcW w:w="620" w:type="pct"/>
                  <w:shd w:val="clear" w:color="auto" w:fill="auto"/>
                  <w:vAlign w:val="center"/>
                </w:tcPr>
                <w:p w14:paraId="70673F1F">
                  <w:pPr>
                    <w:jc w:val="center"/>
                    <w:rPr>
                      <w:rFonts w:ascii="Times New Roman" w:hAnsi="Times New Roman" w:eastAsia="宋体" w:cs="Times New Roman"/>
                      <w:color w:val="auto"/>
                      <w:kern w:val="2"/>
                      <w:sz w:val="21"/>
                      <w:szCs w:val="24"/>
                      <w:lang w:val="en-US" w:eastAsia="zh-CN" w:bidi="ar-SA"/>
                    </w:rPr>
                  </w:pPr>
                  <w:r>
                    <w:rPr>
                      <w:color w:val="auto"/>
                    </w:rPr>
                    <w:t>108-88-3</w:t>
                  </w:r>
                </w:p>
              </w:tc>
              <w:tc>
                <w:tcPr>
                  <w:tcW w:w="563" w:type="pct"/>
                  <w:shd w:val="clear" w:color="auto" w:fill="auto"/>
                  <w:vAlign w:val="center"/>
                </w:tcPr>
                <w:p w14:paraId="2507A8BF">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538AA16A">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58AEF608">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5FE4184E">
                  <w:pPr>
                    <w:jc w:val="center"/>
                    <w:rPr>
                      <w:rFonts w:ascii="Times New Roman" w:hAnsi="Times New Roman" w:eastAsia="宋体" w:cs="Times New Roman"/>
                      <w:color w:val="auto"/>
                      <w:kern w:val="2"/>
                      <w:sz w:val="21"/>
                      <w:szCs w:val="24"/>
                      <w:lang w:val="en-US" w:eastAsia="zh-CN" w:bidi="ar-SA"/>
                    </w:rPr>
                  </w:pPr>
                  <w:r>
                    <w:rPr>
                      <w:color w:val="auto"/>
                    </w:rPr>
                    <w:t>0.039</w:t>
                  </w:r>
                </w:p>
              </w:tc>
            </w:tr>
            <w:tr w14:paraId="1ABC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359" w:type="pct"/>
                  <w:vAlign w:val="center"/>
                </w:tcPr>
                <w:p w14:paraId="100E1C66">
                  <w:pPr>
                    <w:jc w:val="center"/>
                    <w:rPr>
                      <w:color w:val="auto"/>
                    </w:rPr>
                  </w:pPr>
                  <w:r>
                    <w:rPr>
                      <w:color w:val="auto"/>
                    </w:rPr>
                    <w:t>16</w:t>
                  </w:r>
                </w:p>
              </w:tc>
              <w:tc>
                <w:tcPr>
                  <w:tcW w:w="874" w:type="pct"/>
                  <w:shd w:val="clear" w:color="auto" w:fill="auto"/>
                  <w:vAlign w:val="center"/>
                </w:tcPr>
                <w:p w14:paraId="58D8A484">
                  <w:pPr>
                    <w:jc w:val="center"/>
                    <w:rPr>
                      <w:rFonts w:ascii="Times New Roman" w:hAnsi="Times New Roman" w:eastAsia="宋体" w:cs="Times New Roman"/>
                      <w:color w:val="auto"/>
                      <w:kern w:val="2"/>
                      <w:sz w:val="21"/>
                      <w:szCs w:val="24"/>
                      <w:lang w:val="en-US" w:eastAsia="zh-CN" w:bidi="ar-SA"/>
                    </w:rPr>
                  </w:pPr>
                  <w:r>
                    <w:rPr>
                      <w:color w:val="auto"/>
                    </w:rPr>
                    <w:t>油类物质</w:t>
                  </w:r>
                </w:p>
              </w:tc>
              <w:tc>
                <w:tcPr>
                  <w:tcW w:w="620" w:type="pct"/>
                  <w:shd w:val="clear" w:color="auto" w:fill="auto"/>
                  <w:vAlign w:val="center"/>
                </w:tcPr>
                <w:p w14:paraId="06B579BE">
                  <w:pPr>
                    <w:jc w:val="center"/>
                    <w:rPr>
                      <w:rFonts w:ascii="Times New Roman" w:hAnsi="Times New Roman" w:eastAsia="宋体" w:cs="Times New Roman"/>
                      <w:color w:val="auto"/>
                      <w:kern w:val="2"/>
                      <w:sz w:val="21"/>
                      <w:szCs w:val="24"/>
                      <w:lang w:val="en-US" w:eastAsia="zh-CN" w:bidi="ar-SA"/>
                    </w:rPr>
                  </w:pPr>
                  <w:r>
                    <w:rPr>
                      <w:color w:val="auto"/>
                    </w:rPr>
                    <w:t>/</w:t>
                  </w:r>
                </w:p>
              </w:tc>
              <w:tc>
                <w:tcPr>
                  <w:tcW w:w="563" w:type="pct"/>
                  <w:shd w:val="clear" w:color="auto" w:fill="auto"/>
                  <w:vAlign w:val="center"/>
                </w:tcPr>
                <w:p w14:paraId="132B9DAA">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027AE861">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7166240B">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2ABA7DCD">
                  <w:pPr>
                    <w:jc w:val="center"/>
                    <w:rPr>
                      <w:rFonts w:ascii="Times New Roman" w:hAnsi="Times New Roman" w:eastAsia="宋体" w:cs="Times New Roman"/>
                      <w:color w:val="auto"/>
                      <w:kern w:val="2"/>
                      <w:sz w:val="21"/>
                      <w:szCs w:val="24"/>
                      <w:lang w:val="en-US" w:eastAsia="zh-CN" w:bidi="ar-SA"/>
                    </w:rPr>
                  </w:pPr>
                  <w:r>
                    <w:rPr>
                      <w:color w:val="auto"/>
                    </w:rPr>
                    <w:t>0.005</w:t>
                  </w:r>
                </w:p>
              </w:tc>
            </w:tr>
            <w:tr w14:paraId="57C3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19396724">
                  <w:pPr>
                    <w:jc w:val="center"/>
                    <w:rPr>
                      <w:color w:val="auto"/>
                    </w:rPr>
                  </w:pPr>
                  <w:r>
                    <w:rPr>
                      <w:color w:val="auto"/>
                    </w:rPr>
                    <w:t>17</w:t>
                  </w:r>
                </w:p>
              </w:tc>
              <w:tc>
                <w:tcPr>
                  <w:tcW w:w="874" w:type="pct"/>
                  <w:shd w:val="clear" w:color="auto" w:fill="auto"/>
                  <w:vAlign w:val="center"/>
                </w:tcPr>
                <w:p w14:paraId="79602529">
                  <w:pPr>
                    <w:jc w:val="center"/>
                    <w:rPr>
                      <w:rFonts w:ascii="Times New Roman" w:hAnsi="Times New Roman" w:eastAsia="宋体" w:cs="Times New Roman"/>
                      <w:color w:val="auto"/>
                      <w:kern w:val="2"/>
                      <w:sz w:val="21"/>
                      <w:szCs w:val="24"/>
                      <w:lang w:val="en-US" w:eastAsia="zh-CN" w:bidi="ar-SA"/>
                    </w:rPr>
                  </w:pPr>
                  <w:r>
                    <w:rPr>
                      <w:color w:val="auto"/>
                    </w:rPr>
                    <w:t>乙苯</w:t>
                  </w:r>
                </w:p>
              </w:tc>
              <w:tc>
                <w:tcPr>
                  <w:tcW w:w="620" w:type="pct"/>
                  <w:shd w:val="clear" w:color="auto" w:fill="auto"/>
                  <w:vAlign w:val="center"/>
                </w:tcPr>
                <w:p w14:paraId="40719620">
                  <w:pPr>
                    <w:jc w:val="center"/>
                    <w:rPr>
                      <w:rFonts w:ascii="Times New Roman" w:hAnsi="Times New Roman" w:eastAsia="宋体" w:cs="Times New Roman"/>
                      <w:color w:val="auto"/>
                      <w:kern w:val="2"/>
                      <w:sz w:val="21"/>
                      <w:szCs w:val="24"/>
                      <w:lang w:val="en-US" w:eastAsia="zh-CN" w:bidi="ar-SA"/>
                    </w:rPr>
                  </w:pPr>
                  <w:r>
                    <w:rPr>
                      <w:color w:val="auto"/>
                    </w:rPr>
                    <w:t>100-41-4</w:t>
                  </w:r>
                </w:p>
              </w:tc>
              <w:tc>
                <w:tcPr>
                  <w:tcW w:w="563" w:type="pct"/>
                  <w:shd w:val="clear" w:color="auto" w:fill="auto"/>
                  <w:vAlign w:val="center"/>
                </w:tcPr>
                <w:p w14:paraId="447E3EA8">
                  <w:pPr>
                    <w:jc w:val="center"/>
                    <w:rPr>
                      <w:rFonts w:ascii="Times New Roman" w:hAnsi="Times New Roman" w:eastAsia="宋体" w:cs="Times New Roman"/>
                      <w:color w:val="auto"/>
                      <w:kern w:val="2"/>
                      <w:sz w:val="21"/>
                      <w:szCs w:val="24"/>
                      <w:lang w:val="en-US" w:eastAsia="zh-CN" w:bidi="ar-SA"/>
                    </w:rPr>
                  </w:pPr>
                  <w:r>
                    <w:rPr>
                      <w:color w:val="auto"/>
                    </w:rPr>
                    <w:t>液态</w:t>
                  </w:r>
                </w:p>
              </w:tc>
              <w:tc>
                <w:tcPr>
                  <w:tcW w:w="873" w:type="pct"/>
                  <w:shd w:val="clear" w:color="auto" w:fill="auto"/>
                  <w:vAlign w:val="center"/>
                </w:tcPr>
                <w:p w14:paraId="169CF7ED">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桶装</w:t>
                  </w:r>
                </w:p>
              </w:tc>
              <w:tc>
                <w:tcPr>
                  <w:tcW w:w="873" w:type="pct"/>
                  <w:shd w:val="clear" w:color="auto" w:fill="auto"/>
                  <w:vAlign w:val="center"/>
                </w:tcPr>
                <w:p w14:paraId="78931703">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6E22E6E3">
                  <w:pPr>
                    <w:jc w:val="center"/>
                    <w:rPr>
                      <w:rFonts w:ascii="Times New Roman" w:hAnsi="Times New Roman" w:eastAsia="宋体" w:cs="Times New Roman"/>
                      <w:color w:val="auto"/>
                      <w:kern w:val="2"/>
                      <w:sz w:val="21"/>
                      <w:szCs w:val="24"/>
                      <w:lang w:val="en-US" w:eastAsia="zh-CN" w:bidi="ar-SA"/>
                    </w:rPr>
                  </w:pPr>
                  <w:r>
                    <w:rPr>
                      <w:color w:val="auto"/>
                    </w:rPr>
                    <w:t>0.01</w:t>
                  </w:r>
                </w:p>
              </w:tc>
            </w:tr>
            <w:tr w14:paraId="2E6B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9" w:type="pct"/>
                  <w:vAlign w:val="center"/>
                </w:tcPr>
                <w:p w14:paraId="4948A479">
                  <w:pPr>
                    <w:jc w:val="center"/>
                    <w:rPr>
                      <w:color w:val="auto"/>
                    </w:rPr>
                  </w:pPr>
                  <w:r>
                    <w:rPr>
                      <w:color w:val="auto"/>
                    </w:rPr>
                    <w:t>18</w:t>
                  </w:r>
                </w:p>
              </w:tc>
              <w:tc>
                <w:tcPr>
                  <w:tcW w:w="874" w:type="pct"/>
                  <w:shd w:val="clear" w:color="auto" w:fill="auto"/>
                  <w:vAlign w:val="center"/>
                </w:tcPr>
                <w:p w14:paraId="1D1B9A2B">
                  <w:pPr>
                    <w:jc w:val="center"/>
                    <w:rPr>
                      <w:rFonts w:ascii="Times New Roman" w:hAnsi="Times New Roman" w:eastAsia="宋体" w:cs="Times New Roman"/>
                      <w:color w:val="auto"/>
                      <w:kern w:val="2"/>
                      <w:sz w:val="21"/>
                      <w:szCs w:val="24"/>
                      <w:lang w:val="en-US" w:eastAsia="zh-CN" w:bidi="ar-SA"/>
                    </w:rPr>
                  </w:pPr>
                  <w:r>
                    <w:rPr>
                      <w:color w:val="auto"/>
                    </w:rPr>
                    <w:t>环己酮</w:t>
                  </w:r>
                </w:p>
              </w:tc>
              <w:tc>
                <w:tcPr>
                  <w:tcW w:w="620" w:type="pct"/>
                  <w:shd w:val="clear" w:color="auto" w:fill="auto"/>
                  <w:vAlign w:val="center"/>
                </w:tcPr>
                <w:p w14:paraId="690A6ABA">
                  <w:pPr>
                    <w:jc w:val="center"/>
                    <w:rPr>
                      <w:rFonts w:ascii="Times New Roman" w:hAnsi="Times New Roman" w:eastAsia="宋体" w:cs="Times New Roman"/>
                      <w:color w:val="auto"/>
                      <w:kern w:val="2"/>
                      <w:sz w:val="21"/>
                      <w:szCs w:val="24"/>
                      <w:lang w:val="en-US" w:eastAsia="zh-CN" w:bidi="ar-SA"/>
                    </w:rPr>
                  </w:pPr>
                  <w:r>
                    <w:rPr>
                      <w:color w:val="auto"/>
                    </w:rPr>
                    <w:t>108-94-1</w:t>
                  </w:r>
                </w:p>
              </w:tc>
              <w:tc>
                <w:tcPr>
                  <w:tcW w:w="563" w:type="pct"/>
                  <w:shd w:val="clear" w:color="auto" w:fill="auto"/>
                  <w:vAlign w:val="center"/>
                </w:tcPr>
                <w:p w14:paraId="3C686F2B">
                  <w:pPr>
                    <w:pStyle w:val="97"/>
                    <w:spacing w:before="91" w:line="221" w:lineRule="auto"/>
                    <w:jc w:val="center"/>
                    <w:rPr>
                      <w:rFonts w:ascii="宋体" w:hAnsi="宋体" w:eastAsia="宋体" w:cs="宋体"/>
                      <w:color w:val="auto"/>
                      <w:kern w:val="2"/>
                      <w:sz w:val="21"/>
                      <w:szCs w:val="21"/>
                      <w:lang w:val="en-US" w:eastAsia="zh-CN" w:bidi="ar-SA"/>
                    </w:rPr>
                  </w:pPr>
                  <w:r>
                    <w:rPr>
                      <w:color w:val="auto"/>
                      <w:spacing w:val="-2"/>
                      <w:sz w:val="21"/>
                      <w:szCs w:val="21"/>
                    </w:rPr>
                    <w:t>液态</w:t>
                  </w:r>
                </w:p>
              </w:tc>
              <w:tc>
                <w:tcPr>
                  <w:tcW w:w="873" w:type="pct"/>
                  <w:shd w:val="clear" w:color="auto" w:fill="auto"/>
                  <w:vAlign w:val="center"/>
                </w:tcPr>
                <w:p w14:paraId="0B2B7FE6">
                  <w:pPr>
                    <w:pStyle w:val="97"/>
                    <w:spacing w:before="91" w:line="221" w:lineRule="auto"/>
                    <w:jc w:val="center"/>
                    <w:rPr>
                      <w:rFonts w:ascii="宋体" w:hAnsi="宋体" w:eastAsia="宋体" w:cs="宋体"/>
                      <w:color w:val="auto"/>
                      <w:spacing w:val="-2"/>
                      <w:kern w:val="2"/>
                      <w:sz w:val="21"/>
                      <w:szCs w:val="21"/>
                      <w:lang w:val="en-US" w:eastAsia="zh-CN" w:bidi="ar-SA"/>
                    </w:rPr>
                  </w:pPr>
                  <w:r>
                    <w:rPr>
                      <w:rFonts w:hint="eastAsia"/>
                      <w:color w:val="auto"/>
                      <w:lang w:val="en-US" w:eastAsia="zh-CN"/>
                    </w:rPr>
                    <w:t>桶装</w:t>
                  </w:r>
                </w:p>
              </w:tc>
              <w:tc>
                <w:tcPr>
                  <w:tcW w:w="873" w:type="pct"/>
                  <w:shd w:val="clear" w:color="auto" w:fill="auto"/>
                  <w:vAlign w:val="center"/>
                </w:tcPr>
                <w:p w14:paraId="4E0CEF70">
                  <w:pPr>
                    <w:jc w:val="center"/>
                    <w:rPr>
                      <w:rFonts w:ascii="宋体" w:hAnsi="宋体" w:eastAsia="宋体" w:cs="宋体"/>
                      <w:color w:val="auto"/>
                      <w:kern w:val="2"/>
                      <w:sz w:val="21"/>
                      <w:szCs w:val="21"/>
                      <w:lang w:val="en-US" w:eastAsia="zh-CN" w:bidi="ar-SA"/>
                    </w:rPr>
                  </w:pPr>
                  <w:r>
                    <w:rPr>
                      <w:rFonts w:hint="eastAsia"/>
                      <w:color w:val="auto"/>
                      <w:lang w:val="en-US" w:eastAsia="zh-CN"/>
                    </w:rPr>
                    <w:t>1#</w:t>
                  </w:r>
                  <w:r>
                    <w:rPr>
                      <w:color w:val="auto"/>
                    </w:rPr>
                    <w:t>仓库</w:t>
                  </w:r>
                </w:p>
              </w:tc>
              <w:tc>
                <w:tcPr>
                  <w:tcW w:w="836" w:type="pct"/>
                  <w:shd w:val="clear" w:color="auto" w:fill="auto"/>
                  <w:vAlign w:val="center"/>
                </w:tcPr>
                <w:p w14:paraId="02A588DC">
                  <w:pPr>
                    <w:jc w:val="center"/>
                    <w:rPr>
                      <w:rFonts w:ascii="Times New Roman" w:hAnsi="Times New Roman" w:eastAsia="宋体" w:cs="Times New Roman"/>
                      <w:color w:val="auto"/>
                      <w:kern w:val="2"/>
                      <w:sz w:val="21"/>
                      <w:szCs w:val="24"/>
                      <w:lang w:val="en-US" w:eastAsia="zh-CN" w:bidi="ar-SA"/>
                    </w:rPr>
                  </w:pPr>
                  <w:r>
                    <w:rPr>
                      <w:color w:val="auto"/>
                    </w:rPr>
                    <w:t>0.006</w:t>
                  </w:r>
                </w:p>
              </w:tc>
            </w:tr>
            <w:tr w14:paraId="04C0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359" w:type="pct"/>
                  <w:vAlign w:val="center"/>
                </w:tcPr>
                <w:p w14:paraId="4B15D5ED">
                  <w:pPr>
                    <w:jc w:val="center"/>
                    <w:rPr>
                      <w:color w:val="auto"/>
                    </w:rPr>
                  </w:pPr>
                  <w:r>
                    <w:rPr>
                      <w:color w:val="auto"/>
                    </w:rPr>
                    <w:t>19</w:t>
                  </w:r>
                </w:p>
              </w:tc>
              <w:tc>
                <w:tcPr>
                  <w:tcW w:w="874" w:type="pct"/>
                  <w:shd w:val="clear" w:color="auto" w:fill="auto"/>
                  <w:vAlign w:val="center"/>
                </w:tcPr>
                <w:p w14:paraId="49193B5B">
                  <w:pPr>
                    <w:jc w:val="center"/>
                    <w:rPr>
                      <w:rFonts w:ascii="Times New Roman" w:hAnsi="Times New Roman" w:eastAsia="宋体" w:cs="Times New Roman"/>
                      <w:color w:val="auto"/>
                      <w:kern w:val="2"/>
                      <w:sz w:val="21"/>
                      <w:szCs w:val="24"/>
                      <w:lang w:val="en-US" w:eastAsia="en-US" w:bidi="ar-SA"/>
                    </w:rPr>
                  </w:pPr>
                  <w:r>
                    <w:rPr>
                      <w:color w:val="auto"/>
                    </w:rPr>
                    <w:t>天然气</w:t>
                  </w:r>
                </w:p>
              </w:tc>
              <w:tc>
                <w:tcPr>
                  <w:tcW w:w="620" w:type="pct"/>
                  <w:shd w:val="clear" w:color="auto" w:fill="auto"/>
                  <w:vAlign w:val="center"/>
                </w:tcPr>
                <w:p w14:paraId="6BE1CC29">
                  <w:pPr>
                    <w:jc w:val="center"/>
                    <w:rPr>
                      <w:rFonts w:ascii="Times New Roman" w:hAnsi="Times New Roman" w:eastAsia="宋体" w:cs="Times New Roman"/>
                      <w:color w:val="auto"/>
                      <w:kern w:val="2"/>
                      <w:sz w:val="21"/>
                      <w:szCs w:val="24"/>
                      <w:lang w:val="en-US" w:eastAsia="zh-CN" w:bidi="ar-SA"/>
                    </w:rPr>
                  </w:pPr>
                  <w:r>
                    <w:rPr>
                      <w:color w:val="auto"/>
                    </w:rPr>
                    <w:t>74-82-8</w:t>
                  </w:r>
                </w:p>
              </w:tc>
              <w:tc>
                <w:tcPr>
                  <w:tcW w:w="563" w:type="pct"/>
                  <w:shd w:val="clear" w:color="auto" w:fill="auto"/>
                  <w:vAlign w:val="center"/>
                </w:tcPr>
                <w:p w14:paraId="637C31BC">
                  <w:pPr>
                    <w:pStyle w:val="97"/>
                    <w:spacing w:before="89" w:line="222" w:lineRule="auto"/>
                    <w:jc w:val="center"/>
                    <w:rPr>
                      <w:rFonts w:ascii="宋体" w:hAnsi="宋体" w:eastAsia="宋体" w:cs="宋体"/>
                      <w:color w:val="auto"/>
                      <w:kern w:val="2"/>
                      <w:sz w:val="21"/>
                      <w:szCs w:val="21"/>
                      <w:lang w:val="en-US" w:eastAsia="en-US" w:bidi="ar-SA"/>
                    </w:rPr>
                  </w:pPr>
                  <w:r>
                    <w:rPr>
                      <w:color w:val="auto"/>
                      <w:spacing w:val="-2"/>
                      <w:sz w:val="21"/>
                      <w:szCs w:val="21"/>
                    </w:rPr>
                    <w:t>气态</w:t>
                  </w:r>
                </w:p>
              </w:tc>
              <w:tc>
                <w:tcPr>
                  <w:tcW w:w="873" w:type="pct"/>
                  <w:shd w:val="clear" w:color="auto" w:fill="auto"/>
                  <w:vAlign w:val="center"/>
                </w:tcPr>
                <w:p w14:paraId="3AD644E8">
                  <w:pPr>
                    <w:pStyle w:val="97"/>
                    <w:spacing w:before="89" w:line="221" w:lineRule="auto"/>
                    <w:jc w:val="center"/>
                    <w:rPr>
                      <w:rFonts w:hint="eastAsia" w:ascii="宋体" w:hAnsi="宋体" w:eastAsia="宋体" w:cs="宋体"/>
                      <w:color w:val="auto"/>
                      <w:spacing w:val="-3"/>
                      <w:kern w:val="2"/>
                      <w:sz w:val="21"/>
                      <w:szCs w:val="21"/>
                      <w:lang w:val="en-US" w:eastAsia="en-US" w:bidi="ar-SA"/>
                    </w:rPr>
                  </w:pPr>
                  <w:r>
                    <w:rPr>
                      <w:rFonts w:hint="eastAsia"/>
                      <w:color w:val="auto"/>
                      <w:spacing w:val="-3"/>
                      <w:sz w:val="21"/>
                      <w:szCs w:val="21"/>
                      <w:lang w:val="en-US" w:eastAsia="zh-CN"/>
                    </w:rPr>
                    <w:t>/</w:t>
                  </w:r>
                </w:p>
              </w:tc>
              <w:tc>
                <w:tcPr>
                  <w:tcW w:w="873" w:type="pct"/>
                  <w:shd w:val="clear" w:color="auto" w:fill="auto"/>
                  <w:vAlign w:val="center"/>
                </w:tcPr>
                <w:p w14:paraId="2FB81209">
                  <w:pPr>
                    <w:pStyle w:val="97"/>
                    <w:spacing w:before="89" w:line="221" w:lineRule="auto"/>
                    <w:jc w:val="center"/>
                    <w:rPr>
                      <w:rFonts w:ascii="宋体" w:hAnsi="宋体" w:eastAsia="宋体" w:cs="宋体"/>
                      <w:color w:val="auto"/>
                      <w:kern w:val="2"/>
                      <w:sz w:val="21"/>
                      <w:szCs w:val="21"/>
                      <w:lang w:val="en-US" w:eastAsia="en-US" w:bidi="ar-SA"/>
                    </w:rPr>
                  </w:pPr>
                  <w:r>
                    <w:rPr>
                      <w:color w:val="auto"/>
                      <w:spacing w:val="-3"/>
                      <w:sz w:val="21"/>
                      <w:szCs w:val="21"/>
                    </w:rPr>
                    <w:t>管道</w:t>
                  </w:r>
                </w:p>
              </w:tc>
              <w:tc>
                <w:tcPr>
                  <w:tcW w:w="836" w:type="pct"/>
                  <w:shd w:val="clear" w:color="auto" w:fill="auto"/>
                  <w:vAlign w:val="center"/>
                </w:tcPr>
                <w:p w14:paraId="50EF9300">
                  <w:pPr>
                    <w:jc w:val="center"/>
                    <w:rPr>
                      <w:rFonts w:ascii="Times New Roman" w:hAnsi="Times New Roman" w:eastAsia="宋体" w:cs="Times New Roman"/>
                      <w:color w:val="auto"/>
                      <w:kern w:val="2"/>
                      <w:sz w:val="21"/>
                      <w:szCs w:val="24"/>
                      <w:lang w:val="en-US" w:eastAsia="zh-CN" w:bidi="ar-SA"/>
                    </w:rPr>
                  </w:pPr>
                  <w:r>
                    <w:rPr>
                      <w:color w:val="auto"/>
                    </w:rPr>
                    <w:t>1.5</w:t>
                  </w:r>
                </w:p>
              </w:tc>
            </w:tr>
            <w:tr w14:paraId="2FC6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000" w:type="pct"/>
                  <w:gridSpan w:val="7"/>
                  <w:shd w:val="clear" w:color="auto" w:fill="auto"/>
                  <w:vAlign w:val="center"/>
                </w:tcPr>
                <w:p w14:paraId="30D1CCD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5"/>
                      <w:sz w:val="21"/>
                      <w:szCs w:val="21"/>
                    </w:rPr>
                  </w:pPr>
                  <w:r>
                    <w:rPr>
                      <w:rFonts w:hint="eastAsia"/>
                      <w:color w:val="auto"/>
                    </w:rPr>
                    <w:t>备注：钴及其化合物以磁粉、三价铬五彩钝化液、锌镍蓝白钝化剂中钴含量折算，硝酸以硝酸、三价铬蓝白钝化液、锌镍蓝白钝化剂、剥离液中硝酸含量折算，镍及其化合物以镍板、硫酸镍、氯化镍中镍含量折算，铜及其化合物以铜板、焦磷酸铜中铜含量折算，铬及其化合物以三价铬蓝白钝化液、三价铬五彩钝化液、锌镍蓝白钝化剂中铬含量折算，磷酸以磷化液中磷酸含量折算，乙二胺以剥离液中乙二胺含量折算，异丙醇以水性涂料、翡翠稀释剂中异丙醇含量折算，二甲苯以磁材漆、标准稀释剂、翡翠底漆、翡翠稀释剂中二甲苯含量折算，丁醇以磁材漆、标准稀释剂、翡翠底漆中丁醇含量折算，甲醛以磁材漆、翡翠底漆中甲醛含量折算，甲苯以标准稀释剂、翡翠底漆中甲苯含量折算，油类物质以标准稀释剂中石脑油含量折算，乙苯以翡翠底漆、翡翠稀释剂中乙苯含量折算，环己酮以翡翠底漆、翡翠稀释剂中环己酮含量折算，天然气以小时在线量计。</w:t>
                  </w:r>
                </w:p>
              </w:tc>
            </w:tr>
          </w:tbl>
          <w:p w14:paraId="54056A34">
            <w:pPr>
              <w:pStyle w:val="60"/>
              <w:adjustRightInd/>
              <w:spacing w:before="0" w:after="0" w:line="360" w:lineRule="auto"/>
              <w:ind w:firstLine="482" w:firstLineChars="200"/>
              <w:rPr>
                <w:rFonts w:hint="default" w:ascii="Times New Roman" w:hAnsi="Times New Roman" w:eastAsia="宋体"/>
                <w:b/>
                <w:bCs/>
                <w:color w:val="auto"/>
                <w:sz w:val="24"/>
                <w:lang w:val="en-US" w:eastAsia="zh-CN"/>
              </w:rPr>
            </w:pPr>
            <w:r>
              <w:rPr>
                <w:rFonts w:hint="eastAsia" w:ascii="Times New Roman" w:hAnsi="Times New Roman"/>
                <w:b/>
                <w:bCs/>
                <w:color w:val="auto"/>
                <w:sz w:val="24"/>
                <w:lang w:val="en-US" w:eastAsia="zh-CN"/>
              </w:rPr>
              <w:t>2#危化品仓库的由来及必要性和可行性：</w:t>
            </w:r>
          </w:p>
          <w:p w14:paraId="0883FB04">
            <w:pPr>
              <w:pStyle w:val="60"/>
              <w:adjustRightInd/>
              <w:spacing w:before="0" w:after="0" w:line="360" w:lineRule="auto"/>
              <w:ind w:firstLine="480" w:firstLineChars="20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2#危化品仓库贮存的为一期甲乙类化学品，因一期规划为丙类仓库，根据《建筑防火通用规范》GB55037-2022在丙类仓库内不能贮存大于建筑面积5%的化学品，故考虑到安全问题，1#仓库不适用存储较多甲乙类化学品，故在本项目规划专门的甲类仓库来贮存甲乙类化学品。</w:t>
            </w:r>
          </w:p>
          <w:p w14:paraId="52B39C75">
            <w:pPr>
              <w:autoSpaceDE w:val="0"/>
              <w:autoSpaceDN w:val="0"/>
              <w:adjustRightInd w:val="0"/>
              <w:snapToGrid w:val="0"/>
              <w:spacing w:before="120" w:beforeLines="50" w:line="360" w:lineRule="auto"/>
              <w:ind w:firstLine="422" w:firstLineChars="200"/>
              <w:rPr>
                <w:rFonts w:hint="eastAsia"/>
                <w:b/>
                <w:bCs/>
                <w:color w:val="auto"/>
              </w:rPr>
            </w:pPr>
            <w:r>
              <w:rPr>
                <w:rFonts w:hint="eastAsia"/>
                <w:b/>
                <w:bCs/>
                <w:color w:val="auto"/>
                <w:lang w:val="en-US" w:eastAsia="zh-CN"/>
              </w:rPr>
              <w:t>十三、</w:t>
            </w:r>
            <w:r>
              <w:rPr>
                <w:rFonts w:hint="eastAsia"/>
                <w:b/>
                <w:bCs/>
                <w:color w:val="auto"/>
                <w:sz w:val="24"/>
                <w:szCs w:val="24"/>
              </w:rPr>
              <w:t>现有工程污染物排放情况</w:t>
            </w:r>
          </w:p>
          <w:p w14:paraId="1CF94CE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现有工程</w:t>
            </w:r>
            <w:r>
              <w:rPr>
                <w:rFonts w:ascii="宋体" w:hAnsi="宋体" w:eastAsia="宋体" w:cs="宋体"/>
                <w:color w:val="auto"/>
                <w:spacing w:val="-6"/>
                <w:sz w:val="24"/>
                <w:szCs w:val="24"/>
              </w:rPr>
              <w:t>主要污染源有：</w:t>
            </w:r>
          </w:p>
          <w:p w14:paraId="43BC6DF8">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7"/>
                <w:sz w:val="24"/>
                <w:szCs w:val="24"/>
              </w:rPr>
              <w:t>1</w:t>
            </w:r>
            <w:r>
              <w:rPr>
                <w:rFonts w:ascii="宋体" w:hAnsi="宋体" w:eastAsia="宋体" w:cs="宋体"/>
                <w:color w:val="auto"/>
                <w:spacing w:val="-7"/>
                <w:sz w:val="24"/>
                <w:szCs w:val="24"/>
              </w:rPr>
              <w:t>）废气污染源：混料废气、造粒投料粉尘、造粒废气、成型废气、破碎废</w:t>
            </w:r>
            <w:r>
              <w:rPr>
                <w:rFonts w:ascii="宋体" w:hAnsi="宋体" w:eastAsia="宋体" w:cs="宋体"/>
                <w:color w:val="auto"/>
                <w:spacing w:val="-4"/>
                <w:sz w:val="24"/>
                <w:szCs w:val="24"/>
              </w:rPr>
              <w:t>气、研磨废气、溶解废气、混胶投料粉尘、混胶废气、球磨</w:t>
            </w:r>
            <w:r>
              <w:rPr>
                <w:rFonts w:ascii="宋体" w:hAnsi="宋体" w:eastAsia="宋体" w:cs="宋体"/>
                <w:color w:val="auto"/>
                <w:spacing w:val="-5"/>
                <w:sz w:val="24"/>
                <w:szCs w:val="24"/>
              </w:rPr>
              <w:t>废气、筛分废气、混</w:t>
            </w:r>
            <w:r>
              <w:rPr>
                <w:rFonts w:ascii="宋体" w:hAnsi="宋体" w:eastAsia="宋体" w:cs="宋体"/>
                <w:color w:val="auto"/>
                <w:spacing w:val="-4"/>
                <w:sz w:val="24"/>
                <w:szCs w:val="24"/>
              </w:rPr>
              <w:t>粉废气、固化废气、抛光废气、酸性废气、电泳及烘干废气、喷漆</w:t>
            </w:r>
            <w:r>
              <w:rPr>
                <w:rFonts w:ascii="宋体" w:hAnsi="宋体" w:eastAsia="宋体" w:cs="宋体"/>
                <w:color w:val="auto"/>
                <w:spacing w:val="-5"/>
                <w:sz w:val="24"/>
                <w:szCs w:val="24"/>
              </w:rPr>
              <w:t>及烘干废气、</w:t>
            </w:r>
            <w:r>
              <w:rPr>
                <w:rFonts w:ascii="宋体" w:hAnsi="宋体" w:eastAsia="宋体" w:cs="宋体"/>
                <w:color w:val="auto"/>
                <w:spacing w:val="-7"/>
                <w:sz w:val="24"/>
                <w:szCs w:val="24"/>
              </w:rPr>
              <w:t>喷枪清洗废气、锅炉燃气废气等，主要污染因子为颗粒物、二氧化硫、氮氧化物、</w:t>
            </w:r>
            <w:r>
              <w:rPr>
                <w:rFonts w:ascii="宋体" w:hAnsi="宋体" w:eastAsia="宋体" w:cs="宋体"/>
                <w:color w:val="auto"/>
                <w:spacing w:val="-2"/>
                <w:sz w:val="24"/>
                <w:szCs w:val="24"/>
              </w:rPr>
              <w:t>氯化氢、</w:t>
            </w:r>
            <w:r>
              <w:rPr>
                <w:rFonts w:ascii="Times New Roman" w:hAnsi="Times New Roman" w:eastAsia="Times New Roman" w:cs="Times New Roman"/>
                <w:color w:val="auto"/>
                <w:spacing w:val="-2"/>
                <w:sz w:val="24"/>
                <w:szCs w:val="24"/>
              </w:rPr>
              <w:t>VOCs</w:t>
            </w:r>
            <w:r>
              <w:rPr>
                <w:rFonts w:ascii="宋体" w:hAnsi="宋体" w:eastAsia="宋体" w:cs="宋体"/>
                <w:color w:val="auto"/>
                <w:spacing w:val="-2"/>
                <w:sz w:val="24"/>
                <w:szCs w:val="24"/>
              </w:rPr>
              <w:t>、二甲苯、甲醛、甲苯、丙酮等。</w:t>
            </w:r>
          </w:p>
          <w:p w14:paraId="1521853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）废水污染源：前处理废水、硝酸酸洗废水、含镍废水、含铜废水、化</w:t>
            </w:r>
            <w:r>
              <w:rPr>
                <w:rFonts w:ascii="宋体" w:hAnsi="宋体" w:eastAsia="宋体" w:cs="宋体"/>
                <w:color w:val="auto"/>
                <w:spacing w:val="-7"/>
                <w:sz w:val="24"/>
                <w:szCs w:val="24"/>
              </w:rPr>
              <w:t>学镀镍废水、含锌废水、含铬废水、磷化废水、电泳废水、含锡废水、倒角废水、地面清洗废水、废气喷淋塔定排废水、水帘柜废水、蒸汽锅炉定排水、热水锅炉</w:t>
            </w:r>
            <w:r>
              <w:rPr>
                <w:rFonts w:ascii="宋体" w:hAnsi="宋体" w:eastAsia="宋体" w:cs="宋体"/>
                <w:color w:val="auto"/>
                <w:spacing w:val="-3"/>
                <w:sz w:val="24"/>
                <w:szCs w:val="24"/>
              </w:rPr>
              <w:t>定排水、纯水制备浓水、生活污水，主要污染因子为</w:t>
            </w:r>
            <w:r>
              <w:rPr>
                <w:rFonts w:ascii="Times New Roman" w:hAnsi="Times New Roman" w:eastAsia="Times New Roman" w:cs="Times New Roman"/>
                <w:color w:val="auto"/>
                <w:spacing w:val="-3"/>
                <w:sz w:val="24"/>
                <w:szCs w:val="24"/>
              </w:rPr>
              <w:t>pH</w:t>
            </w: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CO</w:t>
            </w:r>
            <w:r>
              <w:rPr>
                <w:rFonts w:ascii="Times New Roman" w:hAnsi="Times New Roman" w:eastAsia="Times New Roman" w:cs="Times New Roman"/>
                <w:color w:val="auto"/>
                <w:spacing w:val="-4"/>
                <w:sz w:val="24"/>
                <w:szCs w:val="24"/>
              </w:rPr>
              <w:t>D</w:t>
            </w:r>
            <w:r>
              <w:rPr>
                <w:rFonts w:ascii="Times New Roman" w:hAnsi="Times New Roman" w:eastAsia="Times New Roman" w:cs="Times New Roman"/>
                <w:color w:val="auto"/>
                <w:spacing w:val="-4"/>
                <w:position w:val="-1"/>
                <w:sz w:val="16"/>
                <w:szCs w:val="16"/>
              </w:rPr>
              <w:t>cr</w:t>
            </w: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BOD</w:t>
            </w:r>
            <w:r>
              <w:rPr>
                <w:rFonts w:ascii="Times New Roman" w:hAnsi="Times New Roman" w:eastAsia="Times New Roman" w:cs="Times New Roman"/>
                <w:color w:val="auto"/>
                <w:spacing w:val="-4"/>
                <w:position w:val="-1"/>
                <w:sz w:val="16"/>
                <w:szCs w:val="16"/>
              </w:rPr>
              <w:t>5</w:t>
            </w:r>
            <w:r>
              <w:rPr>
                <w:rFonts w:ascii="宋体" w:hAnsi="宋体" w:eastAsia="宋体" w:cs="宋体"/>
                <w:color w:val="auto"/>
                <w:spacing w:val="-4"/>
                <w:sz w:val="24"/>
                <w:szCs w:val="24"/>
              </w:rPr>
              <w:t>、总氮、</w:t>
            </w:r>
            <w:r>
              <w:rPr>
                <w:rFonts w:ascii="宋体" w:hAnsi="宋体" w:eastAsia="宋体" w:cs="宋体"/>
                <w:color w:val="auto"/>
                <w:spacing w:val="-2"/>
                <w:sz w:val="24"/>
                <w:szCs w:val="24"/>
              </w:rPr>
              <w:t>总磷、氨氮、</w:t>
            </w:r>
            <w:r>
              <w:rPr>
                <w:rFonts w:ascii="Times New Roman" w:hAnsi="Times New Roman" w:eastAsia="Times New Roman" w:cs="Times New Roman"/>
                <w:color w:val="auto"/>
                <w:spacing w:val="-2"/>
                <w:sz w:val="24"/>
                <w:szCs w:val="24"/>
              </w:rPr>
              <w:t>SS</w:t>
            </w:r>
            <w:r>
              <w:rPr>
                <w:rFonts w:ascii="宋体" w:hAnsi="宋体" w:eastAsia="宋体" w:cs="宋体"/>
                <w:color w:val="auto"/>
                <w:spacing w:val="-2"/>
                <w:sz w:val="24"/>
                <w:szCs w:val="24"/>
              </w:rPr>
              <w:t>、石油类、总锌、总镍、总铜、总铬、</w:t>
            </w:r>
            <w:r>
              <w:rPr>
                <w:rFonts w:ascii="Times New Roman" w:hAnsi="Times New Roman" w:eastAsia="Times New Roman" w:cs="Times New Roman"/>
                <w:color w:val="auto"/>
                <w:spacing w:val="-2"/>
                <w:sz w:val="24"/>
                <w:szCs w:val="24"/>
              </w:rPr>
              <w:t>LAS</w:t>
            </w:r>
            <w:r>
              <w:rPr>
                <w:rFonts w:ascii="宋体" w:hAnsi="宋体" w:eastAsia="宋体" w:cs="宋体"/>
                <w:color w:val="auto"/>
                <w:spacing w:val="-2"/>
                <w:sz w:val="24"/>
                <w:szCs w:val="24"/>
              </w:rPr>
              <w:t>、总锡、色度。</w:t>
            </w:r>
          </w:p>
          <w:p w14:paraId="2224126D">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3</w:t>
            </w:r>
            <w:r>
              <w:rPr>
                <w:rFonts w:ascii="宋体" w:hAnsi="宋体" w:eastAsia="宋体" w:cs="宋体"/>
                <w:color w:val="auto"/>
                <w:spacing w:val="-2"/>
                <w:sz w:val="24"/>
                <w:szCs w:val="24"/>
              </w:rPr>
              <w:t>）噪声源：表面处理线、倒角机、清洗机、成型机、破碎机、造粒机、</w:t>
            </w:r>
            <w:r>
              <w:rPr>
                <w:rFonts w:ascii="宋体" w:hAnsi="宋体" w:eastAsia="宋体" w:cs="宋体"/>
                <w:color w:val="auto"/>
                <w:spacing w:val="-3"/>
                <w:sz w:val="24"/>
                <w:szCs w:val="24"/>
              </w:rPr>
              <w:t>混料机、压机、混胶机、混粉机、球磨机、振动筛分机、空压机、风机、压滤机</w:t>
            </w:r>
            <w:r>
              <w:rPr>
                <w:rFonts w:ascii="宋体" w:hAnsi="宋体" w:eastAsia="宋体" w:cs="宋体"/>
                <w:color w:val="auto"/>
                <w:spacing w:val="-12"/>
                <w:sz w:val="24"/>
                <w:szCs w:val="24"/>
              </w:rPr>
              <w:t>等。</w:t>
            </w:r>
          </w:p>
          <w:p w14:paraId="115BF142">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4</w:t>
            </w:r>
            <w:r>
              <w:rPr>
                <w:rFonts w:ascii="宋体" w:hAnsi="宋体" w:eastAsia="宋体" w:cs="宋体"/>
                <w:color w:val="auto"/>
                <w:spacing w:val="-1"/>
                <w:sz w:val="24"/>
                <w:szCs w:val="24"/>
              </w:rPr>
              <w:t>）固体废物：熔融滤渣、废滤网、碎屑、废模具、镀槽槽渣、废化学镀</w:t>
            </w:r>
            <w:r>
              <w:rPr>
                <w:rFonts w:ascii="宋体" w:hAnsi="宋体" w:eastAsia="宋体" w:cs="宋体"/>
                <w:color w:val="auto"/>
                <w:spacing w:val="-7"/>
                <w:sz w:val="24"/>
                <w:szCs w:val="24"/>
              </w:rPr>
              <w:t>槽槽液、钝化槽渣、废镀锌槽液、磷化槽渣、漆渣、阳极残料、槽液滤芯（</w:t>
            </w:r>
            <w:r>
              <w:rPr>
                <w:rFonts w:ascii="宋体" w:hAnsi="宋体" w:eastAsia="宋体" w:cs="宋体"/>
                <w:color w:val="auto"/>
                <w:spacing w:val="-8"/>
                <w:sz w:val="24"/>
                <w:szCs w:val="24"/>
              </w:rPr>
              <w:t>膜）、</w:t>
            </w:r>
            <w:r>
              <w:rPr>
                <w:rFonts w:ascii="宋体" w:hAnsi="宋体" w:eastAsia="宋体" w:cs="宋体"/>
                <w:color w:val="auto"/>
                <w:spacing w:val="-3"/>
                <w:sz w:val="24"/>
                <w:szCs w:val="24"/>
              </w:rPr>
              <w:t>废包装材料、废水处理污泥、磁泥、废活性炭、废催化剂、纯水制备过程产生的</w:t>
            </w:r>
            <w:r>
              <w:rPr>
                <w:rFonts w:ascii="宋体" w:hAnsi="宋体" w:eastAsia="宋体" w:cs="宋体"/>
                <w:color w:val="auto"/>
                <w:spacing w:val="-2"/>
                <w:sz w:val="24"/>
                <w:szCs w:val="24"/>
              </w:rPr>
              <w:t>废活性炭和废</w:t>
            </w:r>
            <w:r>
              <w:rPr>
                <w:rFonts w:ascii="Times New Roman" w:hAnsi="Times New Roman" w:eastAsia="Times New Roman" w:cs="Times New Roman"/>
                <w:color w:val="auto"/>
                <w:spacing w:val="-2"/>
                <w:sz w:val="24"/>
                <w:szCs w:val="24"/>
              </w:rPr>
              <w:t>RO</w:t>
            </w:r>
            <w:r>
              <w:rPr>
                <w:rFonts w:ascii="宋体" w:hAnsi="宋体" w:eastAsia="宋体" w:cs="宋体"/>
                <w:color w:val="auto"/>
                <w:spacing w:val="-2"/>
                <w:sz w:val="24"/>
                <w:szCs w:val="24"/>
              </w:rPr>
              <w:t>膜、废退镀液（含渣）、废水处理过程产生的废膜、油性漆水</w:t>
            </w:r>
            <w:r>
              <w:rPr>
                <w:rFonts w:ascii="宋体" w:hAnsi="宋体" w:eastAsia="宋体" w:cs="宋体"/>
                <w:color w:val="auto"/>
                <w:sz w:val="24"/>
                <w:szCs w:val="24"/>
              </w:rPr>
              <w:t>帘柜废液、废润滑油、废含油抹布、废倒角磨</w:t>
            </w:r>
            <w:r>
              <w:rPr>
                <w:rFonts w:ascii="宋体" w:hAnsi="宋体" w:eastAsia="宋体" w:cs="宋体"/>
                <w:color w:val="auto"/>
                <w:spacing w:val="-1"/>
                <w:sz w:val="24"/>
                <w:szCs w:val="24"/>
              </w:rPr>
              <w:t>料、喷枪清洗废液、废过滤滤材、不合格品、生活垃圾。</w:t>
            </w:r>
          </w:p>
          <w:p w14:paraId="0311D18B">
            <w:pPr>
              <w:autoSpaceDE w:val="0"/>
              <w:autoSpaceDN w:val="0"/>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现有工程</w:t>
            </w:r>
            <w:r>
              <w:rPr>
                <w:rFonts w:hint="eastAsia"/>
                <w:color w:val="auto"/>
                <w:sz w:val="24"/>
                <w:szCs w:val="24"/>
                <w:lang w:val="en-US" w:eastAsia="zh-CN"/>
              </w:rPr>
              <w:t>各</w:t>
            </w:r>
            <w:r>
              <w:rPr>
                <w:rFonts w:hint="eastAsia"/>
                <w:color w:val="auto"/>
                <w:sz w:val="24"/>
                <w:szCs w:val="24"/>
              </w:rPr>
              <w:t>污染物</w:t>
            </w:r>
            <w:r>
              <w:rPr>
                <w:rFonts w:hint="eastAsia"/>
                <w:color w:val="auto"/>
                <w:sz w:val="24"/>
                <w:szCs w:val="24"/>
                <w:lang w:val="en-US" w:eastAsia="zh-CN"/>
              </w:rPr>
              <w:t>排放量</w:t>
            </w:r>
          </w:p>
          <w:p w14:paraId="303BC604">
            <w:pPr>
              <w:autoSpaceDE w:val="0"/>
              <w:autoSpaceDN w:val="0"/>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1）有组织废气</w:t>
            </w:r>
          </w:p>
          <w:p w14:paraId="28D5C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hint="eastAsia" w:cs="Times New Roman"/>
                <w:b/>
                <w:bCs/>
                <w:color w:val="auto"/>
                <w:spacing w:val="-1"/>
                <w:sz w:val="24"/>
                <w:szCs w:val="24"/>
                <w:lang w:val="en-US" w:eastAsia="zh-CN"/>
              </w:rPr>
              <w:t>2-16</w:t>
            </w:r>
            <w:r>
              <w:rPr>
                <w:rFonts w:ascii="Times New Roman" w:hAnsi="Times New Roman" w:eastAsia="宋体" w:cs="黑体"/>
                <w:b/>
                <w:bCs/>
                <w:color w:val="auto"/>
                <w:spacing w:val="-1"/>
                <w:sz w:val="24"/>
                <w:szCs w:val="24"/>
              </w:rPr>
              <w:t>项目有组织工艺废气污染源强一览表</w:t>
            </w:r>
          </w:p>
          <w:p w14:paraId="4F7406D4">
            <w:pPr>
              <w:spacing w:line="69" w:lineRule="exact"/>
              <w:rPr>
                <w:color w:val="auto"/>
              </w:rPr>
            </w:pP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18"/>
              <w:gridCol w:w="630"/>
              <w:gridCol w:w="619"/>
              <w:gridCol w:w="694"/>
              <w:gridCol w:w="816"/>
              <w:gridCol w:w="655"/>
              <w:gridCol w:w="994"/>
              <w:gridCol w:w="632"/>
              <w:gridCol w:w="987"/>
              <w:gridCol w:w="528"/>
              <w:gridCol w:w="56"/>
              <w:gridCol w:w="459"/>
              <w:gridCol w:w="816"/>
              <w:gridCol w:w="655"/>
              <w:gridCol w:w="542"/>
            </w:tblGrid>
            <w:tr w14:paraId="35EE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77" w:hRule="atLeast"/>
                <w:jc w:val="center"/>
              </w:trPr>
              <w:tc>
                <w:tcPr>
                  <w:tcW w:w="116" w:type="pct"/>
                  <w:vMerge w:val="restart"/>
                  <w:shd w:val="clear" w:color="auto" w:fill="auto"/>
                  <w:vAlign w:val="center"/>
                </w:tcPr>
                <w:p w14:paraId="785B67DF">
                  <w:pPr>
                    <w:jc w:val="center"/>
                    <w:rPr>
                      <w:b/>
                      <w:bCs/>
                      <w:color w:val="auto"/>
                      <w:sz w:val="21"/>
                      <w:szCs w:val="21"/>
                    </w:rPr>
                  </w:pPr>
                  <w:r>
                    <w:rPr>
                      <w:b/>
                      <w:bCs/>
                      <w:color w:val="auto"/>
                      <w:sz w:val="21"/>
                      <w:szCs w:val="21"/>
                    </w:rPr>
                    <w:t>车间</w:t>
                  </w:r>
                </w:p>
              </w:tc>
              <w:tc>
                <w:tcPr>
                  <w:tcW w:w="337" w:type="pct"/>
                  <w:vMerge w:val="restart"/>
                  <w:shd w:val="clear" w:color="auto" w:fill="auto"/>
                  <w:vAlign w:val="center"/>
                </w:tcPr>
                <w:p w14:paraId="304A7ED1">
                  <w:pPr>
                    <w:jc w:val="center"/>
                    <w:rPr>
                      <w:b/>
                      <w:bCs/>
                      <w:color w:val="auto"/>
                      <w:sz w:val="21"/>
                      <w:szCs w:val="21"/>
                    </w:rPr>
                  </w:pPr>
                  <w:r>
                    <w:rPr>
                      <w:b/>
                      <w:bCs/>
                      <w:color w:val="auto"/>
                      <w:sz w:val="21"/>
                      <w:szCs w:val="21"/>
                    </w:rPr>
                    <w:t>生产线</w:t>
                  </w:r>
                </w:p>
              </w:tc>
              <w:tc>
                <w:tcPr>
                  <w:tcW w:w="331" w:type="pct"/>
                  <w:vMerge w:val="restart"/>
                  <w:shd w:val="clear" w:color="auto" w:fill="auto"/>
                  <w:vAlign w:val="center"/>
                </w:tcPr>
                <w:p w14:paraId="603ECD39">
                  <w:pPr>
                    <w:jc w:val="center"/>
                    <w:rPr>
                      <w:b/>
                      <w:bCs/>
                      <w:color w:val="auto"/>
                      <w:sz w:val="21"/>
                      <w:szCs w:val="21"/>
                    </w:rPr>
                  </w:pPr>
                  <w:r>
                    <w:rPr>
                      <w:b/>
                      <w:bCs/>
                      <w:color w:val="auto"/>
                      <w:sz w:val="21"/>
                      <w:szCs w:val="21"/>
                    </w:rPr>
                    <w:t>污染源</w:t>
                  </w:r>
                </w:p>
              </w:tc>
              <w:tc>
                <w:tcPr>
                  <w:tcW w:w="371" w:type="pct"/>
                  <w:vMerge w:val="restart"/>
                  <w:shd w:val="clear" w:color="auto" w:fill="auto"/>
                  <w:vAlign w:val="center"/>
                </w:tcPr>
                <w:p w14:paraId="388BC210">
                  <w:pPr>
                    <w:jc w:val="center"/>
                    <w:rPr>
                      <w:b/>
                      <w:bCs/>
                      <w:color w:val="auto"/>
                      <w:sz w:val="21"/>
                      <w:szCs w:val="21"/>
                    </w:rPr>
                  </w:pPr>
                  <w:r>
                    <w:rPr>
                      <w:b/>
                      <w:bCs/>
                      <w:color w:val="auto"/>
                      <w:sz w:val="21"/>
                      <w:szCs w:val="21"/>
                    </w:rPr>
                    <w:t>污染物</w:t>
                  </w:r>
                </w:p>
              </w:tc>
              <w:tc>
                <w:tcPr>
                  <w:tcW w:w="787" w:type="pct"/>
                  <w:gridSpan w:val="2"/>
                  <w:shd w:val="clear" w:color="auto" w:fill="auto"/>
                  <w:vAlign w:val="center"/>
                </w:tcPr>
                <w:p w14:paraId="5616F0AF">
                  <w:pPr>
                    <w:jc w:val="center"/>
                    <w:rPr>
                      <w:b/>
                      <w:bCs/>
                      <w:color w:val="auto"/>
                      <w:sz w:val="21"/>
                      <w:szCs w:val="21"/>
                    </w:rPr>
                  </w:pPr>
                  <w:r>
                    <w:rPr>
                      <w:b/>
                      <w:bCs/>
                      <w:color w:val="auto"/>
                      <w:sz w:val="21"/>
                      <w:szCs w:val="21"/>
                    </w:rPr>
                    <w:t>污染物产生</w:t>
                  </w:r>
                </w:p>
              </w:tc>
              <w:tc>
                <w:tcPr>
                  <w:tcW w:w="869" w:type="pct"/>
                  <w:gridSpan w:val="2"/>
                  <w:shd w:val="clear" w:color="auto" w:fill="auto"/>
                  <w:vAlign w:val="center"/>
                </w:tcPr>
                <w:p w14:paraId="227775B0">
                  <w:pPr>
                    <w:jc w:val="center"/>
                    <w:rPr>
                      <w:b/>
                      <w:bCs/>
                      <w:color w:val="auto"/>
                      <w:sz w:val="21"/>
                      <w:szCs w:val="21"/>
                    </w:rPr>
                  </w:pPr>
                  <w:r>
                    <w:rPr>
                      <w:b/>
                      <w:bCs/>
                      <w:color w:val="auto"/>
                      <w:sz w:val="21"/>
                      <w:szCs w:val="21"/>
                    </w:rPr>
                    <w:t>治理措施</w:t>
                  </w:r>
                </w:p>
              </w:tc>
              <w:tc>
                <w:tcPr>
                  <w:tcW w:w="1898" w:type="pct"/>
                  <w:gridSpan w:val="6"/>
                  <w:shd w:val="clear" w:color="auto" w:fill="auto"/>
                  <w:vAlign w:val="center"/>
                </w:tcPr>
                <w:p w14:paraId="60D33644">
                  <w:pPr>
                    <w:jc w:val="center"/>
                    <w:rPr>
                      <w:b/>
                      <w:bCs/>
                      <w:color w:val="auto"/>
                      <w:sz w:val="21"/>
                      <w:szCs w:val="21"/>
                    </w:rPr>
                  </w:pPr>
                  <w:r>
                    <w:rPr>
                      <w:b/>
                      <w:bCs/>
                      <w:color w:val="auto"/>
                      <w:sz w:val="21"/>
                      <w:szCs w:val="21"/>
                    </w:rPr>
                    <w:t>污染物排放</w:t>
                  </w:r>
                </w:p>
              </w:tc>
              <w:tc>
                <w:tcPr>
                  <w:tcW w:w="289" w:type="pct"/>
                  <w:vMerge w:val="restart"/>
                  <w:shd w:val="clear" w:color="auto" w:fill="auto"/>
                  <w:vAlign w:val="center"/>
                </w:tcPr>
                <w:p w14:paraId="6F13F847">
                  <w:pPr>
                    <w:jc w:val="center"/>
                    <w:rPr>
                      <w:b/>
                      <w:bCs/>
                      <w:color w:val="auto"/>
                      <w:sz w:val="21"/>
                      <w:szCs w:val="21"/>
                    </w:rPr>
                  </w:pPr>
                  <w:r>
                    <w:rPr>
                      <w:b/>
                      <w:bCs/>
                      <w:color w:val="auto"/>
                      <w:sz w:val="21"/>
                      <w:szCs w:val="21"/>
                    </w:rPr>
                    <w:t>排放时间（h）</w:t>
                  </w:r>
                </w:p>
              </w:tc>
            </w:tr>
            <w:tr w14:paraId="0D72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116" w:type="pct"/>
                  <w:vMerge w:val="continue"/>
                  <w:shd w:val="clear" w:color="auto" w:fill="auto"/>
                  <w:vAlign w:val="center"/>
                </w:tcPr>
                <w:p w14:paraId="39CE1282">
                  <w:pPr>
                    <w:jc w:val="center"/>
                    <w:rPr>
                      <w:b/>
                      <w:bCs/>
                      <w:color w:val="auto"/>
                      <w:sz w:val="21"/>
                      <w:szCs w:val="21"/>
                    </w:rPr>
                  </w:pPr>
                </w:p>
              </w:tc>
              <w:tc>
                <w:tcPr>
                  <w:tcW w:w="337" w:type="pct"/>
                  <w:vMerge w:val="continue"/>
                  <w:shd w:val="clear" w:color="auto" w:fill="auto"/>
                  <w:vAlign w:val="center"/>
                </w:tcPr>
                <w:p w14:paraId="716210F6">
                  <w:pPr>
                    <w:jc w:val="center"/>
                    <w:rPr>
                      <w:b/>
                      <w:bCs/>
                      <w:color w:val="auto"/>
                      <w:sz w:val="21"/>
                      <w:szCs w:val="21"/>
                    </w:rPr>
                  </w:pPr>
                </w:p>
              </w:tc>
              <w:tc>
                <w:tcPr>
                  <w:tcW w:w="331" w:type="pct"/>
                  <w:vMerge w:val="continue"/>
                  <w:shd w:val="clear" w:color="auto" w:fill="auto"/>
                  <w:vAlign w:val="center"/>
                </w:tcPr>
                <w:p w14:paraId="4B9B3D61">
                  <w:pPr>
                    <w:jc w:val="center"/>
                    <w:rPr>
                      <w:b/>
                      <w:bCs/>
                      <w:color w:val="auto"/>
                      <w:sz w:val="21"/>
                      <w:szCs w:val="21"/>
                    </w:rPr>
                  </w:pPr>
                </w:p>
              </w:tc>
              <w:tc>
                <w:tcPr>
                  <w:tcW w:w="371" w:type="pct"/>
                  <w:vMerge w:val="continue"/>
                  <w:shd w:val="clear" w:color="auto" w:fill="auto"/>
                  <w:vAlign w:val="center"/>
                </w:tcPr>
                <w:p w14:paraId="1E80EA6E">
                  <w:pPr>
                    <w:jc w:val="center"/>
                    <w:rPr>
                      <w:b/>
                      <w:bCs/>
                      <w:color w:val="auto"/>
                      <w:sz w:val="21"/>
                      <w:szCs w:val="21"/>
                    </w:rPr>
                  </w:pPr>
                </w:p>
              </w:tc>
              <w:tc>
                <w:tcPr>
                  <w:tcW w:w="436" w:type="pct"/>
                  <w:shd w:val="clear" w:color="auto" w:fill="auto"/>
                  <w:vAlign w:val="center"/>
                </w:tcPr>
                <w:p w14:paraId="1411CA26">
                  <w:pPr>
                    <w:jc w:val="center"/>
                    <w:rPr>
                      <w:b/>
                      <w:bCs/>
                      <w:color w:val="auto"/>
                      <w:sz w:val="21"/>
                      <w:szCs w:val="21"/>
                    </w:rPr>
                  </w:pPr>
                  <w:r>
                    <w:rPr>
                      <w:b/>
                      <w:bCs/>
                      <w:color w:val="auto"/>
                      <w:sz w:val="21"/>
                      <w:szCs w:val="21"/>
                    </w:rPr>
                    <w:t>最大产生速率（kg/h）</w:t>
                  </w:r>
                </w:p>
              </w:tc>
              <w:tc>
                <w:tcPr>
                  <w:tcW w:w="350" w:type="pct"/>
                  <w:shd w:val="clear" w:color="auto" w:fill="auto"/>
                  <w:vAlign w:val="center"/>
                </w:tcPr>
                <w:p w14:paraId="3D926869">
                  <w:pPr>
                    <w:jc w:val="center"/>
                    <w:rPr>
                      <w:b/>
                      <w:bCs/>
                      <w:color w:val="auto"/>
                      <w:sz w:val="21"/>
                      <w:szCs w:val="21"/>
                    </w:rPr>
                  </w:pPr>
                  <w:r>
                    <w:rPr>
                      <w:b/>
                      <w:bCs/>
                      <w:color w:val="auto"/>
                      <w:sz w:val="21"/>
                      <w:szCs w:val="21"/>
                    </w:rPr>
                    <w:t>产生量（t/a）</w:t>
                  </w:r>
                </w:p>
              </w:tc>
              <w:tc>
                <w:tcPr>
                  <w:tcW w:w="531" w:type="pct"/>
                  <w:shd w:val="clear" w:color="auto" w:fill="auto"/>
                  <w:vAlign w:val="center"/>
                </w:tcPr>
                <w:p w14:paraId="4C0DCBCA">
                  <w:pPr>
                    <w:jc w:val="center"/>
                    <w:rPr>
                      <w:b/>
                      <w:bCs/>
                      <w:color w:val="auto"/>
                      <w:sz w:val="21"/>
                      <w:szCs w:val="21"/>
                    </w:rPr>
                  </w:pPr>
                  <w:r>
                    <w:rPr>
                      <w:b/>
                      <w:bCs/>
                      <w:color w:val="auto"/>
                      <w:sz w:val="21"/>
                      <w:szCs w:val="21"/>
                    </w:rPr>
                    <w:t>工艺</w:t>
                  </w:r>
                </w:p>
              </w:tc>
              <w:tc>
                <w:tcPr>
                  <w:tcW w:w="338" w:type="pct"/>
                  <w:shd w:val="clear" w:color="auto" w:fill="auto"/>
                  <w:vAlign w:val="center"/>
                </w:tcPr>
                <w:p w14:paraId="3EDD7517">
                  <w:pPr>
                    <w:jc w:val="center"/>
                    <w:rPr>
                      <w:b/>
                      <w:bCs/>
                      <w:color w:val="auto"/>
                      <w:sz w:val="21"/>
                      <w:szCs w:val="21"/>
                    </w:rPr>
                  </w:pPr>
                  <w:r>
                    <w:rPr>
                      <w:b/>
                      <w:bCs/>
                      <w:color w:val="auto"/>
                      <w:sz w:val="21"/>
                      <w:szCs w:val="21"/>
                    </w:rPr>
                    <w:t>效率（%）</w:t>
                  </w:r>
                </w:p>
              </w:tc>
              <w:tc>
                <w:tcPr>
                  <w:tcW w:w="527" w:type="pct"/>
                  <w:shd w:val="clear" w:color="auto" w:fill="auto"/>
                  <w:vAlign w:val="center"/>
                </w:tcPr>
                <w:p w14:paraId="7ADB1CCB">
                  <w:pPr>
                    <w:jc w:val="center"/>
                    <w:rPr>
                      <w:b/>
                      <w:bCs/>
                      <w:color w:val="auto"/>
                      <w:sz w:val="21"/>
                      <w:szCs w:val="21"/>
                    </w:rPr>
                  </w:pPr>
                  <w:r>
                    <w:rPr>
                      <w:b/>
                      <w:bCs/>
                      <w:color w:val="auto"/>
                      <w:sz w:val="21"/>
                      <w:szCs w:val="21"/>
                    </w:rPr>
                    <w:t>排放废气量（Nm</w:t>
                  </w:r>
                  <w:r>
                    <w:rPr>
                      <w:b/>
                      <w:bCs/>
                      <w:color w:val="auto"/>
                      <w:sz w:val="21"/>
                      <w:szCs w:val="21"/>
                      <w:vertAlign w:val="superscript"/>
                    </w:rPr>
                    <w:t>3</w:t>
                  </w:r>
                  <w:r>
                    <w:rPr>
                      <w:b/>
                      <w:bCs/>
                      <w:color w:val="auto"/>
                      <w:sz w:val="21"/>
                      <w:szCs w:val="21"/>
                    </w:rPr>
                    <w:t>/h）</w:t>
                  </w:r>
                </w:p>
              </w:tc>
              <w:tc>
                <w:tcPr>
                  <w:tcW w:w="583" w:type="pct"/>
                  <w:gridSpan w:val="3"/>
                  <w:shd w:val="clear" w:color="auto" w:fill="auto"/>
                  <w:vAlign w:val="center"/>
                </w:tcPr>
                <w:p w14:paraId="46F0E901">
                  <w:pPr>
                    <w:jc w:val="center"/>
                    <w:rPr>
                      <w:b/>
                      <w:bCs/>
                      <w:color w:val="auto"/>
                      <w:sz w:val="21"/>
                      <w:szCs w:val="21"/>
                    </w:rPr>
                  </w:pPr>
                  <w:r>
                    <w:rPr>
                      <w:b/>
                      <w:bCs/>
                      <w:color w:val="auto"/>
                      <w:sz w:val="21"/>
                      <w:szCs w:val="21"/>
                    </w:rPr>
                    <w:t>排放浓度（mg/m</w:t>
                  </w:r>
                  <w:r>
                    <w:rPr>
                      <w:b/>
                      <w:bCs/>
                      <w:color w:val="auto"/>
                      <w:sz w:val="21"/>
                      <w:szCs w:val="21"/>
                      <w:vertAlign w:val="superscript"/>
                    </w:rPr>
                    <w:t>3</w:t>
                  </w:r>
                  <w:r>
                    <w:rPr>
                      <w:b/>
                      <w:bCs/>
                      <w:color w:val="auto"/>
                      <w:sz w:val="21"/>
                      <w:szCs w:val="21"/>
                    </w:rPr>
                    <w:t>）</w:t>
                  </w:r>
                </w:p>
              </w:tc>
              <w:tc>
                <w:tcPr>
                  <w:tcW w:w="436" w:type="pct"/>
                  <w:shd w:val="clear" w:color="auto" w:fill="auto"/>
                  <w:vAlign w:val="center"/>
                </w:tcPr>
                <w:p w14:paraId="39522923">
                  <w:pPr>
                    <w:jc w:val="center"/>
                    <w:rPr>
                      <w:b/>
                      <w:bCs/>
                      <w:color w:val="auto"/>
                      <w:sz w:val="21"/>
                      <w:szCs w:val="21"/>
                    </w:rPr>
                  </w:pPr>
                  <w:r>
                    <w:rPr>
                      <w:b/>
                      <w:bCs/>
                      <w:color w:val="auto"/>
                      <w:sz w:val="21"/>
                      <w:szCs w:val="21"/>
                    </w:rPr>
                    <w:t>最大排放速率（kg/h）</w:t>
                  </w:r>
                </w:p>
              </w:tc>
              <w:tc>
                <w:tcPr>
                  <w:tcW w:w="350" w:type="pct"/>
                  <w:shd w:val="clear" w:color="auto" w:fill="auto"/>
                  <w:vAlign w:val="center"/>
                </w:tcPr>
                <w:p w14:paraId="661EE7B0">
                  <w:pPr>
                    <w:jc w:val="center"/>
                    <w:rPr>
                      <w:b/>
                      <w:bCs/>
                      <w:color w:val="auto"/>
                      <w:sz w:val="21"/>
                      <w:szCs w:val="21"/>
                    </w:rPr>
                  </w:pPr>
                  <w:r>
                    <w:rPr>
                      <w:b/>
                      <w:bCs/>
                      <w:color w:val="auto"/>
                      <w:sz w:val="21"/>
                      <w:szCs w:val="21"/>
                    </w:rPr>
                    <w:t>排放量（t/a）</w:t>
                  </w:r>
                </w:p>
              </w:tc>
              <w:tc>
                <w:tcPr>
                  <w:tcW w:w="289" w:type="pct"/>
                  <w:vMerge w:val="continue"/>
                  <w:shd w:val="clear" w:color="auto" w:fill="auto"/>
                  <w:vAlign w:val="center"/>
                </w:tcPr>
                <w:p w14:paraId="4C2BAE5E">
                  <w:pPr>
                    <w:jc w:val="center"/>
                    <w:rPr>
                      <w:color w:val="auto"/>
                      <w:sz w:val="21"/>
                      <w:szCs w:val="21"/>
                    </w:rPr>
                  </w:pPr>
                </w:p>
              </w:tc>
            </w:tr>
            <w:tr w14:paraId="4E60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116" w:type="pct"/>
                  <w:shd w:val="clear" w:color="auto" w:fill="auto"/>
                  <w:vAlign w:val="center"/>
                </w:tcPr>
                <w:p w14:paraId="2813EF1F">
                  <w:pPr>
                    <w:jc w:val="center"/>
                    <w:rPr>
                      <w:color w:val="auto"/>
                      <w:sz w:val="21"/>
                      <w:szCs w:val="21"/>
                    </w:rPr>
                  </w:pPr>
                  <w:r>
                    <w:rPr>
                      <w:color w:val="auto"/>
                      <w:sz w:val="21"/>
                      <w:szCs w:val="21"/>
                    </w:rPr>
                    <w:t>注射粘结磁生产车间</w:t>
                  </w:r>
                </w:p>
              </w:tc>
              <w:tc>
                <w:tcPr>
                  <w:tcW w:w="337" w:type="pct"/>
                  <w:shd w:val="clear" w:color="auto" w:fill="auto"/>
                  <w:vAlign w:val="center"/>
                </w:tcPr>
                <w:p w14:paraId="264BCBA0">
                  <w:pPr>
                    <w:jc w:val="center"/>
                    <w:rPr>
                      <w:color w:val="auto"/>
                      <w:sz w:val="21"/>
                      <w:szCs w:val="21"/>
                    </w:rPr>
                  </w:pPr>
                  <w:r>
                    <w:rPr>
                      <w:color w:val="auto"/>
                      <w:sz w:val="21"/>
                      <w:szCs w:val="21"/>
                    </w:rPr>
                    <w:t>混料废气、研磨废气</w:t>
                  </w:r>
                </w:p>
              </w:tc>
              <w:tc>
                <w:tcPr>
                  <w:tcW w:w="331" w:type="pct"/>
                  <w:shd w:val="clear" w:color="auto" w:fill="auto"/>
                  <w:vAlign w:val="center"/>
                </w:tcPr>
                <w:p w14:paraId="29E95C6F">
                  <w:pPr>
                    <w:jc w:val="center"/>
                    <w:rPr>
                      <w:color w:val="auto"/>
                      <w:sz w:val="21"/>
                      <w:szCs w:val="21"/>
                    </w:rPr>
                  </w:pPr>
                  <w:r>
                    <w:rPr>
                      <w:color w:val="auto"/>
                      <w:sz w:val="21"/>
                      <w:szCs w:val="21"/>
                    </w:rPr>
                    <w:t>DA001排气筒</w:t>
                  </w:r>
                </w:p>
              </w:tc>
              <w:tc>
                <w:tcPr>
                  <w:tcW w:w="371" w:type="pct"/>
                  <w:shd w:val="clear" w:color="auto" w:fill="auto"/>
                  <w:vAlign w:val="center"/>
                </w:tcPr>
                <w:p w14:paraId="520A41AF">
                  <w:pPr>
                    <w:jc w:val="center"/>
                    <w:rPr>
                      <w:color w:val="auto"/>
                      <w:sz w:val="21"/>
                      <w:szCs w:val="21"/>
                    </w:rPr>
                  </w:pPr>
                  <w:r>
                    <w:rPr>
                      <w:color w:val="auto"/>
                      <w:sz w:val="21"/>
                      <w:szCs w:val="21"/>
                    </w:rPr>
                    <w:t>颗粒物</w:t>
                  </w:r>
                </w:p>
              </w:tc>
              <w:tc>
                <w:tcPr>
                  <w:tcW w:w="436" w:type="pct"/>
                  <w:shd w:val="clear" w:color="auto" w:fill="auto"/>
                  <w:vAlign w:val="center"/>
                </w:tcPr>
                <w:p w14:paraId="3B201056">
                  <w:pPr>
                    <w:jc w:val="center"/>
                    <w:rPr>
                      <w:color w:val="auto"/>
                      <w:sz w:val="21"/>
                      <w:szCs w:val="21"/>
                    </w:rPr>
                  </w:pPr>
                  <w:r>
                    <w:rPr>
                      <w:color w:val="auto"/>
                      <w:sz w:val="21"/>
                      <w:szCs w:val="21"/>
                    </w:rPr>
                    <w:t>1.22</w:t>
                  </w:r>
                </w:p>
              </w:tc>
              <w:tc>
                <w:tcPr>
                  <w:tcW w:w="350" w:type="pct"/>
                  <w:shd w:val="clear" w:color="auto" w:fill="auto"/>
                  <w:vAlign w:val="center"/>
                </w:tcPr>
                <w:p w14:paraId="6F02A552">
                  <w:pPr>
                    <w:jc w:val="center"/>
                    <w:rPr>
                      <w:color w:val="auto"/>
                      <w:sz w:val="21"/>
                      <w:szCs w:val="21"/>
                    </w:rPr>
                  </w:pPr>
                  <w:r>
                    <w:rPr>
                      <w:color w:val="auto"/>
                      <w:sz w:val="21"/>
                      <w:szCs w:val="21"/>
                    </w:rPr>
                    <w:t>10.28</w:t>
                  </w:r>
                </w:p>
              </w:tc>
              <w:tc>
                <w:tcPr>
                  <w:tcW w:w="531" w:type="pct"/>
                  <w:shd w:val="clear" w:color="auto" w:fill="auto"/>
                  <w:vAlign w:val="center"/>
                </w:tcPr>
                <w:p w14:paraId="4BD03D57">
                  <w:pPr>
                    <w:jc w:val="center"/>
                    <w:rPr>
                      <w:color w:val="auto"/>
                      <w:sz w:val="21"/>
                      <w:szCs w:val="21"/>
                    </w:rPr>
                  </w:pPr>
                  <w:r>
                    <w:rPr>
                      <w:color w:val="auto"/>
                      <w:sz w:val="21"/>
                      <w:szCs w:val="21"/>
                    </w:rPr>
                    <w:t>布袋除尘器（TA001）</w:t>
                  </w:r>
                </w:p>
              </w:tc>
              <w:tc>
                <w:tcPr>
                  <w:tcW w:w="338" w:type="pct"/>
                  <w:shd w:val="clear" w:color="auto" w:fill="auto"/>
                  <w:vAlign w:val="center"/>
                </w:tcPr>
                <w:p w14:paraId="78100790">
                  <w:pPr>
                    <w:jc w:val="center"/>
                    <w:rPr>
                      <w:color w:val="auto"/>
                      <w:sz w:val="21"/>
                      <w:szCs w:val="21"/>
                    </w:rPr>
                  </w:pPr>
                  <w:r>
                    <w:rPr>
                      <w:color w:val="auto"/>
                      <w:sz w:val="21"/>
                      <w:szCs w:val="21"/>
                    </w:rPr>
                    <w:t>99</w:t>
                  </w:r>
                </w:p>
              </w:tc>
              <w:tc>
                <w:tcPr>
                  <w:tcW w:w="527" w:type="pct"/>
                  <w:shd w:val="clear" w:color="auto" w:fill="auto"/>
                  <w:vAlign w:val="center"/>
                </w:tcPr>
                <w:p w14:paraId="77253CFF">
                  <w:pPr>
                    <w:jc w:val="center"/>
                    <w:rPr>
                      <w:color w:val="auto"/>
                      <w:sz w:val="21"/>
                      <w:szCs w:val="21"/>
                    </w:rPr>
                  </w:pPr>
                  <w:r>
                    <w:rPr>
                      <w:color w:val="auto"/>
                      <w:sz w:val="21"/>
                      <w:szCs w:val="21"/>
                    </w:rPr>
                    <w:t>2000</w:t>
                  </w:r>
                </w:p>
              </w:tc>
              <w:tc>
                <w:tcPr>
                  <w:tcW w:w="583" w:type="pct"/>
                  <w:gridSpan w:val="3"/>
                  <w:shd w:val="clear" w:color="auto" w:fill="auto"/>
                  <w:vAlign w:val="center"/>
                </w:tcPr>
                <w:p w14:paraId="32311BCB">
                  <w:pPr>
                    <w:jc w:val="center"/>
                    <w:rPr>
                      <w:color w:val="auto"/>
                      <w:sz w:val="21"/>
                      <w:szCs w:val="21"/>
                    </w:rPr>
                  </w:pPr>
                  <w:r>
                    <w:rPr>
                      <w:color w:val="auto"/>
                      <w:sz w:val="21"/>
                      <w:szCs w:val="21"/>
                    </w:rPr>
                    <w:t>6.5</w:t>
                  </w:r>
                </w:p>
              </w:tc>
              <w:tc>
                <w:tcPr>
                  <w:tcW w:w="436" w:type="pct"/>
                  <w:shd w:val="clear" w:color="auto" w:fill="auto"/>
                  <w:vAlign w:val="center"/>
                </w:tcPr>
                <w:p w14:paraId="2E4416CA">
                  <w:pPr>
                    <w:jc w:val="center"/>
                    <w:rPr>
                      <w:color w:val="auto"/>
                      <w:sz w:val="21"/>
                      <w:szCs w:val="21"/>
                    </w:rPr>
                  </w:pPr>
                  <w:r>
                    <w:rPr>
                      <w:color w:val="auto"/>
                      <w:sz w:val="21"/>
                      <w:szCs w:val="21"/>
                    </w:rPr>
                    <w:t>0.01</w:t>
                  </w:r>
                </w:p>
              </w:tc>
              <w:tc>
                <w:tcPr>
                  <w:tcW w:w="350" w:type="pct"/>
                  <w:shd w:val="clear" w:color="auto" w:fill="auto"/>
                  <w:vAlign w:val="center"/>
                </w:tcPr>
                <w:p w14:paraId="61A7B1DD">
                  <w:pPr>
                    <w:jc w:val="center"/>
                    <w:rPr>
                      <w:color w:val="auto"/>
                      <w:sz w:val="21"/>
                      <w:szCs w:val="21"/>
                    </w:rPr>
                  </w:pPr>
                  <w:r>
                    <w:rPr>
                      <w:color w:val="auto"/>
                      <w:sz w:val="21"/>
                      <w:szCs w:val="21"/>
                    </w:rPr>
                    <w:t>0.11</w:t>
                  </w:r>
                </w:p>
              </w:tc>
              <w:tc>
                <w:tcPr>
                  <w:tcW w:w="289" w:type="pct"/>
                  <w:shd w:val="clear" w:color="auto" w:fill="auto"/>
                  <w:vAlign w:val="center"/>
                </w:tcPr>
                <w:p w14:paraId="18B21E2B">
                  <w:pPr>
                    <w:jc w:val="center"/>
                    <w:rPr>
                      <w:color w:val="auto"/>
                      <w:sz w:val="21"/>
                      <w:szCs w:val="21"/>
                    </w:rPr>
                  </w:pPr>
                  <w:r>
                    <w:rPr>
                      <w:color w:val="auto"/>
                      <w:sz w:val="21"/>
                      <w:szCs w:val="21"/>
                    </w:rPr>
                    <w:t>8400</w:t>
                  </w:r>
                </w:p>
              </w:tc>
            </w:tr>
            <w:tr w14:paraId="4A37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1" w:hRule="atLeast"/>
                <w:jc w:val="center"/>
              </w:trPr>
              <w:tc>
                <w:tcPr>
                  <w:tcW w:w="116" w:type="pct"/>
                  <w:vMerge w:val="restart"/>
                  <w:shd w:val="clear" w:color="auto" w:fill="auto"/>
                  <w:vAlign w:val="center"/>
                </w:tcPr>
                <w:p w14:paraId="7A44ED9C">
                  <w:pPr>
                    <w:jc w:val="center"/>
                    <w:rPr>
                      <w:color w:val="auto"/>
                      <w:sz w:val="21"/>
                      <w:szCs w:val="21"/>
                    </w:rPr>
                  </w:pPr>
                  <w:r>
                    <w:rPr>
                      <w:color w:val="auto"/>
                      <w:sz w:val="21"/>
                      <w:szCs w:val="21"/>
                    </w:rPr>
                    <w:t>注射粘结磁生产车间</w:t>
                  </w:r>
                </w:p>
              </w:tc>
              <w:tc>
                <w:tcPr>
                  <w:tcW w:w="337" w:type="pct"/>
                  <w:vMerge w:val="restart"/>
                  <w:shd w:val="clear" w:color="auto" w:fill="auto"/>
                  <w:vAlign w:val="center"/>
                </w:tcPr>
                <w:p w14:paraId="7B01F201">
                  <w:pPr>
                    <w:jc w:val="center"/>
                    <w:rPr>
                      <w:color w:val="auto"/>
                      <w:sz w:val="21"/>
                      <w:szCs w:val="21"/>
                    </w:rPr>
                  </w:pPr>
                  <w:r>
                    <w:rPr>
                      <w:color w:val="auto"/>
                      <w:sz w:val="21"/>
                      <w:szCs w:val="21"/>
                    </w:rPr>
                    <w:t>造粒废气、成型废气</w:t>
                  </w:r>
                </w:p>
              </w:tc>
              <w:tc>
                <w:tcPr>
                  <w:tcW w:w="331" w:type="pct"/>
                  <w:vMerge w:val="restart"/>
                  <w:shd w:val="clear" w:color="auto" w:fill="auto"/>
                  <w:vAlign w:val="center"/>
                </w:tcPr>
                <w:p w14:paraId="50E71A91">
                  <w:pPr>
                    <w:jc w:val="center"/>
                    <w:rPr>
                      <w:color w:val="auto"/>
                      <w:sz w:val="21"/>
                      <w:szCs w:val="21"/>
                    </w:rPr>
                  </w:pPr>
                  <w:r>
                    <w:rPr>
                      <w:color w:val="auto"/>
                      <w:sz w:val="21"/>
                      <w:szCs w:val="21"/>
                    </w:rPr>
                    <w:t>DA002排气筒</w:t>
                  </w:r>
                </w:p>
              </w:tc>
              <w:tc>
                <w:tcPr>
                  <w:tcW w:w="371" w:type="pct"/>
                  <w:shd w:val="clear" w:color="auto" w:fill="auto"/>
                  <w:vAlign w:val="center"/>
                </w:tcPr>
                <w:p w14:paraId="62C06225">
                  <w:pPr>
                    <w:jc w:val="center"/>
                    <w:rPr>
                      <w:color w:val="auto"/>
                      <w:sz w:val="21"/>
                      <w:szCs w:val="21"/>
                    </w:rPr>
                  </w:pPr>
                  <w:r>
                    <w:rPr>
                      <w:color w:val="auto"/>
                      <w:sz w:val="21"/>
                      <w:szCs w:val="21"/>
                    </w:rPr>
                    <w:t>TVOC</w:t>
                  </w:r>
                </w:p>
              </w:tc>
              <w:tc>
                <w:tcPr>
                  <w:tcW w:w="436" w:type="pct"/>
                  <w:shd w:val="clear" w:color="auto" w:fill="auto"/>
                  <w:vAlign w:val="center"/>
                </w:tcPr>
                <w:p w14:paraId="70FAA183">
                  <w:pPr>
                    <w:jc w:val="center"/>
                    <w:rPr>
                      <w:color w:val="auto"/>
                      <w:sz w:val="21"/>
                      <w:szCs w:val="21"/>
                    </w:rPr>
                  </w:pPr>
                  <w:r>
                    <w:rPr>
                      <w:color w:val="auto"/>
                      <w:sz w:val="21"/>
                      <w:szCs w:val="21"/>
                    </w:rPr>
                    <w:t>0.1</w:t>
                  </w:r>
                </w:p>
              </w:tc>
              <w:tc>
                <w:tcPr>
                  <w:tcW w:w="350" w:type="pct"/>
                  <w:shd w:val="clear" w:color="auto" w:fill="auto"/>
                  <w:vAlign w:val="center"/>
                </w:tcPr>
                <w:p w14:paraId="745E717E">
                  <w:pPr>
                    <w:jc w:val="center"/>
                    <w:rPr>
                      <w:color w:val="auto"/>
                      <w:sz w:val="21"/>
                      <w:szCs w:val="21"/>
                    </w:rPr>
                  </w:pPr>
                  <w:r>
                    <w:rPr>
                      <w:color w:val="auto"/>
                      <w:sz w:val="21"/>
                      <w:szCs w:val="21"/>
                    </w:rPr>
                    <w:t>0.87</w:t>
                  </w:r>
                </w:p>
              </w:tc>
              <w:tc>
                <w:tcPr>
                  <w:tcW w:w="531" w:type="pct"/>
                  <w:vMerge w:val="restart"/>
                  <w:shd w:val="clear" w:color="auto" w:fill="auto"/>
                  <w:vAlign w:val="center"/>
                </w:tcPr>
                <w:p w14:paraId="1624F1FE">
                  <w:pPr>
                    <w:jc w:val="center"/>
                    <w:rPr>
                      <w:color w:val="auto"/>
                      <w:sz w:val="21"/>
                      <w:szCs w:val="21"/>
                    </w:rPr>
                  </w:pPr>
                  <w:r>
                    <w:rPr>
                      <w:color w:val="auto"/>
                      <w:sz w:val="21"/>
                      <w:szCs w:val="21"/>
                    </w:rPr>
                    <w:t>过滤器+活性炭吸附浓缩+催化燃烧（TA002）</w:t>
                  </w:r>
                </w:p>
              </w:tc>
              <w:tc>
                <w:tcPr>
                  <w:tcW w:w="338" w:type="pct"/>
                  <w:shd w:val="clear" w:color="auto" w:fill="auto"/>
                  <w:vAlign w:val="center"/>
                </w:tcPr>
                <w:p w14:paraId="7EF530E1">
                  <w:pPr>
                    <w:jc w:val="center"/>
                    <w:rPr>
                      <w:color w:val="auto"/>
                      <w:sz w:val="21"/>
                      <w:szCs w:val="21"/>
                    </w:rPr>
                  </w:pPr>
                  <w:r>
                    <w:rPr>
                      <w:color w:val="auto"/>
                      <w:sz w:val="21"/>
                      <w:szCs w:val="21"/>
                    </w:rPr>
                    <w:t>85.5</w:t>
                  </w:r>
                </w:p>
              </w:tc>
              <w:tc>
                <w:tcPr>
                  <w:tcW w:w="527" w:type="pct"/>
                  <w:vMerge w:val="restart"/>
                  <w:shd w:val="clear" w:color="auto" w:fill="auto"/>
                  <w:vAlign w:val="center"/>
                </w:tcPr>
                <w:p w14:paraId="31484B7D">
                  <w:pPr>
                    <w:jc w:val="center"/>
                    <w:rPr>
                      <w:color w:val="auto"/>
                      <w:sz w:val="21"/>
                      <w:szCs w:val="21"/>
                    </w:rPr>
                  </w:pPr>
                  <w:r>
                    <w:rPr>
                      <w:color w:val="auto"/>
                      <w:sz w:val="21"/>
                      <w:szCs w:val="21"/>
                    </w:rPr>
                    <w:t>20000</w:t>
                  </w:r>
                </w:p>
              </w:tc>
              <w:tc>
                <w:tcPr>
                  <w:tcW w:w="282" w:type="pct"/>
                  <w:vMerge w:val="restart"/>
                  <w:shd w:val="clear" w:color="auto" w:fill="auto"/>
                  <w:vAlign w:val="center"/>
                </w:tcPr>
                <w:p w14:paraId="77BB9D10">
                  <w:pPr>
                    <w:jc w:val="center"/>
                    <w:rPr>
                      <w:color w:val="auto"/>
                      <w:sz w:val="21"/>
                      <w:szCs w:val="21"/>
                    </w:rPr>
                  </w:pPr>
                  <w:r>
                    <w:rPr>
                      <w:color w:val="auto"/>
                      <w:sz w:val="21"/>
                      <w:szCs w:val="21"/>
                    </w:rPr>
                    <w:t>VOCs</w:t>
                  </w:r>
                </w:p>
              </w:tc>
              <w:tc>
                <w:tcPr>
                  <w:tcW w:w="301" w:type="pct"/>
                  <w:gridSpan w:val="2"/>
                  <w:vMerge w:val="restart"/>
                  <w:shd w:val="clear" w:color="auto" w:fill="auto"/>
                  <w:vAlign w:val="center"/>
                </w:tcPr>
                <w:p w14:paraId="545291A6">
                  <w:pPr>
                    <w:jc w:val="center"/>
                    <w:rPr>
                      <w:color w:val="auto"/>
                      <w:sz w:val="21"/>
                      <w:szCs w:val="21"/>
                    </w:rPr>
                  </w:pPr>
                  <w:r>
                    <w:rPr>
                      <w:color w:val="auto"/>
                      <w:sz w:val="21"/>
                      <w:szCs w:val="21"/>
                    </w:rPr>
                    <w:t>8.1</w:t>
                  </w:r>
                </w:p>
              </w:tc>
              <w:tc>
                <w:tcPr>
                  <w:tcW w:w="436" w:type="pct"/>
                  <w:vMerge w:val="restart"/>
                  <w:shd w:val="clear" w:color="auto" w:fill="auto"/>
                  <w:vAlign w:val="center"/>
                </w:tcPr>
                <w:p w14:paraId="1CC80792">
                  <w:pPr>
                    <w:jc w:val="center"/>
                    <w:rPr>
                      <w:color w:val="auto"/>
                      <w:sz w:val="21"/>
                      <w:szCs w:val="21"/>
                    </w:rPr>
                  </w:pPr>
                  <w:r>
                    <w:rPr>
                      <w:color w:val="auto"/>
                      <w:sz w:val="21"/>
                      <w:szCs w:val="21"/>
                    </w:rPr>
                    <w:t>0.16</w:t>
                  </w:r>
                </w:p>
              </w:tc>
              <w:tc>
                <w:tcPr>
                  <w:tcW w:w="350" w:type="pct"/>
                  <w:vMerge w:val="restart"/>
                  <w:shd w:val="clear" w:color="auto" w:fill="auto"/>
                  <w:vAlign w:val="center"/>
                </w:tcPr>
                <w:p w14:paraId="44AE0285">
                  <w:pPr>
                    <w:jc w:val="center"/>
                    <w:rPr>
                      <w:color w:val="auto"/>
                      <w:sz w:val="21"/>
                      <w:szCs w:val="21"/>
                    </w:rPr>
                  </w:pPr>
                  <w:r>
                    <w:rPr>
                      <w:color w:val="auto"/>
                      <w:sz w:val="21"/>
                      <w:szCs w:val="21"/>
                    </w:rPr>
                    <w:t>1.36</w:t>
                  </w:r>
                </w:p>
              </w:tc>
              <w:tc>
                <w:tcPr>
                  <w:tcW w:w="289" w:type="pct"/>
                  <w:vMerge w:val="restart"/>
                  <w:shd w:val="clear" w:color="auto" w:fill="auto"/>
                  <w:vAlign w:val="center"/>
                </w:tcPr>
                <w:p w14:paraId="0FCFBA66">
                  <w:pPr>
                    <w:jc w:val="center"/>
                    <w:rPr>
                      <w:color w:val="auto"/>
                      <w:sz w:val="21"/>
                      <w:szCs w:val="21"/>
                    </w:rPr>
                  </w:pPr>
                  <w:r>
                    <w:rPr>
                      <w:color w:val="auto"/>
                      <w:sz w:val="21"/>
                      <w:szCs w:val="21"/>
                    </w:rPr>
                    <w:t>8400</w:t>
                  </w:r>
                </w:p>
              </w:tc>
            </w:tr>
            <w:tr w14:paraId="3BCF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116" w:type="pct"/>
                  <w:vMerge w:val="continue"/>
                  <w:shd w:val="clear" w:color="auto" w:fill="auto"/>
                  <w:vAlign w:val="center"/>
                </w:tcPr>
                <w:p w14:paraId="438D3741">
                  <w:pPr>
                    <w:jc w:val="center"/>
                    <w:rPr>
                      <w:color w:val="auto"/>
                      <w:sz w:val="21"/>
                      <w:szCs w:val="21"/>
                    </w:rPr>
                  </w:pPr>
                </w:p>
              </w:tc>
              <w:tc>
                <w:tcPr>
                  <w:tcW w:w="337" w:type="pct"/>
                  <w:vMerge w:val="continue"/>
                  <w:shd w:val="clear" w:color="auto" w:fill="auto"/>
                  <w:vAlign w:val="center"/>
                </w:tcPr>
                <w:p w14:paraId="657E56A7">
                  <w:pPr>
                    <w:jc w:val="center"/>
                    <w:rPr>
                      <w:color w:val="auto"/>
                      <w:sz w:val="21"/>
                      <w:szCs w:val="21"/>
                    </w:rPr>
                  </w:pPr>
                </w:p>
              </w:tc>
              <w:tc>
                <w:tcPr>
                  <w:tcW w:w="331" w:type="pct"/>
                  <w:vMerge w:val="continue"/>
                  <w:shd w:val="clear" w:color="auto" w:fill="auto"/>
                  <w:vAlign w:val="center"/>
                </w:tcPr>
                <w:p w14:paraId="6A48D1AF">
                  <w:pPr>
                    <w:jc w:val="center"/>
                    <w:rPr>
                      <w:color w:val="auto"/>
                      <w:sz w:val="21"/>
                      <w:szCs w:val="21"/>
                    </w:rPr>
                  </w:pPr>
                </w:p>
              </w:tc>
              <w:tc>
                <w:tcPr>
                  <w:tcW w:w="371" w:type="pct"/>
                  <w:shd w:val="clear" w:color="auto" w:fill="auto"/>
                  <w:vAlign w:val="center"/>
                </w:tcPr>
                <w:p w14:paraId="2D41E6CF">
                  <w:pPr>
                    <w:jc w:val="center"/>
                    <w:rPr>
                      <w:color w:val="auto"/>
                      <w:sz w:val="21"/>
                      <w:szCs w:val="21"/>
                    </w:rPr>
                  </w:pPr>
                  <w:r>
                    <w:rPr>
                      <w:color w:val="auto"/>
                      <w:sz w:val="21"/>
                      <w:szCs w:val="21"/>
                    </w:rPr>
                    <w:t>非甲烷总烃</w:t>
                  </w:r>
                </w:p>
              </w:tc>
              <w:tc>
                <w:tcPr>
                  <w:tcW w:w="436" w:type="pct"/>
                  <w:shd w:val="clear" w:color="auto" w:fill="auto"/>
                  <w:vAlign w:val="center"/>
                </w:tcPr>
                <w:p w14:paraId="0A9C7496">
                  <w:pPr>
                    <w:jc w:val="center"/>
                    <w:rPr>
                      <w:color w:val="auto"/>
                      <w:sz w:val="21"/>
                      <w:szCs w:val="21"/>
                    </w:rPr>
                  </w:pPr>
                  <w:r>
                    <w:rPr>
                      <w:color w:val="auto"/>
                      <w:sz w:val="21"/>
                      <w:szCs w:val="21"/>
                    </w:rPr>
                    <w:t>0.1</w:t>
                  </w:r>
                </w:p>
              </w:tc>
              <w:tc>
                <w:tcPr>
                  <w:tcW w:w="350" w:type="pct"/>
                  <w:shd w:val="clear" w:color="auto" w:fill="auto"/>
                  <w:vAlign w:val="center"/>
                </w:tcPr>
                <w:p w14:paraId="397E7A0E">
                  <w:pPr>
                    <w:jc w:val="center"/>
                    <w:rPr>
                      <w:color w:val="auto"/>
                      <w:sz w:val="21"/>
                      <w:szCs w:val="21"/>
                    </w:rPr>
                  </w:pPr>
                  <w:r>
                    <w:rPr>
                      <w:color w:val="auto"/>
                      <w:sz w:val="21"/>
                      <w:szCs w:val="21"/>
                    </w:rPr>
                    <w:t>0.87</w:t>
                  </w:r>
                </w:p>
              </w:tc>
              <w:tc>
                <w:tcPr>
                  <w:tcW w:w="531" w:type="pct"/>
                  <w:vMerge w:val="continue"/>
                  <w:shd w:val="clear" w:color="auto" w:fill="auto"/>
                  <w:vAlign w:val="center"/>
                </w:tcPr>
                <w:p w14:paraId="1683B24A">
                  <w:pPr>
                    <w:jc w:val="center"/>
                    <w:rPr>
                      <w:color w:val="auto"/>
                      <w:sz w:val="21"/>
                      <w:szCs w:val="21"/>
                    </w:rPr>
                  </w:pPr>
                </w:p>
              </w:tc>
              <w:tc>
                <w:tcPr>
                  <w:tcW w:w="338" w:type="pct"/>
                  <w:shd w:val="clear" w:color="auto" w:fill="auto"/>
                  <w:vAlign w:val="center"/>
                </w:tcPr>
                <w:p w14:paraId="4A24454E">
                  <w:pPr>
                    <w:jc w:val="center"/>
                    <w:rPr>
                      <w:color w:val="auto"/>
                      <w:sz w:val="21"/>
                      <w:szCs w:val="21"/>
                    </w:rPr>
                  </w:pPr>
                  <w:r>
                    <w:rPr>
                      <w:color w:val="auto"/>
                      <w:sz w:val="21"/>
                      <w:szCs w:val="21"/>
                    </w:rPr>
                    <w:t>85.5</w:t>
                  </w:r>
                </w:p>
              </w:tc>
              <w:tc>
                <w:tcPr>
                  <w:tcW w:w="527" w:type="pct"/>
                  <w:vMerge w:val="continue"/>
                  <w:shd w:val="clear" w:color="auto" w:fill="auto"/>
                  <w:vAlign w:val="center"/>
                </w:tcPr>
                <w:p w14:paraId="060C8E86">
                  <w:pPr>
                    <w:jc w:val="center"/>
                    <w:rPr>
                      <w:color w:val="auto"/>
                      <w:sz w:val="21"/>
                      <w:szCs w:val="21"/>
                    </w:rPr>
                  </w:pPr>
                </w:p>
              </w:tc>
              <w:tc>
                <w:tcPr>
                  <w:tcW w:w="282" w:type="pct"/>
                  <w:vMerge w:val="continue"/>
                  <w:shd w:val="clear" w:color="auto" w:fill="auto"/>
                  <w:vAlign w:val="center"/>
                </w:tcPr>
                <w:p w14:paraId="3A898343">
                  <w:pPr>
                    <w:jc w:val="center"/>
                    <w:rPr>
                      <w:color w:val="auto"/>
                      <w:sz w:val="21"/>
                      <w:szCs w:val="21"/>
                    </w:rPr>
                  </w:pPr>
                </w:p>
              </w:tc>
              <w:tc>
                <w:tcPr>
                  <w:tcW w:w="301" w:type="pct"/>
                  <w:gridSpan w:val="2"/>
                  <w:vMerge w:val="continue"/>
                  <w:shd w:val="clear" w:color="auto" w:fill="auto"/>
                  <w:vAlign w:val="center"/>
                </w:tcPr>
                <w:p w14:paraId="6B4FD121">
                  <w:pPr>
                    <w:jc w:val="center"/>
                    <w:rPr>
                      <w:color w:val="auto"/>
                      <w:sz w:val="21"/>
                      <w:szCs w:val="21"/>
                    </w:rPr>
                  </w:pPr>
                </w:p>
              </w:tc>
              <w:tc>
                <w:tcPr>
                  <w:tcW w:w="436" w:type="pct"/>
                  <w:vMerge w:val="continue"/>
                  <w:shd w:val="clear" w:color="auto" w:fill="auto"/>
                  <w:vAlign w:val="center"/>
                </w:tcPr>
                <w:p w14:paraId="08EF5770">
                  <w:pPr>
                    <w:jc w:val="center"/>
                    <w:rPr>
                      <w:color w:val="auto"/>
                      <w:sz w:val="21"/>
                      <w:szCs w:val="21"/>
                    </w:rPr>
                  </w:pPr>
                </w:p>
              </w:tc>
              <w:tc>
                <w:tcPr>
                  <w:tcW w:w="350" w:type="pct"/>
                  <w:vMerge w:val="continue"/>
                  <w:shd w:val="clear" w:color="auto" w:fill="auto"/>
                  <w:vAlign w:val="center"/>
                </w:tcPr>
                <w:p w14:paraId="0297C5E9">
                  <w:pPr>
                    <w:jc w:val="center"/>
                    <w:rPr>
                      <w:color w:val="auto"/>
                      <w:sz w:val="21"/>
                      <w:szCs w:val="21"/>
                    </w:rPr>
                  </w:pPr>
                </w:p>
              </w:tc>
              <w:tc>
                <w:tcPr>
                  <w:tcW w:w="289" w:type="pct"/>
                  <w:vMerge w:val="continue"/>
                  <w:shd w:val="clear" w:color="auto" w:fill="auto"/>
                  <w:vAlign w:val="center"/>
                </w:tcPr>
                <w:p w14:paraId="45CEBC7F">
                  <w:pPr>
                    <w:jc w:val="center"/>
                    <w:rPr>
                      <w:color w:val="auto"/>
                      <w:sz w:val="21"/>
                      <w:szCs w:val="21"/>
                    </w:rPr>
                  </w:pPr>
                </w:p>
              </w:tc>
            </w:tr>
            <w:tr w14:paraId="5AC5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restart"/>
                  <w:shd w:val="clear" w:color="auto" w:fill="auto"/>
                  <w:vAlign w:val="center"/>
                </w:tcPr>
                <w:p w14:paraId="0093E848">
                  <w:pPr>
                    <w:jc w:val="center"/>
                    <w:rPr>
                      <w:color w:val="auto"/>
                      <w:sz w:val="21"/>
                      <w:szCs w:val="21"/>
                    </w:rPr>
                  </w:pPr>
                  <w:r>
                    <w:rPr>
                      <w:color w:val="auto"/>
                      <w:sz w:val="21"/>
                      <w:szCs w:val="21"/>
                    </w:rPr>
                    <w:t>模压粘结磁生产车间</w:t>
                  </w:r>
                </w:p>
              </w:tc>
              <w:tc>
                <w:tcPr>
                  <w:tcW w:w="337" w:type="pct"/>
                  <w:vMerge w:val="restart"/>
                  <w:shd w:val="clear" w:color="auto" w:fill="auto"/>
                  <w:vAlign w:val="center"/>
                </w:tcPr>
                <w:p w14:paraId="7269E244">
                  <w:pPr>
                    <w:jc w:val="center"/>
                    <w:rPr>
                      <w:color w:val="auto"/>
                      <w:sz w:val="21"/>
                      <w:szCs w:val="21"/>
                    </w:rPr>
                  </w:pPr>
                  <w:r>
                    <w:rPr>
                      <w:color w:val="auto"/>
                      <w:sz w:val="21"/>
                      <w:szCs w:val="21"/>
                    </w:rPr>
                    <w:t>溶解废气、混胶废气、固化废气</w:t>
                  </w:r>
                </w:p>
              </w:tc>
              <w:tc>
                <w:tcPr>
                  <w:tcW w:w="331" w:type="pct"/>
                  <w:vMerge w:val="continue"/>
                  <w:shd w:val="clear" w:color="auto" w:fill="auto"/>
                  <w:vAlign w:val="center"/>
                </w:tcPr>
                <w:p w14:paraId="7DDEB7E2">
                  <w:pPr>
                    <w:jc w:val="center"/>
                    <w:rPr>
                      <w:color w:val="auto"/>
                      <w:sz w:val="21"/>
                      <w:szCs w:val="21"/>
                    </w:rPr>
                  </w:pPr>
                </w:p>
              </w:tc>
              <w:tc>
                <w:tcPr>
                  <w:tcW w:w="371" w:type="pct"/>
                  <w:shd w:val="clear" w:color="auto" w:fill="auto"/>
                  <w:vAlign w:val="center"/>
                </w:tcPr>
                <w:p w14:paraId="2733BEE9">
                  <w:pPr>
                    <w:jc w:val="center"/>
                    <w:rPr>
                      <w:color w:val="auto"/>
                      <w:sz w:val="21"/>
                      <w:szCs w:val="21"/>
                    </w:rPr>
                  </w:pPr>
                  <w:r>
                    <w:rPr>
                      <w:color w:val="auto"/>
                      <w:sz w:val="21"/>
                      <w:szCs w:val="21"/>
                    </w:rPr>
                    <w:t>TVOC</w:t>
                  </w:r>
                </w:p>
              </w:tc>
              <w:tc>
                <w:tcPr>
                  <w:tcW w:w="436" w:type="pct"/>
                  <w:shd w:val="clear" w:color="auto" w:fill="auto"/>
                  <w:vAlign w:val="center"/>
                </w:tcPr>
                <w:p w14:paraId="4500E349">
                  <w:pPr>
                    <w:jc w:val="center"/>
                    <w:rPr>
                      <w:color w:val="auto"/>
                      <w:sz w:val="21"/>
                      <w:szCs w:val="21"/>
                    </w:rPr>
                  </w:pPr>
                  <w:r>
                    <w:rPr>
                      <w:color w:val="auto"/>
                      <w:sz w:val="21"/>
                      <w:szCs w:val="21"/>
                    </w:rPr>
                    <w:t>0.53</w:t>
                  </w:r>
                </w:p>
              </w:tc>
              <w:tc>
                <w:tcPr>
                  <w:tcW w:w="350" w:type="pct"/>
                  <w:shd w:val="clear" w:color="auto" w:fill="auto"/>
                  <w:vAlign w:val="center"/>
                </w:tcPr>
                <w:p w14:paraId="5B2851E2">
                  <w:pPr>
                    <w:jc w:val="center"/>
                    <w:rPr>
                      <w:color w:val="auto"/>
                      <w:sz w:val="21"/>
                      <w:szCs w:val="21"/>
                    </w:rPr>
                  </w:pPr>
                  <w:r>
                    <w:rPr>
                      <w:color w:val="auto"/>
                      <w:sz w:val="21"/>
                      <w:szCs w:val="21"/>
                    </w:rPr>
                    <w:t>4.49</w:t>
                  </w:r>
                </w:p>
              </w:tc>
              <w:tc>
                <w:tcPr>
                  <w:tcW w:w="531" w:type="pct"/>
                  <w:vMerge w:val="continue"/>
                  <w:shd w:val="clear" w:color="auto" w:fill="auto"/>
                  <w:vAlign w:val="center"/>
                </w:tcPr>
                <w:p w14:paraId="12D2BF74">
                  <w:pPr>
                    <w:jc w:val="center"/>
                    <w:rPr>
                      <w:color w:val="auto"/>
                      <w:sz w:val="21"/>
                      <w:szCs w:val="21"/>
                    </w:rPr>
                  </w:pPr>
                </w:p>
              </w:tc>
              <w:tc>
                <w:tcPr>
                  <w:tcW w:w="338" w:type="pct"/>
                  <w:shd w:val="clear" w:color="auto" w:fill="auto"/>
                  <w:vAlign w:val="center"/>
                </w:tcPr>
                <w:p w14:paraId="2051C191">
                  <w:pPr>
                    <w:jc w:val="center"/>
                    <w:rPr>
                      <w:color w:val="auto"/>
                      <w:sz w:val="21"/>
                      <w:szCs w:val="21"/>
                    </w:rPr>
                  </w:pPr>
                  <w:r>
                    <w:rPr>
                      <w:color w:val="auto"/>
                      <w:sz w:val="21"/>
                      <w:szCs w:val="21"/>
                    </w:rPr>
                    <w:t>85.5</w:t>
                  </w:r>
                </w:p>
              </w:tc>
              <w:tc>
                <w:tcPr>
                  <w:tcW w:w="527" w:type="pct"/>
                  <w:vMerge w:val="continue"/>
                  <w:shd w:val="clear" w:color="auto" w:fill="auto"/>
                  <w:vAlign w:val="center"/>
                </w:tcPr>
                <w:p w14:paraId="517952A2">
                  <w:pPr>
                    <w:jc w:val="center"/>
                    <w:rPr>
                      <w:color w:val="auto"/>
                      <w:sz w:val="21"/>
                      <w:szCs w:val="21"/>
                    </w:rPr>
                  </w:pPr>
                </w:p>
              </w:tc>
              <w:tc>
                <w:tcPr>
                  <w:tcW w:w="282" w:type="pct"/>
                  <w:vMerge w:val="continue"/>
                  <w:shd w:val="clear" w:color="auto" w:fill="auto"/>
                  <w:vAlign w:val="center"/>
                </w:tcPr>
                <w:p w14:paraId="5DEA7DF1">
                  <w:pPr>
                    <w:jc w:val="center"/>
                    <w:rPr>
                      <w:color w:val="auto"/>
                      <w:sz w:val="21"/>
                      <w:szCs w:val="21"/>
                    </w:rPr>
                  </w:pPr>
                </w:p>
              </w:tc>
              <w:tc>
                <w:tcPr>
                  <w:tcW w:w="301" w:type="pct"/>
                  <w:gridSpan w:val="2"/>
                  <w:vMerge w:val="continue"/>
                  <w:shd w:val="clear" w:color="auto" w:fill="auto"/>
                  <w:vAlign w:val="center"/>
                </w:tcPr>
                <w:p w14:paraId="3D080933">
                  <w:pPr>
                    <w:jc w:val="center"/>
                    <w:rPr>
                      <w:color w:val="auto"/>
                      <w:sz w:val="21"/>
                      <w:szCs w:val="21"/>
                    </w:rPr>
                  </w:pPr>
                </w:p>
              </w:tc>
              <w:tc>
                <w:tcPr>
                  <w:tcW w:w="436" w:type="pct"/>
                  <w:vMerge w:val="continue"/>
                  <w:shd w:val="clear" w:color="auto" w:fill="auto"/>
                  <w:vAlign w:val="center"/>
                </w:tcPr>
                <w:p w14:paraId="2F79AC1C">
                  <w:pPr>
                    <w:jc w:val="center"/>
                    <w:rPr>
                      <w:color w:val="auto"/>
                      <w:sz w:val="21"/>
                      <w:szCs w:val="21"/>
                    </w:rPr>
                  </w:pPr>
                </w:p>
              </w:tc>
              <w:tc>
                <w:tcPr>
                  <w:tcW w:w="350" w:type="pct"/>
                  <w:vMerge w:val="continue"/>
                  <w:shd w:val="clear" w:color="auto" w:fill="auto"/>
                  <w:vAlign w:val="center"/>
                </w:tcPr>
                <w:p w14:paraId="70ABEB7A">
                  <w:pPr>
                    <w:jc w:val="center"/>
                    <w:rPr>
                      <w:color w:val="auto"/>
                      <w:sz w:val="21"/>
                      <w:szCs w:val="21"/>
                    </w:rPr>
                  </w:pPr>
                </w:p>
              </w:tc>
              <w:tc>
                <w:tcPr>
                  <w:tcW w:w="289" w:type="pct"/>
                  <w:vMerge w:val="continue"/>
                  <w:shd w:val="clear" w:color="auto" w:fill="auto"/>
                  <w:vAlign w:val="center"/>
                </w:tcPr>
                <w:p w14:paraId="6010B451">
                  <w:pPr>
                    <w:jc w:val="center"/>
                    <w:rPr>
                      <w:color w:val="auto"/>
                      <w:sz w:val="21"/>
                      <w:szCs w:val="21"/>
                    </w:rPr>
                  </w:pPr>
                </w:p>
              </w:tc>
            </w:tr>
            <w:tr w14:paraId="0EEA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116" w:type="pct"/>
                  <w:vMerge w:val="continue"/>
                  <w:shd w:val="clear" w:color="auto" w:fill="auto"/>
                  <w:vAlign w:val="center"/>
                </w:tcPr>
                <w:p w14:paraId="64624C12">
                  <w:pPr>
                    <w:jc w:val="center"/>
                    <w:rPr>
                      <w:color w:val="auto"/>
                      <w:sz w:val="21"/>
                      <w:szCs w:val="21"/>
                    </w:rPr>
                  </w:pPr>
                </w:p>
              </w:tc>
              <w:tc>
                <w:tcPr>
                  <w:tcW w:w="337" w:type="pct"/>
                  <w:vMerge w:val="continue"/>
                  <w:shd w:val="clear" w:color="auto" w:fill="auto"/>
                  <w:vAlign w:val="center"/>
                </w:tcPr>
                <w:p w14:paraId="752A0537">
                  <w:pPr>
                    <w:jc w:val="center"/>
                    <w:rPr>
                      <w:color w:val="auto"/>
                      <w:sz w:val="21"/>
                      <w:szCs w:val="21"/>
                    </w:rPr>
                  </w:pPr>
                </w:p>
              </w:tc>
              <w:tc>
                <w:tcPr>
                  <w:tcW w:w="331" w:type="pct"/>
                  <w:vMerge w:val="continue"/>
                  <w:shd w:val="clear" w:color="auto" w:fill="auto"/>
                  <w:vAlign w:val="center"/>
                </w:tcPr>
                <w:p w14:paraId="25F6B39C">
                  <w:pPr>
                    <w:jc w:val="center"/>
                    <w:rPr>
                      <w:color w:val="auto"/>
                      <w:sz w:val="21"/>
                      <w:szCs w:val="21"/>
                    </w:rPr>
                  </w:pPr>
                </w:p>
              </w:tc>
              <w:tc>
                <w:tcPr>
                  <w:tcW w:w="371" w:type="pct"/>
                  <w:shd w:val="clear" w:color="auto" w:fill="auto"/>
                  <w:vAlign w:val="center"/>
                </w:tcPr>
                <w:p w14:paraId="0D52F2FE">
                  <w:pPr>
                    <w:jc w:val="center"/>
                    <w:rPr>
                      <w:color w:val="auto"/>
                      <w:sz w:val="21"/>
                      <w:szCs w:val="21"/>
                    </w:rPr>
                  </w:pPr>
                  <w:r>
                    <w:rPr>
                      <w:color w:val="auto"/>
                      <w:sz w:val="21"/>
                      <w:szCs w:val="21"/>
                    </w:rPr>
                    <w:t>非甲烷总烃</w:t>
                  </w:r>
                </w:p>
              </w:tc>
              <w:tc>
                <w:tcPr>
                  <w:tcW w:w="436" w:type="pct"/>
                  <w:shd w:val="clear" w:color="auto" w:fill="auto"/>
                  <w:vAlign w:val="center"/>
                </w:tcPr>
                <w:p w14:paraId="62376EF0">
                  <w:pPr>
                    <w:jc w:val="center"/>
                    <w:rPr>
                      <w:color w:val="auto"/>
                      <w:sz w:val="21"/>
                      <w:szCs w:val="21"/>
                    </w:rPr>
                  </w:pPr>
                  <w:r>
                    <w:rPr>
                      <w:color w:val="auto"/>
                      <w:sz w:val="21"/>
                      <w:szCs w:val="21"/>
                    </w:rPr>
                    <w:t>0.53</w:t>
                  </w:r>
                </w:p>
              </w:tc>
              <w:tc>
                <w:tcPr>
                  <w:tcW w:w="350" w:type="pct"/>
                  <w:shd w:val="clear" w:color="auto" w:fill="auto"/>
                  <w:vAlign w:val="center"/>
                </w:tcPr>
                <w:p w14:paraId="2E50C53E">
                  <w:pPr>
                    <w:jc w:val="center"/>
                    <w:rPr>
                      <w:color w:val="auto"/>
                      <w:sz w:val="21"/>
                      <w:szCs w:val="21"/>
                    </w:rPr>
                  </w:pPr>
                  <w:r>
                    <w:rPr>
                      <w:color w:val="auto"/>
                      <w:sz w:val="21"/>
                      <w:szCs w:val="21"/>
                    </w:rPr>
                    <w:t>4.49</w:t>
                  </w:r>
                </w:p>
              </w:tc>
              <w:tc>
                <w:tcPr>
                  <w:tcW w:w="531" w:type="pct"/>
                  <w:vMerge w:val="continue"/>
                  <w:shd w:val="clear" w:color="auto" w:fill="auto"/>
                  <w:vAlign w:val="center"/>
                </w:tcPr>
                <w:p w14:paraId="2E721002">
                  <w:pPr>
                    <w:jc w:val="center"/>
                    <w:rPr>
                      <w:color w:val="auto"/>
                      <w:sz w:val="21"/>
                      <w:szCs w:val="21"/>
                    </w:rPr>
                  </w:pPr>
                </w:p>
              </w:tc>
              <w:tc>
                <w:tcPr>
                  <w:tcW w:w="338" w:type="pct"/>
                  <w:shd w:val="clear" w:color="auto" w:fill="auto"/>
                  <w:vAlign w:val="center"/>
                </w:tcPr>
                <w:p w14:paraId="5D385EED">
                  <w:pPr>
                    <w:jc w:val="center"/>
                    <w:rPr>
                      <w:color w:val="auto"/>
                      <w:sz w:val="21"/>
                      <w:szCs w:val="21"/>
                    </w:rPr>
                  </w:pPr>
                  <w:r>
                    <w:rPr>
                      <w:color w:val="auto"/>
                      <w:sz w:val="21"/>
                      <w:szCs w:val="21"/>
                    </w:rPr>
                    <w:t>85.5</w:t>
                  </w:r>
                </w:p>
              </w:tc>
              <w:tc>
                <w:tcPr>
                  <w:tcW w:w="527" w:type="pct"/>
                  <w:vMerge w:val="continue"/>
                  <w:shd w:val="clear" w:color="auto" w:fill="auto"/>
                  <w:vAlign w:val="center"/>
                </w:tcPr>
                <w:p w14:paraId="01638021">
                  <w:pPr>
                    <w:jc w:val="center"/>
                    <w:rPr>
                      <w:color w:val="auto"/>
                      <w:sz w:val="21"/>
                      <w:szCs w:val="21"/>
                    </w:rPr>
                  </w:pPr>
                </w:p>
              </w:tc>
              <w:tc>
                <w:tcPr>
                  <w:tcW w:w="282" w:type="pct"/>
                  <w:shd w:val="clear" w:color="auto" w:fill="auto"/>
                  <w:vAlign w:val="center"/>
                </w:tcPr>
                <w:p w14:paraId="68FD8C0D">
                  <w:pPr>
                    <w:jc w:val="center"/>
                    <w:rPr>
                      <w:color w:val="auto"/>
                      <w:sz w:val="21"/>
                      <w:szCs w:val="21"/>
                    </w:rPr>
                  </w:pPr>
                  <w:r>
                    <w:rPr>
                      <w:color w:val="auto"/>
                      <w:sz w:val="21"/>
                      <w:szCs w:val="21"/>
                    </w:rPr>
                    <w:t>非甲</w:t>
                  </w:r>
                </w:p>
                <w:p w14:paraId="4588339E">
                  <w:pPr>
                    <w:jc w:val="center"/>
                    <w:rPr>
                      <w:color w:val="auto"/>
                      <w:sz w:val="21"/>
                      <w:szCs w:val="21"/>
                    </w:rPr>
                  </w:pPr>
                  <w:r>
                    <w:rPr>
                      <w:color w:val="auto"/>
                      <w:sz w:val="21"/>
                      <w:szCs w:val="21"/>
                    </w:rPr>
                    <w:t>烷总</w:t>
                  </w:r>
                </w:p>
                <w:p w14:paraId="1267D02D">
                  <w:pPr>
                    <w:jc w:val="center"/>
                    <w:rPr>
                      <w:color w:val="auto"/>
                      <w:sz w:val="21"/>
                      <w:szCs w:val="21"/>
                    </w:rPr>
                  </w:pPr>
                  <w:r>
                    <w:rPr>
                      <w:color w:val="auto"/>
                      <w:sz w:val="21"/>
                      <w:szCs w:val="21"/>
                    </w:rPr>
                    <w:t>烃</w:t>
                  </w:r>
                </w:p>
              </w:tc>
              <w:tc>
                <w:tcPr>
                  <w:tcW w:w="301" w:type="pct"/>
                  <w:gridSpan w:val="2"/>
                  <w:shd w:val="clear" w:color="auto" w:fill="auto"/>
                  <w:vAlign w:val="center"/>
                </w:tcPr>
                <w:p w14:paraId="2DD96495">
                  <w:pPr>
                    <w:jc w:val="center"/>
                    <w:rPr>
                      <w:color w:val="auto"/>
                      <w:sz w:val="21"/>
                      <w:szCs w:val="21"/>
                    </w:rPr>
                  </w:pPr>
                  <w:r>
                    <w:rPr>
                      <w:color w:val="auto"/>
                      <w:sz w:val="21"/>
                      <w:szCs w:val="21"/>
                    </w:rPr>
                    <w:t>4.6</w:t>
                  </w:r>
                </w:p>
              </w:tc>
              <w:tc>
                <w:tcPr>
                  <w:tcW w:w="436" w:type="pct"/>
                  <w:shd w:val="clear" w:color="auto" w:fill="auto"/>
                  <w:vAlign w:val="center"/>
                </w:tcPr>
                <w:p w14:paraId="57EEEFAB">
                  <w:pPr>
                    <w:jc w:val="center"/>
                    <w:rPr>
                      <w:color w:val="auto"/>
                      <w:sz w:val="21"/>
                      <w:szCs w:val="21"/>
                    </w:rPr>
                  </w:pPr>
                  <w:r>
                    <w:rPr>
                      <w:color w:val="auto"/>
                      <w:sz w:val="21"/>
                      <w:szCs w:val="21"/>
                    </w:rPr>
                    <w:t>0.09</w:t>
                  </w:r>
                </w:p>
              </w:tc>
              <w:tc>
                <w:tcPr>
                  <w:tcW w:w="350" w:type="pct"/>
                  <w:shd w:val="clear" w:color="auto" w:fill="auto"/>
                  <w:vAlign w:val="center"/>
                </w:tcPr>
                <w:p w14:paraId="25D8A4DD">
                  <w:pPr>
                    <w:jc w:val="center"/>
                    <w:rPr>
                      <w:color w:val="auto"/>
                      <w:sz w:val="21"/>
                      <w:szCs w:val="21"/>
                    </w:rPr>
                  </w:pPr>
                  <w:r>
                    <w:rPr>
                      <w:color w:val="auto"/>
                      <w:sz w:val="21"/>
                      <w:szCs w:val="21"/>
                    </w:rPr>
                    <w:t>0.77</w:t>
                  </w:r>
                </w:p>
              </w:tc>
              <w:tc>
                <w:tcPr>
                  <w:tcW w:w="289" w:type="pct"/>
                  <w:vMerge w:val="continue"/>
                  <w:shd w:val="clear" w:color="auto" w:fill="auto"/>
                  <w:vAlign w:val="center"/>
                </w:tcPr>
                <w:p w14:paraId="2E50EDFF">
                  <w:pPr>
                    <w:jc w:val="center"/>
                    <w:rPr>
                      <w:color w:val="auto"/>
                      <w:sz w:val="21"/>
                      <w:szCs w:val="21"/>
                    </w:rPr>
                  </w:pPr>
                </w:p>
              </w:tc>
            </w:tr>
            <w:tr w14:paraId="79E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continue"/>
                  <w:shd w:val="clear" w:color="auto" w:fill="auto"/>
                  <w:vAlign w:val="center"/>
                </w:tcPr>
                <w:p w14:paraId="2FE3003A">
                  <w:pPr>
                    <w:jc w:val="center"/>
                    <w:rPr>
                      <w:color w:val="auto"/>
                      <w:sz w:val="21"/>
                      <w:szCs w:val="21"/>
                    </w:rPr>
                  </w:pPr>
                </w:p>
              </w:tc>
              <w:tc>
                <w:tcPr>
                  <w:tcW w:w="337" w:type="pct"/>
                  <w:vMerge w:val="continue"/>
                  <w:shd w:val="clear" w:color="auto" w:fill="auto"/>
                  <w:vAlign w:val="center"/>
                </w:tcPr>
                <w:p w14:paraId="07DDADCC">
                  <w:pPr>
                    <w:jc w:val="center"/>
                    <w:rPr>
                      <w:color w:val="auto"/>
                      <w:sz w:val="21"/>
                      <w:szCs w:val="21"/>
                    </w:rPr>
                  </w:pPr>
                </w:p>
              </w:tc>
              <w:tc>
                <w:tcPr>
                  <w:tcW w:w="331" w:type="pct"/>
                  <w:vMerge w:val="continue"/>
                  <w:shd w:val="clear" w:color="auto" w:fill="auto"/>
                  <w:vAlign w:val="center"/>
                </w:tcPr>
                <w:p w14:paraId="2F416B01">
                  <w:pPr>
                    <w:jc w:val="center"/>
                    <w:rPr>
                      <w:color w:val="auto"/>
                      <w:sz w:val="21"/>
                      <w:szCs w:val="21"/>
                    </w:rPr>
                  </w:pPr>
                </w:p>
              </w:tc>
              <w:tc>
                <w:tcPr>
                  <w:tcW w:w="371" w:type="pct"/>
                  <w:shd w:val="clear" w:color="auto" w:fill="auto"/>
                  <w:vAlign w:val="center"/>
                </w:tcPr>
                <w:p w14:paraId="43101436">
                  <w:pPr>
                    <w:jc w:val="center"/>
                    <w:rPr>
                      <w:color w:val="auto"/>
                      <w:sz w:val="21"/>
                      <w:szCs w:val="21"/>
                    </w:rPr>
                  </w:pPr>
                  <w:r>
                    <w:rPr>
                      <w:color w:val="auto"/>
                      <w:sz w:val="21"/>
                      <w:szCs w:val="21"/>
                    </w:rPr>
                    <w:t>丙酮</w:t>
                  </w:r>
                </w:p>
              </w:tc>
              <w:tc>
                <w:tcPr>
                  <w:tcW w:w="436" w:type="pct"/>
                  <w:shd w:val="clear" w:color="auto" w:fill="auto"/>
                  <w:vAlign w:val="center"/>
                </w:tcPr>
                <w:p w14:paraId="7899BAD9">
                  <w:pPr>
                    <w:jc w:val="center"/>
                    <w:rPr>
                      <w:color w:val="auto"/>
                      <w:sz w:val="21"/>
                      <w:szCs w:val="21"/>
                    </w:rPr>
                  </w:pPr>
                  <w:r>
                    <w:rPr>
                      <w:color w:val="auto"/>
                      <w:sz w:val="21"/>
                      <w:szCs w:val="21"/>
                    </w:rPr>
                    <w:t>0.52</w:t>
                  </w:r>
                </w:p>
              </w:tc>
              <w:tc>
                <w:tcPr>
                  <w:tcW w:w="350" w:type="pct"/>
                  <w:shd w:val="clear" w:color="auto" w:fill="auto"/>
                  <w:vAlign w:val="center"/>
                </w:tcPr>
                <w:p w14:paraId="44A5C858">
                  <w:pPr>
                    <w:jc w:val="center"/>
                    <w:rPr>
                      <w:color w:val="auto"/>
                      <w:sz w:val="21"/>
                      <w:szCs w:val="21"/>
                    </w:rPr>
                  </w:pPr>
                  <w:r>
                    <w:rPr>
                      <w:color w:val="auto"/>
                      <w:sz w:val="21"/>
                      <w:szCs w:val="21"/>
                    </w:rPr>
                    <w:t>4.37</w:t>
                  </w:r>
                </w:p>
              </w:tc>
              <w:tc>
                <w:tcPr>
                  <w:tcW w:w="531" w:type="pct"/>
                  <w:vMerge w:val="continue"/>
                  <w:shd w:val="clear" w:color="auto" w:fill="auto"/>
                  <w:vAlign w:val="center"/>
                </w:tcPr>
                <w:p w14:paraId="1AD7870E">
                  <w:pPr>
                    <w:jc w:val="center"/>
                    <w:rPr>
                      <w:color w:val="auto"/>
                      <w:sz w:val="21"/>
                      <w:szCs w:val="21"/>
                    </w:rPr>
                  </w:pPr>
                </w:p>
              </w:tc>
              <w:tc>
                <w:tcPr>
                  <w:tcW w:w="338" w:type="pct"/>
                  <w:shd w:val="clear" w:color="auto" w:fill="auto"/>
                  <w:vAlign w:val="center"/>
                </w:tcPr>
                <w:p w14:paraId="333D09C2">
                  <w:pPr>
                    <w:jc w:val="center"/>
                    <w:rPr>
                      <w:color w:val="auto"/>
                      <w:sz w:val="21"/>
                      <w:szCs w:val="21"/>
                    </w:rPr>
                  </w:pPr>
                  <w:r>
                    <w:rPr>
                      <w:color w:val="auto"/>
                      <w:sz w:val="21"/>
                      <w:szCs w:val="21"/>
                    </w:rPr>
                    <w:t>85.5</w:t>
                  </w:r>
                </w:p>
              </w:tc>
              <w:tc>
                <w:tcPr>
                  <w:tcW w:w="527" w:type="pct"/>
                  <w:vMerge w:val="continue"/>
                  <w:shd w:val="clear" w:color="auto" w:fill="auto"/>
                  <w:vAlign w:val="center"/>
                </w:tcPr>
                <w:p w14:paraId="15334531">
                  <w:pPr>
                    <w:jc w:val="center"/>
                    <w:rPr>
                      <w:color w:val="auto"/>
                      <w:sz w:val="21"/>
                      <w:szCs w:val="21"/>
                    </w:rPr>
                  </w:pPr>
                </w:p>
              </w:tc>
              <w:tc>
                <w:tcPr>
                  <w:tcW w:w="282" w:type="pct"/>
                  <w:shd w:val="clear" w:color="auto" w:fill="auto"/>
                  <w:vAlign w:val="center"/>
                </w:tcPr>
                <w:p w14:paraId="28BFFDA2">
                  <w:pPr>
                    <w:jc w:val="center"/>
                    <w:rPr>
                      <w:color w:val="auto"/>
                      <w:sz w:val="21"/>
                      <w:szCs w:val="21"/>
                    </w:rPr>
                  </w:pPr>
                  <w:r>
                    <w:rPr>
                      <w:color w:val="auto"/>
                      <w:sz w:val="21"/>
                      <w:szCs w:val="21"/>
                    </w:rPr>
                    <w:t>丙酮</w:t>
                  </w:r>
                </w:p>
              </w:tc>
              <w:tc>
                <w:tcPr>
                  <w:tcW w:w="301" w:type="pct"/>
                  <w:gridSpan w:val="2"/>
                  <w:shd w:val="clear" w:color="auto" w:fill="auto"/>
                  <w:vAlign w:val="center"/>
                </w:tcPr>
                <w:p w14:paraId="2D9ACD83">
                  <w:pPr>
                    <w:jc w:val="center"/>
                    <w:rPr>
                      <w:color w:val="auto"/>
                      <w:sz w:val="21"/>
                      <w:szCs w:val="21"/>
                    </w:rPr>
                  </w:pPr>
                  <w:r>
                    <w:rPr>
                      <w:color w:val="auto"/>
                      <w:sz w:val="21"/>
                      <w:szCs w:val="21"/>
                    </w:rPr>
                    <w:t>3.8</w:t>
                  </w:r>
                </w:p>
              </w:tc>
              <w:tc>
                <w:tcPr>
                  <w:tcW w:w="436" w:type="pct"/>
                  <w:shd w:val="clear" w:color="auto" w:fill="auto"/>
                  <w:vAlign w:val="center"/>
                </w:tcPr>
                <w:p w14:paraId="1BF5EDEB">
                  <w:pPr>
                    <w:jc w:val="center"/>
                    <w:rPr>
                      <w:color w:val="auto"/>
                      <w:sz w:val="21"/>
                      <w:szCs w:val="21"/>
                    </w:rPr>
                  </w:pPr>
                  <w:r>
                    <w:rPr>
                      <w:color w:val="auto"/>
                      <w:sz w:val="21"/>
                      <w:szCs w:val="21"/>
                    </w:rPr>
                    <w:t>0.08</w:t>
                  </w:r>
                </w:p>
              </w:tc>
              <w:tc>
                <w:tcPr>
                  <w:tcW w:w="350" w:type="pct"/>
                  <w:shd w:val="clear" w:color="auto" w:fill="auto"/>
                  <w:vAlign w:val="center"/>
                </w:tcPr>
                <w:p w14:paraId="72E7F12D">
                  <w:pPr>
                    <w:jc w:val="center"/>
                    <w:rPr>
                      <w:color w:val="auto"/>
                      <w:sz w:val="21"/>
                      <w:szCs w:val="21"/>
                    </w:rPr>
                  </w:pPr>
                  <w:r>
                    <w:rPr>
                      <w:color w:val="auto"/>
                      <w:sz w:val="21"/>
                      <w:szCs w:val="21"/>
                    </w:rPr>
                    <w:t>0.63</w:t>
                  </w:r>
                </w:p>
              </w:tc>
              <w:tc>
                <w:tcPr>
                  <w:tcW w:w="289" w:type="pct"/>
                  <w:vMerge w:val="continue"/>
                  <w:shd w:val="clear" w:color="auto" w:fill="auto"/>
                  <w:vAlign w:val="center"/>
                </w:tcPr>
                <w:p w14:paraId="1AF723D4">
                  <w:pPr>
                    <w:jc w:val="center"/>
                    <w:rPr>
                      <w:color w:val="auto"/>
                      <w:sz w:val="21"/>
                      <w:szCs w:val="21"/>
                    </w:rPr>
                  </w:pPr>
                </w:p>
              </w:tc>
            </w:tr>
            <w:tr w14:paraId="796D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restart"/>
                  <w:shd w:val="clear" w:color="auto" w:fill="auto"/>
                  <w:vAlign w:val="center"/>
                </w:tcPr>
                <w:p w14:paraId="66DC65C8">
                  <w:pPr>
                    <w:jc w:val="center"/>
                    <w:rPr>
                      <w:color w:val="auto"/>
                      <w:sz w:val="21"/>
                      <w:szCs w:val="21"/>
                    </w:rPr>
                  </w:pPr>
                  <w:r>
                    <w:rPr>
                      <w:color w:val="auto"/>
                      <w:sz w:val="21"/>
                      <w:szCs w:val="21"/>
                    </w:rPr>
                    <w:t>1#电镀车间</w:t>
                  </w:r>
                </w:p>
              </w:tc>
              <w:tc>
                <w:tcPr>
                  <w:tcW w:w="337" w:type="pct"/>
                  <w:shd w:val="clear" w:color="auto" w:fill="auto"/>
                  <w:vAlign w:val="center"/>
                </w:tcPr>
                <w:p w14:paraId="065F5D51">
                  <w:pPr>
                    <w:jc w:val="center"/>
                    <w:rPr>
                      <w:color w:val="auto"/>
                      <w:sz w:val="21"/>
                      <w:szCs w:val="21"/>
                    </w:rPr>
                  </w:pPr>
                  <w:r>
                    <w:rPr>
                      <w:color w:val="auto"/>
                      <w:sz w:val="21"/>
                      <w:szCs w:val="21"/>
                    </w:rPr>
                    <w:t>挂镀电泳线（6条）</w:t>
                  </w:r>
                </w:p>
              </w:tc>
              <w:tc>
                <w:tcPr>
                  <w:tcW w:w="331" w:type="pct"/>
                  <w:vMerge w:val="continue"/>
                  <w:shd w:val="clear" w:color="auto" w:fill="auto"/>
                  <w:vAlign w:val="center"/>
                </w:tcPr>
                <w:p w14:paraId="4AE5BC90">
                  <w:pPr>
                    <w:jc w:val="center"/>
                    <w:rPr>
                      <w:color w:val="auto"/>
                      <w:sz w:val="21"/>
                      <w:szCs w:val="21"/>
                    </w:rPr>
                  </w:pPr>
                </w:p>
              </w:tc>
              <w:tc>
                <w:tcPr>
                  <w:tcW w:w="371" w:type="pct"/>
                  <w:shd w:val="clear" w:color="auto" w:fill="auto"/>
                  <w:vAlign w:val="center"/>
                </w:tcPr>
                <w:p w14:paraId="0D0334D9">
                  <w:pPr>
                    <w:jc w:val="center"/>
                    <w:rPr>
                      <w:color w:val="auto"/>
                      <w:sz w:val="21"/>
                      <w:szCs w:val="21"/>
                    </w:rPr>
                  </w:pPr>
                  <w:r>
                    <w:rPr>
                      <w:color w:val="auto"/>
                      <w:sz w:val="21"/>
                      <w:szCs w:val="21"/>
                    </w:rPr>
                    <w:t>TRVOC</w:t>
                  </w:r>
                </w:p>
              </w:tc>
              <w:tc>
                <w:tcPr>
                  <w:tcW w:w="436" w:type="pct"/>
                  <w:shd w:val="clear" w:color="auto" w:fill="auto"/>
                  <w:vAlign w:val="center"/>
                </w:tcPr>
                <w:p w14:paraId="74EEB7FE">
                  <w:pPr>
                    <w:jc w:val="center"/>
                    <w:rPr>
                      <w:color w:val="auto"/>
                      <w:sz w:val="21"/>
                      <w:szCs w:val="21"/>
                    </w:rPr>
                  </w:pPr>
                  <w:r>
                    <w:rPr>
                      <w:color w:val="auto"/>
                      <w:sz w:val="21"/>
                      <w:szCs w:val="21"/>
                    </w:rPr>
                    <w:t>0.41</w:t>
                  </w:r>
                </w:p>
              </w:tc>
              <w:tc>
                <w:tcPr>
                  <w:tcW w:w="350" w:type="pct"/>
                  <w:shd w:val="clear" w:color="auto" w:fill="auto"/>
                  <w:vAlign w:val="center"/>
                </w:tcPr>
                <w:p w14:paraId="36BA53F1">
                  <w:pPr>
                    <w:jc w:val="center"/>
                    <w:rPr>
                      <w:color w:val="auto"/>
                      <w:sz w:val="21"/>
                      <w:szCs w:val="21"/>
                    </w:rPr>
                  </w:pPr>
                  <w:r>
                    <w:rPr>
                      <w:color w:val="auto"/>
                      <w:sz w:val="21"/>
                      <w:szCs w:val="21"/>
                    </w:rPr>
                    <w:t>3.47</w:t>
                  </w:r>
                </w:p>
              </w:tc>
              <w:tc>
                <w:tcPr>
                  <w:tcW w:w="531" w:type="pct"/>
                  <w:vMerge w:val="continue"/>
                  <w:shd w:val="clear" w:color="auto" w:fill="auto"/>
                  <w:vAlign w:val="center"/>
                </w:tcPr>
                <w:p w14:paraId="6162E563">
                  <w:pPr>
                    <w:jc w:val="center"/>
                    <w:rPr>
                      <w:color w:val="auto"/>
                      <w:sz w:val="21"/>
                      <w:szCs w:val="21"/>
                    </w:rPr>
                  </w:pPr>
                </w:p>
              </w:tc>
              <w:tc>
                <w:tcPr>
                  <w:tcW w:w="338" w:type="pct"/>
                  <w:shd w:val="clear" w:color="auto" w:fill="auto"/>
                  <w:vAlign w:val="center"/>
                </w:tcPr>
                <w:p w14:paraId="27EB4BEB">
                  <w:pPr>
                    <w:jc w:val="center"/>
                    <w:rPr>
                      <w:color w:val="auto"/>
                      <w:sz w:val="21"/>
                      <w:szCs w:val="21"/>
                    </w:rPr>
                  </w:pPr>
                  <w:r>
                    <w:rPr>
                      <w:color w:val="auto"/>
                      <w:sz w:val="21"/>
                      <w:szCs w:val="21"/>
                    </w:rPr>
                    <w:t>85.5</w:t>
                  </w:r>
                </w:p>
              </w:tc>
              <w:tc>
                <w:tcPr>
                  <w:tcW w:w="527" w:type="pct"/>
                  <w:vMerge w:val="continue"/>
                  <w:shd w:val="clear" w:color="auto" w:fill="auto"/>
                  <w:vAlign w:val="center"/>
                </w:tcPr>
                <w:p w14:paraId="13419A8F">
                  <w:pPr>
                    <w:jc w:val="center"/>
                    <w:rPr>
                      <w:color w:val="auto"/>
                      <w:sz w:val="21"/>
                      <w:szCs w:val="21"/>
                    </w:rPr>
                  </w:pPr>
                </w:p>
              </w:tc>
              <w:tc>
                <w:tcPr>
                  <w:tcW w:w="282" w:type="pct"/>
                  <w:vMerge w:val="restart"/>
                  <w:shd w:val="clear" w:color="auto" w:fill="auto"/>
                  <w:vAlign w:val="center"/>
                </w:tcPr>
                <w:p w14:paraId="6A2D701C">
                  <w:pPr>
                    <w:jc w:val="center"/>
                    <w:rPr>
                      <w:color w:val="auto"/>
                      <w:sz w:val="21"/>
                      <w:szCs w:val="21"/>
                    </w:rPr>
                  </w:pPr>
                  <w:r>
                    <w:rPr>
                      <w:color w:val="auto"/>
                      <w:sz w:val="21"/>
                      <w:szCs w:val="21"/>
                    </w:rPr>
                    <w:t>颗粒物</w:t>
                  </w:r>
                </w:p>
              </w:tc>
              <w:tc>
                <w:tcPr>
                  <w:tcW w:w="301" w:type="pct"/>
                  <w:gridSpan w:val="2"/>
                  <w:vMerge w:val="restart"/>
                  <w:shd w:val="clear" w:color="auto" w:fill="auto"/>
                  <w:vAlign w:val="center"/>
                </w:tcPr>
                <w:p w14:paraId="75DAD2F5">
                  <w:pPr>
                    <w:jc w:val="center"/>
                    <w:rPr>
                      <w:color w:val="auto"/>
                      <w:sz w:val="21"/>
                      <w:szCs w:val="21"/>
                    </w:rPr>
                  </w:pPr>
                  <w:r>
                    <w:rPr>
                      <w:color w:val="auto"/>
                      <w:sz w:val="21"/>
                      <w:szCs w:val="21"/>
                    </w:rPr>
                    <w:t>0.9</w:t>
                  </w:r>
                </w:p>
              </w:tc>
              <w:tc>
                <w:tcPr>
                  <w:tcW w:w="436" w:type="pct"/>
                  <w:vMerge w:val="restart"/>
                  <w:shd w:val="clear" w:color="auto" w:fill="auto"/>
                  <w:vAlign w:val="center"/>
                </w:tcPr>
                <w:p w14:paraId="6C0B19E1">
                  <w:pPr>
                    <w:jc w:val="center"/>
                    <w:rPr>
                      <w:color w:val="auto"/>
                      <w:sz w:val="21"/>
                      <w:szCs w:val="21"/>
                    </w:rPr>
                  </w:pPr>
                  <w:r>
                    <w:rPr>
                      <w:color w:val="auto"/>
                      <w:sz w:val="21"/>
                      <w:szCs w:val="21"/>
                    </w:rPr>
                    <w:t>0.022</w:t>
                  </w:r>
                </w:p>
              </w:tc>
              <w:tc>
                <w:tcPr>
                  <w:tcW w:w="350" w:type="pct"/>
                  <w:vMerge w:val="restart"/>
                  <w:shd w:val="clear" w:color="auto" w:fill="auto"/>
                  <w:vAlign w:val="center"/>
                </w:tcPr>
                <w:p w14:paraId="7508C764">
                  <w:pPr>
                    <w:jc w:val="center"/>
                    <w:rPr>
                      <w:color w:val="auto"/>
                      <w:sz w:val="21"/>
                      <w:szCs w:val="21"/>
                    </w:rPr>
                  </w:pPr>
                  <w:r>
                    <w:rPr>
                      <w:color w:val="auto"/>
                      <w:sz w:val="21"/>
                      <w:szCs w:val="21"/>
                    </w:rPr>
                    <w:t>0.15</w:t>
                  </w:r>
                </w:p>
              </w:tc>
              <w:tc>
                <w:tcPr>
                  <w:tcW w:w="289" w:type="pct"/>
                  <w:vMerge w:val="continue"/>
                  <w:shd w:val="clear" w:color="auto" w:fill="auto"/>
                  <w:vAlign w:val="center"/>
                </w:tcPr>
                <w:p w14:paraId="4E5054A6">
                  <w:pPr>
                    <w:jc w:val="center"/>
                    <w:rPr>
                      <w:color w:val="auto"/>
                      <w:sz w:val="21"/>
                      <w:szCs w:val="21"/>
                    </w:rPr>
                  </w:pPr>
                </w:p>
              </w:tc>
            </w:tr>
            <w:tr w14:paraId="097A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16" w:type="pct"/>
                  <w:vMerge w:val="continue"/>
                  <w:shd w:val="clear" w:color="auto" w:fill="auto"/>
                  <w:vAlign w:val="center"/>
                </w:tcPr>
                <w:p w14:paraId="7616BE89">
                  <w:pPr>
                    <w:jc w:val="center"/>
                    <w:rPr>
                      <w:color w:val="auto"/>
                      <w:sz w:val="21"/>
                      <w:szCs w:val="21"/>
                    </w:rPr>
                  </w:pPr>
                </w:p>
              </w:tc>
              <w:tc>
                <w:tcPr>
                  <w:tcW w:w="337" w:type="pct"/>
                  <w:vMerge w:val="restart"/>
                  <w:shd w:val="clear" w:color="auto" w:fill="auto"/>
                  <w:vAlign w:val="center"/>
                </w:tcPr>
                <w:p w14:paraId="69CEBF03">
                  <w:pPr>
                    <w:jc w:val="center"/>
                    <w:rPr>
                      <w:color w:val="auto"/>
                      <w:sz w:val="21"/>
                      <w:szCs w:val="21"/>
                    </w:rPr>
                  </w:pPr>
                  <w:r>
                    <w:rPr>
                      <w:color w:val="auto"/>
                      <w:sz w:val="21"/>
                      <w:szCs w:val="21"/>
                    </w:rPr>
                    <w:t>热风炉燃气废气（6台）</w:t>
                  </w:r>
                </w:p>
              </w:tc>
              <w:tc>
                <w:tcPr>
                  <w:tcW w:w="331" w:type="pct"/>
                  <w:vMerge w:val="continue"/>
                  <w:shd w:val="clear" w:color="auto" w:fill="auto"/>
                  <w:vAlign w:val="center"/>
                </w:tcPr>
                <w:p w14:paraId="208D8B72">
                  <w:pPr>
                    <w:jc w:val="center"/>
                    <w:rPr>
                      <w:color w:val="auto"/>
                      <w:sz w:val="21"/>
                      <w:szCs w:val="21"/>
                    </w:rPr>
                  </w:pPr>
                </w:p>
              </w:tc>
              <w:tc>
                <w:tcPr>
                  <w:tcW w:w="371" w:type="pct"/>
                  <w:shd w:val="clear" w:color="auto" w:fill="auto"/>
                  <w:vAlign w:val="center"/>
                </w:tcPr>
                <w:p w14:paraId="35240F2F">
                  <w:pPr>
                    <w:jc w:val="center"/>
                    <w:rPr>
                      <w:color w:val="auto"/>
                      <w:sz w:val="21"/>
                      <w:szCs w:val="21"/>
                    </w:rPr>
                  </w:pPr>
                  <w:r>
                    <w:rPr>
                      <w:color w:val="auto"/>
                      <w:sz w:val="21"/>
                      <w:szCs w:val="21"/>
                    </w:rPr>
                    <w:t>颗粒物</w:t>
                  </w:r>
                </w:p>
              </w:tc>
              <w:tc>
                <w:tcPr>
                  <w:tcW w:w="436" w:type="pct"/>
                  <w:shd w:val="clear" w:color="auto" w:fill="auto"/>
                  <w:vAlign w:val="center"/>
                </w:tcPr>
                <w:p w14:paraId="1DACC01D">
                  <w:pPr>
                    <w:jc w:val="center"/>
                    <w:rPr>
                      <w:color w:val="auto"/>
                      <w:sz w:val="21"/>
                      <w:szCs w:val="21"/>
                    </w:rPr>
                  </w:pPr>
                  <w:r>
                    <w:rPr>
                      <w:color w:val="auto"/>
                      <w:sz w:val="21"/>
                      <w:szCs w:val="21"/>
                    </w:rPr>
                    <w:t>0.02</w:t>
                  </w:r>
                </w:p>
              </w:tc>
              <w:tc>
                <w:tcPr>
                  <w:tcW w:w="350" w:type="pct"/>
                  <w:shd w:val="clear" w:color="auto" w:fill="auto"/>
                  <w:vAlign w:val="center"/>
                </w:tcPr>
                <w:p w14:paraId="2F6744B0">
                  <w:pPr>
                    <w:jc w:val="center"/>
                    <w:rPr>
                      <w:color w:val="auto"/>
                      <w:sz w:val="21"/>
                      <w:szCs w:val="21"/>
                    </w:rPr>
                  </w:pPr>
                  <w:r>
                    <w:rPr>
                      <w:color w:val="auto"/>
                      <w:sz w:val="21"/>
                      <w:szCs w:val="21"/>
                    </w:rPr>
                    <w:t>0.13</w:t>
                  </w:r>
                </w:p>
              </w:tc>
              <w:tc>
                <w:tcPr>
                  <w:tcW w:w="531" w:type="pct"/>
                  <w:vMerge w:val="continue"/>
                  <w:shd w:val="clear" w:color="auto" w:fill="auto"/>
                  <w:vAlign w:val="center"/>
                </w:tcPr>
                <w:p w14:paraId="7D7EC6A0">
                  <w:pPr>
                    <w:jc w:val="center"/>
                    <w:rPr>
                      <w:color w:val="auto"/>
                      <w:sz w:val="21"/>
                      <w:szCs w:val="21"/>
                    </w:rPr>
                  </w:pPr>
                </w:p>
              </w:tc>
              <w:tc>
                <w:tcPr>
                  <w:tcW w:w="338" w:type="pct"/>
                  <w:shd w:val="clear" w:color="auto" w:fill="auto"/>
                  <w:vAlign w:val="center"/>
                </w:tcPr>
                <w:p w14:paraId="1D6D8473">
                  <w:pPr>
                    <w:jc w:val="center"/>
                    <w:rPr>
                      <w:color w:val="auto"/>
                      <w:sz w:val="21"/>
                      <w:szCs w:val="21"/>
                    </w:rPr>
                  </w:pPr>
                  <w:r>
                    <w:rPr>
                      <w:color w:val="auto"/>
                      <w:sz w:val="21"/>
                      <w:szCs w:val="21"/>
                    </w:rPr>
                    <w:t>/</w:t>
                  </w:r>
                </w:p>
              </w:tc>
              <w:tc>
                <w:tcPr>
                  <w:tcW w:w="527" w:type="pct"/>
                  <w:vMerge w:val="continue"/>
                  <w:shd w:val="clear" w:color="auto" w:fill="auto"/>
                  <w:vAlign w:val="center"/>
                </w:tcPr>
                <w:p w14:paraId="48061592">
                  <w:pPr>
                    <w:jc w:val="center"/>
                    <w:rPr>
                      <w:color w:val="auto"/>
                      <w:sz w:val="21"/>
                      <w:szCs w:val="21"/>
                    </w:rPr>
                  </w:pPr>
                </w:p>
              </w:tc>
              <w:tc>
                <w:tcPr>
                  <w:tcW w:w="282" w:type="pct"/>
                  <w:vMerge w:val="continue"/>
                  <w:shd w:val="clear" w:color="auto" w:fill="auto"/>
                  <w:vAlign w:val="center"/>
                </w:tcPr>
                <w:p w14:paraId="3ACBB27D">
                  <w:pPr>
                    <w:jc w:val="center"/>
                    <w:rPr>
                      <w:color w:val="auto"/>
                      <w:sz w:val="21"/>
                      <w:szCs w:val="21"/>
                    </w:rPr>
                  </w:pPr>
                </w:p>
              </w:tc>
              <w:tc>
                <w:tcPr>
                  <w:tcW w:w="301" w:type="pct"/>
                  <w:gridSpan w:val="2"/>
                  <w:vMerge w:val="continue"/>
                  <w:shd w:val="clear" w:color="auto" w:fill="auto"/>
                  <w:vAlign w:val="center"/>
                </w:tcPr>
                <w:p w14:paraId="5BAB8E29">
                  <w:pPr>
                    <w:jc w:val="center"/>
                    <w:rPr>
                      <w:color w:val="auto"/>
                      <w:sz w:val="21"/>
                      <w:szCs w:val="21"/>
                    </w:rPr>
                  </w:pPr>
                </w:p>
              </w:tc>
              <w:tc>
                <w:tcPr>
                  <w:tcW w:w="436" w:type="pct"/>
                  <w:vMerge w:val="continue"/>
                  <w:shd w:val="clear" w:color="auto" w:fill="auto"/>
                  <w:vAlign w:val="center"/>
                </w:tcPr>
                <w:p w14:paraId="22953C67">
                  <w:pPr>
                    <w:jc w:val="center"/>
                    <w:rPr>
                      <w:color w:val="auto"/>
                      <w:sz w:val="21"/>
                      <w:szCs w:val="21"/>
                    </w:rPr>
                  </w:pPr>
                </w:p>
              </w:tc>
              <w:tc>
                <w:tcPr>
                  <w:tcW w:w="350" w:type="pct"/>
                  <w:vMerge w:val="continue"/>
                  <w:shd w:val="clear" w:color="auto" w:fill="auto"/>
                  <w:vAlign w:val="center"/>
                </w:tcPr>
                <w:p w14:paraId="53C9863C">
                  <w:pPr>
                    <w:jc w:val="center"/>
                    <w:rPr>
                      <w:color w:val="auto"/>
                      <w:sz w:val="21"/>
                      <w:szCs w:val="21"/>
                    </w:rPr>
                  </w:pPr>
                </w:p>
              </w:tc>
              <w:tc>
                <w:tcPr>
                  <w:tcW w:w="289" w:type="pct"/>
                  <w:vMerge w:val="continue"/>
                  <w:shd w:val="clear" w:color="auto" w:fill="auto"/>
                  <w:vAlign w:val="center"/>
                </w:tcPr>
                <w:p w14:paraId="7BE4B44F">
                  <w:pPr>
                    <w:jc w:val="center"/>
                    <w:rPr>
                      <w:color w:val="auto"/>
                      <w:sz w:val="21"/>
                      <w:szCs w:val="21"/>
                    </w:rPr>
                  </w:pPr>
                </w:p>
              </w:tc>
            </w:tr>
            <w:tr w14:paraId="50EF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continue"/>
                  <w:shd w:val="clear" w:color="auto" w:fill="auto"/>
                  <w:vAlign w:val="center"/>
                </w:tcPr>
                <w:p w14:paraId="770F63F7">
                  <w:pPr>
                    <w:jc w:val="center"/>
                    <w:rPr>
                      <w:color w:val="auto"/>
                      <w:sz w:val="21"/>
                      <w:szCs w:val="21"/>
                    </w:rPr>
                  </w:pPr>
                </w:p>
              </w:tc>
              <w:tc>
                <w:tcPr>
                  <w:tcW w:w="337" w:type="pct"/>
                  <w:vMerge w:val="continue"/>
                  <w:shd w:val="clear" w:color="auto" w:fill="auto"/>
                  <w:vAlign w:val="center"/>
                </w:tcPr>
                <w:p w14:paraId="0BB625E2">
                  <w:pPr>
                    <w:jc w:val="center"/>
                    <w:rPr>
                      <w:color w:val="auto"/>
                      <w:sz w:val="21"/>
                      <w:szCs w:val="21"/>
                    </w:rPr>
                  </w:pPr>
                </w:p>
              </w:tc>
              <w:tc>
                <w:tcPr>
                  <w:tcW w:w="331" w:type="pct"/>
                  <w:vMerge w:val="continue"/>
                  <w:shd w:val="clear" w:color="auto" w:fill="auto"/>
                  <w:vAlign w:val="center"/>
                </w:tcPr>
                <w:p w14:paraId="5F8C1DAC">
                  <w:pPr>
                    <w:jc w:val="center"/>
                    <w:rPr>
                      <w:color w:val="auto"/>
                      <w:sz w:val="21"/>
                      <w:szCs w:val="21"/>
                    </w:rPr>
                  </w:pPr>
                </w:p>
              </w:tc>
              <w:tc>
                <w:tcPr>
                  <w:tcW w:w="371" w:type="pct"/>
                  <w:shd w:val="clear" w:color="auto" w:fill="auto"/>
                  <w:vAlign w:val="center"/>
                </w:tcPr>
                <w:p w14:paraId="340FFD17">
                  <w:pPr>
                    <w:jc w:val="center"/>
                    <w:rPr>
                      <w:color w:val="auto"/>
                      <w:sz w:val="21"/>
                      <w:szCs w:val="21"/>
                    </w:rPr>
                  </w:pPr>
                  <w:r>
                    <w:rPr>
                      <w:color w:val="auto"/>
                      <w:sz w:val="21"/>
                      <w:szCs w:val="21"/>
                    </w:rPr>
                    <w:t>二氧化硫</w:t>
                  </w:r>
                </w:p>
              </w:tc>
              <w:tc>
                <w:tcPr>
                  <w:tcW w:w="436" w:type="pct"/>
                  <w:shd w:val="clear" w:color="auto" w:fill="auto"/>
                  <w:vAlign w:val="center"/>
                </w:tcPr>
                <w:p w14:paraId="1DDCA77E">
                  <w:pPr>
                    <w:jc w:val="center"/>
                    <w:rPr>
                      <w:color w:val="auto"/>
                      <w:sz w:val="21"/>
                      <w:szCs w:val="21"/>
                    </w:rPr>
                  </w:pPr>
                  <w:r>
                    <w:rPr>
                      <w:color w:val="auto"/>
                      <w:sz w:val="21"/>
                      <w:szCs w:val="21"/>
                    </w:rPr>
                    <w:t>0.05</w:t>
                  </w:r>
                </w:p>
              </w:tc>
              <w:tc>
                <w:tcPr>
                  <w:tcW w:w="350" w:type="pct"/>
                  <w:shd w:val="clear" w:color="auto" w:fill="auto"/>
                  <w:vAlign w:val="center"/>
                </w:tcPr>
                <w:p w14:paraId="390D0116">
                  <w:pPr>
                    <w:jc w:val="center"/>
                    <w:rPr>
                      <w:color w:val="auto"/>
                      <w:sz w:val="21"/>
                      <w:szCs w:val="21"/>
                    </w:rPr>
                  </w:pPr>
                  <w:r>
                    <w:rPr>
                      <w:color w:val="auto"/>
                      <w:sz w:val="21"/>
                      <w:szCs w:val="21"/>
                    </w:rPr>
                    <w:t>0.46</w:t>
                  </w:r>
                </w:p>
              </w:tc>
              <w:tc>
                <w:tcPr>
                  <w:tcW w:w="531" w:type="pct"/>
                  <w:vMerge w:val="continue"/>
                  <w:shd w:val="clear" w:color="auto" w:fill="auto"/>
                  <w:vAlign w:val="center"/>
                </w:tcPr>
                <w:p w14:paraId="544C5C08">
                  <w:pPr>
                    <w:jc w:val="center"/>
                    <w:rPr>
                      <w:color w:val="auto"/>
                      <w:sz w:val="21"/>
                      <w:szCs w:val="21"/>
                    </w:rPr>
                  </w:pPr>
                </w:p>
              </w:tc>
              <w:tc>
                <w:tcPr>
                  <w:tcW w:w="338" w:type="pct"/>
                  <w:shd w:val="clear" w:color="auto" w:fill="auto"/>
                  <w:vAlign w:val="center"/>
                </w:tcPr>
                <w:p w14:paraId="18CAEE68">
                  <w:pPr>
                    <w:jc w:val="center"/>
                    <w:rPr>
                      <w:color w:val="auto"/>
                      <w:sz w:val="21"/>
                      <w:szCs w:val="21"/>
                    </w:rPr>
                  </w:pPr>
                  <w:r>
                    <w:rPr>
                      <w:color w:val="auto"/>
                      <w:sz w:val="21"/>
                      <w:szCs w:val="21"/>
                    </w:rPr>
                    <w:t>/</w:t>
                  </w:r>
                </w:p>
              </w:tc>
              <w:tc>
                <w:tcPr>
                  <w:tcW w:w="527" w:type="pct"/>
                  <w:vMerge w:val="continue"/>
                  <w:shd w:val="clear" w:color="auto" w:fill="auto"/>
                  <w:vAlign w:val="center"/>
                </w:tcPr>
                <w:p w14:paraId="27D483EC">
                  <w:pPr>
                    <w:jc w:val="center"/>
                    <w:rPr>
                      <w:color w:val="auto"/>
                      <w:sz w:val="21"/>
                      <w:szCs w:val="21"/>
                    </w:rPr>
                  </w:pPr>
                </w:p>
              </w:tc>
              <w:tc>
                <w:tcPr>
                  <w:tcW w:w="282" w:type="pct"/>
                  <w:vMerge w:val="restart"/>
                  <w:shd w:val="clear" w:color="auto" w:fill="auto"/>
                  <w:vAlign w:val="center"/>
                </w:tcPr>
                <w:p w14:paraId="0712A2F9">
                  <w:pPr>
                    <w:jc w:val="center"/>
                    <w:rPr>
                      <w:color w:val="auto"/>
                      <w:sz w:val="21"/>
                      <w:szCs w:val="21"/>
                    </w:rPr>
                  </w:pPr>
                  <w:r>
                    <w:rPr>
                      <w:color w:val="auto"/>
                      <w:sz w:val="21"/>
                      <w:szCs w:val="21"/>
                    </w:rPr>
                    <w:t>二氧化硫</w:t>
                  </w:r>
                </w:p>
              </w:tc>
              <w:tc>
                <w:tcPr>
                  <w:tcW w:w="301" w:type="pct"/>
                  <w:gridSpan w:val="2"/>
                  <w:vMerge w:val="restart"/>
                  <w:shd w:val="clear" w:color="auto" w:fill="auto"/>
                  <w:vAlign w:val="center"/>
                </w:tcPr>
                <w:p w14:paraId="05CF2EA2">
                  <w:pPr>
                    <w:jc w:val="center"/>
                    <w:rPr>
                      <w:color w:val="auto"/>
                      <w:sz w:val="21"/>
                      <w:szCs w:val="21"/>
                    </w:rPr>
                  </w:pPr>
                  <w:r>
                    <w:rPr>
                      <w:color w:val="auto"/>
                      <w:sz w:val="21"/>
                      <w:szCs w:val="21"/>
                    </w:rPr>
                    <w:t>3.2</w:t>
                  </w:r>
                </w:p>
              </w:tc>
              <w:tc>
                <w:tcPr>
                  <w:tcW w:w="436" w:type="pct"/>
                  <w:vMerge w:val="restart"/>
                  <w:shd w:val="clear" w:color="auto" w:fill="auto"/>
                  <w:vAlign w:val="center"/>
                </w:tcPr>
                <w:p w14:paraId="39BDF8A5">
                  <w:pPr>
                    <w:jc w:val="center"/>
                    <w:rPr>
                      <w:color w:val="auto"/>
                      <w:sz w:val="21"/>
                      <w:szCs w:val="21"/>
                    </w:rPr>
                  </w:pPr>
                  <w:r>
                    <w:rPr>
                      <w:color w:val="auto"/>
                      <w:sz w:val="21"/>
                      <w:szCs w:val="21"/>
                    </w:rPr>
                    <w:t>0.058</w:t>
                  </w:r>
                </w:p>
              </w:tc>
              <w:tc>
                <w:tcPr>
                  <w:tcW w:w="350" w:type="pct"/>
                  <w:vMerge w:val="restart"/>
                  <w:shd w:val="clear" w:color="auto" w:fill="auto"/>
                  <w:vAlign w:val="center"/>
                </w:tcPr>
                <w:p w14:paraId="54079AD1">
                  <w:pPr>
                    <w:jc w:val="center"/>
                    <w:rPr>
                      <w:color w:val="auto"/>
                      <w:sz w:val="21"/>
                      <w:szCs w:val="21"/>
                    </w:rPr>
                  </w:pPr>
                  <w:r>
                    <w:rPr>
                      <w:color w:val="auto"/>
                      <w:sz w:val="21"/>
                      <w:szCs w:val="21"/>
                    </w:rPr>
                    <w:t>0.53</w:t>
                  </w:r>
                </w:p>
              </w:tc>
              <w:tc>
                <w:tcPr>
                  <w:tcW w:w="289" w:type="pct"/>
                  <w:vMerge w:val="continue"/>
                  <w:shd w:val="clear" w:color="auto" w:fill="auto"/>
                  <w:vAlign w:val="center"/>
                </w:tcPr>
                <w:p w14:paraId="3953B37D">
                  <w:pPr>
                    <w:jc w:val="center"/>
                    <w:rPr>
                      <w:color w:val="auto"/>
                      <w:sz w:val="21"/>
                      <w:szCs w:val="21"/>
                    </w:rPr>
                  </w:pPr>
                </w:p>
              </w:tc>
            </w:tr>
            <w:tr w14:paraId="78D1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continue"/>
                  <w:shd w:val="clear" w:color="auto" w:fill="auto"/>
                  <w:vAlign w:val="center"/>
                </w:tcPr>
                <w:p w14:paraId="3076A854">
                  <w:pPr>
                    <w:jc w:val="center"/>
                    <w:rPr>
                      <w:color w:val="auto"/>
                      <w:sz w:val="21"/>
                      <w:szCs w:val="21"/>
                    </w:rPr>
                  </w:pPr>
                </w:p>
              </w:tc>
              <w:tc>
                <w:tcPr>
                  <w:tcW w:w="337" w:type="pct"/>
                  <w:vMerge w:val="continue"/>
                  <w:shd w:val="clear" w:color="auto" w:fill="auto"/>
                  <w:vAlign w:val="center"/>
                </w:tcPr>
                <w:p w14:paraId="155600DA">
                  <w:pPr>
                    <w:jc w:val="center"/>
                    <w:rPr>
                      <w:color w:val="auto"/>
                      <w:sz w:val="21"/>
                      <w:szCs w:val="21"/>
                    </w:rPr>
                  </w:pPr>
                </w:p>
              </w:tc>
              <w:tc>
                <w:tcPr>
                  <w:tcW w:w="331" w:type="pct"/>
                  <w:vMerge w:val="continue"/>
                  <w:shd w:val="clear" w:color="auto" w:fill="auto"/>
                  <w:vAlign w:val="center"/>
                </w:tcPr>
                <w:p w14:paraId="2ADDFE4A">
                  <w:pPr>
                    <w:jc w:val="center"/>
                    <w:rPr>
                      <w:color w:val="auto"/>
                      <w:sz w:val="21"/>
                      <w:szCs w:val="21"/>
                    </w:rPr>
                  </w:pPr>
                </w:p>
              </w:tc>
              <w:tc>
                <w:tcPr>
                  <w:tcW w:w="371" w:type="pct"/>
                  <w:shd w:val="clear" w:color="auto" w:fill="auto"/>
                  <w:vAlign w:val="center"/>
                </w:tcPr>
                <w:p w14:paraId="5D1E719C">
                  <w:pPr>
                    <w:jc w:val="center"/>
                    <w:rPr>
                      <w:color w:val="auto"/>
                      <w:sz w:val="21"/>
                      <w:szCs w:val="21"/>
                    </w:rPr>
                  </w:pPr>
                  <w:r>
                    <w:rPr>
                      <w:color w:val="auto"/>
                      <w:sz w:val="21"/>
                      <w:szCs w:val="21"/>
                    </w:rPr>
                    <w:t>氮氧化物</w:t>
                  </w:r>
                </w:p>
              </w:tc>
              <w:tc>
                <w:tcPr>
                  <w:tcW w:w="436" w:type="pct"/>
                  <w:shd w:val="clear" w:color="auto" w:fill="auto"/>
                  <w:vAlign w:val="center"/>
                </w:tcPr>
                <w:p w14:paraId="1C8DAD30">
                  <w:pPr>
                    <w:jc w:val="center"/>
                    <w:rPr>
                      <w:color w:val="auto"/>
                      <w:sz w:val="21"/>
                      <w:szCs w:val="21"/>
                    </w:rPr>
                  </w:pPr>
                  <w:r>
                    <w:rPr>
                      <w:color w:val="auto"/>
                      <w:sz w:val="21"/>
                      <w:szCs w:val="21"/>
                    </w:rPr>
                    <w:t>0.23</w:t>
                  </w:r>
                </w:p>
              </w:tc>
              <w:tc>
                <w:tcPr>
                  <w:tcW w:w="350" w:type="pct"/>
                  <w:shd w:val="clear" w:color="auto" w:fill="auto"/>
                  <w:vAlign w:val="center"/>
                </w:tcPr>
                <w:p w14:paraId="0239955B">
                  <w:pPr>
                    <w:jc w:val="center"/>
                    <w:rPr>
                      <w:color w:val="auto"/>
                      <w:sz w:val="21"/>
                      <w:szCs w:val="21"/>
                    </w:rPr>
                  </w:pPr>
                  <w:r>
                    <w:rPr>
                      <w:color w:val="auto"/>
                      <w:sz w:val="21"/>
                      <w:szCs w:val="21"/>
                    </w:rPr>
                    <w:t>1.96</w:t>
                  </w:r>
                </w:p>
              </w:tc>
              <w:tc>
                <w:tcPr>
                  <w:tcW w:w="531" w:type="pct"/>
                  <w:vMerge w:val="continue"/>
                  <w:shd w:val="clear" w:color="auto" w:fill="auto"/>
                  <w:vAlign w:val="center"/>
                </w:tcPr>
                <w:p w14:paraId="2C2211BE">
                  <w:pPr>
                    <w:jc w:val="center"/>
                    <w:rPr>
                      <w:color w:val="auto"/>
                      <w:sz w:val="21"/>
                      <w:szCs w:val="21"/>
                    </w:rPr>
                  </w:pPr>
                </w:p>
              </w:tc>
              <w:tc>
                <w:tcPr>
                  <w:tcW w:w="338" w:type="pct"/>
                  <w:shd w:val="clear" w:color="auto" w:fill="auto"/>
                  <w:vAlign w:val="center"/>
                </w:tcPr>
                <w:p w14:paraId="48D608BE">
                  <w:pPr>
                    <w:jc w:val="center"/>
                    <w:rPr>
                      <w:color w:val="auto"/>
                      <w:sz w:val="21"/>
                      <w:szCs w:val="21"/>
                    </w:rPr>
                  </w:pPr>
                  <w:r>
                    <w:rPr>
                      <w:color w:val="auto"/>
                      <w:sz w:val="21"/>
                      <w:szCs w:val="21"/>
                    </w:rPr>
                    <w:t>/</w:t>
                  </w:r>
                </w:p>
              </w:tc>
              <w:tc>
                <w:tcPr>
                  <w:tcW w:w="527" w:type="pct"/>
                  <w:vMerge w:val="continue"/>
                  <w:shd w:val="clear" w:color="auto" w:fill="auto"/>
                  <w:vAlign w:val="center"/>
                </w:tcPr>
                <w:p w14:paraId="7CD4A3DD">
                  <w:pPr>
                    <w:jc w:val="center"/>
                    <w:rPr>
                      <w:color w:val="auto"/>
                      <w:sz w:val="21"/>
                      <w:szCs w:val="21"/>
                    </w:rPr>
                  </w:pPr>
                </w:p>
              </w:tc>
              <w:tc>
                <w:tcPr>
                  <w:tcW w:w="282" w:type="pct"/>
                  <w:vMerge w:val="continue"/>
                  <w:shd w:val="clear" w:color="auto" w:fill="auto"/>
                  <w:vAlign w:val="center"/>
                </w:tcPr>
                <w:p w14:paraId="65695C3F">
                  <w:pPr>
                    <w:jc w:val="center"/>
                    <w:rPr>
                      <w:color w:val="auto"/>
                      <w:sz w:val="21"/>
                      <w:szCs w:val="21"/>
                    </w:rPr>
                  </w:pPr>
                </w:p>
              </w:tc>
              <w:tc>
                <w:tcPr>
                  <w:tcW w:w="301" w:type="pct"/>
                  <w:gridSpan w:val="2"/>
                  <w:vMerge w:val="continue"/>
                  <w:shd w:val="clear" w:color="auto" w:fill="auto"/>
                  <w:vAlign w:val="center"/>
                </w:tcPr>
                <w:p w14:paraId="1084D5CD">
                  <w:pPr>
                    <w:jc w:val="center"/>
                    <w:rPr>
                      <w:color w:val="auto"/>
                      <w:sz w:val="21"/>
                      <w:szCs w:val="21"/>
                    </w:rPr>
                  </w:pPr>
                </w:p>
              </w:tc>
              <w:tc>
                <w:tcPr>
                  <w:tcW w:w="436" w:type="pct"/>
                  <w:vMerge w:val="continue"/>
                  <w:shd w:val="clear" w:color="auto" w:fill="auto"/>
                  <w:vAlign w:val="center"/>
                </w:tcPr>
                <w:p w14:paraId="4B366C96">
                  <w:pPr>
                    <w:jc w:val="center"/>
                    <w:rPr>
                      <w:color w:val="auto"/>
                      <w:sz w:val="21"/>
                      <w:szCs w:val="21"/>
                    </w:rPr>
                  </w:pPr>
                </w:p>
              </w:tc>
              <w:tc>
                <w:tcPr>
                  <w:tcW w:w="350" w:type="pct"/>
                  <w:vMerge w:val="continue"/>
                  <w:shd w:val="clear" w:color="auto" w:fill="auto"/>
                  <w:vAlign w:val="center"/>
                </w:tcPr>
                <w:p w14:paraId="288D7735">
                  <w:pPr>
                    <w:jc w:val="center"/>
                    <w:rPr>
                      <w:color w:val="auto"/>
                      <w:sz w:val="21"/>
                      <w:szCs w:val="21"/>
                    </w:rPr>
                  </w:pPr>
                </w:p>
              </w:tc>
              <w:tc>
                <w:tcPr>
                  <w:tcW w:w="289" w:type="pct"/>
                  <w:vMerge w:val="continue"/>
                  <w:shd w:val="clear" w:color="auto" w:fill="auto"/>
                  <w:vAlign w:val="center"/>
                </w:tcPr>
                <w:p w14:paraId="2952C21E">
                  <w:pPr>
                    <w:jc w:val="center"/>
                    <w:rPr>
                      <w:color w:val="auto"/>
                      <w:sz w:val="21"/>
                      <w:szCs w:val="21"/>
                    </w:rPr>
                  </w:pPr>
                </w:p>
              </w:tc>
            </w:tr>
            <w:tr w14:paraId="23DC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116" w:type="pct"/>
                  <w:vMerge w:val="restart"/>
                  <w:shd w:val="clear" w:color="auto" w:fill="auto"/>
                  <w:vAlign w:val="center"/>
                </w:tcPr>
                <w:p w14:paraId="62ADD01F">
                  <w:pPr>
                    <w:jc w:val="center"/>
                    <w:rPr>
                      <w:color w:val="auto"/>
                      <w:sz w:val="21"/>
                      <w:szCs w:val="21"/>
                    </w:rPr>
                  </w:pPr>
                  <w:r>
                    <w:rPr>
                      <w:color w:val="auto"/>
                      <w:sz w:val="21"/>
                      <w:szCs w:val="21"/>
                    </w:rPr>
                    <w:t>2#电镀车间</w:t>
                  </w:r>
                </w:p>
              </w:tc>
              <w:tc>
                <w:tcPr>
                  <w:tcW w:w="337" w:type="pct"/>
                  <w:shd w:val="clear" w:color="auto" w:fill="auto"/>
                  <w:vAlign w:val="center"/>
                </w:tcPr>
                <w:p w14:paraId="798B4996">
                  <w:pPr>
                    <w:jc w:val="center"/>
                    <w:rPr>
                      <w:color w:val="auto"/>
                      <w:sz w:val="21"/>
                      <w:szCs w:val="21"/>
                    </w:rPr>
                  </w:pPr>
                  <w:r>
                    <w:rPr>
                      <w:color w:val="auto"/>
                      <w:sz w:val="21"/>
                      <w:szCs w:val="21"/>
                    </w:rPr>
                    <w:t>挂镀电泳线（1条）</w:t>
                  </w:r>
                </w:p>
              </w:tc>
              <w:tc>
                <w:tcPr>
                  <w:tcW w:w="331" w:type="pct"/>
                  <w:vMerge w:val="continue"/>
                  <w:shd w:val="clear" w:color="auto" w:fill="auto"/>
                  <w:vAlign w:val="center"/>
                </w:tcPr>
                <w:p w14:paraId="4C9471DA">
                  <w:pPr>
                    <w:jc w:val="center"/>
                    <w:rPr>
                      <w:color w:val="auto"/>
                      <w:sz w:val="21"/>
                      <w:szCs w:val="21"/>
                    </w:rPr>
                  </w:pPr>
                </w:p>
              </w:tc>
              <w:tc>
                <w:tcPr>
                  <w:tcW w:w="371" w:type="pct"/>
                  <w:shd w:val="clear" w:color="auto" w:fill="auto"/>
                  <w:vAlign w:val="center"/>
                </w:tcPr>
                <w:p w14:paraId="04D8A27A">
                  <w:pPr>
                    <w:jc w:val="center"/>
                    <w:rPr>
                      <w:color w:val="auto"/>
                      <w:sz w:val="21"/>
                      <w:szCs w:val="21"/>
                    </w:rPr>
                  </w:pPr>
                  <w:r>
                    <w:rPr>
                      <w:color w:val="auto"/>
                      <w:sz w:val="21"/>
                      <w:szCs w:val="21"/>
                    </w:rPr>
                    <w:t>TRVOC</w:t>
                  </w:r>
                </w:p>
              </w:tc>
              <w:tc>
                <w:tcPr>
                  <w:tcW w:w="436" w:type="pct"/>
                  <w:shd w:val="clear" w:color="auto" w:fill="auto"/>
                  <w:vAlign w:val="center"/>
                </w:tcPr>
                <w:p w14:paraId="2CB037E2">
                  <w:pPr>
                    <w:jc w:val="center"/>
                    <w:rPr>
                      <w:color w:val="auto"/>
                      <w:sz w:val="21"/>
                      <w:szCs w:val="21"/>
                    </w:rPr>
                  </w:pPr>
                  <w:r>
                    <w:rPr>
                      <w:color w:val="auto"/>
                      <w:sz w:val="21"/>
                      <w:szCs w:val="21"/>
                    </w:rPr>
                    <w:t>0.07</w:t>
                  </w:r>
                </w:p>
              </w:tc>
              <w:tc>
                <w:tcPr>
                  <w:tcW w:w="350" w:type="pct"/>
                  <w:shd w:val="clear" w:color="auto" w:fill="auto"/>
                  <w:vAlign w:val="center"/>
                </w:tcPr>
                <w:p w14:paraId="2593D47A">
                  <w:pPr>
                    <w:jc w:val="center"/>
                    <w:rPr>
                      <w:color w:val="auto"/>
                      <w:sz w:val="21"/>
                      <w:szCs w:val="21"/>
                    </w:rPr>
                  </w:pPr>
                  <w:r>
                    <w:rPr>
                      <w:color w:val="auto"/>
                      <w:sz w:val="21"/>
                      <w:szCs w:val="21"/>
                    </w:rPr>
                    <w:t>0.58</w:t>
                  </w:r>
                </w:p>
              </w:tc>
              <w:tc>
                <w:tcPr>
                  <w:tcW w:w="531" w:type="pct"/>
                  <w:vMerge w:val="continue"/>
                  <w:shd w:val="clear" w:color="auto" w:fill="auto"/>
                  <w:vAlign w:val="center"/>
                </w:tcPr>
                <w:p w14:paraId="417F9CFF">
                  <w:pPr>
                    <w:jc w:val="center"/>
                    <w:rPr>
                      <w:color w:val="auto"/>
                      <w:sz w:val="21"/>
                      <w:szCs w:val="21"/>
                    </w:rPr>
                  </w:pPr>
                </w:p>
              </w:tc>
              <w:tc>
                <w:tcPr>
                  <w:tcW w:w="338" w:type="pct"/>
                  <w:shd w:val="clear" w:color="auto" w:fill="auto"/>
                  <w:vAlign w:val="center"/>
                </w:tcPr>
                <w:p w14:paraId="7316B833">
                  <w:pPr>
                    <w:jc w:val="center"/>
                    <w:rPr>
                      <w:color w:val="auto"/>
                      <w:sz w:val="21"/>
                      <w:szCs w:val="21"/>
                    </w:rPr>
                  </w:pPr>
                  <w:r>
                    <w:rPr>
                      <w:color w:val="auto"/>
                      <w:sz w:val="21"/>
                      <w:szCs w:val="21"/>
                    </w:rPr>
                    <w:t>85.5</w:t>
                  </w:r>
                </w:p>
              </w:tc>
              <w:tc>
                <w:tcPr>
                  <w:tcW w:w="527" w:type="pct"/>
                  <w:vMerge w:val="continue"/>
                  <w:shd w:val="clear" w:color="auto" w:fill="auto"/>
                  <w:vAlign w:val="center"/>
                </w:tcPr>
                <w:p w14:paraId="44237169">
                  <w:pPr>
                    <w:jc w:val="center"/>
                    <w:rPr>
                      <w:color w:val="auto"/>
                      <w:sz w:val="21"/>
                      <w:szCs w:val="21"/>
                    </w:rPr>
                  </w:pPr>
                </w:p>
              </w:tc>
              <w:tc>
                <w:tcPr>
                  <w:tcW w:w="282" w:type="pct"/>
                  <w:vMerge w:val="continue"/>
                  <w:shd w:val="clear" w:color="auto" w:fill="auto"/>
                  <w:vAlign w:val="center"/>
                </w:tcPr>
                <w:p w14:paraId="22CE0851">
                  <w:pPr>
                    <w:jc w:val="center"/>
                    <w:rPr>
                      <w:color w:val="auto"/>
                      <w:sz w:val="21"/>
                      <w:szCs w:val="21"/>
                    </w:rPr>
                  </w:pPr>
                </w:p>
              </w:tc>
              <w:tc>
                <w:tcPr>
                  <w:tcW w:w="301" w:type="pct"/>
                  <w:gridSpan w:val="2"/>
                  <w:vMerge w:val="continue"/>
                  <w:shd w:val="clear" w:color="auto" w:fill="auto"/>
                  <w:vAlign w:val="center"/>
                </w:tcPr>
                <w:p w14:paraId="02A91290">
                  <w:pPr>
                    <w:jc w:val="center"/>
                    <w:rPr>
                      <w:color w:val="auto"/>
                      <w:sz w:val="21"/>
                      <w:szCs w:val="21"/>
                    </w:rPr>
                  </w:pPr>
                </w:p>
              </w:tc>
              <w:tc>
                <w:tcPr>
                  <w:tcW w:w="436" w:type="pct"/>
                  <w:vMerge w:val="continue"/>
                  <w:shd w:val="clear" w:color="auto" w:fill="auto"/>
                  <w:vAlign w:val="center"/>
                </w:tcPr>
                <w:p w14:paraId="5889390E">
                  <w:pPr>
                    <w:jc w:val="center"/>
                    <w:rPr>
                      <w:color w:val="auto"/>
                      <w:sz w:val="21"/>
                      <w:szCs w:val="21"/>
                    </w:rPr>
                  </w:pPr>
                </w:p>
              </w:tc>
              <w:tc>
                <w:tcPr>
                  <w:tcW w:w="350" w:type="pct"/>
                  <w:vMerge w:val="continue"/>
                  <w:shd w:val="clear" w:color="auto" w:fill="auto"/>
                  <w:vAlign w:val="center"/>
                </w:tcPr>
                <w:p w14:paraId="6923F097">
                  <w:pPr>
                    <w:jc w:val="center"/>
                    <w:rPr>
                      <w:color w:val="auto"/>
                      <w:sz w:val="21"/>
                      <w:szCs w:val="21"/>
                    </w:rPr>
                  </w:pPr>
                </w:p>
              </w:tc>
              <w:tc>
                <w:tcPr>
                  <w:tcW w:w="289" w:type="pct"/>
                  <w:vMerge w:val="continue"/>
                  <w:shd w:val="clear" w:color="auto" w:fill="auto"/>
                  <w:vAlign w:val="center"/>
                </w:tcPr>
                <w:p w14:paraId="204B36EF">
                  <w:pPr>
                    <w:jc w:val="center"/>
                    <w:rPr>
                      <w:color w:val="auto"/>
                      <w:sz w:val="21"/>
                      <w:szCs w:val="21"/>
                    </w:rPr>
                  </w:pPr>
                </w:p>
              </w:tc>
            </w:tr>
            <w:tr w14:paraId="3A78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continue"/>
                  <w:shd w:val="clear" w:color="auto" w:fill="auto"/>
                  <w:vAlign w:val="center"/>
                </w:tcPr>
                <w:p w14:paraId="18A78084">
                  <w:pPr>
                    <w:jc w:val="center"/>
                    <w:rPr>
                      <w:color w:val="auto"/>
                      <w:sz w:val="21"/>
                      <w:szCs w:val="21"/>
                    </w:rPr>
                  </w:pPr>
                </w:p>
              </w:tc>
              <w:tc>
                <w:tcPr>
                  <w:tcW w:w="337" w:type="pct"/>
                  <w:vMerge w:val="restart"/>
                  <w:shd w:val="clear" w:color="auto" w:fill="auto"/>
                  <w:vAlign w:val="center"/>
                </w:tcPr>
                <w:p w14:paraId="173AB4AC">
                  <w:pPr>
                    <w:jc w:val="center"/>
                    <w:rPr>
                      <w:color w:val="auto"/>
                      <w:sz w:val="21"/>
                      <w:szCs w:val="21"/>
                    </w:rPr>
                  </w:pPr>
                  <w:r>
                    <w:rPr>
                      <w:color w:val="auto"/>
                      <w:sz w:val="21"/>
                      <w:szCs w:val="21"/>
                    </w:rPr>
                    <w:t>热风炉燃气废气（1台）</w:t>
                  </w:r>
                </w:p>
              </w:tc>
              <w:tc>
                <w:tcPr>
                  <w:tcW w:w="331" w:type="pct"/>
                  <w:vMerge w:val="continue"/>
                  <w:shd w:val="clear" w:color="auto" w:fill="auto"/>
                  <w:vAlign w:val="center"/>
                </w:tcPr>
                <w:p w14:paraId="55A2DBBF">
                  <w:pPr>
                    <w:jc w:val="center"/>
                    <w:rPr>
                      <w:color w:val="auto"/>
                      <w:sz w:val="21"/>
                      <w:szCs w:val="21"/>
                    </w:rPr>
                  </w:pPr>
                </w:p>
              </w:tc>
              <w:tc>
                <w:tcPr>
                  <w:tcW w:w="371" w:type="pct"/>
                  <w:shd w:val="clear" w:color="auto" w:fill="auto"/>
                  <w:vAlign w:val="center"/>
                </w:tcPr>
                <w:p w14:paraId="42BAF32A">
                  <w:pPr>
                    <w:jc w:val="center"/>
                    <w:rPr>
                      <w:color w:val="auto"/>
                      <w:sz w:val="21"/>
                      <w:szCs w:val="21"/>
                    </w:rPr>
                  </w:pPr>
                  <w:r>
                    <w:rPr>
                      <w:color w:val="auto"/>
                      <w:sz w:val="21"/>
                      <w:szCs w:val="21"/>
                    </w:rPr>
                    <w:t>颗粒物</w:t>
                  </w:r>
                </w:p>
              </w:tc>
              <w:tc>
                <w:tcPr>
                  <w:tcW w:w="436" w:type="pct"/>
                  <w:shd w:val="clear" w:color="auto" w:fill="auto"/>
                  <w:vAlign w:val="center"/>
                </w:tcPr>
                <w:p w14:paraId="19C4BD05">
                  <w:pPr>
                    <w:jc w:val="center"/>
                    <w:rPr>
                      <w:color w:val="auto"/>
                      <w:sz w:val="21"/>
                      <w:szCs w:val="21"/>
                    </w:rPr>
                  </w:pPr>
                  <w:r>
                    <w:rPr>
                      <w:color w:val="auto"/>
                      <w:sz w:val="21"/>
                      <w:szCs w:val="21"/>
                    </w:rPr>
                    <w:t>0.002</w:t>
                  </w:r>
                </w:p>
              </w:tc>
              <w:tc>
                <w:tcPr>
                  <w:tcW w:w="350" w:type="pct"/>
                  <w:shd w:val="clear" w:color="auto" w:fill="auto"/>
                  <w:vAlign w:val="center"/>
                </w:tcPr>
                <w:p w14:paraId="4785ECC9">
                  <w:pPr>
                    <w:jc w:val="center"/>
                    <w:rPr>
                      <w:color w:val="auto"/>
                      <w:sz w:val="21"/>
                      <w:szCs w:val="21"/>
                    </w:rPr>
                  </w:pPr>
                  <w:r>
                    <w:rPr>
                      <w:color w:val="auto"/>
                      <w:sz w:val="21"/>
                      <w:szCs w:val="21"/>
                    </w:rPr>
                    <w:t>0.02</w:t>
                  </w:r>
                </w:p>
              </w:tc>
              <w:tc>
                <w:tcPr>
                  <w:tcW w:w="531" w:type="pct"/>
                  <w:vMerge w:val="continue"/>
                  <w:shd w:val="clear" w:color="auto" w:fill="auto"/>
                  <w:vAlign w:val="center"/>
                </w:tcPr>
                <w:p w14:paraId="26D15A4F">
                  <w:pPr>
                    <w:jc w:val="center"/>
                    <w:rPr>
                      <w:color w:val="auto"/>
                      <w:sz w:val="21"/>
                      <w:szCs w:val="21"/>
                    </w:rPr>
                  </w:pPr>
                </w:p>
              </w:tc>
              <w:tc>
                <w:tcPr>
                  <w:tcW w:w="338" w:type="pct"/>
                  <w:shd w:val="clear" w:color="auto" w:fill="auto"/>
                  <w:vAlign w:val="center"/>
                </w:tcPr>
                <w:p w14:paraId="1252AB75">
                  <w:pPr>
                    <w:jc w:val="center"/>
                    <w:rPr>
                      <w:color w:val="auto"/>
                      <w:sz w:val="21"/>
                      <w:szCs w:val="21"/>
                    </w:rPr>
                  </w:pPr>
                  <w:r>
                    <w:rPr>
                      <w:color w:val="auto"/>
                      <w:sz w:val="21"/>
                      <w:szCs w:val="21"/>
                    </w:rPr>
                    <w:t>/</w:t>
                  </w:r>
                </w:p>
              </w:tc>
              <w:tc>
                <w:tcPr>
                  <w:tcW w:w="527" w:type="pct"/>
                  <w:vMerge w:val="continue"/>
                  <w:shd w:val="clear" w:color="auto" w:fill="auto"/>
                  <w:vAlign w:val="center"/>
                </w:tcPr>
                <w:p w14:paraId="4662EE18">
                  <w:pPr>
                    <w:jc w:val="center"/>
                    <w:rPr>
                      <w:color w:val="auto"/>
                      <w:sz w:val="21"/>
                      <w:szCs w:val="21"/>
                    </w:rPr>
                  </w:pPr>
                </w:p>
              </w:tc>
              <w:tc>
                <w:tcPr>
                  <w:tcW w:w="282" w:type="pct"/>
                  <w:vMerge w:val="restart"/>
                  <w:shd w:val="clear" w:color="auto" w:fill="auto"/>
                  <w:vAlign w:val="center"/>
                </w:tcPr>
                <w:p w14:paraId="6AC24E08">
                  <w:pPr>
                    <w:jc w:val="center"/>
                    <w:rPr>
                      <w:color w:val="auto"/>
                      <w:sz w:val="21"/>
                      <w:szCs w:val="21"/>
                    </w:rPr>
                  </w:pPr>
                  <w:r>
                    <w:rPr>
                      <w:color w:val="auto"/>
                      <w:sz w:val="21"/>
                      <w:szCs w:val="21"/>
                    </w:rPr>
                    <w:t>氮氧化物</w:t>
                  </w:r>
                </w:p>
              </w:tc>
              <w:tc>
                <w:tcPr>
                  <w:tcW w:w="301" w:type="pct"/>
                  <w:gridSpan w:val="2"/>
                  <w:vMerge w:val="restart"/>
                  <w:shd w:val="clear" w:color="auto" w:fill="auto"/>
                  <w:vAlign w:val="center"/>
                </w:tcPr>
                <w:p w14:paraId="5503E7AE">
                  <w:pPr>
                    <w:jc w:val="center"/>
                    <w:rPr>
                      <w:color w:val="auto"/>
                      <w:sz w:val="21"/>
                      <w:szCs w:val="21"/>
                    </w:rPr>
                  </w:pPr>
                  <w:r>
                    <w:rPr>
                      <w:color w:val="auto"/>
                      <w:sz w:val="21"/>
                      <w:szCs w:val="21"/>
                    </w:rPr>
                    <w:t>13.6</w:t>
                  </w:r>
                </w:p>
              </w:tc>
              <w:tc>
                <w:tcPr>
                  <w:tcW w:w="436" w:type="pct"/>
                  <w:vMerge w:val="restart"/>
                  <w:shd w:val="clear" w:color="auto" w:fill="auto"/>
                  <w:vAlign w:val="center"/>
                </w:tcPr>
                <w:p w14:paraId="5AC31862">
                  <w:pPr>
                    <w:jc w:val="center"/>
                    <w:rPr>
                      <w:color w:val="auto"/>
                      <w:sz w:val="21"/>
                      <w:szCs w:val="21"/>
                    </w:rPr>
                  </w:pPr>
                  <w:r>
                    <w:rPr>
                      <w:color w:val="auto"/>
                      <w:sz w:val="21"/>
                      <w:szCs w:val="21"/>
                    </w:rPr>
                    <w:t>0.27</w:t>
                  </w:r>
                </w:p>
              </w:tc>
              <w:tc>
                <w:tcPr>
                  <w:tcW w:w="350" w:type="pct"/>
                  <w:vMerge w:val="restart"/>
                  <w:shd w:val="clear" w:color="auto" w:fill="auto"/>
                  <w:vAlign w:val="center"/>
                </w:tcPr>
                <w:p w14:paraId="24A634D4">
                  <w:pPr>
                    <w:jc w:val="center"/>
                    <w:rPr>
                      <w:color w:val="auto"/>
                      <w:sz w:val="21"/>
                      <w:szCs w:val="21"/>
                    </w:rPr>
                  </w:pPr>
                  <w:r>
                    <w:rPr>
                      <w:color w:val="auto"/>
                      <w:sz w:val="21"/>
                      <w:szCs w:val="21"/>
                    </w:rPr>
                    <w:t>2.28</w:t>
                  </w:r>
                </w:p>
              </w:tc>
              <w:tc>
                <w:tcPr>
                  <w:tcW w:w="289" w:type="pct"/>
                  <w:vMerge w:val="continue"/>
                  <w:shd w:val="clear" w:color="auto" w:fill="auto"/>
                  <w:vAlign w:val="center"/>
                </w:tcPr>
                <w:p w14:paraId="0E875FBE">
                  <w:pPr>
                    <w:jc w:val="center"/>
                    <w:rPr>
                      <w:color w:val="auto"/>
                      <w:sz w:val="21"/>
                      <w:szCs w:val="21"/>
                    </w:rPr>
                  </w:pPr>
                </w:p>
              </w:tc>
            </w:tr>
            <w:tr w14:paraId="46FF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16" w:type="pct"/>
                  <w:vMerge w:val="continue"/>
                  <w:shd w:val="clear" w:color="auto" w:fill="auto"/>
                  <w:vAlign w:val="center"/>
                </w:tcPr>
                <w:p w14:paraId="4CB3050F">
                  <w:pPr>
                    <w:jc w:val="center"/>
                    <w:rPr>
                      <w:color w:val="auto"/>
                      <w:sz w:val="21"/>
                      <w:szCs w:val="21"/>
                    </w:rPr>
                  </w:pPr>
                </w:p>
              </w:tc>
              <w:tc>
                <w:tcPr>
                  <w:tcW w:w="337" w:type="pct"/>
                  <w:vMerge w:val="continue"/>
                  <w:shd w:val="clear" w:color="auto" w:fill="auto"/>
                  <w:vAlign w:val="center"/>
                </w:tcPr>
                <w:p w14:paraId="3335DCAB">
                  <w:pPr>
                    <w:jc w:val="center"/>
                    <w:rPr>
                      <w:color w:val="auto"/>
                      <w:sz w:val="21"/>
                      <w:szCs w:val="21"/>
                    </w:rPr>
                  </w:pPr>
                </w:p>
              </w:tc>
              <w:tc>
                <w:tcPr>
                  <w:tcW w:w="331" w:type="pct"/>
                  <w:vMerge w:val="continue"/>
                  <w:shd w:val="clear" w:color="auto" w:fill="auto"/>
                  <w:vAlign w:val="center"/>
                </w:tcPr>
                <w:p w14:paraId="630328FD">
                  <w:pPr>
                    <w:jc w:val="center"/>
                    <w:rPr>
                      <w:color w:val="auto"/>
                      <w:sz w:val="21"/>
                      <w:szCs w:val="21"/>
                    </w:rPr>
                  </w:pPr>
                </w:p>
              </w:tc>
              <w:tc>
                <w:tcPr>
                  <w:tcW w:w="371" w:type="pct"/>
                  <w:shd w:val="clear" w:color="auto" w:fill="auto"/>
                  <w:vAlign w:val="center"/>
                </w:tcPr>
                <w:p w14:paraId="2611999C">
                  <w:pPr>
                    <w:jc w:val="center"/>
                    <w:rPr>
                      <w:color w:val="auto"/>
                      <w:sz w:val="21"/>
                      <w:szCs w:val="21"/>
                    </w:rPr>
                  </w:pPr>
                  <w:r>
                    <w:rPr>
                      <w:color w:val="auto"/>
                      <w:sz w:val="21"/>
                      <w:szCs w:val="21"/>
                    </w:rPr>
                    <w:t>二氧化硫</w:t>
                  </w:r>
                </w:p>
              </w:tc>
              <w:tc>
                <w:tcPr>
                  <w:tcW w:w="436" w:type="pct"/>
                  <w:shd w:val="clear" w:color="auto" w:fill="auto"/>
                  <w:vAlign w:val="center"/>
                </w:tcPr>
                <w:p w14:paraId="626B7F33">
                  <w:pPr>
                    <w:jc w:val="center"/>
                    <w:rPr>
                      <w:color w:val="auto"/>
                      <w:sz w:val="21"/>
                      <w:szCs w:val="21"/>
                    </w:rPr>
                  </w:pPr>
                  <w:r>
                    <w:rPr>
                      <w:color w:val="auto"/>
                      <w:sz w:val="21"/>
                      <w:szCs w:val="21"/>
                    </w:rPr>
                    <w:t>0.008</w:t>
                  </w:r>
                </w:p>
              </w:tc>
              <w:tc>
                <w:tcPr>
                  <w:tcW w:w="350" w:type="pct"/>
                  <w:shd w:val="clear" w:color="auto" w:fill="auto"/>
                  <w:vAlign w:val="center"/>
                </w:tcPr>
                <w:p w14:paraId="5AAC5B7D">
                  <w:pPr>
                    <w:jc w:val="center"/>
                    <w:rPr>
                      <w:color w:val="auto"/>
                      <w:sz w:val="21"/>
                      <w:szCs w:val="21"/>
                    </w:rPr>
                  </w:pPr>
                  <w:r>
                    <w:rPr>
                      <w:color w:val="auto"/>
                      <w:sz w:val="21"/>
                      <w:szCs w:val="21"/>
                    </w:rPr>
                    <w:t>0.07</w:t>
                  </w:r>
                </w:p>
              </w:tc>
              <w:tc>
                <w:tcPr>
                  <w:tcW w:w="531" w:type="pct"/>
                  <w:vMerge w:val="continue"/>
                  <w:shd w:val="clear" w:color="auto" w:fill="auto"/>
                  <w:vAlign w:val="center"/>
                </w:tcPr>
                <w:p w14:paraId="1AFC42F5">
                  <w:pPr>
                    <w:jc w:val="center"/>
                    <w:rPr>
                      <w:color w:val="auto"/>
                      <w:sz w:val="21"/>
                      <w:szCs w:val="21"/>
                    </w:rPr>
                  </w:pPr>
                </w:p>
              </w:tc>
              <w:tc>
                <w:tcPr>
                  <w:tcW w:w="338" w:type="pct"/>
                  <w:shd w:val="clear" w:color="auto" w:fill="auto"/>
                  <w:vAlign w:val="center"/>
                </w:tcPr>
                <w:p w14:paraId="15160A70">
                  <w:pPr>
                    <w:jc w:val="center"/>
                    <w:rPr>
                      <w:color w:val="auto"/>
                      <w:sz w:val="21"/>
                      <w:szCs w:val="21"/>
                    </w:rPr>
                  </w:pPr>
                  <w:r>
                    <w:rPr>
                      <w:color w:val="auto"/>
                      <w:sz w:val="21"/>
                      <w:szCs w:val="21"/>
                    </w:rPr>
                    <w:t>/</w:t>
                  </w:r>
                </w:p>
              </w:tc>
              <w:tc>
                <w:tcPr>
                  <w:tcW w:w="527" w:type="pct"/>
                  <w:vMerge w:val="continue"/>
                  <w:shd w:val="clear" w:color="auto" w:fill="auto"/>
                  <w:vAlign w:val="center"/>
                </w:tcPr>
                <w:p w14:paraId="075527C2">
                  <w:pPr>
                    <w:jc w:val="center"/>
                    <w:rPr>
                      <w:color w:val="auto"/>
                      <w:sz w:val="21"/>
                      <w:szCs w:val="21"/>
                    </w:rPr>
                  </w:pPr>
                </w:p>
              </w:tc>
              <w:tc>
                <w:tcPr>
                  <w:tcW w:w="282" w:type="pct"/>
                  <w:vMerge w:val="continue"/>
                  <w:shd w:val="clear" w:color="auto" w:fill="auto"/>
                  <w:vAlign w:val="center"/>
                </w:tcPr>
                <w:p w14:paraId="33515E72">
                  <w:pPr>
                    <w:jc w:val="center"/>
                    <w:rPr>
                      <w:color w:val="auto"/>
                      <w:sz w:val="21"/>
                      <w:szCs w:val="21"/>
                    </w:rPr>
                  </w:pPr>
                </w:p>
              </w:tc>
              <w:tc>
                <w:tcPr>
                  <w:tcW w:w="301" w:type="pct"/>
                  <w:gridSpan w:val="2"/>
                  <w:vMerge w:val="continue"/>
                  <w:shd w:val="clear" w:color="auto" w:fill="auto"/>
                  <w:vAlign w:val="center"/>
                </w:tcPr>
                <w:p w14:paraId="3BFF237B">
                  <w:pPr>
                    <w:jc w:val="center"/>
                    <w:rPr>
                      <w:color w:val="auto"/>
                      <w:sz w:val="21"/>
                      <w:szCs w:val="21"/>
                    </w:rPr>
                  </w:pPr>
                </w:p>
              </w:tc>
              <w:tc>
                <w:tcPr>
                  <w:tcW w:w="436" w:type="pct"/>
                  <w:vMerge w:val="continue"/>
                  <w:shd w:val="clear" w:color="auto" w:fill="auto"/>
                  <w:vAlign w:val="center"/>
                </w:tcPr>
                <w:p w14:paraId="6F883DFC">
                  <w:pPr>
                    <w:jc w:val="center"/>
                    <w:rPr>
                      <w:color w:val="auto"/>
                      <w:sz w:val="21"/>
                      <w:szCs w:val="21"/>
                    </w:rPr>
                  </w:pPr>
                </w:p>
              </w:tc>
              <w:tc>
                <w:tcPr>
                  <w:tcW w:w="350" w:type="pct"/>
                  <w:vMerge w:val="continue"/>
                  <w:shd w:val="clear" w:color="auto" w:fill="auto"/>
                  <w:vAlign w:val="center"/>
                </w:tcPr>
                <w:p w14:paraId="72AEEC3E">
                  <w:pPr>
                    <w:jc w:val="center"/>
                    <w:rPr>
                      <w:color w:val="auto"/>
                      <w:sz w:val="21"/>
                      <w:szCs w:val="21"/>
                    </w:rPr>
                  </w:pPr>
                </w:p>
              </w:tc>
              <w:tc>
                <w:tcPr>
                  <w:tcW w:w="289" w:type="pct"/>
                  <w:vMerge w:val="continue"/>
                  <w:shd w:val="clear" w:color="auto" w:fill="auto"/>
                  <w:vAlign w:val="center"/>
                </w:tcPr>
                <w:p w14:paraId="5E16D294">
                  <w:pPr>
                    <w:jc w:val="center"/>
                    <w:rPr>
                      <w:color w:val="auto"/>
                      <w:sz w:val="21"/>
                      <w:szCs w:val="21"/>
                    </w:rPr>
                  </w:pPr>
                </w:p>
              </w:tc>
            </w:tr>
            <w:tr w14:paraId="4BE8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E6E7FB9">
                  <w:pPr>
                    <w:jc w:val="center"/>
                    <w:rPr>
                      <w:color w:val="auto"/>
                      <w:sz w:val="21"/>
                      <w:szCs w:val="21"/>
                    </w:rPr>
                  </w:pPr>
                </w:p>
              </w:tc>
              <w:tc>
                <w:tcPr>
                  <w:tcW w:w="337" w:type="pct"/>
                  <w:vMerge w:val="continue"/>
                  <w:shd w:val="clear" w:color="auto" w:fill="auto"/>
                  <w:vAlign w:val="center"/>
                </w:tcPr>
                <w:p w14:paraId="12300FE3">
                  <w:pPr>
                    <w:jc w:val="center"/>
                    <w:rPr>
                      <w:color w:val="auto"/>
                      <w:sz w:val="21"/>
                      <w:szCs w:val="21"/>
                    </w:rPr>
                  </w:pPr>
                </w:p>
              </w:tc>
              <w:tc>
                <w:tcPr>
                  <w:tcW w:w="331" w:type="pct"/>
                  <w:vMerge w:val="continue"/>
                  <w:shd w:val="clear" w:color="auto" w:fill="auto"/>
                  <w:vAlign w:val="center"/>
                </w:tcPr>
                <w:p w14:paraId="338A7CC5">
                  <w:pPr>
                    <w:jc w:val="center"/>
                    <w:rPr>
                      <w:color w:val="auto"/>
                      <w:sz w:val="21"/>
                      <w:szCs w:val="21"/>
                    </w:rPr>
                  </w:pPr>
                </w:p>
              </w:tc>
              <w:tc>
                <w:tcPr>
                  <w:tcW w:w="371" w:type="pct"/>
                  <w:shd w:val="clear" w:color="auto" w:fill="auto"/>
                  <w:vAlign w:val="center"/>
                </w:tcPr>
                <w:p w14:paraId="1124A467">
                  <w:pPr>
                    <w:jc w:val="center"/>
                    <w:rPr>
                      <w:color w:val="auto"/>
                      <w:sz w:val="21"/>
                      <w:szCs w:val="21"/>
                    </w:rPr>
                  </w:pPr>
                  <w:r>
                    <w:rPr>
                      <w:color w:val="auto"/>
                      <w:sz w:val="21"/>
                      <w:szCs w:val="21"/>
                    </w:rPr>
                    <w:t>氮氧化物</w:t>
                  </w:r>
                </w:p>
              </w:tc>
              <w:tc>
                <w:tcPr>
                  <w:tcW w:w="436" w:type="pct"/>
                  <w:shd w:val="clear" w:color="auto" w:fill="auto"/>
                  <w:vAlign w:val="center"/>
                </w:tcPr>
                <w:p w14:paraId="79A76F36">
                  <w:pPr>
                    <w:jc w:val="center"/>
                    <w:rPr>
                      <w:color w:val="auto"/>
                      <w:sz w:val="21"/>
                      <w:szCs w:val="21"/>
                    </w:rPr>
                  </w:pPr>
                  <w:r>
                    <w:rPr>
                      <w:color w:val="auto"/>
                      <w:sz w:val="21"/>
                      <w:szCs w:val="21"/>
                    </w:rPr>
                    <w:t>0.04</w:t>
                  </w:r>
                </w:p>
              </w:tc>
              <w:tc>
                <w:tcPr>
                  <w:tcW w:w="350" w:type="pct"/>
                  <w:shd w:val="clear" w:color="auto" w:fill="auto"/>
                  <w:vAlign w:val="center"/>
                </w:tcPr>
                <w:p w14:paraId="63928370">
                  <w:pPr>
                    <w:jc w:val="center"/>
                    <w:rPr>
                      <w:color w:val="auto"/>
                      <w:sz w:val="21"/>
                      <w:szCs w:val="21"/>
                    </w:rPr>
                  </w:pPr>
                  <w:r>
                    <w:rPr>
                      <w:color w:val="auto"/>
                      <w:sz w:val="21"/>
                      <w:szCs w:val="21"/>
                    </w:rPr>
                    <w:t>0.32</w:t>
                  </w:r>
                </w:p>
              </w:tc>
              <w:tc>
                <w:tcPr>
                  <w:tcW w:w="531" w:type="pct"/>
                  <w:vMerge w:val="continue"/>
                  <w:shd w:val="clear" w:color="auto" w:fill="auto"/>
                  <w:vAlign w:val="center"/>
                </w:tcPr>
                <w:p w14:paraId="53B1C6E5">
                  <w:pPr>
                    <w:jc w:val="center"/>
                    <w:rPr>
                      <w:color w:val="auto"/>
                      <w:sz w:val="21"/>
                      <w:szCs w:val="21"/>
                    </w:rPr>
                  </w:pPr>
                </w:p>
              </w:tc>
              <w:tc>
                <w:tcPr>
                  <w:tcW w:w="338" w:type="pct"/>
                  <w:shd w:val="clear" w:color="auto" w:fill="auto"/>
                  <w:vAlign w:val="center"/>
                </w:tcPr>
                <w:p w14:paraId="70728D29">
                  <w:pPr>
                    <w:jc w:val="center"/>
                    <w:rPr>
                      <w:color w:val="auto"/>
                      <w:sz w:val="21"/>
                      <w:szCs w:val="21"/>
                    </w:rPr>
                  </w:pPr>
                  <w:r>
                    <w:rPr>
                      <w:color w:val="auto"/>
                      <w:sz w:val="21"/>
                      <w:szCs w:val="21"/>
                    </w:rPr>
                    <w:t>/</w:t>
                  </w:r>
                </w:p>
              </w:tc>
              <w:tc>
                <w:tcPr>
                  <w:tcW w:w="527" w:type="pct"/>
                  <w:vMerge w:val="continue"/>
                  <w:shd w:val="clear" w:color="auto" w:fill="auto"/>
                  <w:vAlign w:val="center"/>
                </w:tcPr>
                <w:p w14:paraId="69040A66">
                  <w:pPr>
                    <w:jc w:val="center"/>
                    <w:rPr>
                      <w:color w:val="auto"/>
                      <w:sz w:val="21"/>
                      <w:szCs w:val="21"/>
                    </w:rPr>
                  </w:pPr>
                </w:p>
              </w:tc>
              <w:tc>
                <w:tcPr>
                  <w:tcW w:w="282" w:type="pct"/>
                  <w:vMerge w:val="continue"/>
                  <w:shd w:val="clear" w:color="auto" w:fill="auto"/>
                  <w:vAlign w:val="center"/>
                </w:tcPr>
                <w:p w14:paraId="7CF04DCD">
                  <w:pPr>
                    <w:jc w:val="center"/>
                    <w:rPr>
                      <w:color w:val="auto"/>
                      <w:sz w:val="21"/>
                      <w:szCs w:val="21"/>
                    </w:rPr>
                  </w:pPr>
                </w:p>
              </w:tc>
              <w:tc>
                <w:tcPr>
                  <w:tcW w:w="301" w:type="pct"/>
                  <w:gridSpan w:val="2"/>
                  <w:vMerge w:val="continue"/>
                  <w:shd w:val="clear" w:color="auto" w:fill="auto"/>
                  <w:vAlign w:val="center"/>
                </w:tcPr>
                <w:p w14:paraId="2A535762">
                  <w:pPr>
                    <w:jc w:val="center"/>
                    <w:rPr>
                      <w:color w:val="auto"/>
                      <w:sz w:val="21"/>
                      <w:szCs w:val="21"/>
                    </w:rPr>
                  </w:pPr>
                </w:p>
              </w:tc>
              <w:tc>
                <w:tcPr>
                  <w:tcW w:w="436" w:type="pct"/>
                  <w:vMerge w:val="continue"/>
                  <w:shd w:val="clear" w:color="auto" w:fill="auto"/>
                  <w:vAlign w:val="center"/>
                </w:tcPr>
                <w:p w14:paraId="47511009">
                  <w:pPr>
                    <w:jc w:val="center"/>
                    <w:rPr>
                      <w:color w:val="auto"/>
                      <w:sz w:val="21"/>
                      <w:szCs w:val="21"/>
                    </w:rPr>
                  </w:pPr>
                </w:p>
              </w:tc>
              <w:tc>
                <w:tcPr>
                  <w:tcW w:w="350" w:type="pct"/>
                  <w:vMerge w:val="continue"/>
                  <w:shd w:val="clear" w:color="auto" w:fill="auto"/>
                  <w:vAlign w:val="center"/>
                </w:tcPr>
                <w:p w14:paraId="5E3F539D">
                  <w:pPr>
                    <w:jc w:val="center"/>
                    <w:rPr>
                      <w:color w:val="auto"/>
                      <w:sz w:val="21"/>
                      <w:szCs w:val="21"/>
                    </w:rPr>
                  </w:pPr>
                </w:p>
              </w:tc>
              <w:tc>
                <w:tcPr>
                  <w:tcW w:w="289" w:type="pct"/>
                  <w:vMerge w:val="continue"/>
                  <w:shd w:val="clear" w:color="auto" w:fill="auto"/>
                  <w:vAlign w:val="center"/>
                </w:tcPr>
                <w:p w14:paraId="36B1DEC6">
                  <w:pPr>
                    <w:jc w:val="center"/>
                    <w:rPr>
                      <w:color w:val="auto"/>
                      <w:sz w:val="21"/>
                      <w:szCs w:val="21"/>
                    </w:rPr>
                  </w:pPr>
                </w:p>
              </w:tc>
            </w:tr>
            <w:tr w14:paraId="0B48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 w:type="pct"/>
                  <w:shd w:val="clear" w:color="auto" w:fill="auto"/>
                  <w:vAlign w:val="center"/>
                </w:tcPr>
                <w:p w14:paraId="424E4FA3">
                  <w:pPr>
                    <w:jc w:val="center"/>
                    <w:rPr>
                      <w:color w:val="auto"/>
                      <w:lang w:val="en-US" w:eastAsia="en-US"/>
                    </w:rPr>
                  </w:pPr>
                  <w:r>
                    <w:rPr>
                      <w:color w:val="auto"/>
                    </w:rPr>
                    <w:t>1#模压粘结磁生产车间</w:t>
                  </w:r>
                </w:p>
              </w:tc>
              <w:tc>
                <w:tcPr>
                  <w:tcW w:w="337" w:type="pct"/>
                  <w:shd w:val="clear" w:color="auto" w:fill="auto"/>
                  <w:vAlign w:val="center"/>
                </w:tcPr>
                <w:p w14:paraId="14FFC6B6">
                  <w:pPr>
                    <w:jc w:val="center"/>
                    <w:rPr>
                      <w:color w:val="auto"/>
                      <w:lang w:val="en-US" w:eastAsia="en-US"/>
                    </w:rPr>
                  </w:pPr>
                  <w:r>
                    <w:rPr>
                      <w:color w:val="auto"/>
                    </w:rPr>
                    <w:t>筛分废气、混粉废气、抛光废气</w:t>
                  </w:r>
                </w:p>
              </w:tc>
              <w:tc>
                <w:tcPr>
                  <w:tcW w:w="331" w:type="pct"/>
                  <w:shd w:val="clear" w:color="auto" w:fill="auto"/>
                  <w:vAlign w:val="center"/>
                </w:tcPr>
                <w:p w14:paraId="643CB728">
                  <w:pPr>
                    <w:jc w:val="center"/>
                    <w:rPr>
                      <w:color w:val="auto"/>
                      <w:lang w:val="en-US" w:eastAsia="en-US"/>
                    </w:rPr>
                  </w:pPr>
                  <w:r>
                    <w:rPr>
                      <w:color w:val="auto"/>
                    </w:rPr>
                    <w:t>DA003排气筒</w:t>
                  </w:r>
                </w:p>
              </w:tc>
              <w:tc>
                <w:tcPr>
                  <w:tcW w:w="371" w:type="pct"/>
                  <w:shd w:val="clear" w:color="auto" w:fill="auto"/>
                  <w:vAlign w:val="center"/>
                </w:tcPr>
                <w:p w14:paraId="55B2AB54">
                  <w:pPr>
                    <w:jc w:val="center"/>
                    <w:rPr>
                      <w:color w:val="auto"/>
                      <w:lang w:val="en-US" w:eastAsia="en-US"/>
                    </w:rPr>
                  </w:pPr>
                  <w:r>
                    <w:rPr>
                      <w:color w:val="auto"/>
                    </w:rPr>
                    <w:t>颗粒物</w:t>
                  </w:r>
                </w:p>
              </w:tc>
              <w:tc>
                <w:tcPr>
                  <w:tcW w:w="436" w:type="pct"/>
                  <w:shd w:val="clear" w:color="auto" w:fill="auto"/>
                  <w:vAlign w:val="center"/>
                </w:tcPr>
                <w:p w14:paraId="4C160859">
                  <w:pPr>
                    <w:jc w:val="center"/>
                    <w:rPr>
                      <w:color w:val="auto"/>
                      <w:lang w:val="en-US" w:eastAsia="zh-CN"/>
                    </w:rPr>
                  </w:pPr>
                  <w:r>
                    <w:rPr>
                      <w:color w:val="auto"/>
                    </w:rPr>
                    <w:t>2.43</w:t>
                  </w:r>
                </w:p>
              </w:tc>
              <w:tc>
                <w:tcPr>
                  <w:tcW w:w="350" w:type="pct"/>
                  <w:shd w:val="clear" w:color="auto" w:fill="auto"/>
                  <w:vAlign w:val="center"/>
                </w:tcPr>
                <w:p w14:paraId="3627074E">
                  <w:pPr>
                    <w:jc w:val="center"/>
                    <w:rPr>
                      <w:color w:val="auto"/>
                      <w:lang w:val="en-US" w:eastAsia="zh-CN"/>
                    </w:rPr>
                  </w:pPr>
                  <w:r>
                    <w:rPr>
                      <w:color w:val="auto"/>
                    </w:rPr>
                    <w:t>20.39</w:t>
                  </w:r>
                </w:p>
              </w:tc>
              <w:tc>
                <w:tcPr>
                  <w:tcW w:w="531" w:type="pct"/>
                  <w:shd w:val="clear" w:color="auto" w:fill="auto"/>
                  <w:vAlign w:val="center"/>
                </w:tcPr>
                <w:p w14:paraId="74BF7A65">
                  <w:pPr>
                    <w:jc w:val="center"/>
                    <w:rPr>
                      <w:color w:val="auto"/>
                      <w:lang w:val="en-US" w:eastAsia="en-US"/>
                    </w:rPr>
                  </w:pPr>
                  <w:r>
                    <w:rPr>
                      <w:color w:val="auto"/>
                    </w:rPr>
                    <w:t>布袋除尘器（TA003）</w:t>
                  </w:r>
                </w:p>
              </w:tc>
              <w:tc>
                <w:tcPr>
                  <w:tcW w:w="338" w:type="pct"/>
                  <w:shd w:val="clear" w:color="auto" w:fill="auto"/>
                  <w:vAlign w:val="center"/>
                </w:tcPr>
                <w:p w14:paraId="6E71CC23">
                  <w:pPr>
                    <w:jc w:val="center"/>
                    <w:rPr>
                      <w:color w:val="auto"/>
                      <w:lang w:val="en-US" w:eastAsia="zh-CN"/>
                    </w:rPr>
                  </w:pPr>
                  <w:r>
                    <w:rPr>
                      <w:color w:val="auto"/>
                    </w:rPr>
                    <w:t>99</w:t>
                  </w:r>
                </w:p>
              </w:tc>
              <w:tc>
                <w:tcPr>
                  <w:tcW w:w="527" w:type="pct"/>
                  <w:shd w:val="clear" w:color="auto" w:fill="auto"/>
                  <w:vAlign w:val="center"/>
                </w:tcPr>
                <w:p w14:paraId="52F9AB44">
                  <w:pPr>
                    <w:jc w:val="center"/>
                    <w:rPr>
                      <w:color w:val="auto"/>
                      <w:lang w:val="en-US" w:eastAsia="zh-CN"/>
                    </w:rPr>
                  </w:pPr>
                  <w:r>
                    <w:rPr>
                      <w:color w:val="auto"/>
                    </w:rPr>
                    <w:t>9000</w:t>
                  </w:r>
                </w:p>
              </w:tc>
              <w:tc>
                <w:tcPr>
                  <w:tcW w:w="583" w:type="pct"/>
                  <w:gridSpan w:val="3"/>
                  <w:shd w:val="clear" w:color="auto" w:fill="auto"/>
                  <w:vAlign w:val="center"/>
                </w:tcPr>
                <w:p w14:paraId="705920B8">
                  <w:pPr>
                    <w:jc w:val="center"/>
                    <w:rPr>
                      <w:color w:val="auto"/>
                      <w:lang w:val="en-US" w:eastAsia="zh-CN"/>
                    </w:rPr>
                  </w:pPr>
                  <w:r>
                    <w:rPr>
                      <w:color w:val="auto"/>
                    </w:rPr>
                    <w:t>2.8</w:t>
                  </w:r>
                </w:p>
              </w:tc>
              <w:tc>
                <w:tcPr>
                  <w:tcW w:w="436" w:type="pct"/>
                  <w:shd w:val="clear" w:color="auto" w:fill="auto"/>
                  <w:vAlign w:val="center"/>
                </w:tcPr>
                <w:p w14:paraId="11C6408C">
                  <w:pPr>
                    <w:jc w:val="center"/>
                    <w:rPr>
                      <w:rFonts w:ascii="Times New Roman" w:hAnsi="Times New Roman" w:eastAsia="宋体" w:cs="Times New Roman"/>
                      <w:color w:val="auto"/>
                      <w:kern w:val="2"/>
                      <w:sz w:val="21"/>
                      <w:szCs w:val="24"/>
                      <w:lang w:val="en-US" w:eastAsia="zh-CN" w:bidi="ar-SA"/>
                    </w:rPr>
                  </w:pPr>
                  <w:r>
                    <w:rPr>
                      <w:color w:val="auto"/>
                    </w:rPr>
                    <w:t>0.03</w:t>
                  </w:r>
                </w:p>
              </w:tc>
              <w:tc>
                <w:tcPr>
                  <w:tcW w:w="350" w:type="pct"/>
                  <w:shd w:val="clear" w:color="auto" w:fill="auto"/>
                  <w:vAlign w:val="center"/>
                </w:tcPr>
                <w:p w14:paraId="49CEF171">
                  <w:pPr>
                    <w:jc w:val="center"/>
                    <w:rPr>
                      <w:rFonts w:ascii="Times New Roman" w:hAnsi="Times New Roman" w:eastAsia="宋体" w:cs="Times New Roman"/>
                      <w:color w:val="auto"/>
                      <w:kern w:val="2"/>
                      <w:sz w:val="21"/>
                      <w:szCs w:val="24"/>
                      <w:lang w:val="en-US" w:eastAsia="zh-CN" w:bidi="ar-SA"/>
                    </w:rPr>
                  </w:pPr>
                  <w:r>
                    <w:rPr>
                      <w:color w:val="auto"/>
                    </w:rPr>
                    <w:t>0.21</w:t>
                  </w:r>
                </w:p>
              </w:tc>
              <w:tc>
                <w:tcPr>
                  <w:tcW w:w="289" w:type="pct"/>
                  <w:shd w:val="clear" w:color="auto" w:fill="auto"/>
                  <w:vAlign w:val="center"/>
                </w:tcPr>
                <w:p w14:paraId="19A2504E">
                  <w:pPr>
                    <w:jc w:val="center"/>
                    <w:rPr>
                      <w:rFonts w:ascii="Times New Roman" w:hAnsi="Times New Roman" w:eastAsia="宋体" w:cs="Times New Roman"/>
                      <w:color w:val="auto"/>
                      <w:kern w:val="2"/>
                      <w:sz w:val="21"/>
                      <w:szCs w:val="24"/>
                      <w:lang w:val="en-US" w:eastAsia="zh-CN" w:bidi="ar-SA"/>
                    </w:rPr>
                  </w:pPr>
                  <w:r>
                    <w:rPr>
                      <w:color w:val="auto"/>
                    </w:rPr>
                    <w:t>8400</w:t>
                  </w:r>
                </w:p>
              </w:tc>
            </w:tr>
            <w:tr w14:paraId="7513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01629C04">
                  <w:pPr>
                    <w:jc w:val="center"/>
                    <w:rPr>
                      <w:color w:val="auto"/>
                      <w:lang w:val="en-US" w:eastAsia="en-US"/>
                    </w:rPr>
                  </w:pPr>
                  <w:r>
                    <w:rPr>
                      <w:color w:val="auto"/>
                    </w:rPr>
                    <w:t>2#模压粘结磁生产车间</w:t>
                  </w:r>
                </w:p>
              </w:tc>
              <w:tc>
                <w:tcPr>
                  <w:tcW w:w="337" w:type="pct"/>
                  <w:shd w:val="clear" w:color="auto" w:fill="auto"/>
                  <w:vAlign w:val="center"/>
                </w:tcPr>
                <w:p w14:paraId="14D6E6E6">
                  <w:pPr>
                    <w:jc w:val="center"/>
                    <w:rPr>
                      <w:color w:val="auto"/>
                      <w:lang w:val="en-US" w:eastAsia="en-US"/>
                    </w:rPr>
                  </w:pPr>
                  <w:r>
                    <w:rPr>
                      <w:color w:val="auto"/>
                    </w:rPr>
                    <w:t>筛分废气、混粉废气、抛光废气</w:t>
                  </w:r>
                </w:p>
              </w:tc>
              <w:tc>
                <w:tcPr>
                  <w:tcW w:w="331" w:type="pct"/>
                  <w:shd w:val="clear" w:color="auto" w:fill="auto"/>
                  <w:vAlign w:val="center"/>
                </w:tcPr>
                <w:p w14:paraId="5531DB73">
                  <w:pPr>
                    <w:jc w:val="center"/>
                    <w:rPr>
                      <w:color w:val="auto"/>
                      <w:lang w:val="en-US" w:eastAsia="en-US"/>
                    </w:rPr>
                  </w:pPr>
                  <w:r>
                    <w:rPr>
                      <w:color w:val="auto"/>
                    </w:rPr>
                    <w:t>DA004排气筒</w:t>
                  </w:r>
                </w:p>
              </w:tc>
              <w:tc>
                <w:tcPr>
                  <w:tcW w:w="371" w:type="pct"/>
                  <w:shd w:val="clear" w:color="auto" w:fill="auto"/>
                  <w:vAlign w:val="center"/>
                </w:tcPr>
                <w:p w14:paraId="31C3A45F">
                  <w:pPr>
                    <w:jc w:val="center"/>
                    <w:rPr>
                      <w:color w:val="auto"/>
                      <w:lang w:val="en-US" w:eastAsia="en-US"/>
                    </w:rPr>
                  </w:pPr>
                  <w:r>
                    <w:rPr>
                      <w:color w:val="auto"/>
                    </w:rPr>
                    <w:t>颗粒物</w:t>
                  </w:r>
                </w:p>
              </w:tc>
              <w:tc>
                <w:tcPr>
                  <w:tcW w:w="436" w:type="pct"/>
                  <w:shd w:val="clear" w:color="auto" w:fill="auto"/>
                  <w:vAlign w:val="center"/>
                </w:tcPr>
                <w:p w14:paraId="3E902E30">
                  <w:pPr>
                    <w:jc w:val="center"/>
                    <w:rPr>
                      <w:color w:val="auto"/>
                      <w:lang w:val="en-US" w:eastAsia="zh-CN"/>
                    </w:rPr>
                  </w:pPr>
                  <w:r>
                    <w:rPr>
                      <w:color w:val="auto"/>
                    </w:rPr>
                    <w:t>0.81</w:t>
                  </w:r>
                </w:p>
              </w:tc>
              <w:tc>
                <w:tcPr>
                  <w:tcW w:w="350" w:type="pct"/>
                  <w:shd w:val="clear" w:color="auto" w:fill="auto"/>
                  <w:vAlign w:val="center"/>
                </w:tcPr>
                <w:p w14:paraId="16ABA0F5">
                  <w:pPr>
                    <w:jc w:val="center"/>
                    <w:rPr>
                      <w:color w:val="auto"/>
                      <w:lang w:val="en-US" w:eastAsia="zh-CN"/>
                    </w:rPr>
                  </w:pPr>
                  <w:r>
                    <w:rPr>
                      <w:color w:val="auto"/>
                    </w:rPr>
                    <w:t>6.8</w:t>
                  </w:r>
                </w:p>
              </w:tc>
              <w:tc>
                <w:tcPr>
                  <w:tcW w:w="531" w:type="pct"/>
                  <w:shd w:val="clear" w:color="auto" w:fill="auto"/>
                  <w:vAlign w:val="center"/>
                </w:tcPr>
                <w:p w14:paraId="436EDA77">
                  <w:pPr>
                    <w:jc w:val="center"/>
                    <w:rPr>
                      <w:color w:val="auto"/>
                      <w:lang w:val="en-US" w:eastAsia="en-US"/>
                    </w:rPr>
                  </w:pPr>
                  <w:r>
                    <w:rPr>
                      <w:color w:val="auto"/>
                    </w:rPr>
                    <w:t>布袋除尘器（TA004）</w:t>
                  </w:r>
                </w:p>
              </w:tc>
              <w:tc>
                <w:tcPr>
                  <w:tcW w:w="338" w:type="pct"/>
                  <w:shd w:val="clear" w:color="auto" w:fill="auto"/>
                  <w:vAlign w:val="center"/>
                </w:tcPr>
                <w:p w14:paraId="5E0F9A15">
                  <w:pPr>
                    <w:jc w:val="center"/>
                    <w:rPr>
                      <w:color w:val="auto"/>
                      <w:lang w:val="en-US" w:eastAsia="zh-CN"/>
                    </w:rPr>
                  </w:pPr>
                  <w:r>
                    <w:rPr>
                      <w:color w:val="auto"/>
                    </w:rPr>
                    <w:t>99</w:t>
                  </w:r>
                </w:p>
              </w:tc>
              <w:tc>
                <w:tcPr>
                  <w:tcW w:w="527" w:type="pct"/>
                  <w:shd w:val="clear" w:color="auto" w:fill="auto"/>
                  <w:vAlign w:val="center"/>
                </w:tcPr>
                <w:p w14:paraId="323B89C4">
                  <w:pPr>
                    <w:jc w:val="center"/>
                    <w:rPr>
                      <w:color w:val="auto"/>
                      <w:lang w:val="en-US" w:eastAsia="zh-CN"/>
                    </w:rPr>
                  </w:pPr>
                  <w:r>
                    <w:rPr>
                      <w:color w:val="auto"/>
                    </w:rPr>
                    <w:t>3000</w:t>
                  </w:r>
                </w:p>
              </w:tc>
              <w:tc>
                <w:tcPr>
                  <w:tcW w:w="583" w:type="pct"/>
                  <w:gridSpan w:val="3"/>
                  <w:shd w:val="clear" w:color="auto" w:fill="auto"/>
                  <w:vAlign w:val="center"/>
                </w:tcPr>
                <w:p w14:paraId="626AE907">
                  <w:pPr>
                    <w:jc w:val="center"/>
                    <w:rPr>
                      <w:color w:val="auto"/>
                      <w:lang w:val="en-US" w:eastAsia="zh-CN"/>
                    </w:rPr>
                  </w:pPr>
                  <w:r>
                    <w:rPr>
                      <w:color w:val="auto"/>
                    </w:rPr>
                    <w:t>2.8</w:t>
                  </w:r>
                </w:p>
              </w:tc>
              <w:tc>
                <w:tcPr>
                  <w:tcW w:w="436" w:type="pct"/>
                  <w:shd w:val="clear" w:color="auto" w:fill="auto"/>
                  <w:vAlign w:val="center"/>
                </w:tcPr>
                <w:p w14:paraId="78AE4FC8">
                  <w:pPr>
                    <w:jc w:val="center"/>
                    <w:rPr>
                      <w:rFonts w:ascii="Times New Roman" w:hAnsi="Times New Roman" w:eastAsia="宋体" w:cs="Times New Roman"/>
                      <w:color w:val="auto"/>
                      <w:kern w:val="2"/>
                      <w:sz w:val="21"/>
                      <w:szCs w:val="24"/>
                      <w:lang w:val="en-US" w:eastAsia="zh-CN" w:bidi="ar-SA"/>
                    </w:rPr>
                  </w:pPr>
                  <w:r>
                    <w:rPr>
                      <w:color w:val="auto"/>
                    </w:rPr>
                    <w:t>0.01</w:t>
                  </w:r>
                </w:p>
              </w:tc>
              <w:tc>
                <w:tcPr>
                  <w:tcW w:w="350" w:type="pct"/>
                  <w:shd w:val="clear" w:color="auto" w:fill="auto"/>
                  <w:vAlign w:val="center"/>
                </w:tcPr>
                <w:p w14:paraId="5DC479E3">
                  <w:pPr>
                    <w:jc w:val="center"/>
                    <w:rPr>
                      <w:rFonts w:ascii="Times New Roman" w:hAnsi="Times New Roman" w:eastAsia="宋体" w:cs="Times New Roman"/>
                      <w:color w:val="auto"/>
                      <w:kern w:val="2"/>
                      <w:sz w:val="21"/>
                      <w:szCs w:val="24"/>
                      <w:lang w:val="en-US" w:eastAsia="zh-CN" w:bidi="ar-SA"/>
                    </w:rPr>
                  </w:pPr>
                  <w:r>
                    <w:rPr>
                      <w:color w:val="auto"/>
                    </w:rPr>
                    <w:t>0.07</w:t>
                  </w:r>
                </w:p>
              </w:tc>
              <w:tc>
                <w:tcPr>
                  <w:tcW w:w="289" w:type="pct"/>
                  <w:shd w:val="clear" w:color="auto" w:fill="auto"/>
                  <w:vAlign w:val="center"/>
                </w:tcPr>
                <w:p w14:paraId="2E4A85F9">
                  <w:pPr>
                    <w:jc w:val="center"/>
                    <w:rPr>
                      <w:rFonts w:ascii="Times New Roman" w:hAnsi="Times New Roman" w:eastAsia="宋体" w:cs="Times New Roman"/>
                      <w:color w:val="auto"/>
                      <w:kern w:val="2"/>
                      <w:sz w:val="21"/>
                      <w:szCs w:val="24"/>
                      <w:lang w:val="en-US" w:eastAsia="zh-CN" w:bidi="ar-SA"/>
                    </w:rPr>
                  </w:pPr>
                  <w:r>
                    <w:rPr>
                      <w:color w:val="auto"/>
                    </w:rPr>
                    <w:t>8400</w:t>
                  </w:r>
                </w:p>
              </w:tc>
            </w:tr>
            <w:tr w14:paraId="2F78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restart"/>
                  <w:shd w:val="clear" w:color="auto" w:fill="auto"/>
                  <w:vAlign w:val="center"/>
                </w:tcPr>
                <w:p w14:paraId="6FA15E8B">
                  <w:pPr>
                    <w:jc w:val="center"/>
                    <w:rPr>
                      <w:color w:val="auto"/>
                      <w:lang w:val="en-US" w:eastAsia="en-US"/>
                    </w:rPr>
                  </w:pPr>
                  <w:r>
                    <w:rPr>
                      <w:color w:val="auto"/>
                    </w:rPr>
                    <w:t>1#电镀车间</w:t>
                  </w:r>
                </w:p>
              </w:tc>
              <w:tc>
                <w:tcPr>
                  <w:tcW w:w="337" w:type="pct"/>
                  <w:vMerge w:val="restart"/>
                  <w:shd w:val="clear" w:color="auto" w:fill="auto"/>
                  <w:vAlign w:val="center"/>
                </w:tcPr>
                <w:p w14:paraId="125F5276">
                  <w:pPr>
                    <w:jc w:val="center"/>
                    <w:rPr>
                      <w:color w:val="auto"/>
                    </w:rPr>
                  </w:pPr>
                  <w:r>
                    <w:rPr>
                      <w:color w:val="auto"/>
                    </w:rPr>
                    <w:t>半自动滚镀锌/锌镍合金线</w:t>
                  </w:r>
                </w:p>
                <w:p w14:paraId="7A21A70D">
                  <w:pPr>
                    <w:jc w:val="center"/>
                    <w:rPr>
                      <w:color w:val="auto"/>
                    </w:rPr>
                  </w:pPr>
                  <w:r>
                    <w:rPr>
                      <w:color w:val="auto"/>
                    </w:rPr>
                    <w:t>（4条）、全自动挂镀锌线</w:t>
                  </w:r>
                </w:p>
                <w:p w14:paraId="1AA3D119">
                  <w:pPr>
                    <w:jc w:val="center"/>
                    <w:rPr>
                      <w:color w:val="auto"/>
                      <w:lang w:val="en-US" w:eastAsia="en-US"/>
                    </w:rPr>
                  </w:pPr>
                  <w:r>
                    <w:rPr>
                      <w:color w:val="auto"/>
                    </w:rPr>
                    <w:t>（3条）</w:t>
                  </w:r>
                </w:p>
              </w:tc>
              <w:tc>
                <w:tcPr>
                  <w:tcW w:w="331" w:type="pct"/>
                  <w:vMerge w:val="restart"/>
                  <w:shd w:val="clear" w:color="auto" w:fill="auto"/>
                  <w:vAlign w:val="center"/>
                </w:tcPr>
                <w:p w14:paraId="74D90DAC">
                  <w:pPr>
                    <w:jc w:val="center"/>
                    <w:rPr>
                      <w:color w:val="auto"/>
                      <w:lang w:val="en-US" w:eastAsia="en-US"/>
                    </w:rPr>
                  </w:pPr>
                  <w:r>
                    <w:rPr>
                      <w:color w:val="auto"/>
                    </w:rPr>
                    <w:t>DA005气筒</w:t>
                  </w:r>
                </w:p>
              </w:tc>
              <w:tc>
                <w:tcPr>
                  <w:tcW w:w="371" w:type="pct"/>
                  <w:shd w:val="clear" w:color="auto" w:fill="auto"/>
                  <w:vAlign w:val="center"/>
                </w:tcPr>
                <w:p w14:paraId="78154C4C">
                  <w:pPr>
                    <w:jc w:val="center"/>
                    <w:rPr>
                      <w:color w:val="auto"/>
                      <w:lang w:val="en-US" w:eastAsia="en-US"/>
                    </w:rPr>
                  </w:pPr>
                  <w:r>
                    <w:rPr>
                      <w:color w:val="auto"/>
                    </w:rPr>
                    <w:t>氮氧化物</w:t>
                  </w:r>
                </w:p>
              </w:tc>
              <w:tc>
                <w:tcPr>
                  <w:tcW w:w="436" w:type="pct"/>
                  <w:shd w:val="clear" w:color="auto" w:fill="auto"/>
                  <w:vAlign w:val="center"/>
                </w:tcPr>
                <w:p w14:paraId="730B6E17">
                  <w:pPr>
                    <w:jc w:val="center"/>
                    <w:rPr>
                      <w:color w:val="auto"/>
                      <w:lang w:val="en-US" w:eastAsia="zh-CN"/>
                    </w:rPr>
                  </w:pPr>
                  <w:r>
                    <w:rPr>
                      <w:color w:val="auto"/>
                    </w:rPr>
                    <w:t>0.02</w:t>
                  </w:r>
                </w:p>
              </w:tc>
              <w:tc>
                <w:tcPr>
                  <w:tcW w:w="350" w:type="pct"/>
                  <w:shd w:val="clear" w:color="auto" w:fill="auto"/>
                  <w:vAlign w:val="center"/>
                </w:tcPr>
                <w:p w14:paraId="78CD19A2">
                  <w:pPr>
                    <w:jc w:val="center"/>
                    <w:rPr>
                      <w:color w:val="auto"/>
                      <w:lang w:val="en-US" w:eastAsia="zh-CN"/>
                    </w:rPr>
                  </w:pPr>
                  <w:r>
                    <w:rPr>
                      <w:color w:val="auto"/>
                    </w:rPr>
                    <w:t>0.198</w:t>
                  </w:r>
                </w:p>
              </w:tc>
              <w:tc>
                <w:tcPr>
                  <w:tcW w:w="531" w:type="pct"/>
                  <w:vMerge w:val="restart"/>
                  <w:shd w:val="clear" w:color="auto" w:fill="auto"/>
                  <w:vAlign w:val="center"/>
                </w:tcPr>
                <w:p w14:paraId="2C26C85E">
                  <w:pPr>
                    <w:jc w:val="center"/>
                    <w:rPr>
                      <w:color w:val="auto"/>
                      <w:lang w:val="en-US" w:eastAsia="en-US"/>
                    </w:rPr>
                  </w:pPr>
                  <w:r>
                    <w:rPr>
                      <w:color w:val="auto"/>
                    </w:rPr>
                    <w:t>碱液喷淋塔（TA005）</w:t>
                  </w:r>
                </w:p>
              </w:tc>
              <w:tc>
                <w:tcPr>
                  <w:tcW w:w="338" w:type="pct"/>
                  <w:shd w:val="clear" w:color="auto" w:fill="auto"/>
                  <w:vAlign w:val="center"/>
                </w:tcPr>
                <w:p w14:paraId="7B11EF6E">
                  <w:pPr>
                    <w:jc w:val="center"/>
                    <w:rPr>
                      <w:color w:val="auto"/>
                      <w:lang w:val="en-US" w:eastAsia="zh-CN"/>
                    </w:rPr>
                  </w:pPr>
                  <w:r>
                    <w:rPr>
                      <w:color w:val="auto"/>
                    </w:rPr>
                    <w:t>90</w:t>
                  </w:r>
                </w:p>
              </w:tc>
              <w:tc>
                <w:tcPr>
                  <w:tcW w:w="527" w:type="pct"/>
                  <w:vMerge w:val="restart"/>
                  <w:shd w:val="clear" w:color="auto" w:fill="auto"/>
                  <w:vAlign w:val="center"/>
                </w:tcPr>
                <w:p w14:paraId="3968A307">
                  <w:pPr>
                    <w:jc w:val="center"/>
                    <w:rPr>
                      <w:color w:val="auto"/>
                      <w:lang w:val="en-US" w:eastAsia="zh-CN"/>
                    </w:rPr>
                  </w:pPr>
                  <w:r>
                    <w:rPr>
                      <w:color w:val="auto"/>
                    </w:rPr>
                    <w:t>3000</w:t>
                  </w:r>
                </w:p>
              </w:tc>
              <w:tc>
                <w:tcPr>
                  <w:tcW w:w="583" w:type="pct"/>
                  <w:gridSpan w:val="3"/>
                  <w:shd w:val="clear" w:color="auto" w:fill="auto"/>
                  <w:vAlign w:val="center"/>
                </w:tcPr>
                <w:p w14:paraId="514341F2">
                  <w:pPr>
                    <w:jc w:val="center"/>
                    <w:rPr>
                      <w:color w:val="auto"/>
                      <w:lang w:val="en-US" w:eastAsia="zh-CN"/>
                    </w:rPr>
                  </w:pPr>
                  <w:r>
                    <w:rPr>
                      <w:color w:val="auto"/>
                    </w:rPr>
                    <w:t>0.8</w:t>
                  </w:r>
                </w:p>
              </w:tc>
              <w:tc>
                <w:tcPr>
                  <w:tcW w:w="436" w:type="pct"/>
                  <w:shd w:val="clear" w:color="auto" w:fill="auto"/>
                  <w:vAlign w:val="center"/>
                </w:tcPr>
                <w:p w14:paraId="7C632A18">
                  <w:pPr>
                    <w:jc w:val="center"/>
                    <w:rPr>
                      <w:rFonts w:ascii="Times New Roman" w:hAnsi="Times New Roman" w:eastAsia="宋体" w:cs="Times New Roman"/>
                      <w:color w:val="auto"/>
                      <w:kern w:val="2"/>
                      <w:sz w:val="21"/>
                      <w:szCs w:val="24"/>
                      <w:lang w:val="en-US" w:eastAsia="zh-CN" w:bidi="ar-SA"/>
                    </w:rPr>
                  </w:pPr>
                  <w:r>
                    <w:rPr>
                      <w:color w:val="auto"/>
                    </w:rPr>
                    <w:t>0.002</w:t>
                  </w:r>
                </w:p>
              </w:tc>
              <w:tc>
                <w:tcPr>
                  <w:tcW w:w="350" w:type="pct"/>
                  <w:shd w:val="clear" w:color="auto" w:fill="auto"/>
                  <w:vAlign w:val="center"/>
                </w:tcPr>
                <w:p w14:paraId="7C9ED611">
                  <w:pPr>
                    <w:jc w:val="center"/>
                    <w:rPr>
                      <w:color w:val="auto"/>
                      <w:lang w:val="en-US" w:eastAsia="zh-CN"/>
                    </w:rPr>
                  </w:pPr>
                  <w:r>
                    <w:rPr>
                      <w:color w:val="auto"/>
                    </w:rPr>
                    <w:t>0.02</w:t>
                  </w:r>
                </w:p>
              </w:tc>
              <w:tc>
                <w:tcPr>
                  <w:tcW w:w="289" w:type="pct"/>
                  <w:vMerge w:val="restart"/>
                  <w:shd w:val="clear" w:color="auto" w:fill="auto"/>
                  <w:vAlign w:val="center"/>
                </w:tcPr>
                <w:p w14:paraId="7B7028E7">
                  <w:pPr>
                    <w:jc w:val="center"/>
                    <w:rPr>
                      <w:rFonts w:ascii="Times New Roman" w:hAnsi="Times New Roman" w:eastAsia="宋体" w:cs="Times New Roman"/>
                      <w:color w:val="auto"/>
                      <w:kern w:val="2"/>
                      <w:sz w:val="21"/>
                      <w:szCs w:val="24"/>
                      <w:lang w:val="en-US" w:eastAsia="zh-CN" w:bidi="ar-SA"/>
                    </w:rPr>
                  </w:pPr>
                  <w:r>
                    <w:rPr>
                      <w:color w:val="auto"/>
                    </w:rPr>
                    <w:t>8400</w:t>
                  </w:r>
                </w:p>
              </w:tc>
            </w:tr>
            <w:tr w14:paraId="7C3C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3C7B6636">
                  <w:pPr>
                    <w:jc w:val="center"/>
                    <w:rPr>
                      <w:color w:val="auto"/>
                    </w:rPr>
                  </w:pPr>
                </w:p>
              </w:tc>
              <w:tc>
                <w:tcPr>
                  <w:tcW w:w="337" w:type="pct"/>
                  <w:vMerge w:val="continue"/>
                  <w:shd w:val="clear" w:color="auto" w:fill="auto"/>
                  <w:vAlign w:val="center"/>
                </w:tcPr>
                <w:p w14:paraId="12037849">
                  <w:pPr>
                    <w:jc w:val="center"/>
                    <w:rPr>
                      <w:color w:val="auto"/>
                    </w:rPr>
                  </w:pPr>
                </w:p>
              </w:tc>
              <w:tc>
                <w:tcPr>
                  <w:tcW w:w="331" w:type="pct"/>
                  <w:vMerge w:val="continue"/>
                  <w:shd w:val="clear" w:color="auto" w:fill="auto"/>
                  <w:vAlign w:val="center"/>
                </w:tcPr>
                <w:p w14:paraId="1608C774">
                  <w:pPr>
                    <w:jc w:val="center"/>
                    <w:rPr>
                      <w:color w:val="auto"/>
                    </w:rPr>
                  </w:pPr>
                </w:p>
              </w:tc>
              <w:tc>
                <w:tcPr>
                  <w:tcW w:w="371" w:type="pct"/>
                  <w:shd w:val="clear" w:color="auto" w:fill="auto"/>
                  <w:vAlign w:val="center"/>
                </w:tcPr>
                <w:p w14:paraId="53A1AE9B">
                  <w:pPr>
                    <w:jc w:val="center"/>
                    <w:rPr>
                      <w:color w:val="auto"/>
                      <w:lang w:val="en-US" w:eastAsia="en-US"/>
                    </w:rPr>
                  </w:pPr>
                  <w:r>
                    <w:rPr>
                      <w:color w:val="auto"/>
                    </w:rPr>
                    <w:t>氯化氢</w:t>
                  </w:r>
                </w:p>
              </w:tc>
              <w:tc>
                <w:tcPr>
                  <w:tcW w:w="436" w:type="pct"/>
                  <w:shd w:val="clear" w:color="auto" w:fill="auto"/>
                  <w:vAlign w:val="center"/>
                </w:tcPr>
                <w:p w14:paraId="6912411D">
                  <w:pPr>
                    <w:jc w:val="center"/>
                    <w:rPr>
                      <w:color w:val="auto"/>
                      <w:lang w:val="en-US" w:eastAsia="zh-CN"/>
                    </w:rPr>
                  </w:pPr>
                  <w:r>
                    <w:rPr>
                      <w:color w:val="auto"/>
                    </w:rPr>
                    <w:t>0.003</w:t>
                  </w:r>
                </w:p>
              </w:tc>
              <w:tc>
                <w:tcPr>
                  <w:tcW w:w="350" w:type="pct"/>
                  <w:shd w:val="clear" w:color="auto" w:fill="auto"/>
                  <w:vAlign w:val="center"/>
                </w:tcPr>
                <w:p w14:paraId="6DCEF7DD">
                  <w:pPr>
                    <w:jc w:val="center"/>
                    <w:rPr>
                      <w:color w:val="auto"/>
                      <w:lang w:val="en-US" w:eastAsia="zh-CN"/>
                    </w:rPr>
                  </w:pPr>
                  <w:r>
                    <w:rPr>
                      <w:color w:val="auto"/>
                    </w:rPr>
                    <w:t>0.0234</w:t>
                  </w:r>
                </w:p>
              </w:tc>
              <w:tc>
                <w:tcPr>
                  <w:tcW w:w="531" w:type="pct"/>
                  <w:vMerge w:val="continue"/>
                  <w:shd w:val="clear" w:color="auto" w:fill="auto"/>
                  <w:vAlign w:val="center"/>
                </w:tcPr>
                <w:p w14:paraId="330FC077">
                  <w:pPr>
                    <w:jc w:val="center"/>
                    <w:rPr>
                      <w:color w:val="auto"/>
                    </w:rPr>
                  </w:pPr>
                </w:p>
              </w:tc>
              <w:tc>
                <w:tcPr>
                  <w:tcW w:w="338" w:type="pct"/>
                  <w:shd w:val="clear" w:color="auto" w:fill="auto"/>
                  <w:vAlign w:val="center"/>
                </w:tcPr>
                <w:p w14:paraId="7817A5A8">
                  <w:pPr>
                    <w:jc w:val="center"/>
                    <w:rPr>
                      <w:color w:val="auto"/>
                      <w:lang w:val="en-US" w:eastAsia="zh-CN"/>
                    </w:rPr>
                  </w:pPr>
                  <w:r>
                    <w:rPr>
                      <w:color w:val="auto"/>
                    </w:rPr>
                    <w:t>90</w:t>
                  </w:r>
                </w:p>
              </w:tc>
              <w:tc>
                <w:tcPr>
                  <w:tcW w:w="527" w:type="pct"/>
                  <w:vMerge w:val="continue"/>
                  <w:shd w:val="clear" w:color="auto" w:fill="auto"/>
                  <w:vAlign w:val="center"/>
                </w:tcPr>
                <w:p w14:paraId="15F94431">
                  <w:pPr>
                    <w:jc w:val="center"/>
                    <w:rPr>
                      <w:color w:val="auto"/>
                    </w:rPr>
                  </w:pPr>
                </w:p>
              </w:tc>
              <w:tc>
                <w:tcPr>
                  <w:tcW w:w="583" w:type="pct"/>
                  <w:gridSpan w:val="3"/>
                  <w:shd w:val="clear" w:color="auto" w:fill="auto"/>
                  <w:vAlign w:val="center"/>
                </w:tcPr>
                <w:p w14:paraId="20768C42">
                  <w:pPr>
                    <w:jc w:val="center"/>
                    <w:rPr>
                      <w:color w:val="auto"/>
                      <w:lang w:val="en-US" w:eastAsia="zh-CN"/>
                    </w:rPr>
                  </w:pPr>
                  <w:r>
                    <w:rPr>
                      <w:color w:val="auto"/>
                    </w:rPr>
                    <w:t>0.1</w:t>
                  </w:r>
                </w:p>
              </w:tc>
              <w:tc>
                <w:tcPr>
                  <w:tcW w:w="436" w:type="pct"/>
                  <w:shd w:val="clear" w:color="auto" w:fill="auto"/>
                  <w:vAlign w:val="center"/>
                </w:tcPr>
                <w:p w14:paraId="0624CA98">
                  <w:pPr>
                    <w:jc w:val="center"/>
                    <w:rPr>
                      <w:rFonts w:ascii="Times New Roman" w:hAnsi="Times New Roman" w:eastAsia="宋体" w:cs="Times New Roman"/>
                      <w:color w:val="auto"/>
                      <w:kern w:val="2"/>
                      <w:sz w:val="21"/>
                      <w:szCs w:val="24"/>
                      <w:lang w:val="en-US" w:eastAsia="zh-CN" w:bidi="ar-SA"/>
                    </w:rPr>
                  </w:pPr>
                  <w:r>
                    <w:rPr>
                      <w:color w:val="auto"/>
                    </w:rPr>
                    <w:t>0.0003</w:t>
                  </w:r>
                </w:p>
              </w:tc>
              <w:tc>
                <w:tcPr>
                  <w:tcW w:w="350" w:type="pct"/>
                  <w:shd w:val="clear" w:color="auto" w:fill="auto"/>
                  <w:vAlign w:val="center"/>
                </w:tcPr>
                <w:p w14:paraId="2C8B55C3">
                  <w:pPr>
                    <w:jc w:val="center"/>
                    <w:rPr>
                      <w:rFonts w:ascii="Times New Roman" w:hAnsi="Times New Roman" w:eastAsia="宋体" w:cs="Times New Roman"/>
                      <w:color w:val="auto"/>
                      <w:kern w:val="2"/>
                      <w:sz w:val="21"/>
                      <w:szCs w:val="24"/>
                      <w:lang w:val="en-US" w:eastAsia="zh-CN" w:bidi="ar-SA"/>
                    </w:rPr>
                  </w:pPr>
                  <w:r>
                    <w:rPr>
                      <w:color w:val="auto"/>
                    </w:rPr>
                    <w:t>0.002</w:t>
                  </w:r>
                </w:p>
              </w:tc>
              <w:tc>
                <w:tcPr>
                  <w:tcW w:w="289" w:type="pct"/>
                  <w:vMerge w:val="continue"/>
                  <w:shd w:val="clear" w:color="auto" w:fill="auto"/>
                  <w:vAlign w:val="center"/>
                </w:tcPr>
                <w:p w14:paraId="0516A273">
                  <w:pPr>
                    <w:jc w:val="center"/>
                    <w:rPr>
                      <w:color w:val="auto"/>
                      <w:sz w:val="21"/>
                      <w:szCs w:val="21"/>
                    </w:rPr>
                  </w:pPr>
                </w:p>
              </w:tc>
            </w:tr>
            <w:tr w14:paraId="3B00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4CB2BECD">
                  <w:pPr>
                    <w:jc w:val="center"/>
                    <w:rPr>
                      <w:color w:val="auto"/>
                      <w:lang w:val="en-US" w:eastAsia="en-US"/>
                    </w:rPr>
                  </w:pPr>
                  <w:r>
                    <w:rPr>
                      <w:color w:val="auto"/>
                    </w:rPr>
                    <w:t>3#电镀车间</w:t>
                  </w:r>
                </w:p>
              </w:tc>
              <w:tc>
                <w:tcPr>
                  <w:tcW w:w="337" w:type="pct"/>
                  <w:shd w:val="clear" w:color="auto" w:fill="auto"/>
                  <w:vAlign w:val="center"/>
                </w:tcPr>
                <w:p w14:paraId="660EEDCC">
                  <w:pPr>
                    <w:jc w:val="center"/>
                    <w:rPr>
                      <w:color w:val="auto"/>
                    </w:rPr>
                  </w:pPr>
                  <w:r>
                    <w:rPr>
                      <w:color w:val="auto"/>
                    </w:rPr>
                    <w:t>全自动滚镀镍铜镍+化学镀</w:t>
                  </w:r>
                </w:p>
                <w:p w14:paraId="1962176D">
                  <w:pPr>
                    <w:jc w:val="center"/>
                    <w:rPr>
                      <w:color w:val="auto"/>
                      <w:lang w:val="en-US" w:eastAsia="en-US"/>
                    </w:rPr>
                  </w:pPr>
                  <w:r>
                    <w:rPr>
                      <w:color w:val="auto"/>
                    </w:rPr>
                    <w:t>镍线（3条）、镀镍铜镍挂具退镀线（1条）</w:t>
                  </w:r>
                </w:p>
              </w:tc>
              <w:tc>
                <w:tcPr>
                  <w:tcW w:w="331" w:type="pct"/>
                  <w:shd w:val="clear" w:color="auto" w:fill="auto"/>
                  <w:vAlign w:val="center"/>
                </w:tcPr>
                <w:p w14:paraId="3381A015">
                  <w:pPr>
                    <w:jc w:val="center"/>
                    <w:rPr>
                      <w:color w:val="auto"/>
                      <w:lang w:val="en-US" w:eastAsia="en-US"/>
                    </w:rPr>
                  </w:pPr>
                  <w:r>
                    <w:rPr>
                      <w:color w:val="auto"/>
                    </w:rPr>
                    <w:t>DA006排气筒</w:t>
                  </w:r>
                </w:p>
              </w:tc>
              <w:tc>
                <w:tcPr>
                  <w:tcW w:w="371" w:type="pct"/>
                  <w:shd w:val="clear" w:color="auto" w:fill="auto"/>
                  <w:vAlign w:val="center"/>
                </w:tcPr>
                <w:p w14:paraId="0A706147">
                  <w:pPr>
                    <w:jc w:val="center"/>
                    <w:rPr>
                      <w:color w:val="auto"/>
                      <w:lang w:val="en-US" w:eastAsia="en-US"/>
                    </w:rPr>
                  </w:pPr>
                  <w:r>
                    <w:rPr>
                      <w:color w:val="auto"/>
                    </w:rPr>
                    <w:t>氮氧化物</w:t>
                  </w:r>
                </w:p>
              </w:tc>
              <w:tc>
                <w:tcPr>
                  <w:tcW w:w="436" w:type="pct"/>
                  <w:shd w:val="clear" w:color="auto" w:fill="auto"/>
                  <w:vAlign w:val="center"/>
                </w:tcPr>
                <w:p w14:paraId="1F48F5F6">
                  <w:pPr>
                    <w:jc w:val="center"/>
                    <w:rPr>
                      <w:color w:val="auto"/>
                      <w:lang w:val="en-US" w:eastAsia="zh-CN"/>
                    </w:rPr>
                  </w:pPr>
                  <w:r>
                    <w:rPr>
                      <w:color w:val="auto"/>
                    </w:rPr>
                    <w:t>1.36</w:t>
                  </w:r>
                </w:p>
              </w:tc>
              <w:tc>
                <w:tcPr>
                  <w:tcW w:w="350" w:type="pct"/>
                  <w:shd w:val="clear" w:color="auto" w:fill="auto"/>
                  <w:vAlign w:val="center"/>
                </w:tcPr>
                <w:p w14:paraId="4D90FC8B">
                  <w:pPr>
                    <w:jc w:val="center"/>
                    <w:rPr>
                      <w:color w:val="auto"/>
                      <w:lang w:val="en-US" w:eastAsia="zh-CN"/>
                    </w:rPr>
                  </w:pPr>
                  <w:r>
                    <w:rPr>
                      <w:color w:val="auto"/>
                    </w:rPr>
                    <w:t>5.117</w:t>
                  </w:r>
                </w:p>
              </w:tc>
              <w:tc>
                <w:tcPr>
                  <w:tcW w:w="531" w:type="pct"/>
                  <w:shd w:val="clear" w:color="auto" w:fill="auto"/>
                  <w:vAlign w:val="center"/>
                </w:tcPr>
                <w:p w14:paraId="31B3A507">
                  <w:pPr>
                    <w:jc w:val="center"/>
                    <w:rPr>
                      <w:color w:val="auto"/>
                      <w:lang w:val="en-US" w:eastAsia="en-US"/>
                    </w:rPr>
                  </w:pPr>
                  <w:r>
                    <w:rPr>
                      <w:color w:val="auto"/>
                    </w:rPr>
                    <w:t>碱液喷淋塔（TA006）</w:t>
                  </w:r>
                </w:p>
              </w:tc>
              <w:tc>
                <w:tcPr>
                  <w:tcW w:w="338" w:type="pct"/>
                  <w:shd w:val="clear" w:color="auto" w:fill="auto"/>
                  <w:vAlign w:val="center"/>
                </w:tcPr>
                <w:p w14:paraId="432BD8AE">
                  <w:pPr>
                    <w:jc w:val="center"/>
                    <w:rPr>
                      <w:color w:val="auto"/>
                      <w:lang w:val="en-US" w:eastAsia="zh-CN"/>
                    </w:rPr>
                  </w:pPr>
                  <w:r>
                    <w:rPr>
                      <w:color w:val="auto"/>
                    </w:rPr>
                    <w:t>90</w:t>
                  </w:r>
                </w:p>
              </w:tc>
              <w:tc>
                <w:tcPr>
                  <w:tcW w:w="527" w:type="pct"/>
                  <w:shd w:val="clear" w:color="auto" w:fill="auto"/>
                  <w:vAlign w:val="center"/>
                </w:tcPr>
                <w:p w14:paraId="736BA6E1">
                  <w:pPr>
                    <w:jc w:val="center"/>
                    <w:rPr>
                      <w:color w:val="auto"/>
                      <w:lang w:val="en-US" w:eastAsia="zh-CN"/>
                    </w:rPr>
                  </w:pPr>
                  <w:r>
                    <w:rPr>
                      <w:color w:val="auto"/>
                    </w:rPr>
                    <w:t>3000</w:t>
                  </w:r>
                </w:p>
              </w:tc>
              <w:tc>
                <w:tcPr>
                  <w:tcW w:w="583" w:type="pct"/>
                  <w:gridSpan w:val="3"/>
                  <w:shd w:val="clear" w:color="auto" w:fill="auto"/>
                  <w:vAlign w:val="center"/>
                </w:tcPr>
                <w:p w14:paraId="7995CA11">
                  <w:pPr>
                    <w:jc w:val="center"/>
                    <w:rPr>
                      <w:color w:val="auto"/>
                      <w:lang w:val="en-US" w:eastAsia="zh-CN"/>
                    </w:rPr>
                  </w:pPr>
                  <w:r>
                    <w:rPr>
                      <w:color w:val="auto"/>
                    </w:rPr>
                    <w:t>45.3</w:t>
                  </w:r>
                </w:p>
              </w:tc>
              <w:tc>
                <w:tcPr>
                  <w:tcW w:w="436" w:type="pct"/>
                  <w:shd w:val="clear" w:color="auto" w:fill="auto"/>
                  <w:vAlign w:val="center"/>
                </w:tcPr>
                <w:p w14:paraId="00FCE027">
                  <w:pPr>
                    <w:jc w:val="center"/>
                    <w:rPr>
                      <w:rFonts w:ascii="Times New Roman" w:hAnsi="Times New Roman" w:eastAsia="宋体" w:cs="Times New Roman"/>
                      <w:color w:val="auto"/>
                      <w:kern w:val="2"/>
                      <w:sz w:val="21"/>
                      <w:szCs w:val="24"/>
                      <w:lang w:val="en-US" w:eastAsia="zh-CN" w:bidi="ar-SA"/>
                    </w:rPr>
                  </w:pPr>
                  <w:r>
                    <w:rPr>
                      <w:color w:val="auto"/>
                    </w:rPr>
                    <w:t>0.14</w:t>
                  </w:r>
                </w:p>
              </w:tc>
              <w:tc>
                <w:tcPr>
                  <w:tcW w:w="350" w:type="pct"/>
                  <w:shd w:val="clear" w:color="auto" w:fill="auto"/>
                  <w:vAlign w:val="center"/>
                </w:tcPr>
                <w:p w14:paraId="0D4B8D9A">
                  <w:pPr>
                    <w:jc w:val="center"/>
                    <w:rPr>
                      <w:rFonts w:ascii="Times New Roman" w:hAnsi="Times New Roman" w:eastAsia="宋体" w:cs="Times New Roman"/>
                      <w:color w:val="auto"/>
                      <w:kern w:val="2"/>
                      <w:sz w:val="21"/>
                      <w:szCs w:val="24"/>
                      <w:lang w:val="en-US" w:eastAsia="zh-CN" w:bidi="ar-SA"/>
                    </w:rPr>
                  </w:pPr>
                  <w:r>
                    <w:rPr>
                      <w:color w:val="auto"/>
                    </w:rPr>
                    <w:t>0.51</w:t>
                  </w:r>
                </w:p>
              </w:tc>
              <w:tc>
                <w:tcPr>
                  <w:tcW w:w="289" w:type="pct"/>
                  <w:shd w:val="clear" w:color="auto" w:fill="auto"/>
                  <w:vAlign w:val="center"/>
                </w:tcPr>
                <w:p w14:paraId="7A831826">
                  <w:pPr>
                    <w:jc w:val="center"/>
                    <w:rPr>
                      <w:rFonts w:ascii="Times New Roman" w:hAnsi="Times New Roman" w:eastAsia="宋体" w:cs="Times New Roman"/>
                      <w:color w:val="auto"/>
                      <w:kern w:val="2"/>
                      <w:sz w:val="21"/>
                      <w:szCs w:val="24"/>
                      <w:lang w:val="en-US" w:eastAsia="zh-CN" w:bidi="ar-SA"/>
                    </w:rPr>
                  </w:pPr>
                  <w:r>
                    <w:rPr>
                      <w:color w:val="auto"/>
                    </w:rPr>
                    <w:t>8400</w:t>
                  </w:r>
                </w:p>
              </w:tc>
            </w:tr>
            <w:tr w14:paraId="325F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42F8C985">
                  <w:pPr>
                    <w:jc w:val="center"/>
                    <w:rPr>
                      <w:color w:val="auto"/>
                      <w:lang w:val="en-US" w:eastAsia="en-US"/>
                    </w:rPr>
                  </w:pPr>
                  <w:r>
                    <w:rPr>
                      <w:color w:val="auto"/>
                    </w:rPr>
                    <w:t>4#电镀车间</w:t>
                  </w:r>
                </w:p>
              </w:tc>
              <w:tc>
                <w:tcPr>
                  <w:tcW w:w="337" w:type="pct"/>
                  <w:shd w:val="clear" w:color="auto" w:fill="auto"/>
                  <w:vAlign w:val="center"/>
                </w:tcPr>
                <w:p w14:paraId="08147702">
                  <w:pPr>
                    <w:jc w:val="center"/>
                    <w:rPr>
                      <w:color w:val="auto"/>
                      <w:lang w:val="en-US" w:eastAsia="en-US"/>
                    </w:rPr>
                  </w:pPr>
                  <w:r>
                    <w:rPr>
                      <w:color w:val="auto"/>
                    </w:rPr>
                    <w:t>全自动滚镀镍铜镍+化学镀镍线（1条）、镀锌镍合金和镀镍铜镍退镀线（1条）</w:t>
                  </w:r>
                </w:p>
              </w:tc>
              <w:tc>
                <w:tcPr>
                  <w:tcW w:w="331" w:type="pct"/>
                  <w:shd w:val="clear" w:color="auto" w:fill="auto"/>
                  <w:vAlign w:val="center"/>
                </w:tcPr>
                <w:p w14:paraId="701448DC">
                  <w:pPr>
                    <w:jc w:val="center"/>
                    <w:rPr>
                      <w:color w:val="auto"/>
                      <w:lang w:val="en-US" w:eastAsia="en-US"/>
                    </w:rPr>
                  </w:pPr>
                  <w:r>
                    <w:rPr>
                      <w:color w:val="auto"/>
                    </w:rPr>
                    <w:t>DA007排气筒</w:t>
                  </w:r>
                </w:p>
              </w:tc>
              <w:tc>
                <w:tcPr>
                  <w:tcW w:w="371" w:type="pct"/>
                  <w:shd w:val="clear" w:color="auto" w:fill="auto"/>
                  <w:vAlign w:val="center"/>
                </w:tcPr>
                <w:p w14:paraId="7369B299">
                  <w:pPr>
                    <w:jc w:val="center"/>
                    <w:rPr>
                      <w:color w:val="auto"/>
                      <w:lang w:val="en-US" w:eastAsia="en-US"/>
                    </w:rPr>
                  </w:pPr>
                  <w:r>
                    <w:rPr>
                      <w:color w:val="auto"/>
                    </w:rPr>
                    <w:t>氮氧化物</w:t>
                  </w:r>
                </w:p>
              </w:tc>
              <w:tc>
                <w:tcPr>
                  <w:tcW w:w="436" w:type="pct"/>
                  <w:shd w:val="clear" w:color="auto" w:fill="auto"/>
                  <w:vAlign w:val="center"/>
                </w:tcPr>
                <w:p w14:paraId="70D5BC8D">
                  <w:pPr>
                    <w:jc w:val="center"/>
                    <w:rPr>
                      <w:color w:val="auto"/>
                      <w:lang w:val="en-US" w:eastAsia="zh-CN"/>
                    </w:rPr>
                  </w:pPr>
                  <w:r>
                    <w:rPr>
                      <w:color w:val="auto"/>
                    </w:rPr>
                    <w:t>0.02</w:t>
                  </w:r>
                </w:p>
              </w:tc>
              <w:tc>
                <w:tcPr>
                  <w:tcW w:w="350" w:type="pct"/>
                  <w:shd w:val="clear" w:color="auto" w:fill="auto"/>
                  <w:vAlign w:val="center"/>
                </w:tcPr>
                <w:p w14:paraId="00305E4D">
                  <w:pPr>
                    <w:jc w:val="center"/>
                    <w:rPr>
                      <w:color w:val="auto"/>
                      <w:lang w:val="en-US" w:eastAsia="zh-CN"/>
                    </w:rPr>
                  </w:pPr>
                  <w:r>
                    <w:rPr>
                      <w:color w:val="auto"/>
                    </w:rPr>
                    <w:t>0.137</w:t>
                  </w:r>
                </w:p>
              </w:tc>
              <w:tc>
                <w:tcPr>
                  <w:tcW w:w="531" w:type="pct"/>
                  <w:shd w:val="clear" w:color="auto" w:fill="auto"/>
                  <w:vAlign w:val="center"/>
                </w:tcPr>
                <w:p w14:paraId="62381F49">
                  <w:pPr>
                    <w:jc w:val="center"/>
                    <w:rPr>
                      <w:color w:val="auto"/>
                      <w:lang w:val="en-US" w:eastAsia="en-US"/>
                    </w:rPr>
                  </w:pPr>
                  <w:r>
                    <w:rPr>
                      <w:color w:val="auto"/>
                    </w:rPr>
                    <w:t>碱液喷淋塔（TA007）</w:t>
                  </w:r>
                </w:p>
              </w:tc>
              <w:tc>
                <w:tcPr>
                  <w:tcW w:w="338" w:type="pct"/>
                  <w:shd w:val="clear" w:color="auto" w:fill="auto"/>
                  <w:vAlign w:val="center"/>
                </w:tcPr>
                <w:p w14:paraId="091DA098">
                  <w:pPr>
                    <w:jc w:val="center"/>
                    <w:rPr>
                      <w:color w:val="auto"/>
                      <w:lang w:val="en-US" w:eastAsia="zh-CN"/>
                    </w:rPr>
                  </w:pPr>
                  <w:r>
                    <w:rPr>
                      <w:color w:val="auto"/>
                    </w:rPr>
                    <w:t>90</w:t>
                  </w:r>
                </w:p>
              </w:tc>
              <w:tc>
                <w:tcPr>
                  <w:tcW w:w="527" w:type="pct"/>
                  <w:shd w:val="clear" w:color="auto" w:fill="auto"/>
                  <w:vAlign w:val="center"/>
                </w:tcPr>
                <w:p w14:paraId="3280B023">
                  <w:pPr>
                    <w:jc w:val="center"/>
                    <w:rPr>
                      <w:color w:val="auto"/>
                      <w:lang w:val="en-US" w:eastAsia="zh-CN"/>
                    </w:rPr>
                  </w:pPr>
                  <w:r>
                    <w:rPr>
                      <w:color w:val="auto"/>
                    </w:rPr>
                    <w:t>3000</w:t>
                  </w:r>
                </w:p>
              </w:tc>
              <w:tc>
                <w:tcPr>
                  <w:tcW w:w="583" w:type="pct"/>
                  <w:gridSpan w:val="3"/>
                  <w:shd w:val="clear" w:color="auto" w:fill="auto"/>
                  <w:vAlign w:val="center"/>
                </w:tcPr>
                <w:p w14:paraId="373A1E07">
                  <w:pPr>
                    <w:jc w:val="center"/>
                    <w:rPr>
                      <w:color w:val="auto"/>
                      <w:lang w:val="en-US" w:eastAsia="zh-CN"/>
                    </w:rPr>
                  </w:pPr>
                  <w:r>
                    <w:rPr>
                      <w:color w:val="auto"/>
                    </w:rPr>
                    <w:t>0.6</w:t>
                  </w:r>
                </w:p>
              </w:tc>
              <w:tc>
                <w:tcPr>
                  <w:tcW w:w="436" w:type="pct"/>
                  <w:shd w:val="clear" w:color="auto" w:fill="auto"/>
                  <w:vAlign w:val="center"/>
                </w:tcPr>
                <w:p w14:paraId="024942FC">
                  <w:pPr>
                    <w:jc w:val="center"/>
                    <w:rPr>
                      <w:rFonts w:ascii="Times New Roman" w:hAnsi="Times New Roman" w:eastAsia="宋体" w:cs="Times New Roman"/>
                      <w:color w:val="auto"/>
                      <w:kern w:val="2"/>
                      <w:sz w:val="21"/>
                      <w:szCs w:val="24"/>
                      <w:lang w:val="en-US" w:eastAsia="zh-CN" w:bidi="ar-SA"/>
                    </w:rPr>
                  </w:pPr>
                  <w:r>
                    <w:rPr>
                      <w:color w:val="auto"/>
                    </w:rPr>
                    <w:t>0.002</w:t>
                  </w:r>
                </w:p>
              </w:tc>
              <w:tc>
                <w:tcPr>
                  <w:tcW w:w="350" w:type="pct"/>
                  <w:shd w:val="clear" w:color="auto" w:fill="auto"/>
                  <w:vAlign w:val="center"/>
                </w:tcPr>
                <w:p w14:paraId="7F8BE72F">
                  <w:pPr>
                    <w:jc w:val="center"/>
                    <w:rPr>
                      <w:rFonts w:ascii="Times New Roman" w:hAnsi="Times New Roman" w:eastAsia="宋体" w:cs="Times New Roman"/>
                      <w:color w:val="auto"/>
                      <w:kern w:val="2"/>
                      <w:sz w:val="21"/>
                      <w:szCs w:val="24"/>
                      <w:lang w:val="en-US" w:eastAsia="zh-CN" w:bidi="ar-SA"/>
                    </w:rPr>
                  </w:pPr>
                  <w:r>
                    <w:rPr>
                      <w:color w:val="auto"/>
                    </w:rPr>
                    <w:t>0.01</w:t>
                  </w:r>
                </w:p>
              </w:tc>
              <w:tc>
                <w:tcPr>
                  <w:tcW w:w="289" w:type="pct"/>
                  <w:shd w:val="clear" w:color="auto" w:fill="auto"/>
                  <w:vAlign w:val="center"/>
                </w:tcPr>
                <w:p w14:paraId="62C454BB">
                  <w:pPr>
                    <w:jc w:val="center"/>
                    <w:rPr>
                      <w:rFonts w:ascii="Times New Roman" w:hAnsi="Times New Roman" w:eastAsia="宋体" w:cs="Times New Roman"/>
                      <w:color w:val="auto"/>
                      <w:kern w:val="2"/>
                      <w:sz w:val="21"/>
                      <w:szCs w:val="24"/>
                      <w:lang w:val="en-US" w:eastAsia="zh-CN" w:bidi="ar-SA"/>
                    </w:rPr>
                  </w:pPr>
                  <w:r>
                    <w:rPr>
                      <w:color w:val="auto"/>
                    </w:rPr>
                    <w:t>8400</w:t>
                  </w:r>
                </w:p>
              </w:tc>
            </w:tr>
            <w:tr w14:paraId="522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5D5887B1">
                  <w:pPr>
                    <w:jc w:val="center"/>
                    <w:rPr>
                      <w:color w:val="auto"/>
                      <w:lang w:val="en-US" w:eastAsia="en-US"/>
                    </w:rPr>
                  </w:pPr>
                  <w:r>
                    <w:rPr>
                      <w:color w:val="auto"/>
                    </w:rPr>
                    <w:t>5#电镀车间</w:t>
                  </w:r>
                </w:p>
              </w:tc>
              <w:tc>
                <w:tcPr>
                  <w:tcW w:w="337" w:type="pct"/>
                  <w:shd w:val="clear" w:color="auto" w:fill="auto"/>
                  <w:vAlign w:val="center"/>
                </w:tcPr>
                <w:p w14:paraId="39B1F9B7">
                  <w:pPr>
                    <w:jc w:val="center"/>
                    <w:rPr>
                      <w:color w:val="auto"/>
                    </w:rPr>
                  </w:pPr>
                  <w:r>
                    <w:rPr>
                      <w:color w:val="auto"/>
                    </w:rPr>
                    <w:t>全自动滚镀镍铜镍+化学镀</w:t>
                  </w:r>
                </w:p>
                <w:p w14:paraId="5D7C583F">
                  <w:pPr>
                    <w:jc w:val="center"/>
                    <w:rPr>
                      <w:color w:val="auto"/>
                      <w:lang w:val="en-US" w:eastAsia="en-US"/>
                    </w:rPr>
                  </w:pPr>
                  <w:r>
                    <w:rPr>
                      <w:color w:val="auto"/>
                    </w:rPr>
                    <w:t>镍线（1条）、半自动3C滚镀锌线（3条）</w:t>
                  </w:r>
                </w:p>
              </w:tc>
              <w:tc>
                <w:tcPr>
                  <w:tcW w:w="331" w:type="pct"/>
                  <w:shd w:val="clear" w:color="auto" w:fill="auto"/>
                  <w:vAlign w:val="center"/>
                </w:tcPr>
                <w:p w14:paraId="3DD3B113">
                  <w:pPr>
                    <w:jc w:val="center"/>
                    <w:rPr>
                      <w:color w:val="auto"/>
                      <w:lang w:val="en-US" w:eastAsia="en-US"/>
                    </w:rPr>
                  </w:pPr>
                  <w:r>
                    <w:rPr>
                      <w:color w:val="auto"/>
                    </w:rPr>
                    <w:t>DA008排气筒</w:t>
                  </w:r>
                </w:p>
              </w:tc>
              <w:tc>
                <w:tcPr>
                  <w:tcW w:w="371" w:type="pct"/>
                  <w:shd w:val="clear" w:color="auto" w:fill="auto"/>
                  <w:vAlign w:val="center"/>
                </w:tcPr>
                <w:p w14:paraId="6D98679F">
                  <w:pPr>
                    <w:jc w:val="center"/>
                    <w:rPr>
                      <w:color w:val="auto"/>
                      <w:lang w:val="en-US" w:eastAsia="en-US"/>
                    </w:rPr>
                  </w:pPr>
                  <w:r>
                    <w:rPr>
                      <w:color w:val="auto"/>
                    </w:rPr>
                    <w:t>氮氧化物</w:t>
                  </w:r>
                </w:p>
              </w:tc>
              <w:tc>
                <w:tcPr>
                  <w:tcW w:w="436" w:type="pct"/>
                  <w:shd w:val="clear" w:color="auto" w:fill="auto"/>
                  <w:vAlign w:val="center"/>
                </w:tcPr>
                <w:p w14:paraId="61CD0C0C">
                  <w:pPr>
                    <w:jc w:val="center"/>
                    <w:rPr>
                      <w:color w:val="auto"/>
                      <w:lang w:val="en-US" w:eastAsia="zh-CN"/>
                    </w:rPr>
                  </w:pPr>
                  <w:r>
                    <w:rPr>
                      <w:color w:val="auto"/>
                    </w:rPr>
                    <w:t>0.03</w:t>
                  </w:r>
                </w:p>
              </w:tc>
              <w:tc>
                <w:tcPr>
                  <w:tcW w:w="350" w:type="pct"/>
                  <w:shd w:val="clear" w:color="auto" w:fill="auto"/>
                  <w:vAlign w:val="center"/>
                </w:tcPr>
                <w:p w14:paraId="38546C6A">
                  <w:pPr>
                    <w:jc w:val="center"/>
                    <w:rPr>
                      <w:color w:val="auto"/>
                      <w:lang w:val="en-US" w:eastAsia="zh-CN"/>
                    </w:rPr>
                  </w:pPr>
                  <w:r>
                    <w:rPr>
                      <w:color w:val="auto"/>
                    </w:rPr>
                    <w:t>0.268</w:t>
                  </w:r>
                </w:p>
              </w:tc>
              <w:tc>
                <w:tcPr>
                  <w:tcW w:w="531" w:type="pct"/>
                  <w:shd w:val="clear" w:color="auto" w:fill="auto"/>
                  <w:vAlign w:val="center"/>
                </w:tcPr>
                <w:p w14:paraId="5188A6B1">
                  <w:pPr>
                    <w:jc w:val="center"/>
                    <w:rPr>
                      <w:color w:val="auto"/>
                      <w:lang w:val="en-US" w:eastAsia="en-US"/>
                    </w:rPr>
                  </w:pPr>
                  <w:r>
                    <w:rPr>
                      <w:color w:val="auto"/>
                    </w:rPr>
                    <w:t>碱液喷淋塔（TA008）</w:t>
                  </w:r>
                </w:p>
              </w:tc>
              <w:tc>
                <w:tcPr>
                  <w:tcW w:w="338" w:type="pct"/>
                  <w:shd w:val="clear" w:color="auto" w:fill="auto"/>
                  <w:vAlign w:val="center"/>
                </w:tcPr>
                <w:p w14:paraId="3D4A05C8">
                  <w:pPr>
                    <w:jc w:val="center"/>
                    <w:rPr>
                      <w:color w:val="auto"/>
                      <w:lang w:val="en-US" w:eastAsia="zh-CN"/>
                    </w:rPr>
                  </w:pPr>
                  <w:r>
                    <w:rPr>
                      <w:color w:val="auto"/>
                    </w:rPr>
                    <w:t>90</w:t>
                  </w:r>
                </w:p>
              </w:tc>
              <w:tc>
                <w:tcPr>
                  <w:tcW w:w="527" w:type="pct"/>
                  <w:shd w:val="clear" w:color="auto" w:fill="auto"/>
                  <w:vAlign w:val="center"/>
                </w:tcPr>
                <w:p w14:paraId="1B14656F">
                  <w:pPr>
                    <w:jc w:val="center"/>
                    <w:rPr>
                      <w:color w:val="auto"/>
                      <w:lang w:val="en-US" w:eastAsia="zh-CN"/>
                    </w:rPr>
                  </w:pPr>
                  <w:r>
                    <w:rPr>
                      <w:color w:val="auto"/>
                    </w:rPr>
                    <w:t>3000</w:t>
                  </w:r>
                </w:p>
              </w:tc>
              <w:tc>
                <w:tcPr>
                  <w:tcW w:w="583" w:type="pct"/>
                  <w:gridSpan w:val="3"/>
                  <w:shd w:val="clear" w:color="auto" w:fill="auto"/>
                  <w:vAlign w:val="center"/>
                </w:tcPr>
                <w:p w14:paraId="3B70C875">
                  <w:pPr>
                    <w:jc w:val="center"/>
                    <w:rPr>
                      <w:color w:val="auto"/>
                      <w:lang w:val="en-US" w:eastAsia="zh-CN"/>
                    </w:rPr>
                  </w:pPr>
                  <w:r>
                    <w:rPr>
                      <w:color w:val="auto"/>
                    </w:rPr>
                    <w:t>1.2</w:t>
                  </w:r>
                </w:p>
              </w:tc>
              <w:tc>
                <w:tcPr>
                  <w:tcW w:w="436" w:type="pct"/>
                  <w:shd w:val="clear" w:color="auto" w:fill="auto"/>
                  <w:vAlign w:val="center"/>
                </w:tcPr>
                <w:p w14:paraId="678F67F7">
                  <w:pPr>
                    <w:jc w:val="center"/>
                    <w:rPr>
                      <w:rFonts w:ascii="Times New Roman" w:hAnsi="Times New Roman" w:eastAsia="宋体" w:cs="Times New Roman"/>
                      <w:color w:val="auto"/>
                      <w:kern w:val="2"/>
                      <w:sz w:val="21"/>
                      <w:szCs w:val="24"/>
                      <w:lang w:val="en-US" w:eastAsia="zh-CN" w:bidi="ar-SA"/>
                    </w:rPr>
                  </w:pPr>
                  <w:r>
                    <w:rPr>
                      <w:color w:val="auto"/>
                    </w:rPr>
                    <w:t>0.004</w:t>
                  </w:r>
                </w:p>
              </w:tc>
              <w:tc>
                <w:tcPr>
                  <w:tcW w:w="350" w:type="pct"/>
                  <w:shd w:val="clear" w:color="auto" w:fill="auto"/>
                  <w:vAlign w:val="center"/>
                </w:tcPr>
                <w:p w14:paraId="61EBDF87">
                  <w:pPr>
                    <w:jc w:val="center"/>
                    <w:rPr>
                      <w:rFonts w:ascii="Times New Roman" w:hAnsi="Times New Roman" w:eastAsia="宋体" w:cs="Times New Roman"/>
                      <w:color w:val="auto"/>
                      <w:kern w:val="2"/>
                      <w:sz w:val="21"/>
                      <w:szCs w:val="24"/>
                      <w:lang w:val="en-US" w:eastAsia="zh-CN" w:bidi="ar-SA"/>
                    </w:rPr>
                  </w:pPr>
                  <w:r>
                    <w:rPr>
                      <w:color w:val="auto"/>
                    </w:rPr>
                    <w:t>0.03</w:t>
                  </w:r>
                </w:p>
              </w:tc>
              <w:tc>
                <w:tcPr>
                  <w:tcW w:w="289" w:type="pct"/>
                  <w:shd w:val="clear" w:color="auto" w:fill="auto"/>
                  <w:vAlign w:val="center"/>
                </w:tcPr>
                <w:p w14:paraId="7AE61CAD">
                  <w:pPr>
                    <w:jc w:val="center"/>
                    <w:rPr>
                      <w:rFonts w:ascii="Times New Roman" w:hAnsi="Times New Roman" w:eastAsia="宋体" w:cs="Times New Roman"/>
                      <w:color w:val="auto"/>
                      <w:kern w:val="2"/>
                      <w:sz w:val="21"/>
                      <w:szCs w:val="24"/>
                      <w:lang w:val="en-US" w:eastAsia="zh-CN" w:bidi="ar-SA"/>
                    </w:rPr>
                  </w:pPr>
                  <w:r>
                    <w:rPr>
                      <w:color w:val="auto"/>
                    </w:rPr>
                    <w:t>8400</w:t>
                  </w:r>
                </w:p>
              </w:tc>
            </w:tr>
            <w:tr w14:paraId="7B46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restart"/>
                  <w:shd w:val="clear" w:color="auto" w:fill="auto"/>
                  <w:vAlign w:val="center"/>
                </w:tcPr>
                <w:p w14:paraId="6FE84529">
                  <w:pPr>
                    <w:jc w:val="center"/>
                    <w:rPr>
                      <w:color w:val="auto"/>
                      <w:lang w:val="en-US" w:eastAsia="en-US"/>
                    </w:rPr>
                  </w:pPr>
                  <w:r>
                    <w:rPr>
                      <w:color w:val="auto"/>
                    </w:rPr>
                    <w:t>6#电镀车间</w:t>
                  </w:r>
                </w:p>
              </w:tc>
              <w:tc>
                <w:tcPr>
                  <w:tcW w:w="337" w:type="pct"/>
                  <w:vMerge w:val="restart"/>
                  <w:shd w:val="clear" w:color="auto" w:fill="auto"/>
                  <w:vAlign w:val="center"/>
                </w:tcPr>
                <w:p w14:paraId="418ED105">
                  <w:pPr>
                    <w:jc w:val="center"/>
                    <w:rPr>
                      <w:color w:val="auto"/>
                    </w:rPr>
                  </w:pPr>
                  <w:r>
                    <w:rPr>
                      <w:color w:val="auto"/>
                    </w:rPr>
                    <w:t>全自动滚镀镍铜镍+化学镀镍线（1条）、半自动3C滚镀锌线（1条）、全自动挂</w:t>
                  </w:r>
                </w:p>
                <w:p w14:paraId="4A338210">
                  <w:pPr>
                    <w:jc w:val="center"/>
                    <w:rPr>
                      <w:color w:val="auto"/>
                      <w:lang w:val="en-US" w:eastAsia="en-US"/>
                    </w:rPr>
                  </w:pPr>
                  <w:r>
                    <w:rPr>
                      <w:color w:val="auto"/>
                    </w:rPr>
                    <w:t>镀锌线（2条）</w:t>
                  </w:r>
                </w:p>
              </w:tc>
              <w:tc>
                <w:tcPr>
                  <w:tcW w:w="331" w:type="pct"/>
                  <w:vMerge w:val="restart"/>
                  <w:shd w:val="clear" w:color="auto" w:fill="auto"/>
                  <w:vAlign w:val="center"/>
                </w:tcPr>
                <w:p w14:paraId="36307767">
                  <w:pPr>
                    <w:jc w:val="center"/>
                    <w:rPr>
                      <w:color w:val="auto"/>
                      <w:lang w:val="en-US" w:eastAsia="en-US"/>
                    </w:rPr>
                  </w:pPr>
                  <w:r>
                    <w:rPr>
                      <w:color w:val="auto"/>
                    </w:rPr>
                    <w:t>DA009排气筒</w:t>
                  </w:r>
                </w:p>
              </w:tc>
              <w:tc>
                <w:tcPr>
                  <w:tcW w:w="371" w:type="pct"/>
                  <w:shd w:val="clear" w:color="auto" w:fill="auto"/>
                  <w:vAlign w:val="center"/>
                </w:tcPr>
                <w:p w14:paraId="75A4E092">
                  <w:pPr>
                    <w:jc w:val="center"/>
                    <w:rPr>
                      <w:color w:val="auto"/>
                      <w:lang w:val="en-US" w:eastAsia="en-US"/>
                    </w:rPr>
                  </w:pPr>
                  <w:r>
                    <w:rPr>
                      <w:color w:val="auto"/>
                    </w:rPr>
                    <w:t>氮氧化物</w:t>
                  </w:r>
                </w:p>
              </w:tc>
              <w:tc>
                <w:tcPr>
                  <w:tcW w:w="436" w:type="pct"/>
                  <w:shd w:val="clear" w:color="auto" w:fill="auto"/>
                  <w:vAlign w:val="center"/>
                </w:tcPr>
                <w:p w14:paraId="488B631C">
                  <w:pPr>
                    <w:jc w:val="center"/>
                    <w:rPr>
                      <w:color w:val="auto"/>
                      <w:lang w:val="en-US" w:eastAsia="zh-CN"/>
                    </w:rPr>
                  </w:pPr>
                  <w:r>
                    <w:rPr>
                      <w:color w:val="auto"/>
                    </w:rPr>
                    <w:t>0.02</w:t>
                  </w:r>
                </w:p>
              </w:tc>
              <w:tc>
                <w:tcPr>
                  <w:tcW w:w="350" w:type="pct"/>
                  <w:shd w:val="clear" w:color="auto" w:fill="auto"/>
                  <w:vAlign w:val="center"/>
                </w:tcPr>
                <w:p w14:paraId="2583C278">
                  <w:pPr>
                    <w:jc w:val="center"/>
                    <w:rPr>
                      <w:color w:val="auto"/>
                      <w:lang w:val="en-US" w:eastAsia="zh-CN"/>
                    </w:rPr>
                  </w:pPr>
                  <w:r>
                    <w:rPr>
                      <w:color w:val="auto"/>
                    </w:rPr>
                    <w:t>0.169</w:t>
                  </w:r>
                </w:p>
              </w:tc>
              <w:tc>
                <w:tcPr>
                  <w:tcW w:w="531" w:type="pct"/>
                  <w:vMerge w:val="restart"/>
                  <w:shd w:val="clear" w:color="auto" w:fill="auto"/>
                  <w:vAlign w:val="center"/>
                </w:tcPr>
                <w:p w14:paraId="0139DF64">
                  <w:pPr>
                    <w:jc w:val="center"/>
                    <w:rPr>
                      <w:color w:val="auto"/>
                      <w:lang w:val="en-US" w:eastAsia="en-US"/>
                    </w:rPr>
                  </w:pPr>
                  <w:r>
                    <w:rPr>
                      <w:color w:val="auto"/>
                    </w:rPr>
                    <w:t>碱液喷淋塔（TA009）</w:t>
                  </w:r>
                </w:p>
              </w:tc>
              <w:tc>
                <w:tcPr>
                  <w:tcW w:w="338" w:type="pct"/>
                  <w:shd w:val="clear" w:color="auto" w:fill="auto"/>
                  <w:vAlign w:val="center"/>
                </w:tcPr>
                <w:p w14:paraId="14BE096C">
                  <w:pPr>
                    <w:jc w:val="center"/>
                    <w:rPr>
                      <w:color w:val="auto"/>
                      <w:lang w:val="en-US" w:eastAsia="zh-CN"/>
                    </w:rPr>
                  </w:pPr>
                  <w:r>
                    <w:rPr>
                      <w:color w:val="auto"/>
                    </w:rPr>
                    <w:t>90</w:t>
                  </w:r>
                </w:p>
              </w:tc>
              <w:tc>
                <w:tcPr>
                  <w:tcW w:w="527" w:type="pct"/>
                  <w:vMerge w:val="restart"/>
                  <w:shd w:val="clear" w:color="auto" w:fill="auto"/>
                  <w:vAlign w:val="center"/>
                </w:tcPr>
                <w:p w14:paraId="2B174AC1">
                  <w:pPr>
                    <w:jc w:val="center"/>
                    <w:rPr>
                      <w:color w:val="auto"/>
                      <w:lang w:val="en-US" w:eastAsia="zh-CN"/>
                    </w:rPr>
                  </w:pPr>
                  <w:r>
                    <w:rPr>
                      <w:color w:val="auto"/>
                    </w:rPr>
                    <w:t>3000</w:t>
                  </w:r>
                </w:p>
              </w:tc>
              <w:tc>
                <w:tcPr>
                  <w:tcW w:w="583" w:type="pct"/>
                  <w:gridSpan w:val="3"/>
                  <w:shd w:val="clear" w:color="auto" w:fill="auto"/>
                  <w:vAlign w:val="center"/>
                </w:tcPr>
                <w:p w14:paraId="72BD78AB">
                  <w:pPr>
                    <w:jc w:val="center"/>
                    <w:rPr>
                      <w:color w:val="auto"/>
                      <w:lang w:val="en-US" w:eastAsia="zh-CN"/>
                    </w:rPr>
                  </w:pPr>
                  <w:r>
                    <w:rPr>
                      <w:color w:val="auto"/>
                    </w:rPr>
                    <w:t>0.8</w:t>
                  </w:r>
                </w:p>
              </w:tc>
              <w:tc>
                <w:tcPr>
                  <w:tcW w:w="436" w:type="pct"/>
                  <w:shd w:val="clear" w:color="auto" w:fill="auto"/>
                  <w:vAlign w:val="center"/>
                </w:tcPr>
                <w:p w14:paraId="624F95A3">
                  <w:pPr>
                    <w:jc w:val="center"/>
                    <w:rPr>
                      <w:rFonts w:ascii="Times New Roman" w:hAnsi="Times New Roman" w:eastAsia="宋体" w:cs="Times New Roman"/>
                      <w:color w:val="auto"/>
                      <w:kern w:val="2"/>
                      <w:sz w:val="21"/>
                      <w:szCs w:val="24"/>
                      <w:lang w:val="en-US" w:eastAsia="zh-CN" w:bidi="ar-SA"/>
                    </w:rPr>
                  </w:pPr>
                  <w:r>
                    <w:rPr>
                      <w:color w:val="auto"/>
                    </w:rPr>
                    <w:t>0.002</w:t>
                  </w:r>
                </w:p>
              </w:tc>
              <w:tc>
                <w:tcPr>
                  <w:tcW w:w="350" w:type="pct"/>
                  <w:shd w:val="clear" w:color="auto" w:fill="auto"/>
                  <w:vAlign w:val="center"/>
                </w:tcPr>
                <w:p w14:paraId="3DA38603">
                  <w:pPr>
                    <w:jc w:val="center"/>
                    <w:rPr>
                      <w:rFonts w:ascii="Times New Roman" w:hAnsi="Times New Roman" w:eastAsia="宋体" w:cs="Times New Roman"/>
                      <w:color w:val="auto"/>
                      <w:kern w:val="2"/>
                      <w:sz w:val="21"/>
                      <w:szCs w:val="24"/>
                      <w:lang w:val="en-US" w:eastAsia="zh-CN" w:bidi="ar-SA"/>
                    </w:rPr>
                  </w:pPr>
                  <w:r>
                    <w:rPr>
                      <w:color w:val="auto"/>
                    </w:rPr>
                    <w:t>0.02</w:t>
                  </w:r>
                </w:p>
              </w:tc>
              <w:tc>
                <w:tcPr>
                  <w:tcW w:w="289" w:type="pct"/>
                  <w:vMerge w:val="restart"/>
                  <w:shd w:val="clear" w:color="auto" w:fill="auto"/>
                  <w:vAlign w:val="center"/>
                </w:tcPr>
                <w:p w14:paraId="5A0CD955">
                  <w:pPr>
                    <w:jc w:val="center"/>
                    <w:rPr>
                      <w:rFonts w:ascii="Times New Roman" w:hAnsi="Times New Roman" w:eastAsia="宋体" w:cs="Times New Roman"/>
                      <w:color w:val="auto"/>
                      <w:kern w:val="2"/>
                      <w:sz w:val="21"/>
                      <w:szCs w:val="24"/>
                      <w:lang w:val="en-US" w:eastAsia="zh-CN" w:bidi="ar-SA"/>
                    </w:rPr>
                  </w:pPr>
                  <w:r>
                    <w:rPr>
                      <w:color w:val="auto"/>
                    </w:rPr>
                    <w:t>8400</w:t>
                  </w:r>
                </w:p>
              </w:tc>
            </w:tr>
            <w:tr w14:paraId="1720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1A72C9A">
                  <w:pPr>
                    <w:jc w:val="center"/>
                    <w:rPr>
                      <w:color w:val="auto"/>
                    </w:rPr>
                  </w:pPr>
                </w:p>
              </w:tc>
              <w:tc>
                <w:tcPr>
                  <w:tcW w:w="337" w:type="pct"/>
                  <w:vMerge w:val="continue"/>
                  <w:shd w:val="clear" w:color="auto" w:fill="auto"/>
                  <w:vAlign w:val="center"/>
                </w:tcPr>
                <w:p w14:paraId="66DE92A5">
                  <w:pPr>
                    <w:jc w:val="center"/>
                    <w:rPr>
                      <w:color w:val="auto"/>
                    </w:rPr>
                  </w:pPr>
                </w:p>
              </w:tc>
              <w:tc>
                <w:tcPr>
                  <w:tcW w:w="331" w:type="pct"/>
                  <w:vMerge w:val="continue"/>
                  <w:shd w:val="clear" w:color="auto" w:fill="auto"/>
                  <w:vAlign w:val="center"/>
                </w:tcPr>
                <w:p w14:paraId="06CE9625">
                  <w:pPr>
                    <w:jc w:val="center"/>
                    <w:rPr>
                      <w:color w:val="auto"/>
                    </w:rPr>
                  </w:pPr>
                </w:p>
              </w:tc>
              <w:tc>
                <w:tcPr>
                  <w:tcW w:w="371" w:type="pct"/>
                  <w:shd w:val="clear" w:color="auto" w:fill="auto"/>
                  <w:vAlign w:val="center"/>
                </w:tcPr>
                <w:p w14:paraId="33E9CC3F">
                  <w:pPr>
                    <w:jc w:val="center"/>
                    <w:rPr>
                      <w:color w:val="auto"/>
                      <w:lang w:val="en-US" w:eastAsia="en-US"/>
                    </w:rPr>
                  </w:pPr>
                  <w:r>
                    <w:rPr>
                      <w:color w:val="auto"/>
                    </w:rPr>
                    <w:t>氯化氢</w:t>
                  </w:r>
                </w:p>
              </w:tc>
              <w:tc>
                <w:tcPr>
                  <w:tcW w:w="436" w:type="pct"/>
                  <w:shd w:val="clear" w:color="auto" w:fill="auto"/>
                  <w:vAlign w:val="center"/>
                </w:tcPr>
                <w:p w14:paraId="08913ED3">
                  <w:pPr>
                    <w:jc w:val="center"/>
                    <w:rPr>
                      <w:color w:val="auto"/>
                      <w:lang w:val="en-US" w:eastAsia="zh-CN"/>
                    </w:rPr>
                  </w:pPr>
                  <w:r>
                    <w:rPr>
                      <w:color w:val="auto"/>
                    </w:rPr>
                    <w:t>0.0004</w:t>
                  </w:r>
                </w:p>
              </w:tc>
              <w:tc>
                <w:tcPr>
                  <w:tcW w:w="350" w:type="pct"/>
                  <w:shd w:val="clear" w:color="auto" w:fill="auto"/>
                  <w:vAlign w:val="center"/>
                </w:tcPr>
                <w:p w14:paraId="541CEFFD">
                  <w:pPr>
                    <w:jc w:val="center"/>
                    <w:rPr>
                      <w:color w:val="auto"/>
                      <w:lang w:val="en-US" w:eastAsia="zh-CN"/>
                    </w:rPr>
                  </w:pPr>
                  <w:r>
                    <w:rPr>
                      <w:color w:val="auto"/>
                    </w:rPr>
                    <w:t>0.0036</w:t>
                  </w:r>
                </w:p>
              </w:tc>
              <w:tc>
                <w:tcPr>
                  <w:tcW w:w="531" w:type="pct"/>
                  <w:vMerge w:val="continue"/>
                  <w:shd w:val="clear" w:color="auto" w:fill="auto"/>
                  <w:vAlign w:val="center"/>
                </w:tcPr>
                <w:p w14:paraId="30904CAA">
                  <w:pPr>
                    <w:jc w:val="center"/>
                    <w:rPr>
                      <w:color w:val="auto"/>
                    </w:rPr>
                  </w:pPr>
                </w:p>
              </w:tc>
              <w:tc>
                <w:tcPr>
                  <w:tcW w:w="338" w:type="pct"/>
                  <w:shd w:val="clear" w:color="auto" w:fill="auto"/>
                  <w:vAlign w:val="center"/>
                </w:tcPr>
                <w:p w14:paraId="372D1D15">
                  <w:pPr>
                    <w:jc w:val="center"/>
                    <w:rPr>
                      <w:color w:val="auto"/>
                      <w:lang w:val="en-US" w:eastAsia="zh-CN"/>
                    </w:rPr>
                  </w:pPr>
                  <w:r>
                    <w:rPr>
                      <w:color w:val="auto"/>
                    </w:rPr>
                    <w:t>90</w:t>
                  </w:r>
                </w:p>
              </w:tc>
              <w:tc>
                <w:tcPr>
                  <w:tcW w:w="527" w:type="pct"/>
                  <w:vMerge w:val="continue"/>
                  <w:shd w:val="clear" w:color="auto" w:fill="auto"/>
                  <w:vAlign w:val="center"/>
                </w:tcPr>
                <w:p w14:paraId="0BC21B36">
                  <w:pPr>
                    <w:jc w:val="center"/>
                    <w:rPr>
                      <w:color w:val="auto"/>
                    </w:rPr>
                  </w:pPr>
                </w:p>
              </w:tc>
              <w:tc>
                <w:tcPr>
                  <w:tcW w:w="583" w:type="pct"/>
                  <w:gridSpan w:val="3"/>
                  <w:shd w:val="clear" w:color="auto" w:fill="auto"/>
                  <w:vAlign w:val="center"/>
                </w:tcPr>
                <w:p w14:paraId="4D9E880D">
                  <w:pPr>
                    <w:jc w:val="center"/>
                    <w:rPr>
                      <w:color w:val="auto"/>
                      <w:lang w:val="en-US" w:eastAsia="zh-CN"/>
                    </w:rPr>
                  </w:pPr>
                  <w:r>
                    <w:rPr>
                      <w:color w:val="auto"/>
                    </w:rPr>
                    <w:t>0.02</w:t>
                  </w:r>
                </w:p>
              </w:tc>
              <w:tc>
                <w:tcPr>
                  <w:tcW w:w="436" w:type="pct"/>
                  <w:shd w:val="clear" w:color="auto" w:fill="auto"/>
                  <w:vAlign w:val="center"/>
                </w:tcPr>
                <w:p w14:paraId="4BCF179D">
                  <w:pPr>
                    <w:jc w:val="center"/>
                    <w:rPr>
                      <w:rFonts w:ascii="Times New Roman" w:hAnsi="Times New Roman" w:eastAsia="宋体" w:cs="Times New Roman"/>
                      <w:color w:val="auto"/>
                      <w:kern w:val="2"/>
                      <w:sz w:val="21"/>
                      <w:szCs w:val="24"/>
                      <w:lang w:val="en-US" w:eastAsia="zh-CN" w:bidi="ar-SA"/>
                    </w:rPr>
                  </w:pPr>
                  <w:r>
                    <w:rPr>
                      <w:color w:val="auto"/>
                    </w:rPr>
                    <w:t>0.00005</w:t>
                  </w:r>
                </w:p>
              </w:tc>
              <w:tc>
                <w:tcPr>
                  <w:tcW w:w="350" w:type="pct"/>
                  <w:shd w:val="clear" w:color="auto" w:fill="auto"/>
                  <w:vAlign w:val="center"/>
                </w:tcPr>
                <w:p w14:paraId="3C775B56">
                  <w:pPr>
                    <w:jc w:val="center"/>
                    <w:rPr>
                      <w:rFonts w:ascii="Times New Roman" w:hAnsi="Times New Roman" w:eastAsia="宋体" w:cs="Times New Roman"/>
                      <w:color w:val="auto"/>
                      <w:kern w:val="2"/>
                      <w:sz w:val="21"/>
                      <w:szCs w:val="24"/>
                      <w:lang w:val="en-US" w:eastAsia="zh-CN" w:bidi="ar-SA"/>
                    </w:rPr>
                  </w:pPr>
                  <w:r>
                    <w:rPr>
                      <w:color w:val="auto"/>
                    </w:rPr>
                    <w:t>0.0004</w:t>
                  </w:r>
                </w:p>
              </w:tc>
              <w:tc>
                <w:tcPr>
                  <w:tcW w:w="289" w:type="pct"/>
                  <w:vMerge w:val="continue"/>
                  <w:shd w:val="clear" w:color="auto" w:fill="auto"/>
                  <w:vAlign w:val="center"/>
                </w:tcPr>
                <w:p w14:paraId="4408457A">
                  <w:pPr>
                    <w:jc w:val="center"/>
                    <w:rPr>
                      <w:rFonts w:ascii="Times New Roman" w:hAnsi="Times New Roman" w:eastAsia="宋体" w:cs="Times New Roman"/>
                      <w:color w:val="auto"/>
                      <w:kern w:val="2"/>
                      <w:sz w:val="21"/>
                      <w:szCs w:val="24"/>
                      <w:lang w:val="en-US" w:eastAsia="zh-CN" w:bidi="ar-SA"/>
                    </w:rPr>
                  </w:pPr>
                </w:p>
              </w:tc>
            </w:tr>
            <w:tr w14:paraId="36F6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5A26AB4E">
                  <w:pPr>
                    <w:jc w:val="center"/>
                    <w:rPr>
                      <w:color w:val="auto"/>
                      <w:lang w:val="en-US" w:eastAsia="en-US"/>
                    </w:rPr>
                  </w:pPr>
                  <w:r>
                    <w:rPr>
                      <w:color w:val="auto"/>
                    </w:rPr>
                    <w:t>7#电镀车间</w:t>
                  </w:r>
                </w:p>
              </w:tc>
              <w:tc>
                <w:tcPr>
                  <w:tcW w:w="337" w:type="pct"/>
                  <w:shd w:val="clear" w:color="auto" w:fill="auto"/>
                  <w:vAlign w:val="center"/>
                </w:tcPr>
                <w:p w14:paraId="170C4259">
                  <w:pPr>
                    <w:jc w:val="center"/>
                    <w:rPr>
                      <w:color w:val="auto"/>
                      <w:lang w:val="en-US" w:eastAsia="en-US"/>
                    </w:rPr>
                  </w:pPr>
                  <w:r>
                    <w:rPr>
                      <w:color w:val="auto"/>
                    </w:rPr>
                    <w:t>全自动滚镀镍铜镍+化学镀镍线（3条）、镀锌镍合金和镀镍铜镍退镀线（2条）</w:t>
                  </w:r>
                </w:p>
              </w:tc>
              <w:tc>
                <w:tcPr>
                  <w:tcW w:w="331" w:type="pct"/>
                  <w:shd w:val="clear" w:color="auto" w:fill="auto"/>
                  <w:vAlign w:val="center"/>
                </w:tcPr>
                <w:p w14:paraId="3186F9CC">
                  <w:pPr>
                    <w:jc w:val="center"/>
                    <w:rPr>
                      <w:color w:val="auto"/>
                      <w:lang w:val="en-US" w:eastAsia="en-US"/>
                    </w:rPr>
                  </w:pPr>
                  <w:r>
                    <w:rPr>
                      <w:color w:val="auto"/>
                    </w:rPr>
                    <w:t>DA010排气筒</w:t>
                  </w:r>
                </w:p>
              </w:tc>
              <w:tc>
                <w:tcPr>
                  <w:tcW w:w="371" w:type="pct"/>
                  <w:shd w:val="clear" w:color="auto" w:fill="auto"/>
                  <w:vAlign w:val="center"/>
                </w:tcPr>
                <w:p w14:paraId="3E265DF9">
                  <w:pPr>
                    <w:jc w:val="center"/>
                    <w:rPr>
                      <w:color w:val="auto"/>
                      <w:lang w:val="en-US" w:eastAsia="en-US"/>
                    </w:rPr>
                  </w:pPr>
                  <w:r>
                    <w:rPr>
                      <w:color w:val="auto"/>
                    </w:rPr>
                    <w:t>氮氧化物</w:t>
                  </w:r>
                </w:p>
              </w:tc>
              <w:tc>
                <w:tcPr>
                  <w:tcW w:w="436" w:type="pct"/>
                  <w:shd w:val="clear" w:color="auto" w:fill="auto"/>
                  <w:vAlign w:val="center"/>
                </w:tcPr>
                <w:p w14:paraId="12A3A0DE">
                  <w:pPr>
                    <w:jc w:val="center"/>
                    <w:rPr>
                      <w:color w:val="auto"/>
                      <w:lang w:val="en-US" w:eastAsia="zh-CN"/>
                    </w:rPr>
                  </w:pPr>
                  <w:r>
                    <w:rPr>
                      <w:color w:val="auto"/>
                    </w:rPr>
                    <w:t>0.05</w:t>
                  </w:r>
                </w:p>
              </w:tc>
              <w:tc>
                <w:tcPr>
                  <w:tcW w:w="350" w:type="pct"/>
                  <w:shd w:val="clear" w:color="auto" w:fill="auto"/>
                  <w:vAlign w:val="center"/>
                </w:tcPr>
                <w:p w14:paraId="769C419F">
                  <w:pPr>
                    <w:jc w:val="center"/>
                    <w:rPr>
                      <w:color w:val="auto"/>
                      <w:lang w:val="en-US" w:eastAsia="zh-CN"/>
                    </w:rPr>
                  </w:pPr>
                  <w:r>
                    <w:rPr>
                      <w:color w:val="auto"/>
                    </w:rPr>
                    <w:t>0.39</w:t>
                  </w:r>
                </w:p>
              </w:tc>
              <w:tc>
                <w:tcPr>
                  <w:tcW w:w="531" w:type="pct"/>
                  <w:shd w:val="clear" w:color="auto" w:fill="auto"/>
                  <w:vAlign w:val="center"/>
                </w:tcPr>
                <w:p w14:paraId="3F979580">
                  <w:pPr>
                    <w:jc w:val="center"/>
                    <w:rPr>
                      <w:color w:val="auto"/>
                      <w:lang w:val="en-US" w:eastAsia="en-US"/>
                    </w:rPr>
                  </w:pPr>
                  <w:r>
                    <w:rPr>
                      <w:color w:val="auto"/>
                    </w:rPr>
                    <w:t>碱液喷淋塔（TA010）</w:t>
                  </w:r>
                </w:p>
              </w:tc>
              <w:tc>
                <w:tcPr>
                  <w:tcW w:w="338" w:type="pct"/>
                  <w:shd w:val="clear" w:color="auto" w:fill="auto"/>
                  <w:vAlign w:val="center"/>
                </w:tcPr>
                <w:p w14:paraId="7F03DE05">
                  <w:pPr>
                    <w:jc w:val="center"/>
                    <w:rPr>
                      <w:color w:val="auto"/>
                      <w:lang w:val="en-US" w:eastAsia="zh-CN"/>
                    </w:rPr>
                  </w:pPr>
                  <w:r>
                    <w:rPr>
                      <w:color w:val="auto"/>
                    </w:rPr>
                    <w:t>90</w:t>
                  </w:r>
                </w:p>
              </w:tc>
              <w:tc>
                <w:tcPr>
                  <w:tcW w:w="527" w:type="pct"/>
                  <w:shd w:val="clear" w:color="auto" w:fill="auto"/>
                  <w:vAlign w:val="center"/>
                </w:tcPr>
                <w:p w14:paraId="1F402C8B">
                  <w:pPr>
                    <w:jc w:val="center"/>
                    <w:rPr>
                      <w:color w:val="auto"/>
                      <w:lang w:val="en-US" w:eastAsia="zh-CN"/>
                    </w:rPr>
                  </w:pPr>
                  <w:r>
                    <w:rPr>
                      <w:color w:val="auto"/>
                    </w:rPr>
                    <w:t>3000</w:t>
                  </w:r>
                </w:p>
              </w:tc>
              <w:tc>
                <w:tcPr>
                  <w:tcW w:w="583" w:type="pct"/>
                  <w:gridSpan w:val="3"/>
                  <w:shd w:val="clear" w:color="auto" w:fill="auto"/>
                  <w:vAlign w:val="center"/>
                </w:tcPr>
                <w:p w14:paraId="7C90B086">
                  <w:pPr>
                    <w:jc w:val="center"/>
                    <w:rPr>
                      <w:color w:val="auto"/>
                      <w:lang w:val="en-US" w:eastAsia="zh-CN"/>
                    </w:rPr>
                  </w:pPr>
                  <w:r>
                    <w:rPr>
                      <w:color w:val="auto"/>
                    </w:rPr>
                    <w:t>1.9</w:t>
                  </w:r>
                </w:p>
              </w:tc>
              <w:tc>
                <w:tcPr>
                  <w:tcW w:w="436" w:type="pct"/>
                  <w:shd w:val="clear" w:color="auto" w:fill="auto"/>
                  <w:vAlign w:val="center"/>
                </w:tcPr>
                <w:p w14:paraId="1A6725F7">
                  <w:pPr>
                    <w:jc w:val="center"/>
                    <w:rPr>
                      <w:rFonts w:ascii="Times New Roman" w:hAnsi="Times New Roman" w:eastAsia="宋体" w:cs="Times New Roman"/>
                      <w:color w:val="auto"/>
                      <w:kern w:val="2"/>
                      <w:sz w:val="21"/>
                      <w:szCs w:val="24"/>
                      <w:lang w:val="en-US" w:eastAsia="zh-CN" w:bidi="ar-SA"/>
                    </w:rPr>
                  </w:pPr>
                  <w:r>
                    <w:rPr>
                      <w:color w:val="auto"/>
                    </w:rPr>
                    <w:t>0.006</w:t>
                  </w:r>
                </w:p>
              </w:tc>
              <w:tc>
                <w:tcPr>
                  <w:tcW w:w="350" w:type="pct"/>
                  <w:shd w:val="clear" w:color="auto" w:fill="auto"/>
                  <w:vAlign w:val="center"/>
                </w:tcPr>
                <w:p w14:paraId="18345A7E">
                  <w:pPr>
                    <w:jc w:val="center"/>
                    <w:rPr>
                      <w:rFonts w:ascii="Times New Roman" w:hAnsi="Times New Roman" w:eastAsia="宋体" w:cs="Times New Roman"/>
                      <w:color w:val="auto"/>
                      <w:kern w:val="2"/>
                      <w:sz w:val="21"/>
                      <w:szCs w:val="24"/>
                      <w:lang w:val="en-US" w:eastAsia="zh-CN" w:bidi="ar-SA"/>
                    </w:rPr>
                  </w:pPr>
                  <w:r>
                    <w:rPr>
                      <w:color w:val="auto"/>
                    </w:rPr>
                    <w:t>0.04</w:t>
                  </w:r>
                </w:p>
              </w:tc>
              <w:tc>
                <w:tcPr>
                  <w:tcW w:w="289" w:type="pct"/>
                  <w:shd w:val="clear" w:color="auto" w:fill="auto"/>
                  <w:vAlign w:val="center"/>
                </w:tcPr>
                <w:p w14:paraId="24A89034">
                  <w:pPr>
                    <w:jc w:val="center"/>
                    <w:rPr>
                      <w:rFonts w:ascii="Times New Roman" w:hAnsi="Times New Roman" w:eastAsia="宋体" w:cs="Times New Roman"/>
                      <w:color w:val="auto"/>
                      <w:kern w:val="2"/>
                      <w:sz w:val="21"/>
                      <w:szCs w:val="24"/>
                      <w:lang w:val="en-US" w:eastAsia="zh-CN" w:bidi="ar-SA"/>
                    </w:rPr>
                  </w:pPr>
                  <w:r>
                    <w:rPr>
                      <w:color w:val="auto"/>
                    </w:rPr>
                    <w:t>8400</w:t>
                  </w:r>
                </w:p>
              </w:tc>
            </w:tr>
            <w:tr w14:paraId="1300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shd w:val="clear" w:color="auto" w:fill="auto"/>
                  <w:vAlign w:val="center"/>
                </w:tcPr>
                <w:p w14:paraId="132A7134">
                  <w:pPr>
                    <w:jc w:val="center"/>
                    <w:rPr>
                      <w:color w:val="auto"/>
                      <w:lang w:val="en-US" w:eastAsia="en-US"/>
                    </w:rPr>
                  </w:pPr>
                  <w:r>
                    <w:rPr>
                      <w:color w:val="auto"/>
                    </w:rPr>
                    <w:t>8#电镀车间</w:t>
                  </w:r>
                </w:p>
              </w:tc>
              <w:tc>
                <w:tcPr>
                  <w:tcW w:w="337" w:type="pct"/>
                  <w:shd w:val="clear" w:color="auto" w:fill="auto"/>
                  <w:vAlign w:val="center"/>
                </w:tcPr>
                <w:p w14:paraId="5E0C42BF">
                  <w:pPr>
                    <w:jc w:val="center"/>
                    <w:rPr>
                      <w:color w:val="auto"/>
                      <w:lang w:val="en-US" w:eastAsia="en-US"/>
                    </w:rPr>
                  </w:pPr>
                  <w:r>
                    <w:rPr>
                      <w:color w:val="auto"/>
                    </w:rPr>
                    <w:t>全自动滚镀镍铜镍+化学镀镍线（1条）、镀锌镍合金和镀镍铜镍退镀线（1条）</w:t>
                  </w:r>
                </w:p>
              </w:tc>
              <w:tc>
                <w:tcPr>
                  <w:tcW w:w="331" w:type="pct"/>
                  <w:shd w:val="clear" w:color="auto" w:fill="auto"/>
                  <w:vAlign w:val="center"/>
                </w:tcPr>
                <w:p w14:paraId="584F04C6">
                  <w:pPr>
                    <w:jc w:val="center"/>
                    <w:rPr>
                      <w:color w:val="auto"/>
                      <w:lang w:val="en-US" w:eastAsia="en-US"/>
                    </w:rPr>
                  </w:pPr>
                  <w:r>
                    <w:rPr>
                      <w:color w:val="auto"/>
                    </w:rPr>
                    <w:t>DA011排气筒</w:t>
                  </w:r>
                </w:p>
              </w:tc>
              <w:tc>
                <w:tcPr>
                  <w:tcW w:w="371" w:type="pct"/>
                  <w:shd w:val="clear" w:color="auto" w:fill="auto"/>
                  <w:vAlign w:val="center"/>
                </w:tcPr>
                <w:p w14:paraId="70AD49B0">
                  <w:pPr>
                    <w:jc w:val="center"/>
                    <w:rPr>
                      <w:color w:val="auto"/>
                      <w:lang w:val="en-US" w:eastAsia="en-US"/>
                    </w:rPr>
                  </w:pPr>
                  <w:r>
                    <w:rPr>
                      <w:color w:val="auto"/>
                    </w:rPr>
                    <w:t>氮氧化物</w:t>
                  </w:r>
                </w:p>
              </w:tc>
              <w:tc>
                <w:tcPr>
                  <w:tcW w:w="436" w:type="pct"/>
                  <w:shd w:val="clear" w:color="auto" w:fill="auto"/>
                  <w:vAlign w:val="center"/>
                </w:tcPr>
                <w:p w14:paraId="370F8D82">
                  <w:pPr>
                    <w:jc w:val="center"/>
                    <w:rPr>
                      <w:color w:val="auto"/>
                      <w:lang w:val="en-US" w:eastAsia="zh-CN"/>
                    </w:rPr>
                  </w:pPr>
                  <w:r>
                    <w:rPr>
                      <w:color w:val="auto"/>
                    </w:rPr>
                    <w:t>0.02</w:t>
                  </w:r>
                </w:p>
              </w:tc>
              <w:tc>
                <w:tcPr>
                  <w:tcW w:w="350" w:type="pct"/>
                  <w:shd w:val="clear" w:color="auto" w:fill="auto"/>
                  <w:vAlign w:val="center"/>
                </w:tcPr>
                <w:p w14:paraId="620761E1">
                  <w:pPr>
                    <w:jc w:val="center"/>
                    <w:rPr>
                      <w:color w:val="auto"/>
                      <w:lang w:val="en-US" w:eastAsia="zh-CN"/>
                    </w:rPr>
                  </w:pPr>
                  <w:r>
                    <w:rPr>
                      <w:color w:val="auto"/>
                    </w:rPr>
                    <w:t>0.137</w:t>
                  </w:r>
                </w:p>
              </w:tc>
              <w:tc>
                <w:tcPr>
                  <w:tcW w:w="531" w:type="pct"/>
                  <w:shd w:val="clear" w:color="auto" w:fill="auto"/>
                  <w:vAlign w:val="center"/>
                </w:tcPr>
                <w:p w14:paraId="261C2040">
                  <w:pPr>
                    <w:jc w:val="center"/>
                    <w:rPr>
                      <w:color w:val="auto"/>
                      <w:lang w:val="en-US" w:eastAsia="en-US"/>
                    </w:rPr>
                  </w:pPr>
                  <w:r>
                    <w:rPr>
                      <w:color w:val="auto"/>
                    </w:rPr>
                    <w:t>碱液喷淋塔（TA011）</w:t>
                  </w:r>
                </w:p>
              </w:tc>
              <w:tc>
                <w:tcPr>
                  <w:tcW w:w="338" w:type="pct"/>
                  <w:shd w:val="clear" w:color="auto" w:fill="auto"/>
                  <w:vAlign w:val="center"/>
                </w:tcPr>
                <w:p w14:paraId="31BE3AE8">
                  <w:pPr>
                    <w:jc w:val="center"/>
                    <w:rPr>
                      <w:color w:val="auto"/>
                      <w:lang w:val="en-US" w:eastAsia="zh-CN"/>
                    </w:rPr>
                  </w:pPr>
                  <w:r>
                    <w:rPr>
                      <w:color w:val="auto"/>
                    </w:rPr>
                    <w:t>90</w:t>
                  </w:r>
                </w:p>
              </w:tc>
              <w:tc>
                <w:tcPr>
                  <w:tcW w:w="527" w:type="pct"/>
                  <w:shd w:val="clear" w:color="auto" w:fill="auto"/>
                  <w:vAlign w:val="center"/>
                </w:tcPr>
                <w:p w14:paraId="0BC04B2D">
                  <w:pPr>
                    <w:jc w:val="center"/>
                    <w:rPr>
                      <w:color w:val="auto"/>
                      <w:lang w:val="en-US" w:eastAsia="zh-CN"/>
                    </w:rPr>
                  </w:pPr>
                  <w:r>
                    <w:rPr>
                      <w:color w:val="auto"/>
                    </w:rPr>
                    <w:t>3000</w:t>
                  </w:r>
                </w:p>
              </w:tc>
              <w:tc>
                <w:tcPr>
                  <w:tcW w:w="583" w:type="pct"/>
                  <w:gridSpan w:val="3"/>
                  <w:shd w:val="clear" w:color="auto" w:fill="auto"/>
                  <w:vAlign w:val="center"/>
                </w:tcPr>
                <w:p w14:paraId="0B4B1844">
                  <w:pPr>
                    <w:jc w:val="center"/>
                    <w:rPr>
                      <w:color w:val="auto"/>
                      <w:lang w:val="en-US" w:eastAsia="zh-CN"/>
                    </w:rPr>
                  </w:pPr>
                  <w:r>
                    <w:rPr>
                      <w:color w:val="auto"/>
                    </w:rPr>
                    <w:t>0.6</w:t>
                  </w:r>
                </w:p>
              </w:tc>
              <w:tc>
                <w:tcPr>
                  <w:tcW w:w="436" w:type="pct"/>
                  <w:shd w:val="clear" w:color="auto" w:fill="auto"/>
                  <w:vAlign w:val="center"/>
                </w:tcPr>
                <w:p w14:paraId="348B0523">
                  <w:pPr>
                    <w:jc w:val="center"/>
                    <w:rPr>
                      <w:rFonts w:ascii="Times New Roman" w:hAnsi="Times New Roman" w:eastAsia="宋体" w:cs="Times New Roman"/>
                      <w:color w:val="auto"/>
                      <w:kern w:val="2"/>
                      <w:sz w:val="21"/>
                      <w:szCs w:val="24"/>
                      <w:lang w:val="en-US" w:eastAsia="zh-CN" w:bidi="ar-SA"/>
                    </w:rPr>
                  </w:pPr>
                  <w:r>
                    <w:rPr>
                      <w:color w:val="auto"/>
                    </w:rPr>
                    <w:t>0.002</w:t>
                  </w:r>
                </w:p>
              </w:tc>
              <w:tc>
                <w:tcPr>
                  <w:tcW w:w="350" w:type="pct"/>
                  <w:shd w:val="clear" w:color="auto" w:fill="auto"/>
                  <w:vAlign w:val="center"/>
                </w:tcPr>
                <w:p w14:paraId="309F23DA">
                  <w:pPr>
                    <w:jc w:val="center"/>
                    <w:rPr>
                      <w:rFonts w:ascii="Times New Roman" w:hAnsi="Times New Roman" w:eastAsia="宋体" w:cs="Times New Roman"/>
                      <w:color w:val="auto"/>
                      <w:kern w:val="2"/>
                      <w:sz w:val="21"/>
                      <w:szCs w:val="24"/>
                      <w:lang w:val="en-US" w:eastAsia="zh-CN" w:bidi="ar-SA"/>
                    </w:rPr>
                  </w:pPr>
                  <w:r>
                    <w:rPr>
                      <w:color w:val="auto"/>
                    </w:rPr>
                    <w:t>0.01</w:t>
                  </w:r>
                </w:p>
              </w:tc>
              <w:tc>
                <w:tcPr>
                  <w:tcW w:w="289" w:type="pct"/>
                  <w:vMerge w:val="restart"/>
                  <w:shd w:val="clear" w:color="auto" w:fill="auto"/>
                  <w:vAlign w:val="center"/>
                </w:tcPr>
                <w:p w14:paraId="7D56049D">
                  <w:pPr>
                    <w:jc w:val="center"/>
                    <w:rPr>
                      <w:rFonts w:ascii="Times New Roman" w:hAnsi="Times New Roman" w:eastAsia="宋体" w:cs="Times New Roman"/>
                      <w:color w:val="auto"/>
                      <w:kern w:val="2"/>
                      <w:sz w:val="21"/>
                      <w:szCs w:val="24"/>
                      <w:lang w:val="en-US" w:eastAsia="zh-CN" w:bidi="ar-SA"/>
                    </w:rPr>
                  </w:pPr>
                  <w:r>
                    <w:rPr>
                      <w:color w:val="auto"/>
                    </w:rPr>
                    <w:t>8400</w:t>
                  </w:r>
                </w:p>
              </w:tc>
            </w:tr>
            <w:tr w14:paraId="0BD8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7" w:hRule="atLeast"/>
                <w:jc w:val="center"/>
              </w:trPr>
              <w:tc>
                <w:tcPr>
                  <w:tcW w:w="116" w:type="pct"/>
                  <w:vMerge w:val="restart"/>
                  <w:shd w:val="clear" w:color="auto" w:fill="auto"/>
                  <w:vAlign w:val="center"/>
                </w:tcPr>
                <w:p w14:paraId="00B459CF">
                  <w:pPr>
                    <w:jc w:val="center"/>
                    <w:rPr>
                      <w:color w:val="auto"/>
                      <w:lang w:val="en-US" w:eastAsia="en-US"/>
                    </w:rPr>
                  </w:pPr>
                  <w:r>
                    <w:rPr>
                      <w:color w:val="auto"/>
                    </w:rPr>
                    <w:t>5#电镀车间</w:t>
                  </w:r>
                </w:p>
              </w:tc>
              <w:tc>
                <w:tcPr>
                  <w:tcW w:w="337" w:type="pct"/>
                  <w:shd w:val="clear" w:color="auto" w:fill="auto"/>
                  <w:vAlign w:val="center"/>
                </w:tcPr>
                <w:p w14:paraId="388F1244">
                  <w:pPr>
                    <w:jc w:val="center"/>
                    <w:rPr>
                      <w:color w:val="auto"/>
                      <w:lang w:val="en-US" w:eastAsia="en-US"/>
                    </w:rPr>
                  </w:pPr>
                  <w:r>
                    <w:rPr>
                      <w:color w:val="auto"/>
                    </w:rPr>
                    <w:t>挂镀电泳线（6条）</w:t>
                  </w:r>
                </w:p>
              </w:tc>
              <w:tc>
                <w:tcPr>
                  <w:tcW w:w="331" w:type="pct"/>
                  <w:vMerge w:val="restart"/>
                  <w:shd w:val="clear" w:color="auto" w:fill="auto"/>
                  <w:vAlign w:val="center"/>
                </w:tcPr>
                <w:p w14:paraId="13E4020C">
                  <w:pPr>
                    <w:jc w:val="center"/>
                    <w:rPr>
                      <w:color w:val="auto"/>
                      <w:lang w:val="en-US" w:eastAsia="en-US"/>
                    </w:rPr>
                  </w:pPr>
                  <w:r>
                    <w:rPr>
                      <w:color w:val="auto"/>
                    </w:rPr>
                    <w:t>DA012排气筒</w:t>
                  </w:r>
                </w:p>
              </w:tc>
              <w:tc>
                <w:tcPr>
                  <w:tcW w:w="371" w:type="pct"/>
                  <w:shd w:val="clear" w:color="auto" w:fill="auto"/>
                  <w:vAlign w:val="center"/>
                </w:tcPr>
                <w:p w14:paraId="3C7C271F">
                  <w:pPr>
                    <w:jc w:val="center"/>
                    <w:rPr>
                      <w:color w:val="auto"/>
                      <w:lang w:val="en-US" w:eastAsia="zh-CN"/>
                    </w:rPr>
                  </w:pPr>
                  <w:r>
                    <w:rPr>
                      <w:color w:val="auto"/>
                    </w:rPr>
                    <w:t>TRVOC</w:t>
                  </w:r>
                </w:p>
              </w:tc>
              <w:tc>
                <w:tcPr>
                  <w:tcW w:w="436" w:type="pct"/>
                  <w:shd w:val="clear" w:color="auto" w:fill="auto"/>
                  <w:vAlign w:val="center"/>
                </w:tcPr>
                <w:p w14:paraId="0306C5B4">
                  <w:pPr>
                    <w:jc w:val="center"/>
                    <w:rPr>
                      <w:color w:val="auto"/>
                      <w:lang w:val="en-US" w:eastAsia="zh-CN"/>
                    </w:rPr>
                  </w:pPr>
                  <w:r>
                    <w:rPr>
                      <w:color w:val="auto"/>
                    </w:rPr>
                    <w:t>0.41</w:t>
                  </w:r>
                </w:p>
              </w:tc>
              <w:tc>
                <w:tcPr>
                  <w:tcW w:w="350" w:type="pct"/>
                  <w:shd w:val="clear" w:color="auto" w:fill="auto"/>
                  <w:vAlign w:val="center"/>
                </w:tcPr>
                <w:p w14:paraId="2230F1DD">
                  <w:pPr>
                    <w:jc w:val="center"/>
                    <w:rPr>
                      <w:color w:val="auto"/>
                      <w:lang w:val="en-US" w:eastAsia="zh-CN"/>
                    </w:rPr>
                  </w:pPr>
                  <w:r>
                    <w:rPr>
                      <w:color w:val="auto"/>
                    </w:rPr>
                    <w:t>3.47</w:t>
                  </w:r>
                </w:p>
              </w:tc>
              <w:tc>
                <w:tcPr>
                  <w:tcW w:w="531" w:type="pct"/>
                  <w:vMerge w:val="restart"/>
                  <w:shd w:val="clear" w:color="auto" w:fill="auto"/>
                  <w:vAlign w:val="center"/>
                </w:tcPr>
                <w:p w14:paraId="6E6C04AA">
                  <w:pPr>
                    <w:jc w:val="center"/>
                    <w:rPr>
                      <w:color w:val="auto"/>
                      <w:lang w:val="en-US" w:eastAsia="en-US"/>
                    </w:rPr>
                  </w:pPr>
                  <w:r>
                    <w:rPr>
                      <w:color w:val="auto"/>
                    </w:rPr>
                    <w:t>过滤器+活性炭吸附浓缩+催化燃烧（TA012）</w:t>
                  </w:r>
                </w:p>
              </w:tc>
              <w:tc>
                <w:tcPr>
                  <w:tcW w:w="338" w:type="pct"/>
                  <w:shd w:val="clear" w:color="auto" w:fill="auto"/>
                  <w:vAlign w:val="center"/>
                </w:tcPr>
                <w:p w14:paraId="7CF1FF33">
                  <w:pPr>
                    <w:jc w:val="center"/>
                    <w:rPr>
                      <w:color w:val="auto"/>
                      <w:lang w:val="en-US" w:eastAsia="zh-CN"/>
                    </w:rPr>
                  </w:pPr>
                  <w:r>
                    <w:rPr>
                      <w:color w:val="auto"/>
                    </w:rPr>
                    <w:t>85.5</w:t>
                  </w:r>
                </w:p>
              </w:tc>
              <w:tc>
                <w:tcPr>
                  <w:tcW w:w="527" w:type="pct"/>
                  <w:vMerge w:val="restart"/>
                  <w:shd w:val="clear" w:color="auto" w:fill="auto"/>
                  <w:vAlign w:val="center"/>
                </w:tcPr>
                <w:p w14:paraId="2495DCA0">
                  <w:pPr>
                    <w:jc w:val="center"/>
                    <w:rPr>
                      <w:color w:val="auto"/>
                      <w:lang w:val="en-US" w:eastAsia="zh-CN"/>
                    </w:rPr>
                  </w:pPr>
                  <w:r>
                    <w:rPr>
                      <w:rFonts w:hint="eastAsia"/>
                      <w:color w:val="auto"/>
                      <w:lang w:val="en-US" w:eastAsia="zh-CN"/>
                    </w:rPr>
                    <w:t>2</w:t>
                  </w:r>
                  <w:r>
                    <w:rPr>
                      <w:color w:val="auto"/>
                    </w:rPr>
                    <w:t>0000</w:t>
                  </w:r>
                </w:p>
              </w:tc>
              <w:tc>
                <w:tcPr>
                  <w:tcW w:w="315" w:type="pct"/>
                  <w:gridSpan w:val="2"/>
                  <w:vMerge w:val="restart"/>
                  <w:shd w:val="clear" w:color="auto" w:fill="auto"/>
                  <w:vAlign w:val="center"/>
                </w:tcPr>
                <w:p w14:paraId="211A104A">
                  <w:pPr>
                    <w:jc w:val="center"/>
                    <w:rPr>
                      <w:color w:val="auto"/>
                      <w:lang w:val="en-US" w:eastAsia="en-US"/>
                    </w:rPr>
                  </w:pPr>
                  <w:r>
                    <w:rPr>
                      <w:color w:val="auto"/>
                    </w:rPr>
                    <w:t>颗粒物</w:t>
                  </w:r>
                </w:p>
              </w:tc>
              <w:tc>
                <w:tcPr>
                  <w:tcW w:w="267" w:type="pct"/>
                  <w:vMerge w:val="restart"/>
                  <w:shd w:val="clear" w:color="auto" w:fill="auto"/>
                  <w:vAlign w:val="center"/>
                </w:tcPr>
                <w:p w14:paraId="00227B82">
                  <w:pPr>
                    <w:jc w:val="center"/>
                    <w:rPr>
                      <w:color w:val="auto"/>
                    </w:rPr>
                  </w:pPr>
                  <w:r>
                    <w:rPr>
                      <w:color w:val="auto"/>
                    </w:rPr>
                    <w:t>5.4</w:t>
                  </w:r>
                </w:p>
              </w:tc>
              <w:tc>
                <w:tcPr>
                  <w:tcW w:w="436" w:type="pct"/>
                  <w:vMerge w:val="restart"/>
                  <w:shd w:val="clear" w:color="auto" w:fill="auto"/>
                  <w:vAlign w:val="center"/>
                </w:tcPr>
                <w:p w14:paraId="11683AC7">
                  <w:pPr>
                    <w:jc w:val="center"/>
                    <w:rPr>
                      <w:color w:val="auto"/>
                      <w:lang w:val="en-US" w:eastAsia="zh-CN"/>
                    </w:rPr>
                  </w:pPr>
                  <w:r>
                    <w:rPr>
                      <w:color w:val="auto"/>
                    </w:rPr>
                    <w:t>0.11</w:t>
                  </w:r>
                </w:p>
              </w:tc>
              <w:tc>
                <w:tcPr>
                  <w:tcW w:w="350" w:type="pct"/>
                  <w:vMerge w:val="restart"/>
                  <w:shd w:val="clear" w:color="auto" w:fill="auto"/>
                  <w:vAlign w:val="center"/>
                </w:tcPr>
                <w:p w14:paraId="468C08B2">
                  <w:pPr>
                    <w:jc w:val="center"/>
                    <w:rPr>
                      <w:color w:val="auto"/>
                      <w:lang w:val="en-US" w:eastAsia="zh-CN"/>
                    </w:rPr>
                  </w:pPr>
                  <w:r>
                    <w:rPr>
                      <w:color w:val="auto"/>
                    </w:rPr>
                    <w:t>0.91</w:t>
                  </w:r>
                </w:p>
              </w:tc>
              <w:tc>
                <w:tcPr>
                  <w:tcW w:w="289" w:type="pct"/>
                  <w:vMerge w:val="continue"/>
                  <w:shd w:val="clear" w:color="auto" w:fill="auto"/>
                  <w:vAlign w:val="center"/>
                </w:tcPr>
                <w:p w14:paraId="041BF163">
                  <w:pPr>
                    <w:jc w:val="center"/>
                    <w:rPr>
                      <w:color w:val="auto"/>
                      <w:lang w:val="en-US" w:eastAsia="zh-CN"/>
                    </w:rPr>
                  </w:pPr>
                </w:p>
              </w:tc>
            </w:tr>
            <w:tr w14:paraId="63ED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4124D9A1">
                  <w:pPr>
                    <w:jc w:val="center"/>
                    <w:rPr>
                      <w:color w:val="auto"/>
                    </w:rPr>
                  </w:pPr>
                </w:p>
              </w:tc>
              <w:tc>
                <w:tcPr>
                  <w:tcW w:w="337" w:type="pct"/>
                  <w:vMerge w:val="restart"/>
                  <w:shd w:val="clear" w:color="auto" w:fill="auto"/>
                  <w:vAlign w:val="center"/>
                </w:tcPr>
                <w:p w14:paraId="42E779B0">
                  <w:pPr>
                    <w:jc w:val="center"/>
                    <w:rPr>
                      <w:color w:val="auto"/>
                      <w:lang w:val="en-US" w:eastAsia="en-US"/>
                    </w:rPr>
                  </w:pPr>
                  <w:r>
                    <w:rPr>
                      <w:color w:val="auto"/>
                    </w:rPr>
                    <w:t>热风炉燃气废气（6台）</w:t>
                  </w:r>
                </w:p>
              </w:tc>
              <w:tc>
                <w:tcPr>
                  <w:tcW w:w="331" w:type="pct"/>
                  <w:vMerge w:val="continue"/>
                  <w:shd w:val="clear" w:color="auto" w:fill="auto"/>
                  <w:vAlign w:val="center"/>
                </w:tcPr>
                <w:p w14:paraId="0B8D5DB4">
                  <w:pPr>
                    <w:jc w:val="center"/>
                    <w:rPr>
                      <w:color w:val="auto"/>
                    </w:rPr>
                  </w:pPr>
                </w:p>
              </w:tc>
              <w:tc>
                <w:tcPr>
                  <w:tcW w:w="371" w:type="pct"/>
                  <w:shd w:val="clear" w:color="auto" w:fill="auto"/>
                  <w:vAlign w:val="center"/>
                </w:tcPr>
                <w:p w14:paraId="0783C6F2">
                  <w:pPr>
                    <w:jc w:val="center"/>
                    <w:rPr>
                      <w:color w:val="auto"/>
                      <w:lang w:val="en-US" w:eastAsia="en-US"/>
                    </w:rPr>
                  </w:pPr>
                  <w:r>
                    <w:rPr>
                      <w:color w:val="auto"/>
                    </w:rPr>
                    <w:t>颗粒物</w:t>
                  </w:r>
                </w:p>
              </w:tc>
              <w:tc>
                <w:tcPr>
                  <w:tcW w:w="436" w:type="pct"/>
                  <w:shd w:val="clear" w:color="auto" w:fill="auto"/>
                  <w:vAlign w:val="center"/>
                </w:tcPr>
                <w:p w14:paraId="7822B811">
                  <w:pPr>
                    <w:jc w:val="center"/>
                    <w:rPr>
                      <w:color w:val="auto"/>
                      <w:lang w:val="en-US" w:eastAsia="zh-CN"/>
                    </w:rPr>
                  </w:pPr>
                  <w:r>
                    <w:rPr>
                      <w:color w:val="auto"/>
                    </w:rPr>
                    <w:t>0.02</w:t>
                  </w:r>
                </w:p>
              </w:tc>
              <w:tc>
                <w:tcPr>
                  <w:tcW w:w="350" w:type="pct"/>
                  <w:shd w:val="clear" w:color="auto" w:fill="auto"/>
                  <w:vAlign w:val="center"/>
                </w:tcPr>
                <w:p w14:paraId="48E0F5CD">
                  <w:pPr>
                    <w:jc w:val="center"/>
                    <w:rPr>
                      <w:color w:val="auto"/>
                      <w:lang w:val="en-US" w:eastAsia="zh-CN"/>
                    </w:rPr>
                  </w:pPr>
                  <w:r>
                    <w:rPr>
                      <w:color w:val="auto"/>
                    </w:rPr>
                    <w:t>0.13</w:t>
                  </w:r>
                </w:p>
              </w:tc>
              <w:tc>
                <w:tcPr>
                  <w:tcW w:w="531" w:type="pct"/>
                  <w:vMerge w:val="continue"/>
                  <w:shd w:val="clear" w:color="auto" w:fill="auto"/>
                  <w:vAlign w:val="center"/>
                </w:tcPr>
                <w:p w14:paraId="5D538F28">
                  <w:pPr>
                    <w:jc w:val="center"/>
                    <w:rPr>
                      <w:color w:val="auto"/>
                    </w:rPr>
                  </w:pPr>
                </w:p>
              </w:tc>
              <w:tc>
                <w:tcPr>
                  <w:tcW w:w="338" w:type="pct"/>
                  <w:shd w:val="clear" w:color="auto" w:fill="auto"/>
                  <w:vAlign w:val="center"/>
                </w:tcPr>
                <w:p w14:paraId="0F1D91CD">
                  <w:pPr>
                    <w:jc w:val="center"/>
                    <w:rPr>
                      <w:color w:val="auto"/>
                      <w:lang w:val="en-US" w:eastAsia="zh-CN"/>
                    </w:rPr>
                  </w:pPr>
                  <w:r>
                    <w:rPr>
                      <w:color w:val="auto"/>
                    </w:rPr>
                    <w:t>/</w:t>
                  </w:r>
                </w:p>
              </w:tc>
              <w:tc>
                <w:tcPr>
                  <w:tcW w:w="527" w:type="pct"/>
                  <w:vMerge w:val="continue"/>
                  <w:shd w:val="clear" w:color="auto" w:fill="auto"/>
                  <w:vAlign w:val="center"/>
                </w:tcPr>
                <w:p w14:paraId="59070EEF">
                  <w:pPr>
                    <w:jc w:val="center"/>
                    <w:rPr>
                      <w:color w:val="auto"/>
                    </w:rPr>
                  </w:pPr>
                </w:p>
              </w:tc>
              <w:tc>
                <w:tcPr>
                  <w:tcW w:w="315" w:type="pct"/>
                  <w:gridSpan w:val="2"/>
                  <w:vMerge w:val="continue"/>
                  <w:shd w:val="clear" w:color="auto" w:fill="auto"/>
                  <w:vAlign w:val="center"/>
                </w:tcPr>
                <w:p w14:paraId="6C842039">
                  <w:pPr>
                    <w:jc w:val="center"/>
                    <w:rPr>
                      <w:color w:val="auto"/>
                    </w:rPr>
                  </w:pPr>
                </w:p>
              </w:tc>
              <w:tc>
                <w:tcPr>
                  <w:tcW w:w="267" w:type="pct"/>
                  <w:vMerge w:val="continue"/>
                  <w:shd w:val="clear" w:color="auto" w:fill="auto"/>
                  <w:vAlign w:val="center"/>
                </w:tcPr>
                <w:p w14:paraId="7B8BD418">
                  <w:pPr>
                    <w:jc w:val="center"/>
                    <w:rPr>
                      <w:color w:val="auto"/>
                    </w:rPr>
                  </w:pPr>
                </w:p>
              </w:tc>
              <w:tc>
                <w:tcPr>
                  <w:tcW w:w="436" w:type="pct"/>
                  <w:vMerge w:val="continue"/>
                  <w:shd w:val="clear" w:color="auto" w:fill="auto"/>
                  <w:vAlign w:val="center"/>
                </w:tcPr>
                <w:p w14:paraId="7A3A0E41">
                  <w:pPr>
                    <w:jc w:val="center"/>
                    <w:rPr>
                      <w:color w:val="auto"/>
                    </w:rPr>
                  </w:pPr>
                </w:p>
              </w:tc>
              <w:tc>
                <w:tcPr>
                  <w:tcW w:w="350" w:type="pct"/>
                  <w:vMerge w:val="continue"/>
                  <w:shd w:val="clear" w:color="auto" w:fill="auto"/>
                  <w:vAlign w:val="center"/>
                </w:tcPr>
                <w:p w14:paraId="19C88B11">
                  <w:pPr>
                    <w:jc w:val="center"/>
                    <w:rPr>
                      <w:color w:val="auto"/>
                    </w:rPr>
                  </w:pPr>
                </w:p>
              </w:tc>
              <w:tc>
                <w:tcPr>
                  <w:tcW w:w="289" w:type="pct"/>
                  <w:vMerge w:val="continue"/>
                  <w:shd w:val="clear" w:color="auto" w:fill="auto"/>
                  <w:vAlign w:val="center"/>
                </w:tcPr>
                <w:p w14:paraId="1764BED5">
                  <w:pPr>
                    <w:jc w:val="center"/>
                    <w:rPr>
                      <w:color w:val="auto"/>
                    </w:rPr>
                  </w:pPr>
                </w:p>
              </w:tc>
            </w:tr>
            <w:tr w14:paraId="4607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53FC225C">
                  <w:pPr>
                    <w:jc w:val="center"/>
                    <w:rPr>
                      <w:color w:val="auto"/>
                    </w:rPr>
                  </w:pPr>
                </w:p>
              </w:tc>
              <w:tc>
                <w:tcPr>
                  <w:tcW w:w="337" w:type="pct"/>
                  <w:vMerge w:val="continue"/>
                  <w:shd w:val="clear" w:color="auto" w:fill="auto"/>
                  <w:vAlign w:val="center"/>
                </w:tcPr>
                <w:p w14:paraId="3F73B381">
                  <w:pPr>
                    <w:jc w:val="center"/>
                    <w:rPr>
                      <w:color w:val="auto"/>
                    </w:rPr>
                  </w:pPr>
                </w:p>
              </w:tc>
              <w:tc>
                <w:tcPr>
                  <w:tcW w:w="331" w:type="pct"/>
                  <w:vMerge w:val="continue"/>
                  <w:shd w:val="clear" w:color="auto" w:fill="auto"/>
                  <w:vAlign w:val="center"/>
                </w:tcPr>
                <w:p w14:paraId="7BAE4E14">
                  <w:pPr>
                    <w:jc w:val="center"/>
                    <w:rPr>
                      <w:color w:val="auto"/>
                    </w:rPr>
                  </w:pPr>
                </w:p>
              </w:tc>
              <w:tc>
                <w:tcPr>
                  <w:tcW w:w="371" w:type="pct"/>
                  <w:shd w:val="clear" w:color="auto" w:fill="auto"/>
                  <w:vAlign w:val="center"/>
                </w:tcPr>
                <w:p w14:paraId="7C7DA0D3">
                  <w:pPr>
                    <w:jc w:val="center"/>
                    <w:rPr>
                      <w:color w:val="auto"/>
                      <w:lang w:val="en-US" w:eastAsia="en-US"/>
                    </w:rPr>
                  </w:pPr>
                  <w:r>
                    <w:rPr>
                      <w:color w:val="auto"/>
                    </w:rPr>
                    <w:t>二氧化硫</w:t>
                  </w:r>
                </w:p>
              </w:tc>
              <w:tc>
                <w:tcPr>
                  <w:tcW w:w="436" w:type="pct"/>
                  <w:shd w:val="clear" w:color="auto" w:fill="auto"/>
                  <w:vAlign w:val="center"/>
                </w:tcPr>
                <w:p w14:paraId="1D9DEA25">
                  <w:pPr>
                    <w:jc w:val="center"/>
                    <w:rPr>
                      <w:color w:val="auto"/>
                      <w:lang w:val="en-US" w:eastAsia="zh-CN"/>
                    </w:rPr>
                  </w:pPr>
                  <w:r>
                    <w:rPr>
                      <w:color w:val="auto"/>
                    </w:rPr>
                    <w:t>0.05</w:t>
                  </w:r>
                </w:p>
              </w:tc>
              <w:tc>
                <w:tcPr>
                  <w:tcW w:w="350" w:type="pct"/>
                  <w:shd w:val="clear" w:color="auto" w:fill="auto"/>
                  <w:vAlign w:val="center"/>
                </w:tcPr>
                <w:p w14:paraId="07FE1E3F">
                  <w:pPr>
                    <w:jc w:val="center"/>
                    <w:rPr>
                      <w:color w:val="auto"/>
                      <w:lang w:val="en-US" w:eastAsia="zh-CN"/>
                    </w:rPr>
                  </w:pPr>
                  <w:r>
                    <w:rPr>
                      <w:color w:val="auto"/>
                    </w:rPr>
                    <w:t>0.46</w:t>
                  </w:r>
                </w:p>
              </w:tc>
              <w:tc>
                <w:tcPr>
                  <w:tcW w:w="531" w:type="pct"/>
                  <w:vMerge w:val="continue"/>
                  <w:shd w:val="clear" w:color="auto" w:fill="auto"/>
                  <w:vAlign w:val="center"/>
                </w:tcPr>
                <w:p w14:paraId="12B9159C">
                  <w:pPr>
                    <w:jc w:val="center"/>
                    <w:rPr>
                      <w:color w:val="auto"/>
                    </w:rPr>
                  </w:pPr>
                </w:p>
              </w:tc>
              <w:tc>
                <w:tcPr>
                  <w:tcW w:w="338" w:type="pct"/>
                  <w:shd w:val="clear" w:color="auto" w:fill="auto"/>
                  <w:vAlign w:val="center"/>
                </w:tcPr>
                <w:p w14:paraId="4A94C6A1">
                  <w:pPr>
                    <w:jc w:val="center"/>
                    <w:rPr>
                      <w:color w:val="auto"/>
                      <w:lang w:val="en-US" w:eastAsia="zh-CN"/>
                    </w:rPr>
                  </w:pPr>
                  <w:r>
                    <w:rPr>
                      <w:color w:val="auto"/>
                    </w:rPr>
                    <w:t>/</w:t>
                  </w:r>
                </w:p>
              </w:tc>
              <w:tc>
                <w:tcPr>
                  <w:tcW w:w="527" w:type="pct"/>
                  <w:vMerge w:val="continue"/>
                  <w:shd w:val="clear" w:color="auto" w:fill="auto"/>
                  <w:vAlign w:val="center"/>
                </w:tcPr>
                <w:p w14:paraId="2DD7F63E">
                  <w:pPr>
                    <w:jc w:val="center"/>
                    <w:rPr>
                      <w:color w:val="auto"/>
                    </w:rPr>
                  </w:pPr>
                </w:p>
              </w:tc>
              <w:tc>
                <w:tcPr>
                  <w:tcW w:w="315" w:type="pct"/>
                  <w:gridSpan w:val="2"/>
                  <w:vMerge w:val="restart"/>
                  <w:shd w:val="clear" w:color="auto" w:fill="auto"/>
                  <w:vAlign w:val="center"/>
                </w:tcPr>
                <w:p w14:paraId="20C7D87A">
                  <w:pPr>
                    <w:jc w:val="center"/>
                    <w:rPr>
                      <w:color w:val="auto"/>
                      <w:lang w:val="en-US" w:eastAsia="en-US"/>
                    </w:rPr>
                  </w:pPr>
                  <w:r>
                    <w:rPr>
                      <w:color w:val="auto"/>
                    </w:rPr>
                    <w:t>二氧化硫</w:t>
                  </w:r>
                </w:p>
              </w:tc>
              <w:tc>
                <w:tcPr>
                  <w:tcW w:w="267" w:type="pct"/>
                  <w:vMerge w:val="restart"/>
                  <w:shd w:val="clear" w:color="auto" w:fill="auto"/>
                  <w:vAlign w:val="center"/>
                </w:tcPr>
                <w:p w14:paraId="3CBE6846">
                  <w:pPr>
                    <w:jc w:val="center"/>
                    <w:rPr>
                      <w:rFonts w:ascii="Times New Roman" w:hAnsi="Times New Roman" w:eastAsia="宋体" w:cs="Times New Roman"/>
                      <w:color w:val="auto"/>
                      <w:kern w:val="2"/>
                      <w:sz w:val="21"/>
                      <w:szCs w:val="24"/>
                      <w:lang w:val="en-US" w:eastAsia="zh-CN" w:bidi="ar-SA"/>
                    </w:rPr>
                  </w:pPr>
                  <w:r>
                    <w:rPr>
                      <w:color w:val="auto"/>
                    </w:rPr>
                    <w:t>2.7</w:t>
                  </w:r>
                </w:p>
              </w:tc>
              <w:tc>
                <w:tcPr>
                  <w:tcW w:w="436" w:type="pct"/>
                  <w:vMerge w:val="restart"/>
                  <w:shd w:val="clear" w:color="auto" w:fill="auto"/>
                  <w:vAlign w:val="center"/>
                </w:tcPr>
                <w:p w14:paraId="46063FE1">
                  <w:pPr>
                    <w:jc w:val="center"/>
                    <w:rPr>
                      <w:rFonts w:ascii="Times New Roman" w:hAnsi="Times New Roman" w:eastAsia="宋体" w:cs="Times New Roman"/>
                      <w:color w:val="auto"/>
                      <w:kern w:val="2"/>
                      <w:sz w:val="21"/>
                      <w:szCs w:val="24"/>
                      <w:lang w:val="en-US" w:eastAsia="zh-CN" w:bidi="ar-SA"/>
                    </w:rPr>
                  </w:pPr>
                  <w:r>
                    <w:rPr>
                      <w:color w:val="auto"/>
                    </w:rPr>
                    <w:t>0.05</w:t>
                  </w:r>
                </w:p>
              </w:tc>
              <w:tc>
                <w:tcPr>
                  <w:tcW w:w="350" w:type="pct"/>
                  <w:vMerge w:val="restart"/>
                  <w:shd w:val="clear" w:color="auto" w:fill="auto"/>
                  <w:vAlign w:val="center"/>
                </w:tcPr>
                <w:p w14:paraId="02F7F627">
                  <w:pPr>
                    <w:jc w:val="center"/>
                    <w:rPr>
                      <w:rFonts w:ascii="Times New Roman" w:hAnsi="Times New Roman" w:eastAsia="宋体" w:cs="Times New Roman"/>
                      <w:color w:val="auto"/>
                      <w:kern w:val="2"/>
                      <w:sz w:val="21"/>
                      <w:szCs w:val="24"/>
                      <w:lang w:val="en-US" w:eastAsia="zh-CN" w:bidi="ar-SA"/>
                    </w:rPr>
                  </w:pPr>
                  <w:r>
                    <w:rPr>
                      <w:color w:val="auto"/>
                    </w:rPr>
                    <w:t>0.46</w:t>
                  </w:r>
                </w:p>
              </w:tc>
              <w:tc>
                <w:tcPr>
                  <w:tcW w:w="289" w:type="pct"/>
                  <w:vMerge w:val="continue"/>
                  <w:shd w:val="clear" w:color="auto" w:fill="auto"/>
                  <w:vAlign w:val="center"/>
                </w:tcPr>
                <w:p w14:paraId="1F05A425">
                  <w:pPr>
                    <w:jc w:val="center"/>
                    <w:rPr>
                      <w:color w:val="auto"/>
                      <w:lang w:val="en-US" w:eastAsia="zh-CN"/>
                    </w:rPr>
                  </w:pPr>
                </w:p>
              </w:tc>
            </w:tr>
            <w:tr w14:paraId="0720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D72E451">
                  <w:pPr>
                    <w:jc w:val="center"/>
                    <w:rPr>
                      <w:color w:val="auto"/>
                    </w:rPr>
                  </w:pPr>
                </w:p>
              </w:tc>
              <w:tc>
                <w:tcPr>
                  <w:tcW w:w="337" w:type="pct"/>
                  <w:vMerge w:val="continue"/>
                  <w:shd w:val="clear" w:color="auto" w:fill="auto"/>
                  <w:vAlign w:val="center"/>
                </w:tcPr>
                <w:p w14:paraId="41C97501">
                  <w:pPr>
                    <w:jc w:val="center"/>
                    <w:rPr>
                      <w:color w:val="auto"/>
                    </w:rPr>
                  </w:pPr>
                </w:p>
              </w:tc>
              <w:tc>
                <w:tcPr>
                  <w:tcW w:w="331" w:type="pct"/>
                  <w:vMerge w:val="continue"/>
                  <w:shd w:val="clear" w:color="auto" w:fill="auto"/>
                  <w:vAlign w:val="center"/>
                </w:tcPr>
                <w:p w14:paraId="1316C562">
                  <w:pPr>
                    <w:jc w:val="center"/>
                    <w:rPr>
                      <w:color w:val="auto"/>
                    </w:rPr>
                  </w:pPr>
                </w:p>
              </w:tc>
              <w:tc>
                <w:tcPr>
                  <w:tcW w:w="371" w:type="pct"/>
                  <w:shd w:val="clear" w:color="auto" w:fill="auto"/>
                  <w:vAlign w:val="center"/>
                </w:tcPr>
                <w:p w14:paraId="70230404">
                  <w:pPr>
                    <w:jc w:val="center"/>
                    <w:rPr>
                      <w:color w:val="auto"/>
                      <w:lang w:val="en-US" w:eastAsia="en-US"/>
                    </w:rPr>
                  </w:pPr>
                  <w:r>
                    <w:rPr>
                      <w:color w:val="auto"/>
                    </w:rPr>
                    <w:t>氮氧化物</w:t>
                  </w:r>
                </w:p>
              </w:tc>
              <w:tc>
                <w:tcPr>
                  <w:tcW w:w="436" w:type="pct"/>
                  <w:shd w:val="clear" w:color="auto" w:fill="auto"/>
                  <w:vAlign w:val="center"/>
                </w:tcPr>
                <w:p w14:paraId="08C990EF">
                  <w:pPr>
                    <w:jc w:val="center"/>
                    <w:rPr>
                      <w:color w:val="auto"/>
                      <w:lang w:val="en-US" w:eastAsia="zh-CN"/>
                    </w:rPr>
                  </w:pPr>
                  <w:r>
                    <w:rPr>
                      <w:color w:val="auto"/>
                    </w:rPr>
                    <w:t>0.23</w:t>
                  </w:r>
                </w:p>
              </w:tc>
              <w:tc>
                <w:tcPr>
                  <w:tcW w:w="350" w:type="pct"/>
                  <w:shd w:val="clear" w:color="auto" w:fill="auto"/>
                  <w:vAlign w:val="center"/>
                </w:tcPr>
                <w:p w14:paraId="2D7EF6C8">
                  <w:pPr>
                    <w:jc w:val="center"/>
                    <w:rPr>
                      <w:color w:val="auto"/>
                      <w:lang w:val="en-US" w:eastAsia="zh-CN"/>
                    </w:rPr>
                  </w:pPr>
                  <w:r>
                    <w:rPr>
                      <w:color w:val="auto"/>
                    </w:rPr>
                    <w:t>1.96</w:t>
                  </w:r>
                </w:p>
              </w:tc>
              <w:tc>
                <w:tcPr>
                  <w:tcW w:w="531" w:type="pct"/>
                  <w:vMerge w:val="continue"/>
                  <w:shd w:val="clear" w:color="auto" w:fill="auto"/>
                  <w:vAlign w:val="center"/>
                </w:tcPr>
                <w:p w14:paraId="123A138D">
                  <w:pPr>
                    <w:jc w:val="center"/>
                    <w:rPr>
                      <w:color w:val="auto"/>
                    </w:rPr>
                  </w:pPr>
                </w:p>
              </w:tc>
              <w:tc>
                <w:tcPr>
                  <w:tcW w:w="338" w:type="pct"/>
                  <w:shd w:val="clear" w:color="auto" w:fill="auto"/>
                  <w:vAlign w:val="center"/>
                </w:tcPr>
                <w:p w14:paraId="6BD98C3F">
                  <w:pPr>
                    <w:jc w:val="center"/>
                    <w:rPr>
                      <w:color w:val="auto"/>
                      <w:lang w:val="en-US" w:eastAsia="zh-CN"/>
                    </w:rPr>
                  </w:pPr>
                  <w:r>
                    <w:rPr>
                      <w:color w:val="auto"/>
                    </w:rPr>
                    <w:t>/</w:t>
                  </w:r>
                </w:p>
              </w:tc>
              <w:tc>
                <w:tcPr>
                  <w:tcW w:w="527" w:type="pct"/>
                  <w:vMerge w:val="continue"/>
                  <w:shd w:val="clear" w:color="auto" w:fill="auto"/>
                  <w:vAlign w:val="center"/>
                </w:tcPr>
                <w:p w14:paraId="06029469">
                  <w:pPr>
                    <w:jc w:val="center"/>
                    <w:rPr>
                      <w:color w:val="auto"/>
                    </w:rPr>
                  </w:pPr>
                </w:p>
              </w:tc>
              <w:tc>
                <w:tcPr>
                  <w:tcW w:w="315" w:type="pct"/>
                  <w:gridSpan w:val="2"/>
                  <w:vMerge w:val="continue"/>
                  <w:shd w:val="clear" w:color="auto" w:fill="auto"/>
                  <w:vAlign w:val="center"/>
                </w:tcPr>
                <w:p w14:paraId="7120B484">
                  <w:pPr>
                    <w:jc w:val="center"/>
                    <w:rPr>
                      <w:color w:val="auto"/>
                    </w:rPr>
                  </w:pPr>
                </w:p>
              </w:tc>
              <w:tc>
                <w:tcPr>
                  <w:tcW w:w="267" w:type="pct"/>
                  <w:vMerge w:val="continue"/>
                  <w:shd w:val="clear" w:color="auto" w:fill="auto"/>
                  <w:vAlign w:val="center"/>
                </w:tcPr>
                <w:p w14:paraId="434E444C">
                  <w:pPr>
                    <w:jc w:val="center"/>
                    <w:rPr>
                      <w:color w:val="auto"/>
                    </w:rPr>
                  </w:pPr>
                </w:p>
              </w:tc>
              <w:tc>
                <w:tcPr>
                  <w:tcW w:w="436" w:type="pct"/>
                  <w:vMerge w:val="continue"/>
                  <w:shd w:val="clear" w:color="auto" w:fill="auto"/>
                  <w:vAlign w:val="center"/>
                </w:tcPr>
                <w:p w14:paraId="2E039ED7">
                  <w:pPr>
                    <w:jc w:val="center"/>
                    <w:rPr>
                      <w:color w:val="auto"/>
                    </w:rPr>
                  </w:pPr>
                </w:p>
              </w:tc>
              <w:tc>
                <w:tcPr>
                  <w:tcW w:w="350" w:type="pct"/>
                  <w:vMerge w:val="continue"/>
                  <w:shd w:val="clear" w:color="auto" w:fill="auto"/>
                  <w:vAlign w:val="center"/>
                </w:tcPr>
                <w:p w14:paraId="26A48AD1">
                  <w:pPr>
                    <w:jc w:val="center"/>
                    <w:rPr>
                      <w:color w:val="auto"/>
                    </w:rPr>
                  </w:pPr>
                </w:p>
              </w:tc>
              <w:tc>
                <w:tcPr>
                  <w:tcW w:w="289" w:type="pct"/>
                  <w:vMerge w:val="continue"/>
                  <w:shd w:val="clear" w:color="auto" w:fill="auto"/>
                  <w:vAlign w:val="center"/>
                </w:tcPr>
                <w:p w14:paraId="7F36F4F5">
                  <w:pPr>
                    <w:jc w:val="center"/>
                    <w:rPr>
                      <w:color w:val="auto"/>
                    </w:rPr>
                  </w:pPr>
                </w:p>
              </w:tc>
            </w:tr>
            <w:tr w14:paraId="2FA4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restart"/>
                  <w:shd w:val="clear" w:color="auto" w:fill="auto"/>
                  <w:vAlign w:val="center"/>
                </w:tcPr>
                <w:p w14:paraId="3AA28775">
                  <w:pPr>
                    <w:jc w:val="center"/>
                    <w:rPr>
                      <w:color w:val="auto"/>
                      <w:lang w:val="en-US" w:eastAsia="en-US"/>
                    </w:rPr>
                  </w:pPr>
                  <w:r>
                    <w:rPr>
                      <w:color w:val="auto"/>
                    </w:rPr>
                    <w:t>4#电镀车间</w:t>
                  </w:r>
                </w:p>
              </w:tc>
              <w:tc>
                <w:tcPr>
                  <w:tcW w:w="337" w:type="pct"/>
                  <w:vMerge w:val="restart"/>
                  <w:shd w:val="clear" w:color="auto" w:fill="auto"/>
                  <w:vAlign w:val="center"/>
                </w:tcPr>
                <w:p w14:paraId="0D2960F9">
                  <w:pPr>
                    <w:jc w:val="center"/>
                    <w:rPr>
                      <w:color w:val="auto"/>
                      <w:lang w:val="en-US" w:eastAsia="en-US"/>
                    </w:rPr>
                  </w:pPr>
                  <w:r>
                    <w:rPr>
                      <w:color w:val="auto"/>
                    </w:rPr>
                    <w:t>水性漆喷涂线（5条）、1#油性漆喷涂线（2条）</w:t>
                  </w:r>
                </w:p>
              </w:tc>
              <w:tc>
                <w:tcPr>
                  <w:tcW w:w="331" w:type="pct"/>
                  <w:vMerge w:val="continue"/>
                  <w:shd w:val="clear" w:color="auto" w:fill="auto"/>
                  <w:vAlign w:val="center"/>
                </w:tcPr>
                <w:p w14:paraId="184AF7AC">
                  <w:pPr>
                    <w:jc w:val="center"/>
                    <w:rPr>
                      <w:color w:val="auto"/>
                    </w:rPr>
                  </w:pPr>
                </w:p>
              </w:tc>
              <w:tc>
                <w:tcPr>
                  <w:tcW w:w="371" w:type="pct"/>
                  <w:shd w:val="clear" w:color="auto" w:fill="auto"/>
                  <w:vAlign w:val="center"/>
                </w:tcPr>
                <w:p w14:paraId="6C483531">
                  <w:pPr>
                    <w:jc w:val="center"/>
                    <w:rPr>
                      <w:color w:val="auto"/>
                      <w:lang w:val="en-US" w:eastAsia="en-US"/>
                    </w:rPr>
                  </w:pPr>
                  <w:r>
                    <w:rPr>
                      <w:color w:val="auto"/>
                    </w:rPr>
                    <w:t>颗粒物</w:t>
                  </w:r>
                </w:p>
              </w:tc>
              <w:tc>
                <w:tcPr>
                  <w:tcW w:w="436" w:type="pct"/>
                  <w:shd w:val="clear" w:color="auto" w:fill="auto"/>
                  <w:vAlign w:val="center"/>
                </w:tcPr>
                <w:p w14:paraId="20164DFB">
                  <w:pPr>
                    <w:jc w:val="center"/>
                    <w:rPr>
                      <w:color w:val="auto"/>
                      <w:lang w:val="en-US" w:eastAsia="zh-CN"/>
                    </w:rPr>
                  </w:pPr>
                  <w:r>
                    <w:rPr>
                      <w:color w:val="auto"/>
                    </w:rPr>
                    <w:t>0.465</w:t>
                  </w:r>
                </w:p>
              </w:tc>
              <w:tc>
                <w:tcPr>
                  <w:tcW w:w="350" w:type="pct"/>
                  <w:shd w:val="clear" w:color="auto" w:fill="auto"/>
                  <w:vAlign w:val="center"/>
                </w:tcPr>
                <w:p w14:paraId="5E33A316">
                  <w:pPr>
                    <w:jc w:val="center"/>
                    <w:rPr>
                      <w:color w:val="auto"/>
                      <w:lang w:val="en-US" w:eastAsia="zh-CN"/>
                    </w:rPr>
                  </w:pPr>
                  <w:r>
                    <w:rPr>
                      <w:color w:val="auto"/>
                    </w:rPr>
                    <w:t>3.91</w:t>
                  </w:r>
                </w:p>
              </w:tc>
              <w:tc>
                <w:tcPr>
                  <w:tcW w:w="531" w:type="pct"/>
                  <w:vMerge w:val="restart"/>
                  <w:shd w:val="clear" w:color="auto" w:fill="auto"/>
                  <w:vAlign w:val="center"/>
                </w:tcPr>
                <w:p w14:paraId="451EA9E6">
                  <w:pPr>
                    <w:jc w:val="center"/>
                    <w:rPr>
                      <w:color w:val="auto"/>
                      <w:lang w:val="en-US" w:eastAsia="en-US"/>
                    </w:rPr>
                  </w:pPr>
                  <w:r>
                    <w:rPr>
                      <w:color w:val="auto"/>
                    </w:rPr>
                    <w:t>自带水帘喷淋+过滤器+活性炭吸附浓缩+催化燃烧（TA012）</w:t>
                  </w:r>
                </w:p>
              </w:tc>
              <w:tc>
                <w:tcPr>
                  <w:tcW w:w="338" w:type="pct"/>
                  <w:shd w:val="clear" w:color="auto" w:fill="auto"/>
                  <w:vAlign w:val="center"/>
                </w:tcPr>
                <w:p w14:paraId="673021F2">
                  <w:pPr>
                    <w:jc w:val="center"/>
                    <w:rPr>
                      <w:color w:val="auto"/>
                      <w:lang w:val="en-US" w:eastAsia="zh-CN"/>
                    </w:rPr>
                  </w:pPr>
                  <w:r>
                    <w:rPr>
                      <w:color w:val="auto"/>
                    </w:rPr>
                    <w:t>90</w:t>
                  </w:r>
                </w:p>
              </w:tc>
              <w:tc>
                <w:tcPr>
                  <w:tcW w:w="527" w:type="pct"/>
                  <w:vMerge w:val="continue"/>
                  <w:shd w:val="clear" w:color="auto" w:fill="auto"/>
                  <w:vAlign w:val="center"/>
                </w:tcPr>
                <w:p w14:paraId="2E715325">
                  <w:pPr>
                    <w:jc w:val="center"/>
                    <w:rPr>
                      <w:color w:val="auto"/>
                    </w:rPr>
                  </w:pPr>
                </w:p>
              </w:tc>
              <w:tc>
                <w:tcPr>
                  <w:tcW w:w="315" w:type="pct"/>
                  <w:gridSpan w:val="2"/>
                  <w:vMerge w:val="restart"/>
                  <w:shd w:val="clear" w:color="auto" w:fill="auto"/>
                  <w:vAlign w:val="center"/>
                </w:tcPr>
                <w:p w14:paraId="1B03D38F">
                  <w:pPr>
                    <w:jc w:val="center"/>
                    <w:rPr>
                      <w:color w:val="auto"/>
                      <w:lang w:val="en-US" w:eastAsia="en-US"/>
                    </w:rPr>
                  </w:pPr>
                  <w:r>
                    <w:rPr>
                      <w:color w:val="auto"/>
                    </w:rPr>
                    <w:t>氮氧化物</w:t>
                  </w:r>
                </w:p>
              </w:tc>
              <w:tc>
                <w:tcPr>
                  <w:tcW w:w="267" w:type="pct"/>
                  <w:vMerge w:val="restart"/>
                  <w:shd w:val="clear" w:color="auto" w:fill="auto"/>
                  <w:vAlign w:val="center"/>
                </w:tcPr>
                <w:p w14:paraId="2C64D020">
                  <w:pPr>
                    <w:jc w:val="center"/>
                    <w:rPr>
                      <w:rFonts w:ascii="Times New Roman" w:hAnsi="Times New Roman" w:eastAsia="宋体" w:cs="Times New Roman"/>
                      <w:color w:val="auto"/>
                      <w:kern w:val="2"/>
                      <w:sz w:val="21"/>
                      <w:szCs w:val="24"/>
                      <w:lang w:val="en-US" w:eastAsia="zh-CN" w:bidi="ar-SA"/>
                    </w:rPr>
                  </w:pPr>
                  <w:r>
                    <w:rPr>
                      <w:color w:val="auto"/>
                    </w:rPr>
                    <w:t>13.0</w:t>
                  </w:r>
                </w:p>
              </w:tc>
              <w:tc>
                <w:tcPr>
                  <w:tcW w:w="436" w:type="pct"/>
                  <w:vMerge w:val="restart"/>
                  <w:shd w:val="clear" w:color="auto" w:fill="auto"/>
                  <w:vAlign w:val="center"/>
                </w:tcPr>
                <w:p w14:paraId="3077F48E">
                  <w:pPr>
                    <w:jc w:val="center"/>
                    <w:rPr>
                      <w:rFonts w:ascii="Times New Roman" w:hAnsi="Times New Roman" w:eastAsia="宋体" w:cs="Times New Roman"/>
                      <w:color w:val="auto"/>
                      <w:kern w:val="2"/>
                      <w:sz w:val="21"/>
                      <w:szCs w:val="24"/>
                      <w:lang w:val="en-US" w:eastAsia="zh-CN" w:bidi="ar-SA"/>
                    </w:rPr>
                  </w:pPr>
                  <w:r>
                    <w:rPr>
                      <w:color w:val="auto"/>
                    </w:rPr>
                    <w:t>0.26</w:t>
                  </w:r>
                </w:p>
              </w:tc>
              <w:tc>
                <w:tcPr>
                  <w:tcW w:w="350" w:type="pct"/>
                  <w:vMerge w:val="restart"/>
                  <w:shd w:val="clear" w:color="auto" w:fill="auto"/>
                  <w:vAlign w:val="center"/>
                </w:tcPr>
                <w:p w14:paraId="30B28E55">
                  <w:pPr>
                    <w:jc w:val="center"/>
                    <w:rPr>
                      <w:color w:val="auto"/>
                    </w:rPr>
                  </w:pPr>
                  <w:r>
                    <w:rPr>
                      <w:color w:val="auto"/>
                    </w:rPr>
                    <w:t>2.19（含</w:t>
                  </w:r>
                </w:p>
                <w:p w14:paraId="2A2668F3">
                  <w:pPr>
                    <w:jc w:val="center"/>
                    <w:rPr>
                      <w:color w:val="auto"/>
                    </w:rPr>
                  </w:pPr>
                  <w:r>
                    <w:rPr>
                      <w:color w:val="auto"/>
                    </w:rPr>
                    <w:t>次生氮氧化物</w:t>
                  </w:r>
                </w:p>
                <w:p w14:paraId="3A050200">
                  <w:pPr>
                    <w:jc w:val="center"/>
                    <w:rPr>
                      <w:rFonts w:ascii="Times New Roman" w:hAnsi="Times New Roman" w:eastAsia="宋体" w:cs="Times New Roman"/>
                      <w:color w:val="auto"/>
                      <w:kern w:val="2"/>
                      <w:sz w:val="21"/>
                      <w:szCs w:val="24"/>
                      <w:lang w:val="en-US" w:eastAsia="zh-CN" w:bidi="ar-SA"/>
                    </w:rPr>
                  </w:pPr>
                  <w:r>
                    <w:rPr>
                      <w:color w:val="auto"/>
                    </w:rPr>
                    <w:t>0.23）</w:t>
                  </w:r>
                </w:p>
              </w:tc>
              <w:tc>
                <w:tcPr>
                  <w:tcW w:w="289" w:type="pct"/>
                  <w:vMerge w:val="continue"/>
                  <w:shd w:val="clear" w:color="auto" w:fill="auto"/>
                  <w:vAlign w:val="center"/>
                </w:tcPr>
                <w:p w14:paraId="753B885B">
                  <w:pPr>
                    <w:jc w:val="center"/>
                    <w:rPr>
                      <w:color w:val="auto"/>
                      <w:lang w:val="en-US" w:eastAsia="en-US"/>
                    </w:rPr>
                  </w:pPr>
                </w:p>
              </w:tc>
            </w:tr>
            <w:tr w14:paraId="6E19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7E85AF60">
                  <w:pPr>
                    <w:jc w:val="center"/>
                    <w:rPr>
                      <w:color w:val="auto"/>
                    </w:rPr>
                  </w:pPr>
                </w:p>
              </w:tc>
              <w:tc>
                <w:tcPr>
                  <w:tcW w:w="337" w:type="pct"/>
                  <w:vMerge w:val="continue"/>
                  <w:shd w:val="clear" w:color="auto" w:fill="auto"/>
                  <w:vAlign w:val="center"/>
                </w:tcPr>
                <w:p w14:paraId="5F3DEBBA">
                  <w:pPr>
                    <w:jc w:val="center"/>
                    <w:rPr>
                      <w:color w:val="auto"/>
                    </w:rPr>
                  </w:pPr>
                </w:p>
              </w:tc>
              <w:tc>
                <w:tcPr>
                  <w:tcW w:w="331" w:type="pct"/>
                  <w:vMerge w:val="continue"/>
                  <w:shd w:val="clear" w:color="auto" w:fill="auto"/>
                  <w:vAlign w:val="center"/>
                </w:tcPr>
                <w:p w14:paraId="42701176">
                  <w:pPr>
                    <w:jc w:val="center"/>
                    <w:rPr>
                      <w:color w:val="auto"/>
                    </w:rPr>
                  </w:pPr>
                </w:p>
              </w:tc>
              <w:tc>
                <w:tcPr>
                  <w:tcW w:w="371" w:type="pct"/>
                  <w:shd w:val="clear" w:color="auto" w:fill="auto"/>
                  <w:vAlign w:val="center"/>
                </w:tcPr>
                <w:p w14:paraId="732B65CB">
                  <w:pPr>
                    <w:jc w:val="center"/>
                    <w:rPr>
                      <w:color w:val="auto"/>
                      <w:lang w:val="en-US" w:eastAsia="zh-CN"/>
                    </w:rPr>
                  </w:pPr>
                  <w:r>
                    <w:rPr>
                      <w:color w:val="auto"/>
                    </w:rPr>
                    <w:t>TRVOC</w:t>
                  </w:r>
                </w:p>
              </w:tc>
              <w:tc>
                <w:tcPr>
                  <w:tcW w:w="436" w:type="pct"/>
                  <w:shd w:val="clear" w:color="auto" w:fill="auto"/>
                  <w:vAlign w:val="center"/>
                </w:tcPr>
                <w:p w14:paraId="27ADD86D">
                  <w:pPr>
                    <w:jc w:val="center"/>
                    <w:rPr>
                      <w:color w:val="auto"/>
                      <w:lang w:val="en-US" w:eastAsia="zh-CN"/>
                    </w:rPr>
                  </w:pPr>
                  <w:r>
                    <w:rPr>
                      <w:color w:val="auto"/>
                    </w:rPr>
                    <w:t>0.85</w:t>
                  </w:r>
                </w:p>
              </w:tc>
              <w:tc>
                <w:tcPr>
                  <w:tcW w:w="350" w:type="pct"/>
                  <w:shd w:val="clear" w:color="auto" w:fill="auto"/>
                  <w:vAlign w:val="center"/>
                </w:tcPr>
                <w:p w14:paraId="3066FDA4">
                  <w:pPr>
                    <w:jc w:val="center"/>
                    <w:rPr>
                      <w:color w:val="auto"/>
                      <w:lang w:val="en-US" w:eastAsia="zh-CN"/>
                    </w:rPr>
                  </w:pPr>
                  <w:r>
                    <w:rPr>
                      <w:color w:val="auto"/>
                    </w:rPr>
                    <w:t>7.12</w:t>
                  </w:r>
                </w:p>
              </w:tc>
              <w:tc>
                <w:tcPr>
                  <w:tcW w:w="531" w:type="pct"/>
                  <w:vMerge w:val="continue"/>
                  <w:shd w:val="clear" w:color="auto" w:fill="auto"/>
                  <w:vAlign w:val="center"/>
                </w:tcPr>
                <w:p w14:paraId="4887D97E">
                  <w:pPr>
                    <w:jc w:val="center"/>
                    <w:rPr>
                      <w:color w:val="auto"/>
                    </w:rPr>
                  </w:pPr>
                </w:p>
              </w:tc>
              <w:tc>
                <w:tcPr>
                  <w:tcW w:w="338" w:type="pct"/>
                  <w:shd w:val="clear" w:color="auto" w:fill="auto"/>
                  <w:vAlign w:val="center"/>
                </w:tcPr>
                <w:p w14:paraId="6032AF8A">
                  <w:pPr>
                    <w:jc w:val="center"/>
                    <w:rPr>
                      <w:color w:val="auto"/>
                      <w:lang w:val="en-US" w:eastAsia="zh-CN"/>
                    </w:rPr>
                  </w:pPr>
                  <w:r>
                    <w:rPr>
                      <w:color w:val="auto"/>
                    </w:rPr>
                    <w:t>85.5</w:t>
                  </w:r>
                </w:p>
              </w:tc>
              <w:tc>
                <w:tcPr>
                  <w:tcW w:w="527" w:type="pct"/>
                  <w:vMerge w:val="continue"/>
                  <w:shd w:val="clear" w:color="auto" w:fill="auto"/>
                  <w:vAlign w:val="center"/>
                </w:tcPr>
                <w:p w14:paraId="76068917">
                  <w:pPr>
                    <w:jc w:val="center"/>
                    <w:rPr>
                      <w:color w:val="auto"/>
                    </w:rPr>
                  </w:pPr>
                </w:p>
              </w:tc>
              <w:tc>
                <w:tcPr>
                  <w:tcW w:w="315" w:type="pct"/>
                  <w:gridSpan w:val="2"/>
                  <w:vMerge w:val="continue"/>
                  <w:shd w:val="clear" w:color="auto" w:fill="auto"/>
                  <w:vAlign w:val="center"/>
                </w:tcPr>
                <w:p w14:paraId="011ADA5F">
                  <w:pPr>
                    <w:jc w:val="center"/>
                    <w:rPr>
                      <w:color w:val="auto"/>
                    </w:rPr>
                  </w:pPr>
                </w:p>
              </w:tc>
              <w:tc>
                <w:tcPr>
                  <w:tcW w:w="267" w:type="pct"/>
                  <w:vMerge w:val="continue"/>
                  <w:shd w:val="clear" w:color="auto" w:fill="auto"/>
                  <w:vAlign w:val="center"/>
                </w:tcPr>
                <w:p w14:paraId="4C886CF6">
                  <w:pPr>
                    <w:jc w:val="center"/>
                    <w:rPr>
                      <w:color w:val="auto"/>
                    </w:rPr>
                  </w:pPr>
                </w:p>
              </w:tc>
              <w:tc>
                <w:tcPr>
                  <w:tcW w:w="436" w:type="pct"/>
                  <w:vMerge w:val="continue"/>
                  <w:shd w:val="clear" w:color="auto" w:fill="auto"/>
                  <w:vAlign w:val="center"/>
                </w:tcPr>
                <w:p w14:paraId="4AE06577">
                  <w:pPr>
                    <w:jc w:val="center"/>
                    <w:rPr>
                      <w:color w:val="auto"/>
                    </w:rPr>
                  </w:pPr>
                </w:p>
              </w:tc>
              <w:tc>
                <w:tcPr>
                  <w:tcW w:w="350" w:type="pct"/>
                  <w:vMerge w:val="continue"/>
                  <w:shd w:val="clear" w:color="auto" w:fill="auto"/>
                  <w:vAlign w:val="center"/>
                </w:tcPr>
                <w:p w14:paraId="1A84F925">
                  <w:pPr>
                    <w:jc w:val="center"/>
                    <w:rPr>
                      <w:color w:val="auto"/>
                    </w:rPr>
                  </w:pPr>
                </w:p>
              </w:tc>
              <w:tc>
                <w:tcPr>
                  <w:tcW w:w="289" w:type="pct"/>
                  <w:vMerge w:val="continue"/>
                  <w:shd w:val="clear" w:color="auto" w:fill="auto"/>
                  <w:vAlign w:val="center"/>
                </w:tcPr>
                <w:p w14:paraId="67CBB42A">
                  <w:pPr>
                    <w:jc w:val="center"/>
                    <w:rPr>
                      <w:color w:val="auto"/>
                    </w:rPr>
                  </w:pPr>
                </w:p>
              </w:tc>
            </w:tr>
            <w:tr w14:paraId="4D72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27442261">
                  <w:pPr>
                    <w:jc w:val="center"/>
                    <w:rPr>
                      <w:color w:val="auto"/>
                    </w:rPr>
                  </w:pPr>
                </w:p>
              </w:tc>
              <w:tc>
                <w:tcPr>
                  <w:tcW w:w="337" w:type="pct"/>
                  <w:vMerge w:val="continue"/>
                  <w:shd w:val="clear" w:color="auto" w:fill="auto"/>
                  <w:vAlign w:val="center"/>
                </w:tcPr>
                <w:p w14:paraId="60CF9CCC">
                  <w:pPr>
                    <w:jc w:val="center"/>
                    <w:rPr>
                      <w:color w:val="auto"/>
                    </w:rPr>
                  </w:pPr>
                </w:p>
              </w:tc>
              <w:tc>
                <w:tcPr>
                  <w:tcW w:w="331" w:type="pct"/>
                  <w:vMerge w:val="continue"/>
                  <w:shd w:val="clear" w:color="auto" w:fill="auto"/>
                  <w:vAlign w:val="center"/>
                </w:tcPr>
                <w:p w14:paraId="4FF23623">
                  <w:pPr>
                    <w:jc w:val="center"/>
                    <w:rPr>
                      <w:color w:val="auto"/>
                    </w:rPr>
                  </w:pPr>
                </w:p>
              </w:tc>
              <w:tc>
                <w:tcPr>
                  <w:tcW w:w="371" w:type="pct"/>
                  <w:shd w:val="clear" w:color="auto" w:fill="auto"/>
                  <w:vAlign w:val="center"/>
                </w:tcPr>
                <w:p w14:paraId="3F767245">
                  <w:pPr>
                    <w:jc w:val="center"/>
                    <w:rPr>
                      <w:color w:val="auto"/>
                      <w:lang w:val="en-US" w:eastAsia="en-US"/>
                    </w:rPr>
                  </w:pPr>
                  <w:r>
                    <w:rPr>
                      <w:color w:val="auto"/>
                    </w:rPr>
                    <w:t>二甲苯</w:t>
                  </w:r>
                </w:p>
              </w:tc>
              <w:tc>
                <w:tcPr>
                  <w:tcW w:w="436" w:type="pct"/>
                  <w:shd w:val="clear" w:color="auto" w:fill="auto"/>
                  <w:vAlign w:val="center"/>
                </w:tcPr>
                <w:p w14:paraId="3C40D0C5">
                  <w:pPr>
                    <w:jc w:val="center"/>
                    <w:rPr>
                      <w:color w:val="auto"/>
                      <w:lang w:val="en-US" w:eastAsia="zh-CN"/>
                    </w:rPr>
                  </w:pPr>
                  <w:r>
                    <w:rPr>
                      <w:color w:val="auto"/>
                    </w:rPr>
                    <w:t>0.23</w:t>
                  </w:r>
                </w:p>
              </w:tc>
              <w:tc>
                <w:tcPr>
                  <w:tcW w:w="350" w:type="pct"/>
                  <w:shd w:val="clear" w:color="auto" w:fill="auto"/>
                  <w:vAlign w:val="center"/>
                </w:tcPr>
                <w:p w14:paraId="0451FDF3">
                  <w:pPr>
                    <w:jc w:val="center"/>
                    <w:rPr>
                      <w:color w:val="auto"/>
                      <w:lang w:val="en-US" w:eastAsia="zh-CN"/>
                    </w:rPr>
                  </w:pPr>
                  <w:r>
                    <w:rPr>
                      <w:color w:val="auto"/>
                    </w:rPr>
                    <w:t>1.94</w:t>
                  </w:r>
                </w:p>
              </w:tc>
              <w:tc>
                <w:tcPr>
                  <w:tcW w:w="531" w:type="pct"/>
                  <w:vMerge w:val="continue"/>
                  <w:shd w:val="clear" w:color="auto" w:fill="auto"/>
                  <w:vAlign w:val="center"/>
                </w:tcPr>
                <w:p w14:paraId="03E0BCB6">
                  <w:pPr>
                    <w:jc w:val="center"/>
                    <w:rPr>
                      <w:color w:val="auto"/>
                    </w:rPr>
                  </w:pPr>
                </w:p>
              </w:tc>
              <w:tc>
                <w:tcPr>
                  <w:tcW w:w="338" w:type="pct"/>
                  <w:shd w:val="clear" w:color="auto" w:fill="auto"/>
                  <w:vAlign w:val="center"/>
                </w:tcPr>
                <w:p w14:paraId="260AEB57">
                  <w:pPr>
                    <w:jc w:val="center"/>
                    <w:rPr>
                      <w:color w:val="auto"/>
                      <w:lang w:val="en-US" w:eastAsia="zh-CN"/>
                    </w:rPr>
                  </w:pPr>
                  <w:r>
                    <w:rPr>
                      <w:color w:val="auto"/>
                    </w:rPr>
                    <w:t>85.5</w:t>
                  </w:r>
                </w:p>
              </w:tc>
              <w:tc>
                <w:tcPr>
                  <w:tcW w:w="527" w:type="pct"/>
                  <w:vMerge w:val="continue"/>
                  <w:shd w:val="clear" w:color="auto" w:fill="auto"/>
                  <w:vAlign w:val="center"/>
                </w:tcPr>
                <w:p w14:paraId="76C9711D">
                  <w:pPr>
                    <w:jc w:val="center"/>
                    <w:rPr>
                      <w:color w:val="auto"/>
                    </w:rPr>
                  </w:pPr>
                </w:p>
              </w:tc>
              <w:tc>
                <w:tcPr>
                  <w:tcW w:w="315" w:type="pct"/>
                  <w:gridSpan w:val="2"/>
                  <w:vMerge w:val="restart"/>
                  <w:shd w:val="clear" w:color="auto" w:fill="auto"/>
                  <w:vAlign w:val="center"/>
                </w:tcPr>
                <w:p w14:paraId="124C9755">
                  <w:pPr>
                    <w:jc w:val="center"/>
                    <w:rPr>
                      <w:color w:val="auto"/>
                      <w:lang w:val="en-US" w:eastAsia="zh-CN"/>
                    </w:rPr>
                  </w:pPr>
                  <w:r>
                    <w:rPr>
                      <w:color w:val="auto"/>
                    </w:rPr>
                    <w:t>VOCs</w:t>
                  </w:r>
                </w:p>
              </w:tc>
              <w:tc>
                <w:tcPr>
                  <w:tcW w:w="267" w:type="pct"/>
                  <w:vMerge w:val="restart"/>
                  <w:shd w:val="clear" w:color="auto" w:fill="auto"/>
                  <w:vAlign w:val="center"/>
                </w:tcPr>
                <w:p w14:paraId="350C38E5">
                  <w:pPr>
                    <w:jc w:val="center"/>
                    <w:rPr>
                      <w:color w:val="auto"/>
                    </w:rPr>
                  </w:pPr>
                  <w:r>
                    <w:rPr>
                      <w:color w:val="auto"/>
                    </w:rPr>
                    <w:t>16.1</w:t>
                  </w:r>
                </w:p>
              </w:tc>
              <w:tc>
                <w:tcPr>
                  <w:tcW w:w="436" w:type="pct"/>
                  <w:vMerge w:val="restart"/>
                  <w:shd w:val="clear" w:color="auto" w:fill="auto"/>
                  <w:vAlign w:val="center"/>
                </w:tcPr>
                <w:p w14:paraId="7B8A70C8">
                  <w:pPr>
                    <w:jc w:val="center"/>
                    <w:rPr>
                      <w:color w:val="auto"/>
                      <w:lang w:val="en-US" w:eastAsia="zh-CN"/>
                    </w:rPr>
                  </w:pPr>
                  <w:r>
                    <w:rPr>
                      <w:color w:val="auto"/>
                    </w:rPr>
                    <w:t>0.32</w:t>
                  </w:r>
                </w:p>
              </w:tc>
              <w:tc>
                <w:tcPr>
                  <w:tcW w:w="350" w:type="pct"/>
                  <w:vMerge w:val="restart"/>
                  <w:shd w:val="clear" w:color="auto" w:fill="auto"/>
                  <w:vAlign w:val="center"/>
                </w:tcPr>
                <w:p w14:paraId="73348D3C">
                  <w:pPr>
                    <w:jc w:val="center"/>
                    <w:rPr>
                      <w:color w:val="auto"/>
                      <w:lang w:val="en-US" w:eastAsia="zh-CN"/>
                    </w:rPr>
                  </w:pPr>
                  <w:r>
                    <w:rPr>
                      <w:color w:val="auto"/>
                    </w:rPr>
                    <w:t>2.71</w:t>
                  </w:r>
                </w:p>
              </w:tc>
              <w:tc>
                <w:tcPr>
                  <w:tcW w:w="289" w:type="pct"/>
                  <w:vMerge w:val="continue"/>
                  <w:shd w:val="clear" w:color="auto" w:fill="auto"/>
                  <w:vAlign w:val="center"/>
                </w:tcPr>
                <w:p w14:paraId="3534A418">
                  <w:pPr>
                    <w:jc w:val="center"/>
                    <w:rPr>
                      <w:color w:val="auto"/>
                      <w:lang w:val="en-US" w:eastAsia="zh-CN"/>
                    </w:rPr>
                  </w:pPr>
                </w:p>
              </w:tc>
            </w:tr>
            <w:tr w14:paraId="34B8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AA849E7">
                  <w:pPr>
                    <w:jc w:val="center"/>
                    <w:rPr>
                      <w:color w:val="auto"/>
                    </w:rPr>
                  </w:pPr>
                </w:p>
              </w:tc>
              <w:tc>
                <w:tcPr>
                  <w:tcW w:w="337" w:type="pct"/>
                  <w:vMerge w:val="continue"/>
                  <w:shd w:val="clear" w:color="auto" w:fill="auto"/>
                  <w:vAlign w:val="center"/>
                </w:tcPr>
                <w:p w14:paraId="3F2AA5D4">
                  <w:pPr>
                    <w:jc w:val="center"/>
                    <w:rPr>
                      <w:color w:val="auto"/>
                    </w:rPr>
                  </w:pPr>
                </w:p>
              </w:tc>
              <w:tc>
                <w:tcPr>
                  <w:tcW w:w="331" w:type="pct"/>
                  <w:vMerge w:val="continue"/>
                  <w:shd w:val="clear" w:color="auto" w:fill="auto"/>
                  <w:vAlign w:val="center"/>
                </w:tcPr>
                <w:p w14:paraId="73A0E80C">
                  <w:pPr>
                    <w:jc w:val="center"/>
                    <w:rPr>
                      <w:color w:val="auto"/>
                    </w:rPr>
                  </w:pPr>
                </w:p>
              </w:tc>
              <w:tc>
                <w:tcPr>
                  <w:tcW w:w="371" w:type="pct"/>
                  <w:shd w:val="clear" w:color="auto" w:fill="auto"/>
                  <w:vAlign w:val="center"/>
                </w:tcPr>
                <w:p w14:paraId="34652021">
                  <w:pPr>
                    <w:jc w:val="center"/>
                    <w:rPr>
                      <w:color w:val="auto"/>
                      <w:lang w:val="en-US" w:eastAsia="en-US"/>
                    </w:rPr>
                  </w:pPr>
                  <w:r>
                    <w:rPr>
                      <w:color w:val="auto"/>
                    </w:rPr>
                    <w:t>甲醛</w:t>
                  </w:r>
                </w:p>
              </w:tc>
              <w:tc>
                <w:tcPr>
                  <w:tcW w:w="436" w:type="pct"/>
                  <w:shd w:val="clear" w:color="auto" w:fill="auto"/>
                  <w:vAlign w:val="center"/>
                </w:tcPr>
                <w:p w14:paraId="3251C5D9">
                  <w:pPr>
                    <w:jc w:val="center"/>
                    <w:rPr>
                      <w:color w:val="auto"/>
                      <w:lang w:val="en-US" w:eastAsia="zh-CN"/>
                    </w:rPr>
                  </w:pPr>
                  <w:r>
                    <w:rPr>
                      <w:color w:val="auto"/>
                    </w:rPr>
                    <w:t>0.0008</w:t>
                  </w:r>
                </w:p>
              </w:tc>
              <w:tc>
                <w:tcPr>
                  <w:tcW w:w="350" w:type="pct"/>
                  <w:shd w:val="clear" w:color="auto" w:fill="auto"/>
                  <w:vAlign w:val="center"/>
                </w:tcPr>
                <w:p w14:paraId="2FC96EEA">
                  <w:pPr>
                    <w:jc w:val="center"/>
                    <w:rPr>
                      <w:color w:val="auto"/>
                      <w:lang w:val="en-US" w:eastAsia="zh-CN"/>
                    </w:rPr>
                  </w:pPr>
                  <w:r>
                    <w:rPr>
                      <w:color w:val="auto"/>
                    </w:rPr>
                    <w:t>0.0069</w:t>
                  </w:r>
                </w:p>
              </w:tc>
              <w:tc>
                <w:tcPr>
                  <w:tcW w:w="531" w:type="pct"/>
                  <w:vMerge w:val="continue"/>
                  <w:shd w:val="clear" w:color="auto" w:fill="auto"/>
                  <w:vAlign w:val="center"/>
                </w:tcPr>
                <w:p w14:paraId="08D7617E">
                  <w:pPr>
                    <w:jc w:val="center"/>
                    <w:rPr>
                      <w:color w:val="auto"/>
                    </w:rPr>
                  </w:pPr>
                </w:p>
              </w:tc>
              <w:tc>
                <w:tcPr>
                  <w:tcW w:w="338" w:type="pct"/>
                  <w:shd w:val="clear" w:color="auto" w:fill="auto"/>
                  <w:vAlign w:val="center"/>
                </w:tcPr>
                <w:p w14:paraId="1A8F9468">
                  <w:pPr>
                    <w:jc w:val="center"/>
                    <w:rPr>
                      <w:color w:val="auto"/>
                      <w:lang w:val="en-US" w:eastAsia="zh-CN"/>
                    </w:rPr>
                  </w:pPr>
                  <w:r>
                    <w:rPr>
                      <w:color w:val="auto"/>
                    </w:rPr>
                    <w:t>85.5</w:t>
                  </w:r>
                </w:p>
              </w:tc>
              <w:tc>
                <w:tcPr>
                  <w:tcW w:w="527" w:type="pct"/>
                  <w:vMerge w:val="continue"/>
                  <w:shd w:val="clear" w:color="auto" w:fill="auto"/>
                  <w:vAlign w:val="center"/>
                </w:tcPr>
                <w:p w14:paraId="12A8BB97">
                  <w:pPr>
                    <w:jc w:val="center"/>
                    <w:rPr>
                      <w:color w:val="auto"/>
                    </w:rPr>
                  </w:pPr>
                </w:p>
              </w:tc>
              <w:tc>
                <w:tcPr>
                  <w:tcW w:w="315" w:type="pct"/>
                  <w:gridSpan w:val="2"/>
                  <w:vMerge w:val="continue"/>
                  <w:shd w:val="clear" w:color="auto" w:fill="auto"/>
                  <w:vAlign w:val="center"/>
                </w:tcPr>
                <w:p w14:paraId="1EB2A861">
                  <w:pPr>
                    <w:jc w:val="center"/>
                    <w:rPr>
                      <w:color w:val="auto"/>
                    </w:rPr>
                  </w:pPr>
                </w:p>
              </w:tc>
              <w:tc>
                <w:tcPr>
                  <w:tcW w:w="267" w:type="pct"/>
                  <w:vMerge w:val="continue"/>
                  <w:shd w:val="clear" w:color="auto" w:fill="auto"/>
                  <w:vAlign w:val="center"/>
                </w:tcPr>
                <w:p w14:paraId="6A886E49">
                  <w:pPr>
                    <w:jc w:val="center"/>
                    <w:rPr>
                      <w:color w:val="auto"/>
                    </w:rPr>
                  </w:pPr>
                </w:p>
              </w:tc>
              <w:tc>
                <w:tcPr>
                  <w:tcW w:w="436" w:type="pct"/>
                  <w:vMerge w:val="continue"/>
                  <w:shd w:val="clear" w:color="auto" w:fill="auto"/>
                  <w:vAlign w:val="center"/>
                </w:tcPr>
                <w:p w14:paraId="21DE1992">
                  <w:pPr>
                    <w:jc w:val="center"/>
                    <w:rPr>
                      <w:color w:val="auto"/>
                    </w:rPr>
                  </w:pPr>
                </w:p>
              </w:tc>
              <w:tc>
                <w:tcPr>
                  <w:tcW w:w="350" w:type="pct"/>
                  <w:vMerge w:val="continue"/>
                  <w:shd w:val="clear" w:color="auto" w:fill="auto"/>
                  <w:vAlign w:val="center"/>
                </w:tcPr>
                <w:p w14:paraId="3029E1D0">
                  <w:pPr>
                    <w:jc w:val="center"/>
                    <w:rPr>
                      <w:color w:val="auto"/>
                    </w:rPr>
                  </w:pPr>
                </w:p>
              </w:tc>
              <w:tc>
                <w:tcPr>
                  <w:tcW w:w="289" w:type="pct"/>
                  <w:vMerge w:val="continue"/>
                  <w:shd w:val="clear" w:color="auto" w:fill="auto"/>
                  <w:vAlign w:val="center"/>
                </w:tcPr>
                <w:p w14:paraId="07DDDC68">
                  <w:pPr>
                    <w:jc w:val="center"/>
                    <w:rPr>
                      <w:color w:val="auto"/>
                    </w:rPr>
                  </w:pPr>
                </w:p>
              </w:tc>
            </w:tr>
            <w:tr w14:paraId="4C37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26DAF9CF">
                  <w:pPr>
                    <w:jc w:val="center"/>
                    <w:rPr>
                      <w:color w:val="auto"/>
                    </w:rPr>
                  </w:pPr>
                </w:p>
              </w:tc>
              <w:tc>
                <w:tcPr>
                  <w:tcW w:w="337" w:type="pct"/>
                  <w:vMerge w:val="continue"/>
                  <w:shd w:val="clear" w:color="auto" w:fill="auto"/>
                  <w:vAlign w:val="center"/>
                </w:tcPr>
                <w:p w14:paraId="3AF8250E">
                  <w:pPr>
                    <w:jc w:val="center"/>
                    <w:rPr>
                      <w:color w:val="auto"/>
                    </w:rPr>
                  </w:pPr>
                </w:p>
              </w:tc>
              <w:tc>
                <w:tcPr>
                  <w:tcW w:w="331" w:type="pct"/>
                  <w:vMerge w:val="continue"/>
                  <w:shd w:val="clear" w:color="auto" w:fill="auto"/>
                  <w:vAlign w:val="center"/>
                </w:tcPr>
                <w:p w14:paraId="4434DF7A">
                  <w:pPr>
                    <w:jc w:val="center"/>
                    <w:rPr>
                      <w:color w:val="auto"/>
                    </w:rPr>
                  </w:pPr>
                </w:p>
              </w:tc>
              <w:tc>
                <w:tcPr>
                  <w:tcW w:w="371" w:type="pct"/>
                  <w:shd w:val="clear" w:color="auto" w:fill="auto"/>
                  <w:vAlign w:val="center"/>
                </w:tcPr>
                <w:p w14:paraId="4F86DF80">
                  <w:pPr>
                    <w:jc w:val="center"/>
                    <w:rPr>
                      <w:color w:val="auto"/>
                      <w:lang w:val="en-US" w:eastAsia="en-US"/>
                    </w:rPr>
                  </w:pPr>
                  <w:r>
                    <w:rPr>
                      <w:color w:val="auto"/>
                    </w:rPr>
                    <w:t>甲苯</w:t>
                  </w:r>
                </w:p>
              </w:tc>
              <w:tc>
                <w:tcPr>
                  <w:tcW w:w="436" w:type="pct"/>
                  <w:shd w:val="clear" w:color="auto" w:fill="auto"/>
                  <w:vAlign w:val="center"/>
                </w:tcPr>
                <w:p w14:paraId="7B0EAE2A">
                  <w:pPr>
                    <w:jc w:val="center"/>
                    <w:rPr>
                      <w:color w:val="auto"/>
                      <w:lang w:val="en-US" w:eastAsia="zh-CN"/>
                    </w:rPr>
                  </w:pPr>
                  <w:r>
                    <w:rPr>
                      <w:color w:val="auto"/>
                    </w:rPr>
                    <w:t>0.06</w:t>
                  </w:r>
                </w:p>
              </w:tc>
              <w:tc>
                <w:tcPr>
                  <w:tcW w:w="350" w:type="pct"/>
                  <w:shd w:val="clear" w:color="auto" w:fill="auto"/>
                  <w:vAlign w:val="center"/>
                </w:tcPr>
                <w:p w14:paraId="5312A638">
                  <w:pPr>
                    <w:jc w:val="center"/>
                    <w:rPr>
                      <w:color w:val="auto"/>
                      <w:lang w:val="en-US" w:eastAsia="zh-CN"/>
                    </w:rPr>
                  </w:pPr>
                  <w:r>
                    <w:rPr>
                      <w:color w:val="auto"/>
                    </w:rPr>
                    <w:t>0.54</w:t>
                  </w:r>
                </w:p>
              </w:tc>
              <w:tc>
                <w:tcPr>
                  <w:tcW w:w="531" w:type="pct"/>
                  <w:vMerge w:val="continue"/>
                  <w:shd w:val="clear" w:color="auto" w:fill="auto"/>
                  <w:vAlign w:val="center"/>
                </w:tcPr>
                <w:p w14:paraId="743CF1F5">
                  <w:pPr>
                    <w:jc w:val="center"/>
                    <w:rPr>
                      <w:color w:val="auto"/>
                    </w:rPr>
                  </w:pPr>
                </w:p>
              </w:tc>
              <w:tc>
                <w:tcPr>
                  <w:tcW w:w="338" w:type="pct"/>
                  <w:shd w:val="clear" w:color="auto" w:fill="auto"/>
                  <w:vAlign w:val="center"/>
                </w:tcPr>
                <w:p w14:paraId="02755987">
                  <w:pPr>
                    <w:jc w:val="center"/>
                    <w:rPr>
                      <w:color w:val="auto"/>
                      <w:lang w:val="en-US" w:eastAsia="zh-CN"/>
                    </w:rPr>
                  </w:pPr>
                  <w:r>
                    <w:rPr>
                      <w:color w:val="auto"/>
                    </w:rPr>
                    <w:t>85.5</w:t>
                  </w:r>
                </w:p>
              </w:tc>
              <w:tc>
                <w:tcPr>
                  <w:tcW w:w="527" w:type="pct"/>
                  <w:vMerge w:val="continue"/>
                  <w:shd w:val="clear" w:color="auto" w:fill="auto"/>
                  <w:vAlign w:val="center"/>
                </w:tcPr>
                <w:p w14:paraId="67D78349">
                  <w:pPr>
                    <w:jc w:val="center"/>
                    <w:rPr>
                      <w:color w:val="auto"/>
                    </w:rPr>
                  </w:pPr>
                </w:p>
              </w:tc>
              <w:tc>
                <w:tcPr>
                  <w:tcW w:w="315" w:type="pct"/>
                  <w:gridSpan w:val="2"/>
                  <w:vMerge w:val="restart"/>
                  <w:shd w:val="clear" w:color="auto" w:fill="auto"/>
                  <w:vAlign w:val="center"/>
                </w:tcPr>
                <w:p w14:paraId="753EBA42">
                  <w:pPr>
                    <w:jc w:val="center"/>
                    <w:rPr>
                      <w:color w:val="auto"/>
                      <w:lang w:val="en-US" w:eastAsia="en-US"/>
                    </w:rPr>
                  </w:pPr>
                  <w:r>
                    <w:rPr>
                      <w:color w:val="auto"/>
                    </w:rPr>
                    <w:t>二甲苯</w:t>
                  </w:r>
                </w:p>
              </w:tc>
              <w:tc>
                <w:tcPr>
                  <w:tcW w:w="267" w:type="pct"/>
                  <w:vMerge w:val="restart"/>
                  <w:shd w:val="clear" w:color="auto" w:fill="auto"/>
                  <w:vAlign w:val="center"/>
                </w:tcPr>
                <w:p w14:paraId="750894CE">
                  <w:pPr>
                    <w:jc w:val="center"/>
                    <w:rPr>
                      <w:color w:val="auto"/>
                    </w:rPr>
                  </w:pPr>
                  <w:r>
                    <w:rPr>
                      <w:color w:val="auto"/>
                    </w:rPr>
                    <w:t>2.3</w:t>
                  </w:r>
                </w:p>
              </w:tc>
              <w:tc>
                <w:tcPr>
                  <w:tcW w:w="436" w:type="pct"/>
                  <w:vMerge w:val="restart"/>
                  <w:shd w:val="clear" w:color="auto" w:fill="auto"/>
                  <w:vAlign w:val="center"/>
                </w:tcPr>
                <w:p w14:paraId="15BC0F25">
                  <w:pPr>
                    <w:jc w:val="center"/>
                    <w:rPr>
                      <w:color w:val="auto"/>
                      <w:lang w:val="en-US" w:eastAsia="zh-CN"/>
                    </w:rPr>
                  </w:pPr>
                  <w:r>
                    <w:rPr>
                      <w:color w:val="auto"/>
                    </w:rPr>
                    <w:t>0.05</w:t>
                  </w:r>
                </w:p>
              </w:tc>
              <w:tc>
                <w:tcPr>
                  <w:tcW w:w="350" w:type="pct"/>
                  <w:vMerge w:val="restart"/>
                  <w:shd w:val="clear" w:color="auto" w:fill="auto"/>
                  <w:vAlign w:val="center"/>
                </w:tcPr>
                <w:p w14:paraId="2F738D2D">
                  <w:pPr>
                    <w:jc w:val="center"/>
                    <w:rPr>
                      <w:color w:val="auto"/>
                      <w:lang w:val="en-US" w:eastAsia="zh-CN"/>
                    </w:rPr>
                  </w:pPr>
                  <w:r>
                    <w:rPr>
                      <w:color w:val="auto"/>
                    </w:rPr>
                    <w:t>0.38</w:t>
                  </w:r>
                </w:p>
              </w:tc>
              <w:tc>
                <w:tcPr>
                  <w:tcW w:w="289" w:type="pct"/>
                  <w:vMerge w:val="continue"/>
                  <w:shd w:val="clear" w:color="auto" w:fill="auto"/>
                  <w:vAlign w:val="center"/>
                </w:tcPr>
                <w:p w14:paraId="33391EF8">
                  <w:pPr>
                    <w:jc w:val="center"/>
                    <w:rPr>
                      <w:color w:val="auto"/>
                      <w:lang w:val="en-US" w:eastAsia="zh-CN"/>
                    </w:rPr>
                  </w:pPr>
                </w:p>
              </w:tc>
            </w:tr>
            <w:tr w14:paraId="4437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restart"/>
                  <w:shd w:val="clear" w:color="auto" w:fill="auto"/>
                  <w:vAlign w:val="center"/>
                </w:tcPr>
                <w:p w14:paraId="5558FD37">
                  <w:pPr>
                    <w:jc w:val="center"/>
                    <w:rPr>
                      <w:color w:val="auto"/>
                      <w:lang w:val="en-US" w:eastAsia="en-US"/>
                    </w:rPr>
                  </w:pPr>
                  <w:r>
                    <w:rPr>
                      <w:color w:val="auto"/>
                    </w:rPr>
                    <w:t>8#电镀车间</w:t>
                  </w:r>
                </w:p>
              </w:tc>
              <w:tc>
                <w:tcPr>
                  <w:tcW w:w="337" w:type="pct"/>
                  <w:vMerge w:val="restart"/>
                  <w:shd w:val="clear" w:color="auto" w:fill="auto"/>
                  <w:vAlign w:val="center"/>
                </w:tcPr>
                <w:p w14:paraId="49E90936">
                  <w:pPr>
                    <w:jc w:val="center"/>
                    <w:rPr>
                      <w:color w:val="auto"/>
                      <w:lang w:val="en-US" w:eastAsia="en-US"/>
                    </w:rPr>
                  </w:pPr>
                  <w:r>
                    <w:rPr>
                      <w:color w:val="auto"/>
                    </w:rPr>
                    <w:t>水性漆喷涂线（5条）、2#油性漆喷涂线（2条）</w:t>
                  </w:r>
                </w:p>
              </w:tc>
              <w:tc>
                <w:tcPr>
                  <w:tcW w:w="331" w:type="pct"/>
                  <w:vMerge w:val="continue"/>
                  <w:shd w:val="clear" w:color="auto" w:fill="auto"/>
                  <w:vAlign w:val="center"/>
                </w:tcPr>
                <w:p w14:paraId="685C580A">
                  <w:pPr>
                    <w:jc w:val="center"/>
                    <w:rPr>
                      <w:color w:val="auto"/>
                    </w:rPr>
                  </w:pPr>
                </w:p>
              </w:tc>
              <w:tc>
                <w:tcPr>
                  <w:tcW w:w="371" w:type="pct"/>
                  <w:shd w:val="clear" w:color="auto" w:fill="auto"/>
                  <w:vAlign w:val="center"/>
                </w:tcPr>
                <w:p w14:paraId="2E55D8C6">
                  <w:pPr>
                    <w:jc w:val="center"/>
                    <w:rPr>
                      <w:color w:val="auto"/>
                      <w:lang w:val="en-US" w:eastAsia="en-US"/>
                    </w:rPr>
                  </w:pPr>
                  <w:r>
                    <w:rPr>
                      <w:color w:val="auto"/>
                    </w:rPr>
                    <w:t>颗粒物</w:t>
                  </w:r>
                </w:p>
              </w:tc>
              <w:tc>
                <w:tcPr>
                  <w:tcW w:w="436" w:type="pct"/>
                  <w:shd w:val="clear" w:color="auto" w:fill="auto"/>
                  <w:vAlign w:val="center"/>
                </w:tcPr>
                <w:p w14:paraId="4B82031E">
                  <w:pPr>
                    <w:jc w:val="center"/>
                    <w:rPr>
                      <w:color w:val="auto"/>
                      <w:lang w:val="en-US" w:eastAsia="zh-CN"/>
                    </w:rPr>
                  </w:pPr>
                  <w:r>
                    <w:rPr>
                      <w:color w:val="auto"/>
                    </w:rPr>
                    <w:t>0.465</w:t>
                  </w:r>
                </w:p>
              </w:tc>
              <w:tc>
                <w:tcPr>
                  <w:tcW w:w="350" w:type="pct"/>
                  <w:shd w:val="clear" w:color="auto" w:fill="auto"/>
                  <w:vAlign w:val="center"/>
                </w:tcPr>
                <w:p w14:paraId="0B7DA247">
                  <w:pPr>
                    <w:jc w:val="center"/>
                    <w:rPr>
                      <w:color w:val="auto"/>
                      <w:lang w:val="en-US" w:eastAsia="zh-CN"/>
                    </w:rPr>
                  </w:pPr>
                  <w:r>
                    <w:rPr>
                      <w:color w:val="auto"/>
                    </w:rPr>
                    <w:t>3.93</w:t>
                  </w:r>
                </w:p>
              </w:tc>
              <w:tc>
                <w:tcPr>
                  <w:tcW w:w="531" w:type="pct"/>
                  <w:vMerge w:val="continue"/>
                  <w:shd w:val="clear" w:color="auto" w:fill="auto"/>
                  <w:vAlign w:val="center"/>
                </w:tcPr>
                <w:p w14:paraId="6B47A843">
                  <w:pPr>
                    <w:jc w:val="center"/>
                    <w:rPr>
                      <w:color w:val="auto"/>
                    </w:rPr>
                  </w:pPr>
                </w:p>
              </w:tc>
              <w:tc>
                <w:tcPr>
                  <w:tcW w:w="338" w:type="pct"/>
                  <w:shd w:val="clear" w:color="auto" w:fill="auto"/>
                  <w:vAlign w:val="center"/>
                </w:tcPr>
                <w:p w14:paraId="103DE34A">
                  <w:pPr>
                    <w:jc w:val="center"/>
                    <w:rPr>
                      <w:color w:val="auto"/>
                      <w:lang w:val="en-US" w:eastAsia="zh-CN"/>
                    </w:rPr>
                  </w:pPr>
                  <w:r>
                    <w:rPr>
                      <w:color w:val="auto"/>
                    </w:rPr>
                    <w:t>90</w:t>
                  </w:r>
                </w:p>
              </w:tc>
              <w:tc>
                <w:tcPr>
                  <w:tcW w:w="527" w:type="pct"/>
                  <w:vMerge w:val="continue"/>
                  <w:shd w:val="clear" w:color="auto" w:fill="auto"/>
                  <w:vAlign w:val="center"/>
                </w:tcPr>
                <w:p w14:paraId="7DED5C5B">
                  <w:pPr>
                    <w:jc w:val="center"/>
                    <w:rPr>
                      <w:color w:val="auto"/>
                    </w:rPr>
                  </w:pPr>
                </w:p>
              </w:tc>
              <w:tc>
                <w:tcPr>
                  <w:tcW w:w="315" w:type="pct"/>
                  <w:gridSpan w:val="2"/>
                  <w:vMerge w:val="continue"/>
                  <w:shd w:val="clear" w:color="auto" w:fill="auto"/>
                  <w:vAlign w:val="center"/>
                </w:tcPr>
                <w:p w14:paraId="18274074">
                  <w:pPr>
                    <w:jc w:val="center"/>
                    <w:rPr>
                      <w:color w:val="auto"/>
                    </w:rPr>
                  </w:pPr>
                </w:p>
              </w:tc>
              <w:tc>
                <w:tcPr>
                  <w:tcW w:w="267" w:type="pct"/>
                  <w:vMerge w:val="continue"/>
                  <w:shd w:val="clear" w:color="auto" w:fill="auto"/>
                  <w:vAlign w:val="center"/>
                </w:tcPr>
                <w:p w14:paraId="4D3FBC1A">
                  <w:pPr>
                    <w:jc w:val="center"/>
                    <w:rPr>
                      <w:color w:val="auto"/>
                    </w:rPr>
                  </w:pPr>
                </w:p>
              </w:tc>
              <w:tc>
                <w:tcPr>
                  <w:tcW w:w="436" w:type="pct"/>
                  <w:vMerge w:val="continue"/>
                  <w:shd w:val="clear" w:color="auto" w:fill="auto"/>
                  <w:vAlign w:val="center"/>
                </w:tcPr>
                <w:p w14:paraId="0162CC51">
                  <w:pPr>
                    <w:jc w:val="center"/>
                    <w:rPr>
                      <w:color w:val="auto"/>
                    </w:rPr>
                  </w:pPr>
                </w:p>
              </w:tc>
              <w:tc>
                <w:tcPr>
                  <w:tcW w:w="350" w:type="pct"/>
                  <w:vMerge w:val="continue"/>
                  <w:shd w:val="clear" w:color="auto" w:fill="auto"/>
                  <w:vAlign w:val="center"/>
                </w:tcPr>
                <w:p w14:paraId="3DE0D5CE">
                  <w:pPr>
                    <w:jc w:val="center"/>
                    <w:rPr>
                      <w:color w:val="auto"/>
                    </w:rPr>
                  </w:pPr>
                </w:p>
              </w:tc>
              <w:tc>
                <w:tcPr>
                  <w:tcW w:w="289" w:type="pct"/>
                  <w:vMerge w:val="continue"/>
                  <w:shd w:val="clear" w:color="auto" w:fill="auto"/>
                  <w:vAlign w:val="center"/>
                </w:tcPr>
                <w:p w14:paraId="4B0E1807">
                  <w:pPr>
                    <w:jc w:val="center"/>
                    <w:rPr>
                      <w:color w:val="auto"/>
                    </w:rPr>
                  </w:pPr>
                </w:p>
              </w:tc>
            </w:tr>
            <w:tr w14:paraId="7433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15ED1AE">
                  <w:pPr>
                    <w:jc w:val="center"/>
                    <w:rPr>
                      <w:color w:val="auto"/>
                    </w:rPr>
                  </w:pPr>
                </w:p>
              </w:tc>
              <w:tc>
                <w:tcPr>
                  <w:tcW w:w="337" w:type="pct"/>
                  <w:vMerge w:val="continue"/>
                  <w:shd w:val="clear" w:color="auto" w:fill="auto"/>
                  <w:vAlign w:val="center"/>
                </w:tcPr>
                <w:p w14:paraId="19A96222">
                  <w:pPr>
                    <w:jc w:val="center"/>
                    <w:rPr>
                      <w:color w:val="auto"/>
                    </w:rPr>
                  </w:pPr>
                </w:p>
              </w:tc>
              <w:tc>
                <w:tcPr>
                  <w:tcW w:w="331" w:type="pct"/>
                  <w:vMerge w:val="continue"/>
                  <w:shd w:val="clear" w:color="auto" w:fill="auto"/>
                  <w:vAlign w:val="center"/>
                </w:tcPr>
                <w:p w14:paraId="09287096">
                  <w:pPr>
                    <w:jc w:val="center"/>
                    <w:rPr>
                      <w:color w:val="auto"/>
                    </w:rPr>
                  </w:pPr>
                </w:p>
              </w:tc>
              <w:tc>
                <w:tcPr>
                  <w:tcW w:w="371" w:type="pct"/>
                  <w:shd w:val="clear" w:color="auto" w:fill="auto"/>
                  <w:vAlign w:val="center"/>
                </w:tcPr>
                <w:p w14:paraId="08BF31DF">
                  <w:pPr>
                    <w:jc w:val="center"/>
                    <w:rPr>
                      <w:color w:val="auto"/>
                      <w:lang w:val="en-US" w:eastAsia="zh-CN"/>
                    </w:rPr>
                  </w:pPr>
                  <w:r>
                    <w:rPr>
                      <w:color w:val="auto"/>
                    </w:rPr>
                    <w:t>TRVOC</w:t>
                  </w:r>
                </w:p>
              </w:tc>
              <w:tc>
                <w:tcPr>
                  <w:tcW w:w="436" w:type="pct"/>
                  <w:shd w:val="clear" w:color="auto" w:fill="auto"/>
                  <w:vAlign w:val="center"/>
                </w:tcPr>
                <w:p w14:paraId="6CC25BBE">
                  <w:pPr>
                    <w:jc w:val="center"/>
                    <w:rPr>
                      <w:color w:val="auto"/>
                      <w:lang w:val="en-US" w:eastAsia="zh-CN"/>
                    </w:rPr>
                  </w:pPr>
                  <w:r>
                    <w:rPr>
                      <w:color w:val="auto"/>
                    </w:rPr>
                    <w:t>0.97</w:t>
                  </w:r>
                </w:p>
              </w:tc>
              <w:tc>
                <w:tcPr>
                  <w:tcW w:w="350" w:type="pct"/>
                  <w:shd w:val="clear" w:color="auto" w:fill="auto"/>
                  <w:vAlign w:val="center"/>
                </w:tcPr>
                <w:p w14:paraId="10DFDA2B">
                  <w:pPr>
                    <w:jc w:val="center"/>
                    <w:rPr>
                      <w:color w:val="auto"/>
                      <w:lang w:val="en-US" w:eastAsia="zh-CN"/>
                    </w:rPr>
                  </w:pPr>
                  <w:r>
                    <w:rPr>
                      <w:color w:val="auto"/>
                    </w:rPr>
                    <w:t>8.1</w:t>
                  </w:r>
                </w:p>
              </w:tc>
              <w:tc>
                <w:tcPr>
                  <w:tcW w:w="531" w:type="pct"/>
                  <w:vMerge w:val="continue"/>
                  <w:shd w:val="clear" w:color="auto" w:fill="auto"/>
                  <w:vAlign w:val="center"/>
                </w:tcPr>
                <w:p w14:paraId="5F35AD6A">
                  <w:pPr>
                    <w:jc w:val="center"/>
                    <w:rPr>
                      <w:color w:val="auto"/>
                    </w:rPr>
                  </w:pPr>
                </w:p>
              </w:tc>
              <w:tc>
                <w:tcPr>
                  <w:tcW w:w="338" w:type="pct"/>
                  <w:shd w:val="clear" w:color="auto" w:fill="auto"/>
                  <w:vAlign w:val="center"/>
                </w:tcPr>
                <w:p w14:paraId="4D8E9829">
                  <w:pPr>
                    <w:jc w:val="center"/>
                    <w:rPr>
                      <w:color w:val="auto"/>
                      <w:lang w:val="en-US" w:eastAsia="zh-CN"/>
                    </w:rPr>
                  </w:pPr>
                  <w:r>
                    <w:rPr>
                      <w:color w:val="auto"/>
                    </w:rPr>
                    <w:t>85.5</w:t>
                  </w:r>
                </w:p>
              </w:tc>
              <w:tc>
                <w:tcPr>
                  <w:tcW w:w="527" w:type="pct"/>
                  <w:vMerge w:val="continue"/>
                  <w:shd w:val="clear" w:color="auto" w:fill="auto"/>
                  <w:vAlign w:val="center"/>
                </w:tcPr>
                <w:p w14:paraId="44A9800B">
                  <w:pPr>
                    <w:jc w:val="center"/>
                    <w:rPr>
                      <w:color w:val="auto"/>
                    </w:rPr>
                  </w:pPr>
                </w:p>
              </w:tc>
              <w:tc>
                <w:tcPr>
                  <w:tcW w:w="315" w:type="pct"/>
                  <w:gridSpan w:val="2"/>
                  <w:vMerge w:val="restart"/>
                  <w:shd w:val="clear" w:color="auto" w:fill="auto"/>
                  <w:vAlign w:val="center"/>
                </w:tcPr>
                <w:p w14:paraId="463BE962">
                  <w:pPr>
                    <w:jc w:val="center"/>
                    <w:rPr>
                      <w:color w:val="auto"/>
                      <w:lang w:val="en-US" w:eastAsia="en-US"/>
                    </w:rPr>
                  </w:pPr>
                  <w:r>
                    <w:rPr>
                      <w:color w:val="auto"/>
                    </w:rPr>
                    <w:t>甲醛</w:t>
                  </w:r>
                </w:p>
              </w:tc>
              <w:tc>
                <w:tcPr>
                  <w:tcW w:w="267" w:type="pct"/>
                  <w:vMerge w:val="restart"/>
                  <w:shd w:val="clear" w:color="auto" w:fill="auto"/>
                  <w:vAlign w:val="center"/>
                </w:tcPr>
                <w:p w14:paraId="71759180">
                  <w:pPr>
                    <w:jc w:val="center"/>
                    <w:rPr>
                      <w:color w:val="auto"/>
                    </w:rPr>
                  </w:pPr>
                  <w:r>
                    <w:rPr>
                      <w:color w:val="auto"/>
                    </w:rPr>
                    <w:t>0.1</w:t>
                  </w:r>
                </w:p>
              </w:tc>
              <w:tc>
                <w:tcPr>
                  <w:tcW w:w="436" w:type="pct"/>
                  <w:vMerge w:val="restart"/>
                  <w:shd w:val="clear" w:color="auto" w:fill="auto"/>
                  <w:vAlign w:val="center"/>
                </w:tcPr>
                <w:p w14:paraId="3A2544DF">
                  <w:pPr>
                    <w:jc w:val="center"/>
                    <w:rPr>
                      <w:color w:val="auto"/>
                      <w:lang w:val="en-US" w:eastAsia="zh-CN"/>
                    </w:rPr>
                  </w:pPr>
                  <w:r>
                    <w:rPr>
                      <w:color w:val="auto"/>
                    </w:rPr>
                    <w:t>0.002</w:t>
                  </w:r>
                </w:p>
              </w:tc>
              <w:tc>
                <w:tcPr>
                  <w:tcW w:w="350" w:type="pct"/>
                  <w:vMerge w:val="restart"/>
                  <w:shd w:val="clear" w:color="auto" w:fill="auto"/>
                  <w:vAlign w:val="center"/>
                </w:tcPr>
                <w:p w14:paraId="7C7D4701">
                  <w:pPr>
                    <w:jc w:val="center"/>
                    <w:rPr>
                      <w:color w:val="auto"/>
                      <w:lang w:val="en-US" w:eastAsia="zh-CN"/>
                    </w:rPr>
                  </w:pPr>
                  <w:r>
                    <w:rPr>
                      <w:color w:val="auto"/>
                    </w:rPr>
                    <w:t>0.02</w:t>
                  </w:r>
                </w:p>
              </w:tc>
              <w:tc>
                <w:tcPr>
                  <w:tcW w:w="289" w:type="pct"/>
                  <w:vMerge w:val="continue"/>
                  <w:shd w:val="clear" w:color="auto" w:fill="auto"/>
                  <w:vAlign w:val="center"/>
                </w:tcPr>
                <w:p w14:paraId="6D7AC80A">
                  <w:pPr>
                    <w:jc w:val="center"/>
                    <w:rPr>
                      <w:color w:val="auto"/>
                      <w:lang w:val="en-US" w:eastAsia="zh-CN"/>
                    </w:rPr>
                  </w:pPr>
                </w:p>
              </w:tc>
            </w:tr>
            <w:tr w14:paraId="44AC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19B63C6E">
                  <w:pPr>
                    <w:jc w:val="center"/>
                    <w:rPr>
                      <w:color w:val="auto"/>
                    </w:rPr>
                  </w:pPr>
                </w:p>
              </w:tc>
              <w:tc>
                <w:tcPr>
                  <w:tcW w:w="337" w:type="pct"/>
                  <w:vMerge w:val="continue"/>
                  <w:shd w:val="clear" w:color="auto" w:fill="auto"/>
                  <w:vAlign w:val="center"/>
                </w:tcPr>
                <w:p w14:paraId="7C5010AC">
                  <w:pPr>
                    <w:jc w:val="center"/>
                    <w:rPr>
                      <w:color w:val="auto"/>
                    </w:rPr>
                  </w:pPr>
                </w:p>
              </w:tc>
              <w:tc>
                <w:tcPr>
                  <w:tcW w:w="331" w:type="pct"/>
                  <w:vMerge w:val="continue"/>
                  <w:shd w:val="clear" w:color="auto" w:fill="auto"/>
                  <w:vAlign w:val="center"/>
                </w:tcPr>
                <w:p w14:paraId="367261F6">
                  <w:pPr>
                    <w:jc w:val="center"/>
                    <w:rPr>
                      <w:color w:val="auto"/>
                    </w:rPr>
                  </w:pPr>
                </w:p>
              </w:tc>
              <w:tc>
                <w:tcPr>
                  <w:tcW w:w="371" w:type="pct"/>
                  <w:shd w:val="clear" w:color="auto" w:fill="auto"/>
                  <w:vAlign w:val="center"/>
                </w:tcPr>
                <w:p w14:paraId="0BE83C2D">
                  <w:pPr>
                    <w:jc w:val="center"/>
                    <w:rPr>
                      <w:color w:val="auto"/>
                      <w:lang w:val="en-US" w:eastAsia="en-US"/>
                    </w:rPr>
                  </w:pPr>
                  <w:r>
                    <w:rPr>
                      <w:color w:val="auto"/>
                    </w:rPr>
                    <w:t>二甲苯</w:t>
                  </w:r>
                </w:p>
              </w:tc>
              <w:tc>
                <w:tcPr>
                  <w:tcW w:w="436" w:type="pct"/>
                  <w:shd w:val="clear" w:color="auto" w:fill="auto"/>
                  <w:vAlign w:val="center"/>
                </w:tcPr>
                <w:p w14:paraId="328CC65D">
                  <w:pPr>
                    <w:jc w:val="center"/>
                    <w:rPr>
                      <w:color w:val="auto"/>
                      <w:lang w:val="en-US" w:eastAsia="zh-CN"/>
                    </w:rPr>
                  </w:pPr>
                  <w:r>
                    <w:rPr>
                      <w:color w:val="auto"/>
                    </w:rPr>
                    <w:t>0.08</w:t>
                  </w:r>
                </w:p>
              </w:tc>
              <w:tc>
                <w:tcPr>
                  <w:tcW w:w="350" w:type="pct"/>
                  <w:shd w:val="clear" w:color="auto" w:fill="auto"/>
                  <w:vAlign w:val="center"/>
                </w:tcPr>
                <w:p w14:paraId="1C326C74">
                  <w:pPr>
                    <w:jc w:val="center"/>
                    <w:rPr>
                      <w:color w:val="auto"/>
                      <w:lang w:val="en-US" w:eastAsia="zh-CN"/>
                    </w:rPr>
                  </w:pPr>
                  <w:r>
                    <w:rPr>
                      <w:color w:val="auto"/>
                    </w:rPr>
                    <w:t>0.65</w:t>
                  </w:r>
                </w:p>
              </w:tc>
              <w:tc>
                <w:tcPr>
                  <w:tcW w:w="531" w:type="pct"/>
                  <w:vMerge w:val="continue"/>
                  <w:shd w:val="clear" w:color="auto" w:fill="auto"/>
                  <w:vAlign w:val="center"/>
                </w:tcPr>
                <w:p w14:paraId="765ED271">
                  <w:pPr>
                    <w:jc w:val="center"/>
                    <w:rPr>
                      <w:color w:val="auto"/>
                    </w:rPr>
                  </w:pPr>
                </w:p>
              </w:tc>
              <w:tc>
                <w:tcPr>
                  <w:tcW w:w="338" w:type="pct"/>
                  <w:shd w:val="clear" w:color="auto" w:fill="auto"/>
                  <w:vAlign w:val="center"/>
                </w:tcPr>
                <w:p w14:paraId="643026EA">
                  <w:pPr>
                    <w:jc w:val="center"/>
                    <w:rPr>
                      <w:color w:val="auto"/>
                      <w:lang w:val="en-US" w:eastAsia="zh-CN"/>
                    </w:rPr>
                  </w:pPr>
                  <w:r>
                    <w:rPr>
                      <w:color w:val="auto"/>
                    </w:rPr>
                    <w:t>85.5</w:t>
                  </w:r>
                </w:p>
              </w:tc>
              <w:tc>
                <w:tcPr>
                  <w:tcW w:w="527" w:type="pct"/>
                  <w:vMerge w:val="continue"/>
                  <w:shd w:val="clear" w:color="auto" w:fill="auto"/>
                  <w:vAlign w:val="center"/>
                </w:tcPr>
                <w:p w14:paraId="57609C36">
                  <w:pPr>
                    <w:jc w:val="center"/>
                    <w:rPr>
                      <w:color w:val="auto"/>
                    </w:rPr>
                  </w:pPr>
                </w:p>
              </w:tc>
              <w:tc>
                <w:tcPr>
                  <w:tcW w:w="315" w:type="pct"/>
                  <w:gridSpan w:val="2"/>
                  <w:vMerge w:val="continue"/>
                  <w:shd w:val="clear" w:color="auto" w:fill="auto"/>
                  <w:vAlign w:val="center"/>
                </w:tcPr>
                <w:p w14:paraId="2276970F">
                  <w:pPr>
                    <w:jc w:val="center"/>
                    <w:rPr>
                      <w:color w:val="auto"/>
                    </w:rPr>
                  </w:pPr>
                </w:p>
              </w:tc>
              <w:tc>
                <w:tcPr>
                  <w:tcW w:w="267" w:type="pct"/>
                  <w:vMerge w:val="continue"/>
                  <w:shd w:val="clear" w:color="auto" w:fill="auto"/>
                  <w:vAlign w:val="center"/>
                </w:tcPr>
                <w:p w14:paraId="6CDD7EF1">
                  <w:pPr>
                    <w:jc w:val="center"/>
                    <w:rPr>
                      <w:color w:val="auto"/>
                    </w:rPr>
                  </w:pPr>
                </w:p>
              </w:tc>
              <w:tc>
                <w:tcPr>
                  <w:tcW w:w="436" w:type="pct"/>
                  <w:vMerge w:val="continue"/>
                  <w:shd w:val="clear" w:color="auto" w:fill="auto"/>
                  <w:vAlign w:val="center"/>
                </w:tcPr>
                <w:p w14:paraId="305B8D0C">
                  <w:pPr>
                    <w:jc w:val="center"/>
                    <w:rPr>
                      <w:color w:val="auto"/>
                    </w:rPr>
                  </w:pPr>
                </w:p>
              </w:tc>
              <w:tc>
                <w:tcPr>
                  <w:tcW w:w="350" w:type="pct"/>
                  <w:vMerge w:val="continue"/>
                  <w:shd w:val="clear" w:color="auto" w:fill="auto"/>
                  <w:vAlign w:val="center"/>
                </w:tcPr>
                <w:p w14:paraId="280736BC">
                  <w:pPr>
                    <w:jc w:val="center"/>
                    <w:rPr>
                      <w:color w:val="auto"/>
                    </w:rPr>
                  </w:pPr>
                </w:p>
              </w:tc>
              <w:tc>
                <w:tcPr>
                  <w:tcW w:w="289" w:type="pct"/>
                  <w:vMerge w:val="continue"/>
                  <w:shd w:val="clear" w:color="auto" w:fill="auto"/>
                  <w:vAlign w:val="center"/>
                </w:tcPr>
                <w:p w14:paraId="7EFC025D">
                  <w:pPr>
                    <w:jc w:val="center"/>
                    <w:rPr>
                      <w:color w:val="auto"/>
                    </w:rPr>
                  </w:pPr>
                </w:p>
              </w:tc>
            </w:tr>
            <w:tr w14:paraId="7575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05B1EBFF">
                  <w:pPr>
                    <w:jc w:val="center"/>
                    <w:rPr>
                      <w:color w:val="auto"/>
                    </w:rPr>
                  </w:pPr>
                </w:p>
              </w:tc>
              <w:tc>
                <w:tcPr>
                  <w:tcW w:w="337" w:type="pct"/>
                  <w:vMerge w:val="continue"/>
                  <w:shd w:val="clear" w:color="auto" w:fill="auto"/>
                  <w:vAlign w:val="center"/>
                </w:tcPr>
                <w:p w14:paraId="507B6F2D">
                  <w:pPr>
                    <w:jc w:val="center"/>
                    <w:rPr>
                      <w:color w:val="auto"/>
                    </w:rPr>
                  </w:pPr>
                </w:p>
              </w:tc>
              <w:tc>
                <w:tcPr>
                  <w:tcW w:w="331" w:type="pct"/>
                  <w:vMerge w:val="continue"/>
                  <w:shd w:val="clear" w:color="auto" w:fill="auto"/>
                  <w:vAlign w:val="center"/>
                </w:tcPr>
                <w:p w14:paraId="5088936F">
                  <w:pPr>
                    <w:jc w:val="center"/>
                    <w:rPr>
                      <w:color w:val="auto"/>
                    </w:rPr>
                  </w:pPr>
                </w:p>
              </w:tc>
              <w:tc>
                <w:tcPr>
                  <w:tcW w:w="371" w:type="pct"/>
                  <w:shd w:val="clear" w:color="auto" w:fill="auto"/>
                  <w:vAlign w:val="center"/>
                </w:tcPr>
                <w:p w14:paraId="2F643E6A">
                  <w:pPr>
                    <w:jc w:val="center"/>
                    <w:rPr>
                      <w:color w:val="auto"/>
                      <w:lang w:val="en-US" w:eastAsia="en-US"/>
                    </w:rPr>
                  </w:pPr>
                  <w:r>
                    <w:rPr>
                      <w:color w:val="auto"/>
                    </w:rPr>
                    <w:t>甲醛</w:t>
                  </w:r>
                </w:p>
              </w:tc>
              <w:tc>
                <w:tcPr>
                  <w:tcW w:w="436" w:type="pct"/>
                  <w:shd w:val="clear" w:color="auto" w:fill="auto"/>
                  <w:vAlign w:val="center"/>
                </w:tcPr>
                <w:p w14:paraId="6A86EB48">
                  <w:pPr>
                    <w:jc w:val="center"/>
                    <w:rPr>
                      <w:color w:val="auto"/>
                      <w:lang w:val="en-US" w:eastAsia="zh-CN"/>
                    </w:rPr>
                  </w:pPr>
                  <w:r>
                    <w:rPr>
                      <w:color w:val="auto"/>
                    </w:rPr>
                    <w:t>0.01</w:t>
                  </w:r>
                </w:p>
              </w:tc>
              <w:tc>
                <w:tcPr>
                  <w:tcW w:w="350" w:type="pct"/>
                  <w:shd w:val="clear" w:color="auto" w:fill="auto"/>
                  <w:vAlign w:val="center"/>
                </w:tcPr>
                <w:p w14:paraId="5630AC41">
                  <w:pPr>
                    <w:jc w:val="center"/>
                    <w:rPr>
                      <w:color w:val="auto"/>
                      <w:lang w:val="en-US" w:eastAsia="zh-CN"/>
                    </w:rPr>
                  </w:pPr>
                  <w:r>
                    <w:rPr>
                      <w:color w:val="auto"/>
                    </w:rPr>
                    <w:t>0.118</w:t>
                  </w:r>
                </w:p>
              </w:tc>
              <w:tc>
                <w:tcPr>
                  <w:tcW w:w="531" w:type="pct"/>
                  <w:vMerge w:val="continue"/>
                  <w:shd w:val="clear" w:color="auto" w:fill="auto"/>
                  <w:vAlign w:val="center"/>
                </w:tcPr>
                <w:p w14:paraId="04795D87">
                  <w:pPr>
                    <w:jc w:val="center"/>
                    <w:rPr>
                      <w:color w:val="auto"/>
                    </w:rPr>
                  </w:pPr>
                </w:p>
              </w:tc>
              <w:tc>
                <w:tcPr>
                  <w:tcW w:w="338" w:type="pct"/>
                  <w:shd w:val="clear" w:color="auto" w:fill="auto"/>
                  <w:vAlign w:val="center"/>
                </w:tcPr>
                <w:p w14:paraId="4759F514">
                  <w:pPr>
                    <w:jc w:val="center"/>
                    <w:rPr>
                      <w:color w:val="auto"/>
                      <w:lang w:val="en-US" w:eastAsia="zh-CN"/>
                    </w:rPr>
                  </w:pPr>
                  <w:r>
                    <w:rPr>
                      <w:color w:val="auto"/>
                    </w:rPr>
                    <w:t>85.5</w:t>
                  </w:r>
                </w:p>
              </w:tc>
              <w:tc>
                <w:tcPr>
                  <w:tcW w:w="527" w:type="pct"/>
                  <w:vMerge w:val="continue"/>
                  <w:shd w:val="clear" w:color="auto" w:fill="auto"/>
                  <w:vAlign w:val="center"/>
                </w:tcPr>
                <w:p w14:paraId="14B9D18B">
                  <w:pPr>
                    <w:jc w:val="center"/>
                    <w:rPr>
                      <w:color w:val="auto"/>
                    </w:rPr>
                  </w:pPr>
                </w:p>
              </w:tc>
              <w:tc>
                <w:tcPr>
                  <w:tcW w:w="315" w:type="pct"/>
                  <w:gridSpan w:val="2"/>
                  <w:vMerge w:val="restart"/>
                  <w:shd w:val="clear" w:color="auto" w:fill="auto"/>
                  <w:vAlign w:val="center"/>
                </w:tcPr>
                <w:p w14:paraId="3BFF679A">
                  <w:pPr>
                    <w:jc w:val="center"/>
                    <w:rPr>
                      <w:color w:val="auto"/>
                      <w:lang w:val="en-US" w:eastAsia="en-US"/>
                    </w:rPr>
                  </w:pPr>
                  <w:r>
                    <w:rPr>
                      <w:color w:val="auto"/>
                    </w:rPr>
                    <w:t>甲苯</w:t>
                  </w:r>
                </w:p>
              </w:tc>
              <w:tc>
                <w:tcPr>
                  <w:tcW w:w="267" w:type="pct"/>
                  <w:vMerge w:val="restart"/>
                  <w:shd w:val="clear" w:color="auto" w:fill="auto"/>
                  <w:vAlign w:val="center"/>
                </w:tcPr>
                <w:p w14:paraId="482ADFF2">
                  <w:pPr>
                    <w:jc w:val="center"/>
                    <w:rPr>
                      <w:rFonts w:ascii="Times New Roman" w:hAnsi="Times New Roman" w:eastAsia="宋体" w:cs="Times New Roman"/>
                      <w:color w:val="auto"/>
                      <w:kern w:val="2"/>
                      <w:sz w:val="21"/>
                      <w:szCs w:val="24"/>
                      <w:lang w:val="en-US" w:eastAsia="zh-CN" w:bidi="ar-SA"/>
                    </w:rPr>
                  </w:pPr>
                  <w:r>
                    <w:rPr>
                      <w:color w:val="auto"/>
                    </w:rPr>
                    <w:t>0.9</w:t>
                  </w:r>
                </w:p>
              </w:tc>
              <w:tc>
                <w:tcPr>
                  <w:tcW w:w="436" w:type="pct"/>
                  <w:vMerge w:val="restart"/>
                  <w:shd w:val="clear" w:color="auto" w:fill="auto"/>
                  <w:vAlign w:val="center"/>
                </w:tcPr>
                <w:p w14:paraId="62ECEAAC">
                  <w:pPr>
                    <w:jc w:val="center"/>
                    <w:rPr>
                      <w:rFonts w:ascii="Times New Roman" w:hAnsi="Times New Roman" w:eastAsia="宋体" w:cs="Times New Roman"/>
                      <w:color w:val="auto"/>
                      <w:kern w:val="2"/>
                      <w:sz w:val="21"/>
                      <w:szCs w:val="24"/>
                      <w:lang w:val="en-US" w:eastAsia="zh-CN" w:bidi="ar-SA"/>
                    </w:rPr>
                  </w:pPr>
                  <w:r>
                    <w:rPr>
                      <w:color w:val="auto"/>
                    </w:rPr>
                    <w:t>0.02</w:t>
                  </w:r>
                </w:p>
              </w:tc>
              <w:tc>
                <w:tcPr>
                  <w:tcW w:w="350" w:type="pct"/>
                  <w:vMerge w:val="restart"/>
                  <w:shd w:val="clear" w:color="auto" w:fill="auto"/>
                  <w:vAlign w:val="center"/>
                </w:tcPr>
                <w:p w14:paraId="5609F537">
                  <w:pPr>
                    <w:jc w:val="center"/>
                    <w:rPr>
                      <w:rFonts w:ascii="Times New Roman" w:hAnsi="Times New Roman" w:eastAsia="宋体" w:cs="Times New Roman"/>
                      <w:color w:val="auto"/>
                      <w:kern w:val="2"/>
                      <w:sz w:val="21"/>
                      <w:szCs w:val="24"/>
                      <w:lang w:val="en-US" w:eastAsia="zh-CN" w:bidi="ar-SA"/>
                    </w:rPr>
                  </w:pPr>
                  <w:r>
                    <w:rPr>
                      <w:color w:val="auto"/>
                    </w:rPr>
                    <w:t>0.15</w:t>
                  </w:r>
                </w:p>
              </w:tc>
              <w:tc>
                <w:tcPr>
                  <w:tcW w:w="289" w:type="pct"/>
                  <w:vMerge w:val="continue"/>
                  <w:shd w:val="clear" w:color="auto" w:fill="auto"/>
                  <w:vAlign w:val="center"/>
                </w:tcPr>
                <w:p w14:paraId="16647FF2">
                  <w:pPr>
                    <w:jc w:val="center"/>
                    <w:rPr>
                      <w:color w:val="auto"/>
                      <w:lang w:val="en-US" w:eastAsia="zh-CN"/>
                    </w:rPr>
                  </w:pPr>
                </w:p>
              </w:tc>
            </w:tr>
            <w:tr w14:paraId="73CE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74B01A9B">
                  <w:pPr>
                    <w:jc w:val="center"/>
                    <w:rPr>
                      <w:color w:val="auto"/>
                    </w:rPr>
                  </w:pPr>
                </w:p>
              </w:tc>
              <w:tc>
                <w:tcPr>
                  <w:tcW w:w="337" w:type="pct"/>
                  <w:vMerge w:val="continue"/>
                  <w:shd w:val="clear" w:color="auto" w:fill="auto"/>
                  <w:vAlign w:val="center"/>
                </w:tcPr>
                <w:p w14:paraId="5E1C006F">
                  <w:pPr>
                    <w:jc w:val="center"/>
                    <w:rPr>
                      <w:color w:val="auto"/>
                    </w:rPr>
                  </w:pPr>
                </w:p>
              </w:tc>
              <w:tc>
                <w:tcPr>
                  <w:tcW w:w="331" w:type="pct"/>
                  <w:vMerge w:val="continue"/>
                  <w:shd w:val="clear" w:color="auto" w:fill="auto"/>
                  <w:vAlign w:val="center"/>
                </w:tcPr>
                <w:p w14:paraId="44D1AE2D">
                  <w:pPr>
                    <w:jc w:val="center"/>
                    <w:rPr>
                      <w:color w:val="auto"/>
                    </w:rPr>
                  </w:pPr>
                </w:p>
              </w:tc>
              <w:tc>
                <w:tcPr>
                  <w:tcW w:w="371" w:type="pct"/>
                  <w:shd w:val="clear" w:color="auto" w:fill="auto"/>
                  <w:vAlign w:val="center"/>
                </w:tcPr>
                <w:p w14:paraId="6025BD4C">
                  <w:pPr>
                    <w:jc w:val="center"/>
                    <w:rPr>
                      <w:color w:val="auto"/>
                      <w:lang w:val="en-US" w:eastAsia="en-US"/>
                    </w:rPr>
                  </w:pPr>
                  <w:r>
                    <w:rPr>
                      <w:color w:val="auto"/>
                    </w:rPr>
                    <w:t>甲苯</w:t>
                  </w:r>
                </w:p>
              </w:tc>
              <w:tc>
                <w:tcPr>
                  <w:tcW w:w="436" w:type="pct"/>
                  <w:shd w:val="clear" w:color="auto" w:fill="auto"/>
                  <w:vAlign w:val="center"/>
                </w:tcPr>
                <w:p w14:paraId="3B8B64AF">
                  <w:pPr>
                    <w:jc w:val="center"/>
                    <w:rPr>
                      <w:color w:val="auto"/>
                      <w:lang w:val="en-US" w:eastAsia="zh-CN"/>
                    </w:rPr>
                  </w:pPr>
                  <w:r>
                    <w:rPr>
                      <w:color w:val="auto"/>
                    </w:rPr>
                    <w:t>0.06</w:t>
                  </w:r>
                </w:p>
              </w:tc>
              <w:tc>
                <w:tcPr>
                  <w:tcW w:w="350" w:type="pct"/>
                  <w:shd w:val="clear" w:color="auto" w:fill="auto"/>
                  <w:vAlign w:val="center"/>
                </w:tcPr>
                <w:p w14:paraId="5ACB36F9">
                  <w:pPr>
                    <w:jc w:val="center"/>
                    <w:rPr>
                      <w:color w:val="auto"/>
                      <w:lang w:val="en-US" w:eastAsia="zh-CN"/>
                    </w:rPr>
                  </w:pPr>
                  <w:r>
                    <w:rPr>
                      <w:color w:val="auto"/>
                    </w:rPr>
                    <w:t>0.47</w:t>
                  </w:r>
                </w:p>
              </w:tc>
              <w:tc>
                <w:tcPr>
                  <w:tcW w:w="531" w:type="pct"/>
                  <w:vMerge w:val="continue"/>
                  <w:shd w:val="clear" w:color="auto" w:fill="auto"/>
                  <w:vAlign w:val="center"/>
                </w:tcPr>
                <w:p w14:paraId="0E50A29F">
                  <w:pPr>
                    <w:jc w:val="center"/>
                    <w:rPr>
                      <w:color w:val="auto"/>
                    </w:rPr>
                  </w:pPr>
                </w:p>
              </w:tc>
              <w:tc>
                <w:tcPr>
                  <w:tcW w:w="338" w:type="pct"/>
                  <w:shd w:val="clear" w:color="auto" w:fill="auto"/>
                  <w:vAlign w:val="center"/>
                </w:tcPr>
                <w:p w14:paraId="6C287E6C">
                  <w:pPr>
                    <w:jc w:val="center"/>
                    <w:rPr>
                      <w:color w:val="auto"/>
                      <w:lang w:val="en-US" w:eastAsia="zh-CN"/>
                    </w:rPr>
                  </w:pPr>
                  <w:r>
                    <w:rPr>
                      <w:color w:val="auto"/>
                    </w:rPr>
                    <w:t>85.5</w:t>
                  </w:r>
                </w:p>
              </w:tc>
              <w:tc>
                <w:tcPr>
                  <w:tcW w:w="527" w:type="pct"/>
                  <w:vMerge w:val="continue"/>
                  <w:shd w:val="clear" w:color="auto" w:fill="auto"/>
                  <w:vAlign w:val="center"/>
                </w:tcPr>
                <w:p w14:paraId="256748EA">
                  <w:pPr>
                    <w:jc w:val="center"/>
                    <w:rPr>
                      <w:color w:val="auto"/>
                    </w:rPr>
                  </w:pPr>
                </w:p>
              </w:tc>
              <w:tc>
                <w:tcPr>
                  <w:tcW w:w="315" w:type="pct"/>
                  <w:gridSpan w:val="2"/>
                  <w:vMerge w:val="continue"/>
                  <w:shd w:val="clear" w:color="auto" w:fill="auto"/>
                  <w:vAlign w:val="center"/>
                </w:tcPr>
                <w:p w14:paraId="52CDF642">
                  <w:pPr>
                    <w:jc w:val="center"/>
                    <w:rPr>
                      <w:color w:val="auto"/>
                      <w:lang w:val="en-US" w:eastAsia="zh-CN"/>
                    </w:rPr>
                  </w:pPr>
                </w:p>
              </w:tc>
              <w:tc>
                <w:tcPr>
                  <w:tcW w:w="267" w:type="pct"/>
                  <w:vMerge w:val="continue"/>
                  <w:shd w:val="clear" w:color="auto" w:fill="auto"/>
                  <w:vAlign w:val="center"/>
                </w:tcPr>
                <w:p w14:paraId="232AFCAE">
                  <w:pPr>
                    <w:jc w:val="center"/>
                    <w:rPr>
                      <w:color w:val="auto"/>
                      <w:lang w:val="en-US" w:eastAsia="zh-CN"/>
                    </w:rPr>
                  </w:pPr>
                </w:p>
              </w:tc>
              <w:tc>
                <w:tcPr>
                  <w:tcW w:w="436" w:type="pct"/>
                  <w:vMerge w:val="continue"/>
                  <w:shd w:val="clear" w:color="auto" w:fill="auto"/>
                  <w:vAlign w:val="center"/>
                </w:tcPr>
                <w:p w14:paraId="2D248BE4">
                  <w:pPr>
                    <w:jc w:val="center"/>
                    <w:rPr>
                      <w:color w:val="auto"/>
                      <w:lang w:val="en-US" w:eastAsia="zh-CN"/>
                    </w:rPr>
                  </w:pPr>
                </w:p>
              </w:tc>
              <w:tc>
                <w:tcPr>
                  <w:tcW w:w="350" w:type="pct"/>
                  <w:vMerge w:val="continue"/>
                  <w:shd w:val="clear" w:color="auto" w:fill="auto"/>
                  <w:vAlign w:val="center"/>
                </w:tcPr>
                <w:p w14:paraId="05AC8F77">
                  <w:pPr>
                    <w:jc w:val="center"/>
                    <w:rPr>
                      <w:color w:val="auto"/>
                    </w:rPr>
                  </w:pPr>
                </w:p>
              </w:tc>
              <w:tc>
                <w:tcPr>
                  <w:tcW w:w="289" w:type="pct"/>
                  <w:vMerge w:val="continue"/>
                  <w:shd w:val="clear" w:color="auto" w:fill="auto"/>
                  <w:vAlign w:val="center"/>
                </w:tcPr>
                <w:p w14:paraId="2B0C06B5">
                  <w:pPr>
                    <w:jc w:val="center"/>
                    <w:rPr>
                      <w:color w:val="auto"/>
                    </w:rPr>
                  </w:pPr>
                </w:p>
              </w:tc>
            </w:tr>
            <w:tr w14:paraId="2FF5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restart"/>
                  <w:shd w:val="clear" w:color="auto" w:fill="auto"/>
                  <w:vAlign w:val="center"/>
                </w:tcPr>
                <w:p w14:paraId="76BD0131">
                  <w:pPr>
                    <w:jc w:val="center"/>
                    <w:rPr>
                      <w:color w:val="auto"/>
                      <w:lang w:val="en-US" w:eastAsia="en-US"/>
                    </w:rPr>
                  </w:pPr>
                  <w:r>
                    <w:rPr>
                      <w:color w:val="auto"/>
                    </w:rPr>
                    <w:t>锅炉房</w:t>
                  </w:r>
                </w:p>
              </w:tc>
              <w:tc>
                <w:tcPr>
                  <w:tcW w:w="337" w:type="pct"/>
                  <w:vMerge w:val="restart"/>
                  <w:shd w:val="clear" w:color="auto" w:fill="auto"/>
                  <w:vAlign w:val="center"/>
                </w:tcPr>
                <w:p w14:paraId="378452F6">
                  <w:pPr>
                    <w:jc w:val="center"/>
                    <w:rPr>
                      <w:color w:val="auto"/>
                      <w:lang w:val="en-US" w:eastAsia="en-US"/>
                    </w:rPr>
                  </w:pPr>
                  <w:r>
                    <w:rPr>
                      <w:color w:val="auto"/>
                    </w:rPr>
                    <w:t>热水锅炉燃气废气</w:t>
                  </w:r>
                </w:p>
              </w:tc>
              <w:tc>
                <w:tcPr>
                  <w:tcW w:w="331" w:type="pct"/>
                  <w:vMerge w:val="restart"/>
                  <w:shd w:val="clear" w:color="auto" w:fill="auto"/>
                  <w:vAlign w:val="center"/>
                </w:tcPr>
                <w:p w14:paraId="636FBA92">
                  <w:pPr>
                    <w:jc w:val="center"/>
                    <w:rPr>
                      <w:color w:val="auto"/>
                      <w:lang w:val="en-US" w:eastAsia="en-US"/>
                    </w:rPr>
                  </w:pPr>
                  <w:r>
                    <w:rPr>
                      <w:color w:val="auto"/>
                    </w:rPr>
                    <w:t>DA013排气筒</w:t>
                  </w:r>
                </w:p>
              </w:tc>
              <w:tc>
                <w:tcPr>
                  <w:tcW w:w="371" w:type="pct"/>
                  <w:shd w:val="clear" w:color="auto" w:fill="auto"/>
                  <w:vAlign w:val="center"/>
                </w:tcPr>
                <w:p w14:paraId="311506D5">
                  <w:pPr>
                    <w:jc w:val="center"/>
                    <w:rPr>
                      <w:color w:val="auto"/>
                      <w:lang w:val="en-US" w:eastAsia="en-US"/>
                    </w:rPr>
                  </w:pPr>
                  <w:r>
                    <w:rPr>
                      <w:color w:val="auto"/>
                    </w:rPr>
                    <w:t>颗粒物</w:t>
                  </w:r>
                </w:p>
              </w:tc>
              <w:tc>
                <w:tcPr>
                  <w:tcW w:w="436" w:type="pct"/>
                  <w:shd w:val="clear" w:color="auto" w:fill="auto"/>
                  <w:vAlign w:val="center"/>
                </w:tcPr>
                <w:p w14:paraId="40829F2A">
                  <w:pPr>
                    <w:jc w:val="center"/>
                    <w:rPr>
                      <w:color w:val="auto"/>
                      <w:lang w:val="en-US" w:eastAsia="zh-CN"/>
                    </w:rPr>
                  </w:pPr>
                  <w:r>
                    <w:rPr>
                      <w:color w:val="auto"/>
                    </w:rPr>
                    <w:t>0.07</w:t>
                  </w:r>
                </w:p>
              </w:tc>
              <w:tc>
                <w:tcPr>
                  <w:tcW w:w="350" w:type="pct"/>
                  <w:shd w:val="clear" w:color="auto" w:fill="auto"/>
                  <w:vAlign w:val="center"/>
                </w:tcPr>
                <w:p w14:paraId="085172AC">
                  <w:pPr>
                    <w:jc w:val="center"/>
                    <w:rPr>
                      <w:color w:val="auto"/>
                      <w:lang w:val="en-US" w:eastAsia="zh-CN"/>
                    </w:rPr>
                  </w:pPr>
                  <w:r>
                    <w:rPr>
                      <w:color w:val="auto"/>
                    </w:rPr>
                    <w:t>0.59</w:t>
                  </w:r>
                </w:p>
              </w:tc>
              <w:tc>
                <w:tcPr>
                  <w:tcW w:w="531" w:type="pct"/>
                  <w:vMerge w:val="restart"/>
                  <w:shd w:val="clear" w:color="auto" w:fill="auto"/>
                  <w:vAlign w:val="center"/>
                </w:tcPr>
                <w:p w14:paraId="49256463">
                  <w:pPr>
                    <w:jc w:val="center"/>
                    <w:rPr>
                      <w:color w:val="auto"/>
                      <w:lang w:val="en-US" w:eastAsia="en-US"/>
                    </w:rPr>
                  </w:pPr>
                  <w:r>
                    <w:rPr>
                      <w:color w:val="auto"/>
                    </w:rPr>
                    <w:t>直接排放</w:t>
                  </w:r>
                </w:p>
              </w:tc>
              <w:tc>
                <w:tcPr>
                  <w:tcW w:w="338" w:type="pct"/>
                  <w:shd w:val="clear" w:color="auto" w:fill="auto"/>
                  <w:vAlign w:val="center"/>
                </w:tcPr>
                <w:p w14:paraId="4B6AEF81">
                  <w:pPr>
                    <w:jc w:val="center"/>
                    <w:rPr>
                      <w:color w:val="auto"/>
                      <w:lang w:val="en-US" w:eastAsia="zh-CN"/>
                    </w:rPr>
                  </w:pPr>
                  <w:r>
                    <w:rPr>
                      <w:color w:val="auto"/>
                    </w:rPr>
                    <w:t>/</w:t>
                  </w:r>
                </w:p>
              </w:tc>
              <w:tc>
                <w:tcPr>
                  <w:tcW w:w="527" w:type="pct"/>
                  <w:vMerge w:val="restart"/>
                  <w:shd w:val="clear" w:color="auto" w:fill="auto"/>
                  <w:vAlign w:val="center"/>
                </w:tcPr>
                <w:p w14:paraId="11FC7FE6">
                  <w:pPr>
                    <w:jc w:val="center"/>
                    <w:rPr>
                      <w:color w:val="auto"/>
                      <w:lang w:val="en-US" w:eastAsia="zh-CN"/>
                    </w:rPr>
                  </w:pPr>
                  <w:r>
                    <w:rPr>
                      <w:color w:val="auto"/>
                    </w:rPr>
                    <w:t>5387.5</w:t>
                  </w:r>
                </w:p>
              </w:tc>
              <w:tc>
                <w:tcPr>
                  <w:tcW w:w="583" w:type="pct"/>
                  <w:gridSpan w:val="3"/>
                  <w:shd w:val="clear" w:color="auto" w:fill="auto"/>
                  <w:vAlign w:val="center"/>
                </w:tcPr>
                <w:p w14:paraId="3567D928">
                  <w:pPr>
                    <w:jc w:val="center"/>
                    <w:rPr>
                      <w:color w:val="auto"/>
                      <w:lang w:val="en-US" w:eastAsia="zh-CN"/>
                    </w:rPr>
                  </w:pPr>
                  <w:r>
                    <w:rPr>
                      <w:color w:val="auto"/>
                    </w:rPr>
                    <w:t>13</w:t>
                  </w:r>
                </w:p>
              </w:tc>
              <w:tc>
                <w:tcPr>
                  <w:tcW w:w="436" w:type="pct"/>
                  <w:shd w:val="clear" w:color="auto" w:fill="auto"/>
                  <w:vAlign w:val="center"/>
                </w:tcPr>
                <w:p w14:paraId="61E85868">
                  <w:pPr>
                    <w:jc w:val="center"/>
                    <w:rPr>
                      <w:color w:val="auto"/>
                      <w:lang w:val="en-US" w:eastAsia="zh-CN"/>
                    </w:rPr>
                  </w:pPr>
                  <w:r>
                    <w:rPr>
                      <w:color w:val="auto"/>
                    </w:rPr>
                    <w:t>0.07</w:t>
                  </w:r>
                </w:p>
              </w:tc>
              <w:tc>
                <w:tcPr>
                  <w:tcW w:w="350" w:type="pct"/>
                  <w:shd w:val="clear" w:color="auto" w:fill="auto"/>
                  <w:vAlign w:val="center"/>
                </w:tcPr>
                <w:p w14:paraId="2F3A2A7C">
                  <w:pPr>
                    <w:jc w:val="center"/>
                    <w:rPr>
                      <w:color w:val="auto"/>
                      <w:lang w:val="en-US" w:eastAsia="zh-CN"/>
                    </w:rPr>
                  </w:pPr>
                  <w:r>
                    <w:rPr>
                      <w:color w:val="auto"/>
                    </w:rPr>
                    <w:t>0.59</w:t>
                  </w:r>
                </w:p>
              </w:tc>
              <w:tc>
                <w:tcPr>
                  <w:tcW w:w="289" w:type="pct"/>
                  <w:vMerge w:val="restart"/>
                  <w:shd w:val="clear" w:color="auto" w:fill="auto"/>
                  <w:vAlign w:val="center"/>
                </w:tcPr>
                <w:p w14:paraId="518CDD79">
                  <w:pPr>
                    <w:jc w:val="center"/>
                    <w:rPr>
                      <w:rFonts w:hint="default" w:eastAsia="宋体"/>
                      <w:color w:val="auto"/>
                      <w:lang w:val="en-US" w:eastAsia="zh-CN"/>
                    </w:rPr>
                  </w:pPr>
                  <w:r>
                    <w:rPr>
                      <w:rFonts w:hint="eastAsia"/>
                      <w:color w:val="auto"/>
                      <w:lang w:val="en-US" w:eastAsia="zh-CN"/>
                    </w:rPr>
                    <w:t>8400</w:t>
                  </w:r>
                </w:p>
              </w:tc>
            </w:tr>
            <w:tr w14:paraId="77AF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0A4AAC2A">
                  <w:pPr>
                    <w:jc w:val="center"/>
                    <w:rPr>
                      <w:color w:val="auto"/>
                    </w:rPr>
                  </w:pPr>
                </w:p>
              </w:tc>
              <w:tc>
                <w:tcPr>
                  <w:tcW w:w="337" w:type="pct"/>
                  <w:vMerge w:val="continue"/>
                  <w:shd w:val="clear" w:color="auto" w:fill="auto"/>
                  <w:vAlign w:val="center"/>
                </w:tcPr>
                <w:p w14:paraId="12D7DFEF">
                  <w:pPr>
                    <w:jc w:val="center"/>
                    <w:rPr>
                      <w:color w:val="auto"/>
                    </w:rPr>
                  </w:pPr>
                </w:p>
              </w:tc>
              <w:tc>
                <w:tcPr>
                  <w:tcW w:w="331" w:type="pct"/>
                  <w:vMerge w:val="continue"/>
                  <w:shd w:val="clear" w:color="auto" w:fill="auto"/>
                  <w:vAlign w:val="center"/>
                </w:tcPr>
                <w:p w14:paraId="5631A40C">
                  <w:pPr>
                    <w:jc w:val="center"/>
                    <w:rPr>
                      <w:color w:val="auto"/>
                    </w:rPr>
                  </w:pPr>
                </w:p>
              </w:tc>
              <w:tc>
                <w:tcPr>
                  <w:tcW w:w="371" w:type="pct"/>
                  <w:shd w:val="clear" w:color="auto" w:fill="auto"/>
                  <w:vAlign w:val="center"/>
                </w:tcPr>
                <w:p w14:paraId="00B8784A">
                  <w:pPr>
                    <w:jc w:val="center"/>
                    <w:rPr>
                      <w:color w:val="auto"/>
                      <w:lang w:val="en-US" w:eastAsia="en-US"/>
                    </w:rPr>
                  </w:pPr>
                  <w:r>
                    <w:rPr>
                      <w:color w:val="auto"/>
                    </w:rPr>
                    <w:t>二氧化硫</w:t>
                  </w:r>
                </w:p>
              </w:tc>
              <w:tc>
                <w:tcPr>
                  <w:tcW w:w="436" w:type="pct"/>
                  <w:shd w:val="clear" w:color="auto" w:fill="auto"/>
                  <w:vAlign w:val="center"/>
                </w:tcPr>
                <w:p w14:paraId="6FE8AD0A">
                  <w:pPr>
                    <w:jc w:val="center"/>
                    <w:rPr>
                      <w:color w:val="auto"/>
                      <w:lang w:val="en-US" w:eastAsia="zh-CN"/>
                    </w:rPr>
                  </w:pPr>
                  <w:r>
                    <w:rPr>
                      <w:color w:val="auto"/>
                    </w:rPr>
                    <w:t>0.1</w:t>
                  </w:r>
                </w:p>
              </w:tc>
              <w:tc>
                <w:tcPr>
                  <w:tcW w:w="350" w:type="pct"/>
                  <w:shd w:val="clear" w:color="auto" w:fill="auto"/>
                  <w:vAlign w:val="center"/>
                </w:tcPr>
                <w:p w14:paraId="04280723">
                  <w:pPr>
                    <w:jc w:val="center"/>
                    <w:rPr>
                      <w:color w:val="auto"/>
                      <w:lang w:val="en-US" w:eastAsia="zh-CN"/>
                    </w:rPr>
                  </w:pPr>
                  <w:r>
                    <w:rPr>
                      <w:color w:val="auto"/>
                    </w:rPr>
                    <w:t>0.84</w:t>
                  </w:r>
                </w:p>
              </w:tc>
              <w:tc>
                <w:tcPr>
                  <w:tcW w:w="531" w:type="pct"/>
                  <w:vMerge w:val="continue"/>
                  <w:shd w:val="clear" w:color="auto" w:fill="auto"/>
                  <w:vAlign w:val="center"/>
                </w:tcPr>
                <w:p w14:paraId="0F10E89C">
                  <w:pPr>
                    <w:jc w:val="center"/>
                    <w:rPr>
                      <w:color w:val="auto"/>
                    </w:rPr>
                  </w:pPr>
                </w:p>
              </w:tc>
              <w:tc>
                <w:tcPr>
                  <w:tcW w:w="338" w:type="pct"/>
                  <w:shd w:val="clear" w:color="auto" w:fill="auto"/>
                  <w:vAlign w:val="center"/>
                </w:tcPr>
                <w:p w14:paraId="5BF03BC0">
                  <w:pPr>
                    <w:jc w:val="center"/>
                    <w:rPr>
                      <w:color w:val="auto"/>
                      <w:lang w:val="en-US" w:eastAsia="zh-CN"/>
                    </w:rPr>
                  </w:pPr>
                  <w:r>
                    <w:rPr>
                      <w:color w:val="auto"/>
                    </w:rPr>
                    <w:t>/</w:t>
                  </w:r>
                </w:p>
              </w:tc>
              <w:tc>
                <w:tcPr>
                  <w:tcW w:w="527" w:type="pct"/>
                  <w:vMerge w:val="continue"/>
                  <w:shd w:val="clear" w:color="auto" w:fill="auto"/>
                  <w:vAlign w:val="center"/>
                </w:tcPr>
                <w:p w14:paraId="0C64E79F">
                  <w:pPr>
                    <w:jc w:val="center"/>
                    <w:rPr>
                      <w:color w:val="auto"/>
                    </w:rPr>
                  </w:pPr>
                </w:p>
              </w:tc>
              <w:tc>
                <w:tcPr>
                  <w:tcW w:w="583" w:type="pct"/>
                  <w:gridSpan w:val="3"/>
                  <w:shd w:val="clear" w:color="auto" w:fill="auto"/>
                  <w:vAlign w:val="center"/>
                </w:tcPr>
                <w:p w14:paraId="40B76B7F">
                  <w:pPr>
                    <w:jc w:val="center"/>
                    <w:rPr>
                      <w:color w:val="auto"/>
                      <w:lang w:val="en-US" w:eastAsia="zh-CN"/>
                    </w:rPr>
                  </w:pPr>
                  <w:r>
                    <w:rPr>
                      <w:color w:val="auto"/>
                    </w:rPr>
                    <w:t>18</w:t>
                  </w:r>
                </w:p>
              </w:tc>
              <w:tc>
                <w:tcPr>
                  <w:tcW w:w="436" w:type="pct"/>
                  <w:shd w:val="clear" w:color="auto" w:fill="auto"/>
                  <w:vAlign w:val="center"/>
                </w:tcPr>
                <w:p w14:paraId="597A3C57">
                  <w:pPr>
                    <w:jc w:val="center"/>
                    <w:rPr>
                      <w:color w:val="auto"/>
                      <w:lang w:val="en-US" w:eastAsia="zh-CN"/>
                    </w:rPr>
                  </w:pPr>
                  <w:r>
                    <w:rPr>
                      <w:color w:val="auto"/>
                    </w:rPr>
                    <w:t>0.1</w:t>
                  </w:r>
                </w:p>
              </w:tc>
              <w:tc>
                <w:tcPr>
                  <w:tcW w:w="350" w:type="pct"/>
                  <w:shd w:val="clear" w:color="auto" w:fill="auto"/>
                  <w:vAlign w:val="center"/>
                </w:tcPr>
                <w:p w14:paraId="0CE78AAF">
                  <w:pPr>
                    <w:jc w:val="center"/>
                    <w:rPr>
                      <w:color w:val="auto"/>
                      <w:lang w:val="en-US" w:eastAsia="zh-CN"/>
                    </w:rPr>
                  </w:pPr>
                  <w:r>
                    <w:rPr>
                      <w:color w:val="auto"/>
                    </w:rPr>
                    <w:t>0.84</w:t>
                  </w:r>
                </w:p>
              </w:tc>
              <w:tc>
                <w:tcPr>
                  <w:tcW w:w="289" w:type="pct"/>
                  <w:vMerge w:val="continue"/>
                  <w:shd w:val="clear" w:color="auto" w:fill="auto"/>
                  <w:vAlign w:val="center"/>
                </w:tcPr>
                <w:p w14:paraId="5BE9C9B3">
                  <w:pPr>
                    <w:jc w:val="center"/>
                    <w:rPr>
                      <w:color w:val="auto"/>
                    </w:rPr>
                  </w:pPr>
                </w:p>
              </w:tc>
            </w:tr>
            <w:tr w14:paraId="231E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16F374F">
                  <w:pPr>
                    <w:jc w:val="center"/>
                    <w:rPr>
                      <w:color w:val="auto"/>
                    </w:rPr>
                  </w:pPr>
                </w:p>
              </w:tc>
              <w:tc>
                <w:tcPr>
                  <w:tcW w:w="337" w:type="pct"/>
                  <w:vMerge w:val="continue"/>
                  <w:shd w:val="clear" w:color="auto" w:fill="auto"/>
                  <w:vAlign w:val="center"/>
                </w:tcPr>
                <w:p w14:paraId="10CDB012">
                  <w:pPr>
                    <w:jc w:val="center"/>
                    <w:rPr>
                      <w:color w:val="auto"/>
                    </w:rPr>
                  </w:pPr>
                </w:p>
              </w:tc>
              <w:tc>
                <w:tcPr>
                  <w:tcW w:w="331" w:type="pct"/>
                  <w:vMerge w:val="continue"/>
                  <w:shd w:val="clear" w:color="auto" w:fill="auto"/>
                  <w:vAlign w:val="center"/>
                </w:tcPr>
                <w:p w14:paraId="2E1BAD5E">
                  <w:pPr>
                    <w:jc w:val="center"/>
                    <w:rPr>
                      <w:color w:val="auto"/>
                    </w:rPr>
                  </w:pPr>
                </w:p>
              </w:tc>
              <w:tc>
                <w:tcPr>
                  <w:tcW w:w="371" w:type="pct"/>
                  <w:shd w:val="clear" w:color="auto" w:fill="auto"/>
                  <w:vAlign w:val="center"/>
                </w:tcPr>
                <w:p w14:paraId="0105DA25">
                  <w:pPr>
                    <w:jc w:val="center"/>
                    <w:rPr>
                      <w:color w:val="auto"/>
                      <w:lang w:val="en-US" w:eastAsia="en-US"/>
                    </w:rPr>
                  </w:pPr>
                  <w:r>
                    <w:rPr>
                      <w:color w:val="auto"/>
                    </w:rPr>
                    <w:t>氮氧化物</w:t>
                  </w:r>
                </w:p>
              </w:tc>
              <w:tc>
                <w:tcPr>
                  <w:tcW w:w="436" w:type="pct"/>
                  <w:shd w:val="clear" w:color="auto" w:fill="auto"/>
                  <w:vAlign w:val="center"/>
                </w:tcPr>
                <w:p w14:paraId="45B763C0">
                  <w:pPr>
                    <w:jc w:val="center"/>
                    <w:rPr>
                      <w:color w:val="auto"/>
                      <w:lang w:val="en-US" w:eastAsia="zh-CN"/>
                    </w:rPr>
                  </w:pPr>
                  <w:r>
                    <w:rPr>
                      <w:color w:val="auto"/>
                    </w:rPr>
                    <w:t>0.35</w:t>
                  </w:r>
                </w:p>
              </w:tc>
              <w:tc>
                <w:tcPr>
                  <w:tcW w:w="350" w:type="pct"/>
                  <w:shd w:val="clear" w:color="auto" w:fill="auto"/>
                  <w:vAlign w:val="center"/>
                </w:tcPr>
                <w:p w14:paraId="598D91DF">
                  <w:pPr>
                    <w:jc w:val="center"/>
                    <w:rPr>
                      <w:color w:val="auto"/>
                      <w:lang w:val="en-US" w:eastAsia="zh-CN"/>
                    </w:rPr>
                  </w:pPr>
                  <w:r>
                    <w:rPr>
                      <w:color w:val="auto"/>
                    </w:rPr>
                    <w:t>2.925</w:t>
                  </w:r>
                </w:p>
              </w:tc>
              <w:tc>
                <w:tcPr>
                  <w:tcW w:w="531" w:type="pct"/>
                  <w:vMerge w:val="continue"/>
                  <w:shd w:val="clear" w:color="auto" w:fill="auto"/>
                  <w:vAlign w:val="center"/>
                </w:tcPr>
                <w:p w14:paraId="31DB3351">
                  <w:pPr>
                    <w:jc w:val="center"/>
                    <w:rPr>
                      <w:color w:val="auto"/>
                    </w:rPr>
                  </w:pPr>
                </w:p>
              </w:tc>
              <w:tc>
                <w:tcPr>
                  <w:tcW w:w="338" w:type="pct"/>
                  <w:shd w:val="clear" w:color="auto" w:fill="auto"/>
                  <w:vAlign w:val="center"/>
                </w:tcPr>
                <w:p w14:paraId="3913E778">
                  <w:pPr>
                    <w:jc w:val="center"/>
                    <w:rPr>
                      <w:color w:val="auto"/>
                      <w:lang w:val="en-US" w:eastAsia="zh-CN"/>
                    </w:rPr>
                  </w:pPr>
                  <w:r>
                    <w:rPr>
                      <w:color w:val="auto"/>
                    </w:rPr>
                    <w:t>/</w:t>
                  </w:r>
                </w:p>
              </w:tc>
              <w:tc>
                <w:tcPr>
                  <w:tcW w:w="527" w:type="pct"/>
                  <w:vMerge w:val="continue"/>
                  <w:shd w:val="clear" w:color="auto" w:fill="auto"/>
                  <w:vAlign w:val="center"/>
                </w:tcPr>
                <w:p w14:paraId="2E8E33FC">
                  <w:pPr>
                    <w:jc w:val="center"/>
                    <w:rPr>
                      <w:color w:val="auto"/>
                    </w:rPr>
                  </w:pPr>
                </w:p>
              </w:tc>
              <w:tc>
                <w:tcPr>
                  <w:tcW w:w="583" w:type="pct"/>
                  <w:gridSpan w:val="3"/>
                  <w:shd w:val="clear" w:color="auto" w:fill="auto"/>
                  <w:vAlign w:val="center"/>
                </w:tcPr>
                <w:p w14:paraId="0E131931">
                  <w:pPr>
                    <w:jc w:val="center"/>
                    <w:rPr>
                      <w:color w:val="auto"/>
                      <w:lang w:val="en-US" w:eastAsia="zh-CN"/>
                    </w:rPr>
                  </w:pPr>
                  <w:r>
                    <w:rPr>
                      <w:color w:val="auto"/>
                    </w:rPr>
                    <w:t>65</w:t>
                  </w:r>
                </w:p>
              </w:tc>
              <w:tc>
                <w:tcPr>
                  <w:tcW w:w="436" w:type="pct"/>
                  <w:shd w:val="clear" w:color="auto" w:fill="auto"/>
                  <w:vAlign w:val="center"/>
                </w:tcPr>
                <w:p w14:paraId="15971FAB">
                  <w:pPr>
                    <w:jc w:val="center"/>
                    <w:rPr>
                      <w:color w:val="auto"/>
                      <w:lang w:val="en-US" w:eastAsia="zh-CN"/>
                    </w:rPr>
                  </w:pPr>
                  <w:r>
                    <w:rPr>
                      <w:color w:val="auto"/>
                    </w:rPr>
                    <w:t>0.35</w:t>
                  </w:r>
                </w:p>
              </w:tc>
              <w:tc>
                <w:tcPr>
                  <w:tcW w:w="350" w:type="pct"/>
                  <w:shd w:val="clear" w:color="auto" w:fill="auto"/>
                  <w:vAlign w:val="center"/>
                </w:tcPr>
                <w:p w14:paraId="184F4BBD">
                  <w:pPr>
                    <w:jc w:val="center"/>
                    <w:rPr>
                      <w:color w:val="auto"/>
                      <w:lang w:val="en-US" w:eastAsia="zh-CN"/>
                    </w:rPr>
                  </w:pPr>
                  <w:r>
                    <w:rPr>
                      <w:color w:val="auto"/>
                    </w:rPr>
                    <w:t>2.925</w:t>
                  </w:r>
                </w:p>
              </w:tc>
              <w:tc>
                <w:tcPr>
                  <w:tcW w:w="289" w:type="pct"/>
                  <w:vMerge w:val="continue"/>
                  <w:shd w:val="clear" w:color="auto" w:fill="auto"/>
                  <w:vAlign w:val="center"/>
                </w:tcPr>
                <w:p w14:paraId="2B742EF6">
                  <w:pPr>
                    <w:jc w:val="center"/>
                    <w:rPr>
                      <w:color w:val="auto"/>
                    </w:rPr>
                  </w:pPr>
                </w:p>
              </w:tc>
            </w:tr>
            <w:tr w14:paraId="6AC9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15F1F780">
                  <w:pPr>
                    <w:jc w:val="center"/>
                    <w:rPr>
                      <w:color w:val="auto"/>
                    </w:rPr>
                  </w:pPr>
                </w:p>
              </w:tc>
              <w:tc>
                <w:tcPr>
                  <w:tcW w:w="337" w:type="pct"/>
                  <w:vMerge w:val="restart"/>
                  <w:shd w:val="clear" w:color="auto" w:fill="auto"/>
                  <w:vAlign w:val="center"/>
                </w:tcPr>
                <w:p w14:paraId="46C22B25">
                  <w:pPr>
                    <w:jc w:val="center"/>
                    <w:rPr>
                      <w:color w:val="auto"/>
                      <w:lang w:val="en-US" w:eastAsia="en-US"/>
                    </w:rPr>
                  </w:pPr>
                  <w:r>
                    <w:rPr>
                      <w:color w:val="auto"/>
                    </w:rPr>
                    <w:t>热水锅炉燃气废气</w:t>
                  </w:r>
                </w:p>
              </w:tc>
              <w:tc>
                <w:tcPr>
                  <w:tcW w:w="331" w:type="pct"/>
                  <w:vMerge w:val="restart"/>
                  <w:shd w:val="clear" w:color="auto" w:fill="auto"/>
                  <w:vAlign w:val="center"/>
                </w:tcPr>
                <w:p w14:paraId="3C794EFE">
                  <w:pPr>
                    <w:jc w:val="center"/>
                    <w:rPr>
                      <w:color w:val="auto"/>
                      <w:lang w:val="en-US" w:eastAsia="en-US"/>
                    </w:rPr>
                  </w:pPr>
                  <w:r>
                    <w:rPr>
                      <w:color w:val="auto"/>
                    </w:rPr>
                    <w:t>DA014排气筒</w:t>
                  </w:r>
                </w:p>
              </w:tc>
              <w:tc>
                <w:tcPr>
                  <w:tcW w:w="371" w:type="pct"/>
                  <w:shd w:val="clear" w:color="auto" w:fill="auto"/>
                  <w:vAlign w:val="center"/>
                </w:tcPr>
                <w:p w14:paraId="3431B119">
                  <w:pPr>
                    <w:jc w:val="center"/>
                    <w:rPr>
                      <w:color w:val="auto"/>
                      <w:lang w:val="en-US" w:eastAsia="en-US"/>
                    </w:rPr>
                  </w:pPr>
                  <w:r>
                    <w:rPr>
                      <w:color w:val="auto"/>
                    </w:rPr>
                    <w:t>颗粒物</w:t>
                  </w:r>
                </w:p>
              </w:tc>
              <w:tc>
                <w:tcPr>
                  <w:tcW w:w="436" w:type="pct"/>
                  <w:shd w:val="clear" w:color="auto" w:fill="auto"/>
                  <w:vAlign w:val="center"/>
                </w:tcPr>
                <w:p w14:paraId="5924A2F1">
                  <w:pPr>
                    <w:jc w:val="center"/>
                    <w:rPr>
                      <w:color w:val="auto"/>
                      <w:lang w:val="en-US" w:eastAsia="zh-CN"/>
                    </w:rPr>
                  </w:pPr>
                  <w:r>
                    <w:rPr>
                      <w:color w:val="auto"/>
                    </w:rPr>
                    <w:t>0.07</w:t>
                  </w:r>
                </w:p>
              </w:tc>
              <w:tc>
                <w:tcPr>
                  <w:tcW w:w="350" w:type="pct"/>
                  <w:shd w:val="clear" w:color="auto" w:fill="auto"/>
                  <w:vAlign w:val="center"/>
                </w:tcPr>
                <w:p w14:paraId="04D157B8">
                  <w:pPr>
                    <w:jc w:val="center"/>
                    <w:rPr>
                      <w:color w:val="auto"/>
                      <w:lang w:val="en-US" w:eastAsia="zh-CN"/>
                    </w:rPr>
                  </w:pPr>
                  <w:r>
                    <w:rPr>
                      <w:color w:val="auto"/>
                    </w:rPr>
                    <w:t>0.59</w:t>
                  </w:r>
                </w:p>
              </w:tc>
              <w:tc>
                <w:tcPr>
                  <w:tcW w:w="531" w:type="pct"/>
                  <w:vMerge w:val="restart"/>
                  <w:shd w:val="clear" w:color="auto" w:fill="auto"/>
                  <w:vAlign w:val="center"/>
                </w:tcPr>
                <w:p w14:paraId="4F587D35">
                  <w:pPr>
                    <w:jc w:val="center"/>
                    <w:rPr>
                      <w:color w:val="auto"/>
                      <w:lang w:val="en-US" w:eastAsia="en-US"/>
                    </w:rPr>
                  </w:pPr>
                  <w:r>
                    <w:rPr>
                      <w:color w:val="auto"/>
                    </w:rPr>
                    <w:t>直接排放</w:t>
                  </w:r>
                </w:p>
              </w:tc>
              <w:tc>
                <w:tcPr>
                  <w:tcW w:w="338" w:type="pct"/>
                  <w:shd w:val="clear" w:color="auto" w:fill="auto"/>
                  <w:vAlign w:val="center"/>
                </w:tcPr>
                <w:p w14:paraId="40CFAE9F">
                  <w:pPr>
                    <w:jc w:val="center"/>
                    <w:rPr>
                      <w:color w:val="auto"/>
                      <w:lang w:val="en-US" w:eastAsia="zh-CN"/>
                    </w:rPr>
                  </w:pPr>
                  <w:r>
                    <w:rPr>
                      <w:color w:val="auto"/>
                    </w:rPr>
                    <w:t>/</w:t>
                  </w:r>
                </w:p>
              </w:tc>
              <w:tc>
                <w:tcPr>
                  <w:tcW w:w="527" w:type="pct"/>
                  <w:vMerge w:val="restart"/>
                  <w:shd w:val="clear" w:color="auto" w:fill="auto"/>
                  <w:vAlign w:val="center"/>
                </w:tcPr>
                <w:p w14:paraId="75F6D86C">
                  <w:pPr>
                    <w:jc w:val="center"/>
                    <w:rPr>
                      <w:color w:val="auto"/>
                      <w:lang w:val="en-US" w:eastAsia="zh-CN"/>
                    </w:rPr>
                  </w:pPr>
                  <w:r>
                    <w:rPr>
                      <w:color w:val="auto"/>
                    </w:rPr>
                    <w:t>5387.5</w:t>
                  </w:r>
                </w:p>
              </w:tc>
              <w:tc>
                <w:tcPr>
                  <w:tcW w:w="583" w:type="pct"/>
                  <w:gridSpan w:val="3"/>
                  <w:shd w:val="clear" w:color="auto" w:fill="auto"/>
                  <w:vAlign w:val="center"/>
                </w:tcPr>
                <w:p w14:paraId="5EAF19B6">
                  <w:pPr>
                    <w:jc w:val="center"/>
                    <w:rPr>
                      <w:color w:val="auto"/>
                      <w:lang w:val="en-US" w:eastAsia="zh-CN"/>
                    </w:rPr>
                  </w:pPr>
                  <w:r>
                    <w:rPr>
                      <w:color w:val="auto"/>
                    </w:rPr>
                    <w:t>13</w:t>
                  </w:r>
                </w:p>
              </w:tc>
              <w:tc>
                <w:tcPr>
                  <w:tcW w:w="436" w:type="pct"/>
                  <w:shd w:val="clear" w:color="auto" w:fill="auto"/>
                  <w:vAlign w:val="center"/>
                </w:tcPr>
                <w:p w14:paraId="0A9DE7C9">
                  <w:pPr>
                    <w:jc w:val="center"/>
                    <w:rPr>
                      <w:color w:val="auto"/>
                      <w:lang w:val="en-US" w:eastAsia="zh-CN"/>
                    </w:rPr>
                  </w:pPr>
                  <w:r>
                    <w:rPr>
                      <w:color w:val="auto"/>
                    </w:rPr>
                    <w:t>0.07</w:t>
                  </w:r>
                </w:p>
              </w:tc>
              <w:tc>
                <w:tcPr>
                  <w:tcW w:w="350" w:type="pct"/>
                  <w:shd w:val="clear" w:color="auto" w:fill="auto"/>
                  <w:vAlign w:val="center"/>
                </w:tcPr>
                <w:p w14:paraId="6217C88D">
                  <w:pPr>
                    <w:jc w:val="center"/>
                    <w:rPr>
                      <w:color w:val="auto"/>
                      <w:lang w:val="en-US" w:eastAsia="zh-CN"/>
                    </w:rPr>
                  </w:pPr>
                  <w:r>
                    <w:rPr>
                      <w:color w:val="auto"/>
                    </w:rPr>
                    <w:t>0.59</w:t>
                  </w:r>
                </w:p>
              </w:tc>
              <w:tc>
                <w:tcPr>
                  <w:tcW w:w="289" w:type="pct"/>
                  <w:vMerge w:val="restart"/>
                  <w:shd w:val="clear" w:color="auto" w:fill="auto"/>
                  <w:vAlign w:val="center"/>
                </w:tcPr>
                <w:p w14:paraId="259B3930">
                  <w:pPr>
                    <w:jc w:val="center"/>
                    <w:rPr>
                      <w:rFonts w:hint="default" w:eastAsia="宋体"/>
                      <w:color w:val="auto"/>
                      <w:lang w:val="en-US" w:eastAsia="zh-CN"/>
                    </w:rPr>
                  </w:pPr>
                  <w:r>
                    <w:rPr>
                      <w:rFonts w:hint="eastAsia"/>
                      <w:color w:val="auto"/>
                      <w:lang w:val="en-US" w:eastAsia="zh-CN"/>
                    </w:rPr>
                    <w:t>8400</w:t>
                  </w:r>
                </w:p>
              </w:tc>
            </w:tr>
            <w:tr w14:paraId="7BE6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7A620B6D">
                  <w:pPr>
                    <w:jc w:val="center"/>
                    <w:rPr>
                      <w:color w:val="auto"/>
                    </w:rPr>
                  </w:pPr>
                </w:p>
              </w:tc>
              <w:tc>
                <w:tcPr>
                  <w:tcW w:w="337" w:type="pct"/>
                  <w:vMerge w:val="continue"/>
                  <w:shd w:val="clear" w:color="auto" w:fill="auto"/>
                  <w:vAlign w:val="center"/>
                </w:tcPr>
                <w:p w14:paraId="59165F12">
                  <w:pPr>
                    <w:jc w:val="center"/>
                    <w:rPr>
                      <w:color w:val="auto"/>
                    </w:rPr>
                  </w:pPr>
                </w:p>
              </w:tc>
              <w:tc>
                <w:tcPr>
                  <w:tcW w:w="331" w:type="pct"/>
                  <w:vMerge w:val="continue"/>
                  <w:shd w:val="clear" w:color="auto" w:fill="auto"/>
                  <w:vAlign w:val="center"/>
                </w:tcPr>
                <w:p w14:paraId="7ED04D17">
                  <w:pPr>
                    <w:jc w:val="center"/>
                    <w:rPr>
                      <w:color w:val="auto"/>
                    </w:rPr>
                  </w:pPr>
                </w:p>
              </w:tc>
              <w:tc>
                <w:tcPr>
                  <w:tcW w:w="371" w:type="pct"/>
                  <w:shd w:val="clear" w:color="auto" w:fill="auto"/>
                  <w:vAlign w:val="center"/>
                </w:tcPr>
                <w:p w14:paraId="6C26DF90">
                  <w:pPr>
                    <w:jc w:val="center"/>
                    <w:rPr>
                      <w:color w:val="auto"/>
                      <w:lang w:val="en-US" w:eastAsia="en-US"/>
                    </w:rPr>
                  </w:pPr>
                  <w:r>
                    <w:rPr>
                      <w:color w:val="auto"/>
                    </w:rPr>
                    <w:t>二氧化硫</w:t>
                  </w:r>
                </w:p>
              </w:tc>
              <w:tc>
                <w:tcPr>
                  <w:tcW w:w="436" w:type="pct"/>
                  <w:shd w:val="clear" w:color="auto" w:fill="auto"/>
                  <w:vAlign w:val="center"/>
                </w:tcPr>
                <w:p w14:paraId="53D2ABDD">
                  <w:pPr>
                    <w:jc w:val="center"/>
                    <w:rPr>
                      <w:color w:val="auto"/>
                      <w:lang w:val="en-US" w:eastAsia="zh-CN"/>
                    </w:rPr>
                  </w:pPr>
                  <w:r>
                    <w:rPr>
                      <w:color w:val="auto"/>
                    </w:rPr>
                    <w:t>0.1</w:t>
                  </w:r>
                </w:p>
              </w:tc>
              <w:tc>
                <w:tcPr>
                  <w:tcW w:w="350" w:type="pct"/>
                  <w:shd w:val="clear" w:color="auto" w:fill="auto"/>
                  <w:vAlign w:val="center"/>
                </w:tcPr>
                <w:p w14:paraId="060C5F45">
                  <w:pPr>
                    <w:jc w:val="center"/>
                    <w:rPr>
                      <w:color w:val="auto"/>
                      <w:lang w:val="en-US" w:eastAsia="zh-CN"/>
                    </w:rPr>
                  </w:pPr>
                  <w:r>
                    <w:rPr>
                      <w:color w:val="auto"/>
                    </w:rPr>
                    <w:t>0.84</w:t>
                  </w:r>
                </w:p>
              </w:tc>
              <w:tc>
                <w:tcPr>
                  <w:tcW w:w="531" w:type="pct"/>
                  <w:vMerge w:val="continue"/>
                  <w:shd w:val="clear" w:color="auto" w:fill="auto"/>
                  <w:vAlign w:val="center"/>
                </w:tcPr>
                <w:p w14:paraId="0451A6A2">
                  <w:pPr>
                    <w:jc w:val="center"/>
                    <w:rPr>
                      <w:color w:val="auto"/>
                    </w:rPr>
                  </w:pPr>
                </w:p>
              </w:tc>
              <w:tc>
                <w:tcPr>
                  <w:tcW w:w="338" w:type="pct"/>
                  <w:shd w:val="clear" w:color="auto" w:fill="auto"/>
                  <w:vAlign w:val="center"/>
                </w:tcPr>
                <w:p w14:paraId="2534CF6F">
                  <w:pPr>
                    <w:jc w:val="center"/>
                    <w:rPr>
                      <w:color w:val="auto"/>
                      <w:lang w:val="en-US" w:eastAsia="zh-CN"/>
                    </w:rPr>
                  </w:pPr>
                  <w:r>
                    <w:rPr>
                      <w:color w:val="auto"/>
                    </w:rPr>
                    <w:t>/</w:t>
                  </w:r>
                </w:p>
              </w:tc>
              <w:tc>
                <w:tcPr>
                  <w:tcW w:w="527" w:type="pct"/>
                  <w:vMerge w:val="continue"/>
                  <w:shd w:val="clear" w:color="auto" w:fill="auto"/>
                  <w:vAlign w:val="center"/>
                </w:tcPr>
                <w:p w14:paraId="7B136EBA">
                  <w:pPr>
                    <w:jc w:val="center"/>
                    <w:rPr>
                      <w:color w:val="auto"/>
                    </w:rPr>
                  </w:pPr>
                </w:p>
              </w:tc>
              <w:tc>
                <w:tcPr>
                  <w:tcW w:w="583" w:type="pct"/>
                  <w:gridSpan w:val="3"/>
                  <w:shd w:val="clear" w:color="auto" w:fill="auto"/>
                  <w:vAlign w:val="center"/>
                </w:tcPr>
                <w:p w14:paraId="1FAA4A25">
                  <w:pPr>
                    <w:jc w:val="center"/>
                    <w:rPr>
                      <w:color w:val="auto"/>
                      <w:lang w:val="en-US" w:eastAsia="zh-CN"/>
                    </w:rPr>
                  </w:pPr>
                  <w:r>
                    <w:rPr>
                      <w:color w:val="auto"/>
                    </w:rPr>
                    <w:t>18</w:t>
                  </w:r>
                </w:p>
              </w:tc>
              <w:tc>
                <w:tcPr>
                  <w:tcW w:w="436" w:type="pct"/>
                  <w:shd w:val="clear" w:color="auto" w:fill="auto"/>
                  <w:vAlign w:val="center"/>
                </w:tcPr>
                <w:p w14:paraId="3B25D5E8">
                  <w:pPr>
                    <w:jc w:val="center"/>
                    <w:rPr>
                      <w:color w:val="auto"/>
                      <w:lang w:val="en-US" w:eastAsia="zh-CN"/>
                    </w:rPr>
                  </w:pPr>
                  <w:r>
                    <w:rPr>
                      <w:color w:val="auto"/>
                    </w:rPr>
                    <w:t>0.1</w:t>
                  </w:r>
                </w:p>
              </w:tc>
              <w:tc>
                <w:tcPr>
                  <w:tcW w:w="350" w:type="pct"/>
                  <w:shd w:val="clear" w:color="auto" w:fill="auto"/>
                  <w:vAlign w:val="center"/>
                </w:tcPr>
                <w:p w14:paraId="744952C6">
                  <w:pPr>
                    <w:jc w:val="center"/>
                    <w:rPr>
                      <w:color w:val="auto"/>
                      <w:lang w:val="en-US" w:eastAsia="zh-CN"/>
                    </w:rPr>
                  </w:pPr>
                  <w:r>
                    <w:rPr>
                      <w:color w:val="auto"/>
                    </w:rPr>
                    <w:t>0.84</w:t>
                  </w:r>
                </w:p>
              </w:tc>
              <w:tc>
                <w:tcPr>
                  <w:tcW w:w="289" w:type="pct"/>
                  <w:vMerge w:val="continue"/>
                  <w:shd w:val="clear" w:color="auto" w:fill="auto"/>
                  <w:vAlign w:val="center"/>
                </w:tcPr>
                <w:p w14:paraId="184CDF68">
                  <w:pPr>
                    <w:jc w:val="center"/>
                    <w:rPr>
                      <w:color w:val="auto"/>
                    </w:rPr>
                  </w:pPr>
                </w:p>
              </w:tc>
            </w:tr>
            <w:tr w14:paraId="2BED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7A5DBB09">
                  <w:pPr>
                    <w:jc w:val="center"/>
                    <w:rPr>
                      <w:color w:val="auto"/>
                    </w:rPr>
                  </w:pPr>
                </w:p>
              </w:tc>
              <w:tc>
                <w:tcPr>
                  <w:tcW w:w="337" w:type="pct"/>
                  <w:vMerge w:val="continue"/>
                  <w:shd w:val="clear" w:color="auto" w:fill="auto"/>
                  <w:vAlign w:val="center"/>
                </w:tcPr>
                <w:p w14:paraId="3EFBF9BF">
                  <w:pPr>
                    <w:jc w:val="center"/>
                    <w:rPr>
                      <w:color w:val="auto"/>
                    </w:rPr>
                  </w:pPr>
                </w:p>
              </w:tc>
              <w:tc>
                <w:tcPr>
                  <w:tcW w:w="331" w:type="pct"/>
                  <w:vMerge w:val="continue"/>
                  <w:shd w:val="clear" w:color="auto" w:fill="auto"/>
                  <w:vAlign w:val="center"/>
                </w:tcPr>
                <w:p w14:paraId="239D5DA7">
                  <w:pPr>
                    <w:jc w:val="center"/>
                    <w:rPr>
                      <w:color w:val="auto"/>
                    </w:rPr>
                  </w:pPr>
                </w:p>
              </w:tc>
              <w:tc>
                <w:tcPr>
                  <w:tcW w:w="371" w:type="pct"/>
                  <w:shd w:val="clear" w:color="auto" w:fill="auto"/>
                  <w:vAlign w:val="center"/>
                </w:tcPr>
                <w:p w14:paraId="11E96C48">
                  <w:pPr>
                    <w:jc w:val="center"/>
                    <w:rPr>
                      <w:color w:val="auto"/>
                      <w:lang w:val="en-US" w:eastAsia="en-US"/>
                    </w:rPr>
                  </w:pPr>
                  <w:r>
                    <w:rPr>
                      <w:color w:val="auto"/>
                    </w:rPr>
                    <w:t>氮氧化物</w:t>
                  </w:r>
                </w:p>
              </w:tc>
              <w:tc>
                <w:tcPr>
                  <w:tcW w:w="436" w:type="pct"/>
                  <w:shd w:val="clear" w:color="auto" w:fill="auto"/>
                  <w:vAlign w:val="center"/>
                </w:tcPr>
                <w:p w14:paraId="4E90F491">
                  <w:pPr>
                    <w:jc w:val="center"/>
                    <w:rPr>
                      <w:color w:val="auto"/>
                      <w:lang w:val="en-US" w:eastAsia="zh-CN"/>
                    </w:rPr>
                  </w:pPr>
                  <w:r>
                    <w:rPr>
                      <w:color w:val="auto"/>
                    </w:rPr>
                    <w:t>0.35</w:t>
                  </w:r>
                </w:p>
              </w:tc>
              <w:tc>
                <w:tcPr>
                  <w:tcW w:w="350" w:type="pct"/>
                  <w:shd w:val="clear" w:color="auto" w:fill="auto"/>
                  <w:vAlign w:val="center"/>
                </w:tcPr>
                <w:p w14:paraId="22312B2E">
                  <w:pPr>
                    <w:jc w:val="center"/>
                    <w:rPr>
                      <w:color w:val="auto"/>
                      <w:lang w:val="en-US" w:eastAsia="zh-CN"/>
                    </w:rPr>
                  </w:pPr>
                  <w:r>
                    <w:rPr>
                      <w:color w:val="auto"/>
                    </w:rPr>
                    <w:t>2.925</w:t>
                  </w:r>
                </w:p>
              </w:tc>
              <w:tc>
                <w:tcPr>
                  <w:tcW w:w="531" w:type="pct"/>
                  <w:vMerge w:val="continue"/>
                  <w:shd w:val="clear" w:color="auto" w:fill="auto"/>
                  <w:vAlign w:val="center"/>
                </w:tcPr>
                <w:p w14:paraId="0E84F841">
                  <w:pPr>
                    <w:jc w:val="center"/>
                    <w:rPr>
                      <w:color w:val="auto"/>
                    </w:rPr>
                  </w:pPr>
                </w:p>
              </w:tc>
              <w:tc>
                <w:tcPr>
                  <w:tcW w:w="338" w:type="pct"/>
                  <w:shd w:val="clear" w:color="auto" w:fill="auto"/>
                  <w:vAlign w:val="center"/>
                </w:tcPr>
                <w:p w14:paraId="17D742F6">
                  <w:pPr>
                    <w:jc w:val="center"/>
                    <w:rPr>
                      <w:color w:val="auto"/>
                      <w:lang w:val="en-US" w:eastAsia="zh-CN"/>
                    </w:rPr>
                  </w:pPr>
                  <w:r>
                    <w:rPr>
                      <w:color w:val="auto"/>
                    </w:rPr>
                    <w:t>/</w:t>
                  </w:r>
                </w:p>
              </w:tc>
              <w:tc>
                <w:tcPr>
                  <w:tcW w:w="527" w:type="pct"/>
                  <w:vMerge w:val="continue"/>
                  <w:shd w:val="clear" w:color="auto" w:fill="auto"/>
                  <w:vAlign w:val="center"/>
                </w:tcPr>
                <w:p w14:paraId="37B00DBE">
                  <w:pPr>
                    <w:jc w:val="center"/>
                    <w:rPr>
                      <w:color w:val="auto"/>
                    </w:rPr>
                  </w:pPr>
                </w:p>
              </w:tc>
              <w:tc>
                <w:tcPr>
                  <w:tcW w:w="583" w:type="pct"/>
                  <w:gridSpan w:val="3"/>
                  <w:shd w:val="clear" w:color="auto" w:fill="auto"/>
                  <w:vAlign w:val="center"/>
                </w:tcPr>
                <w:p w14:paraId="00590AF0">
                  <w:pPr>
                    <w:jc w:val="center"/>
                    <w:rPr>
                      <w:color w:val="auto"/>
                      <w:lang w:val="en-US" w:eastAsia="zh-CN"/>
                    </w:rPr>
                  </w:pPr>
                  <w:r>
                    <w:rPr>
                      <w:color w:val="auto"/>
                    </w:rPr>
                    <w:t>65</w:t>
                  </w:r>
                </w:p>
              </w:tc>
              <w:tc>
                <w:tcPr>
                  <w:tcW w:w="436" w:type="pct"/>
                  <w:shd w:val="clear" w:color="auto" w:fill="auto"/>
                  <w:vAlign w:val="center"/>
                </w:tcPr>
                <w:p w14:paraId="338C037C">
                  <w:pPr>
                    <w:jc w:val="center"/>
                    <w:rPr>
                      <w:color w:val="auto"/>
                      <w:lang w:val="en-US" w:eastAsia="zh-CN"/>
                    </w:rPr>
                  </w:pPr>
                  <w:r>
                    <w:rPr>
                      <w:color w:val="auto"/>
                    </w:rPr>
                    <w:t>0.35</w:t>
                  </w:r>
                </w:p>
              </w:tc>
              <w:tc>
                <w:tcPr>
                  <w:tcW w:w="350" w:type="pct"/>
                  <w:shd w:val="clear" w:color="auto" w:fill="auto"/>
                  <w:vAlign w:val="center"/>
                </w:tcPr>
                <w:p w14:paraId="63A85AE9">
                  <w:pPr>
                    <w:jc w:val="center"/>
                    <w:rPr>
                      <w:color w:val="auto"/>
                      <w:lang w:val="en-US" w:eastAsia="zh-CN"/>
                    </w:rPr>
                  </w:pPr>
                  <w:r>
                    <w:rPr>
                      <w:color w:val="auto"/>
                    </w:rPr>
                    <w:t>2.925</w:t>
                  </w:r>
                </w:p>
              </w:tc>
              <w:tc>
                <w:tcPr>
                  <w:tcW w:w="289" w:type="pct"/>
                  <w:vMerge w:val="continue"/>
                  <w:shd w:val="clear" w:color="auto" w:fill="auto"/>
                  <w:vAlign w:val="center"/>
                </w:tcPr>
                <w:p w14:paraId="3CCF9F49">
                  <w:pPr>
                    <w:jc w:val="center"/>
                    <w:rPr>
                      <w:color w:val="auto"/>
                    </w:rPr>
                  </w:pPr>
                </w:p>
              </w:tc>
            </w:tr>
            <w:tr w14:paraId="67C2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150C0958">
                  <w:pPr>
                    <w:jc w:val="center"/>
                    <w:rPr>
                      <w:color w:val="auto"/>
                    </w:rPr>
                  </w:pPr>
                </w:p>
              </w:tc>
              <w:tc>
                <w:tcPr>
                  <w:tcW w:w="337" w:type="pct"/>
                  <w:vMerge w:val="restart"/>
                  <w:shd w:val="clear" w:color="auto" w:fill="auto"/>
                  <w:vAlign w:val="center"/>
                </w:tcPr>
                <w:p w14:paraId="7F35D5AA">
                  <w:pPr>
                    <w:jc w:val="center"/>
                    <w:rPr>
                      <w:color w:val="auto"/>
                      <w:lang w:val="en-US" w:eastAsia="en-US"/>
                    </w:rPr>
                  </w:pPr>
                  <w:r>
                    <w:rPr>
                      <w:color w:val="auto"/>
                    </w:rPr>
                    <w:t>蒸汽锅炉燃气废气</w:t>
                  </w:r>
                </w:p>
              </w:tc>
              <w:tc>
                <w:tcPr>
                  <w:tcW w:w="331" w:type="pct"/>
                  <w:vMerge w:val="restart"/>
                  <w:shd w:val="clear" w:color="auto" w:fill="auto"/>
                  <w:vAlign w:val="center"/>
                </w:tcPr>
                <w:p w14:paraId="35375FB8">
                  <w:pPr>
                    <w:jc w:val="center"/>
                    <w:rPr>
                      <w:color w:val="auto"/>
                      <w:lang w:val="en-US" w:eastAsia="en-US"/>
                    </w:rPr>
                  </w:pPr>
                  <w:r>
                    <w:rPr>
                      <w:color w:val="auto"/>
                    </w:rPr>
                    <w:t>DA015排气筒</w:t>
                  </w:r>
                </w:p>
              </w:tc>
              <w:tc>
                <w:tcPr>
                  <w:tcW w:w="371" w:type="pct"/>
                  <w:shd w:val="clear" w:color="auto" w:fill="auto"/>
                  <w:vAlign w:val="center"/>
                </w:tcPr>
                <w:p w14:paraId="395C1E6F">
                  <w:pPr>
                    <w:jc w:val="center"/>
                    <w:rPr>
                      <w:color w:val="auto"/>
                      <w:lang w:val="en-US" w:eastAsia="en-US"/>
                    </w:rPr>
                  </w:pPr>
                  <w:r>
                    <w:rPr>
                      <w:color w:val="auto"/>
                    </w:rPr>
                    <w:t>颗粒物</w:t>
                  </w:r>
                </w:p>
              </w:tc>
              <w:tc>
                <w:tcPr>
                  <w:tcW w:w="436" w:type="pct"/>
                  <w:shd w:val="clear" w:color="auto" w:fill="auto"/>
                  <w:vAlign w:val="center"/>
                </w:tcPr>
                <w:p w14:paraId="16A081DB">
                  <w:pPr>
                    <w:jc w:val="center"/>
                    <w:rPr>
                      <w:color w:val="auto"/>
                      <w:lang w:val="en-US" w:eastAsia="zh-CN"/>
                    </w:rPr>
                  </w:pPr>
                  <w:r>
                    <w:rPr>
                      <w:color w:val="auto"/>
                    </w:rPr>
                    <w:t>0.03</w:t>
                  </w:r>
                </w:p>
              </w:tc>
              <w:tc>
                <w:tcPr>
                  <w:tcW w:w="350" w:type="pct"/>
                  <w:shd w:val="clear" w:color="auto" w:fill="auto"/>
                  <w:vAlign w:val="center"/>
                </w:tcPr>
                <w:p w14:paraId="38E20BA0">
                  <w:pPr>
                    <w:jc w:val="center"/>
                    <w:rPr>
                      <w:color w:val="auto"/>
                      <w:lang w:val="en-US" w:eastAsia="zh-CN"/>
                    </w:rPr>
                  </w:pPr>
                  <w:r>
                    <w:rPr>
                      <w:color w:val="auto"/>
                    </w:rPr>
                    <w:t>0.16</w:t>
                  </w:r>
                </w:p>
              </w:tc>
              <w:tc>
                <w:tcPr>
                  <w:tcW w:w="531" w:type="pct"/>
                  <w:vMerge w:val="restart"/>
                  <w:shd w:val="clear" w:color="auto" w:fill="auto"/>
                  <w:vAlign w:val="center"/>
                </w:tcPr>
                <w:p w14:paraId="42F33C69">
                  <w:pPr>
                    <w:jc w:val="center"/>
                    <w:rPr>
                      <w:color w:val="auto"/>
                      <w:lang w:val="en-US" w:eastAsia="en-US"/>
                    </w:rPr>
                  </w:pPr>
                  <w:r>
                    <w:rPr>
                      <w:color w:val="auto"/>
                    </w:rPr>
                    <w:t>直接排放</w:t>
                  </w:r>
                </w:p>
              </w:tc>
              <w:tc>
                <w:tcPr>
                  <w:tcW w:w="338" w:type="pct"/>
                  <w:shd w:val="clear" w:color="auto" w:fill="auto"/>
                  <w:vAlign w:val="center"/>
                </w:tcPr>
                <w:p w14:paraId="1075B1CB">
                  <w:pPr>
                    <w:jc w:val="center"/>
                    <w:rPr>
                      <w:color w:val="auto"/>
                      <w:lang w:val="en-US" w:eastAsia="zh-CN"/>
                    </w:rPr>
                  </w:pPr>
                  <w:r>
                    <w:rPr>
                      <w:color w:val="auto"/>
                    </w:rPr>
                    <w:t>/</w:t>
                  </w:r>
                </w:p>
              </w:tc>
              <w:tc>
                <w:tcPr>
                  <w:tcW w:w="527" w:type="pct"/>
                  <w:vMerge w:val="restart"/>
                  <w:shd w:val="clear" w:color="auto" w:fill="auto"/>
                  <w:vAlign w:val="center"/>
                </w:tcPr>
                <w:p w14:paraId="4A3BFD3B">
                  <w:pPr>
                    <w:jc w:val="center"/>
                    <w:rPr>
                      <w:color w:val="auto"/>
                      <w:lang w:val="en-US" w:eastAsia="zh-CN"/>
                    </w:rPr>
                  </w:pPr>
                  <w:r>
                    <w:rPr>
                      <w:color w:val="auto"/>
                    </w:rPr>
                    <w:t>2232</w:t>
                  </w:r>
                </w:p>
              </w:tc>
              <w:tc>
                <w:tcPr>
                  <w:tcW w:w="583" w:type="pct"/>
                  <w:gridSpan w:val="3"/>
                  <w:shd w:val="clear" w:color="auto" w:fill="auto"/>
                  <w:vAlign w:val="center"/>
                </w:tcPr>
                <w:p w14:paraId="5478F33D">
                  <w:pPr>
                    <w:jc w:val="center"/>
                    <w:rPr>
                      <w:color w:val="auto"/>
                      <w:lang w:val="en-US" w:eastAsia="zh-CN"/>
                    </w:rPr>
                  </w:pPr>
                  <w:r>
                    <w:rPr>
                      <w:color w:val="auto"/>
                    </w:rPr>
                    <w:t>13</w:t>
                  </w:r>
                </w:p>
              </w:tc>
              <w:tc>
                <w:tcPr>
                  <w:tcW w:w="436" w:type="pct"/>
                  <w:shd w:val="clear" w:color="auto" w:fill="auto"/>
                  <w:vAlign w:val="center"/>
                </w:tcPr>
                <w:p w14:paraId="6ED9877F">
                  <w:pPr>
                    <w:jc w:val="center"/>
                    <w:rPr>
                      <w:color w:val="auto"/>
                      <w:lang w:val="en-US" w:eastAsia="zh-CN"/>
                    </w:rPr>
                  </w:pPr>
                  <w:r>
                    <w:rPr>
                      <w:color w:val="auto"/>
                    </w:rPr>
                    <w:t>0.03</w:t>
                  </w:r>
                </w:p>
              </w:tc>
              <w:tc>
                <w:tcPr>
                  <w:tcW w:w="350" w:type="pct"/>
                  <w:shd w:val="clear" w:color="auto" w:fill="auto"/>
                  <w:vAlign w:val="center"/>
                </w:tcPr>
                <w:p w14:paraId="5A2879F9">
                  <w:pPr>
                    <w:jc w:val="center"/>
                    <w:rPr>
                      <w:color w:val="auto"/>
                      <w:lang w:val="en-US" w:eastAsia="zh-CN"/>
                    </w:rPr>
                  </w:pPr>
                  <w:r>
                    <w:rPr>
                      <w:color w:val="auto"/>
                    </w:rPr>
                    <w:t>0.16</w:t>
                  </w:r>
                </w:p>
              </w:tc>
              <w:tc>
                <w:tcPr>
                  <w:tcW w:w="289" w:type="pct"/>
                  <w:vMerge w:val="restart"/>
                  <w:shd w:val="clear" w:color="auto" w:fill="auto"/>
                  <w:vAlign w:val="center"/>
                </w:tcPr>
                <w:p w14:paraId="73DB866A">
                  <w:pPr>
                    <w:jc w:val="center"/>
                    <w:rPr>
                      <w:rFonts w:hint="default" w:eastAsia="宋体"/>
                      <w:color w:val="auto"/>
                      <w:lang w:val="en-US" w:eastAsia="zh-CN"/>
                    </w:rPr>
                  </w:pPr>
                  <w:r>
                    <w:rPr>
                      <w:rFonts w:hint="eastAsia"/>
                      <w:color w:val="auto"/>
                      <w:lang w:val="en-US" w:eastAsia="zh-CN"/>
                    </w:rPr>
                    <w:t>5600</w:t>
                  </w:r>
                </w:p>
              </w:tc>
            </w:tr>
            <w:tr w14:paraId="0095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16" w:type="pct"/>
                  <w:vMerge w:val="continue"/>
                  <w:shd w:val="clear" w:color="auto" w:fill="auto"/>
                  <w:vAlign w:val="center"/>
                </w:tcPr>
                <w:p w14:paraId="6E9AE7DD">
                  <w:pPr>
                    <w:jc w:val="center"/>
                    <w:rPr>
                      <w:color w:val="auto"/>
                    </w:rPr>
                  </w:pPr>
                </w:p>
              </w:tc>
              <w:tc>
                <w:tcPr>
                  <w:tcW w:w="337" w:type="pct"/>
                  <w:vMerge w:val="continue"/>
                  <w:shd w:val="clear" w:color="auto" w:fill="auto"/>
                  <w:vAlign w:val="center"/>
                </w:tcPr>
                <w:p w14:paraId="6E915561">
                  <w:pPr>
                    <w:jc w:val="center"/>
                    <w:rPr>
                      <w:color w:val="auto"/>
                    </w:rPr>
                  </w:pPr>
                </w:p>
              </w:tc>
              <w:tc>
                <w:tcPr>
                  <w:tcW w:w="331" w:type="pct"/>
                  <w:vMerge w:val="continue"/>
                  <w:shd w:val="clear" w:color="auto" w:fill="auto"/>
                  <w:vAlign w:val="center"/>
                </w:tcPr>
                <w:p w14:paraId="227978CE">
                  <w:pPr>
                    <w:jc w:val="center"/>
                    <w:rPr>
                      <w:color w:val="auto"/>
                    </w:rPr>
                  </w:pPr>
                </w:p>
              </w:tc>
              <w:tc>
                <w:tcPr>
                  <w:tcW w:w="371" w:type="pct"/>
                  <w:shd w:val="clear" w:color="auto" w:fill="auto"/>
                  <w:vAlign w:val="center"/>
                </w:tcPr>
                <w:p w14:paraId="6E30CBE7">
                  <w:pPr>
                    <w:jc w:val="center"/>
                    <w:rPr>
                      <w:color w:val="auto"/>
                      <w:lang w:val="en-US" w:eastAsia="en-US"/>
                    </w:rPr>
                  </w:pPr>
                  <w:r>
                    <w:rPr>
                      <w:color w:val="auto"/>
                    </w:rPr>
                    <w:t>二氧化硫</w:t>
                  </w:r>
                </w:p>
              </w:tc>
              <w:tc>
                <w:tcPr>
                  <w:tcW w:w="436" w:type="pct"/>
                  <w:shd w:val="clear" w:color="auto" w:fill="auto"/>
                  <w:vAlign w:val="center"/>
                </w:tcPr>
                <w:p w14:paraId="51D3F208">
                  <w:pPr>
                    <w:jc w:val="center"/>
                    <w:rPr>
                      <w:color w:val="auto"/>
                      <w:lang w:val="en-US" w:eastAsia="zh-CN"/>
                    </w:rPr>
                  </w:pPr>
                  <w:r>
                    <w:rPr>
                      <w:color w:val="auto"/>
                    </w:rPr>
                    <w:t>0.04</w:t>
                  </w:r>
                </w:p>
              </w:tc>
              <w:tc>
                <w:tcPr>
                  <w:tcW w:w="350" w:type="pct"/>
                  <w:shd w:val="clear" w:color="auto" w:fill="auto"/>
                  <w:vAlign w:val="center"/>
                </w:tcPr>
                <w:p w14:paraId="72D6A84F">
                  <w:pPr>
                    <w:jc w:val="center"/>
                    <w:rPr>
                      <w:color w:val="auto"/>
                      <w:lang w:val="en-US" w:eastAsia="zh-CN"/>
                    </w:rPr>
                  </w:pPr>
                  <w:r>
                    <w:rPr>
                      <w:color w:val="auto"/>
                    </w:rPr>
                    <w:t>0.23</w:t>
                  </w:r>
                </w:p>
              </w:tc>
              <w:tc>
                <w:tcPr>
                  <w:tcW w:w="531" w:type="pct"/>
                  <w:vMerge w:val="continue"/>
                  <w:shd w:val="clear" w:color="auto" w:fill="auto"/>
                  <w:vAlign w:val="center"/>
                </w:tcPr>
                <w:p w14:paraId="63453182">
                  <w:pPr>
                    <w:jc w:val="center"/>
                    <w:rPr>
                      <w:color w:val="auto"/>
                    </w:rPr>
                  </w:pPr>
                </w:p>
              </w:tc>
              <w:tc>
                <w:tcPr>
                  <w:tcW w:w="338" w:type="pct"/>
                  <w:shd w:val="clear" w:color="auto" w:fill="auto"/>
                  <w:vAlign w:val="center"/>
                </w:tcPr>
                <w:p w14:paraId="41F034CA">
                  <w:pPr>
                    <w:jc w:val="center"/>
                    <w:rPr>
                      <w:color w:val="auto"/>
                      <w:lang w:val="en-US" w:eastAsia="zh-CN"/>
                    </w:rPr>
                  </w:pPr>
                  <w:r>
                    <w:rPr>
                      <w:color w:val="auto"/>
                    </w:rPr>
                    <w:t>/</w:t>
                  </w:r>
                </w:p>
              </w:tc>
              <w:tc>
                <w:tcPr>
                  <w:tcW w:w="527" w:type="pct"/>
                  <w:vMerge w:val="continue"/>
                  <w:shd w:val="clear" w:color="auto" w:fill="auto"/>
                  <w:vAlign w:val="center"/>
                </w:tcPr>
                <w:p w14:paraId="470068C4">
                  <w:pPr>
                    <w:jc w:val="center"/>
                    <w:rPr>
                      <w:color w:val="auto"/>
                    </w:rPr>
                  </w:pPr>
                </w:p>
              </w:tc>
              <w:tc>
                <w:tcPr>
                  <w:tcW w:w="583" w:type="pct"/>
                  <w:gridSpan w:val="3"/>
                  <w:shd w:val="clear" w:color="auto" w:fill="auto"/>
                  <w:vAlign w:val="center"/>
                </w:tcPr>
                <w:p w14:paraId="49B7A0A3">
                  <w:pPr>
                    <w:jc w:val="center"/>
                    <w:rPr>
                      <w:color w:val="auto"/>
                      <w:lang w:val="en-US" w:eastAsia="zh-CN"/>
                    </w:rPr>
                  </w:pPr>
                  <w:r>
                    <w:rPr>
                      <w:color w:val="auto"/>
                    </w:rPr>
                    <w:t>18</w:t>
                  </w:r>
                </w:p>
              </w:tc>
              <w:tc>
                <w:tcPr>
                  <w:tcW w:w="436" w:type="pct"/>
                  <w:shd w:val="clear" w:color="auto" w:fill="auto"/>
                  <w:vAlign w:val="center"/>
                </w:tcPr>
                <w:p w14:paraId="02FAF8C9">
                  <w:pPr>
                    <w:jc w:val="center"/>
                    <w:rPr>
                      <w:color w:val="auto"/>
                      <w:lang w:val="en-US" w:eastAsia="zh-CN"/>
                    </w:rPr>
                  </w:pPr>
                  <w:r>
                    <w:rPr>
                      <w:color w:val="auto"/>
                    </w:rPr>
                    <w:t>0.04</w:t>
                  </w:r>
                </w:p>
              </w:tc>
              <w:tc>
                <w:tcPr>
                  <w:tcW w:w="350" w:type="pct"/>
                  <w:shd w:val="clear" w:color="auto" w:fill="auto"/>
                  <w:vAlign w:val="center"/>
                </w:tcPr>
                <w:p w14:paraId="005B61F4">
                  <w:pPr>
                    <w:jc w:val="center"/>
                    <w:rPr>
                      <w:color w:val="auto"/>
                      <w:lang w:val="en-US" w:eastAsia="zh-CN"/>
                    </w:rPr>
                  </w:pPr>
                  <w:r>
                    <w:rPr>
                      <w:color w:val="auto"/>
                    </w:rPr>
                    <w:t>0.23</w:t>
                  </w:r>
                </w:p>
              </w:tc>
              <w:tc>
                <w:tcPr>
                  <w:tcW w:w="289" w:type="pct"/>
                  <w:vMerge w:val="continue"/>
                  <w:shd w:val="clear" w:color="auto" w:fill="auto"/>
                  <w:vAlign w:val="center"/>
                </w:tcPr>
                <w:p w14:paraId="442491BE">
                  <w:pPr>
                    <w:jc w:val="center"/>
                    <w:rPr>
                      <w:color w:val="auto"/>
                    </w:rPr>
                  </w:pPr>
                </w:p>
              </w:tc>
            </w:tr>
            <w:tr w14:paraId="543F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 w:type="pct"/>
                  <w:vMerge w:val="continue"/>
                  <w:shd w:val="clear" w:color="auto" w:fill="auto"/>
                  <w:vAlign w:val="center"/>
                </w:tcPr>
                <w:p w14:paraId="34EC7FC8">
                  <w:pPr>
                    <w:jc w:val="center"/>
                    <w:rPr>
                      <w:color w:val="auto"/>
                    </w:rPr>
                  </w:pPr>
                </w:p>
              </w:tc>
              <w:tc>
                <w:tcPr>
                  <w:tcW w:w="337" w:type="pct"/>
                  <w:vMerge w:val="continue"/>
                  <w:shd w:val="clear" w:color="auto" w:fill="auto"/>
                  <w:vAlign w:val="center"/>
                </w:tcPr>
                <w:p w14:paraId="0BAA6B2C">
                  <w:pPr>
                    <w:jc w:val="center"/>
                    <w:rPr>
                      <w:color w:val="auto"/>
                    </w:rPr>
                  </w:pPr>
                </w:p>
              </w:tc>
              <w:tc>
                <w:tcPr>
                  <w:tcW w:w="331" w:type="pct"/>
                  <w:vMerge w:val="continue"/>
                  <w:shd w:val="clear" w:color="auto" w:fill="auto"/>
                  <w:vAlign w:val="center"/>
                </w:tcPr>
                <w:p w14:paraId="2502440A">
                  <w:pPr>
                    <w:jc w:val="center"/>
                    <w:rPr>
                      <w:color w:val="auto"/>
                    </w:rPr>
                  </w:pPr>
                </w:p>
              </w:tc>
              <w:tc>
                <w:tcPr>
                  <w:tcW w:w="371" w:type="pct"/>
                  <w:shd w:val="clear" w:color="auto" w:fill="auto"/>
                  <w:vAlign w:val="center"/>
                </w:tcPr>
                <w:p w14:paraId="4DB7DDD0">
                  <w:pPr>
                    <w:jc w:val="center"/>
                    <w:rPr>
                      <w:color w:val="auto"/>
                      <w:lang w:val="en-US" w:eastAsia="en-US"/>
                    </w:rPr>
                  </w:pPr>
                  <w:r>
                    <w:rPr>
                      <w:color w:val="auto"/>
                    </w:rPr>
                    <w:t>氮氧化物</w:t>
                  </w:r>
                </w:p>
              </w:tc>
              <w:tc>
                <w:tcPr>
                  <w:tcW w:w="436" w:type="pct"/>
                  <w:shd w:val="clear" w:color="auto" w:fill="auto"/>
                  <w:vAlign w:val="center"/>
                </w:tcPr>
                <w:p w14:paraId="05A74DB8">
                  <w:pPr>
                    <w:jc w:val="center"/>
                    <w:rPr>
                      <w:color w:val="auto"/>
                      <w:lang w:val="en-US" w:eastAsia="zh-CN"/>
                    </w:rPr>
                  </w:pPr>
                  <w:r>
                    <w:rPr>
                      <w:color w:val="auto"/>
                    </w:rPr>
                    <w:t>0.14</w:t>
                  </w:r>
                </w:p>
              </w:tc>
              <w:tc>
                <w:tcPr>
                  <w:tcW w:w="350" w:type="pct"/>
                  <w:shd w:val="clear" w:color="auto" w:fill="auto"/>
                  <w:vAlign w:val="center"/>
                </w:tcPr>
                <w:p w14:paraId="1E4A20EC">
                  <w:pPr>
                    <w:jc w:val="center"/>
                    <w:rPr>
                      <w:color w:val="auto"/>
                      <w:lang w:val="en-US" w:eastAsia="zh-CN"/>
                    </w:rPr>
                  </w:pPr>
                  <w:r>
                    <w:rPr>
                      <w:color w:val="auto"/>
                    </w:rPr>
                    <w:t>0.81</w:t>
                  </w:r>
                </w:p>
              </w:tc>
              <w:tc>
                <w:tcPr>
                  <w:tcW w:w="531" w:type="pct"/>
                  <w:vMerge w:val="continue"/>
                  <w:shd w:val="clear" w:color="auto" w:fill="auto"/>
                  <w:vAlign w:val="center"/>
                </w:tcPr>
                <w:p w14:paraId="28DCE75B">
                  <w:pPr>
                    <w:jc w:val="center"/>
                    <w:rPr>
                      <w:color w:val="auto"/>
                    </w:rPr>
                  </w:pPr>
                </w:p>
              </w:tc>
              <w:tc>
                <w:tcPr>
                  <w:tcW w:w="338" w:type="pct"/>
                  <w:shd w:val="clear" w:color="auto" w:fill="auto"/>
                  <w:vAlign w:val="center"/>
                </w:tcPr>
                <w:p w14:paraId="4CEE7376">
                  <w:pPr>
                    <w:jc w:val="center"/>
                    <w:rPr>
                      <w:color w:val="auto"/>
                      <w:lang w:val="en-US" w:eastAsia="zh-CN"/>
                    </w:rPr>
                  </w:pPr>
                  <w:r>
                    <w:rPr>
                      <w:color w:val="auto"/>
                    </w:rPr>
                    <w:t>/</w:t>
                  </w:r>
                </w:p>
              </w:tc>
              <w:tc>
                <w:tcPr>
                  <w:tcW w:w="527" w:type="pct"/>
                  <w:vMerge w:val="continue"/>
                  <w:shd w:val="clear" w:color="auto" w:fill="auto"/>
                  <w:vAlign w:val="center"/>
                </w:tcPr>
                <w:p w14:paraId="5B6E6A05">
                  <w:pPr>
                    <w:jc w:val="center"/>
                    <w:rPr>
                      <w:color w:val="auto"/>
                    </w:rPr>
                  </w:pPr>
                </w:p>
              </w:tc>
              <w:tc>
                <w:tcPr>
                  <w:tcW w:w="583" w:type="pct"/>
                  <w:gridSpan w:val="3"/>
                  <w:shd w:val="clear" w:color="auto" w:fill="auto"/>
                  <w:vAlign w:val="center"/>
                </w:tcPr>
                <w:p w14:paraId="3EFC9D75">
                  <w:pPr>
                    <w:jc w:val="center"/>
                    <w:rPr>
                      <w:color w:val="auto"/>
                      <w:lang w:val="en-US" w:eastAsia="zh-CN"/>
                    </w:rPr>
                  </w:pPr>
                  <w:r>
                    <w:rPr>
                      <w:color w:val="auto"/>
                    </w:rPr>
                    <w:t>65</w:t>
                  </w:r>
                </w:p>
              </w:tc>
              <w:tc>
                <w:tcPr>
                  <w:tcW w:w="436" w:type="pct"/>
                  <w:shd w:val="clear" w:color="auto" w:fill="auto"/>
                  <w:vAlign w:val="center"/>
                </w:tcPr>
                <w:p w14:paraId="3DD37921">
                  <w:pPr>
                    <w:jc w:val="center"/>
                    <w:rPr>
                      <w:rFonts w:hint="default"/>
                      <w:color w:val="auto"/>
                      <w:lang w:val="en-US" w:eastAsia="zh-CN"/>
                    </w:rPr>
                  </w:pPr>
                  <w:r>
                    <w:rPr>
                      <w:color w:val="auto"/>
                    </w:rPr>
                    <w:t>0.</w:t>
                  </w:r>
                  <w:r>
                    <w:rPr>
                      <w:rFonts w:hint="eastAsia"/>
                      <w:color w:val="auto"/>
                      <w:lang w:val="en-US" w:eastAsia="zh-CN"/>
                    </w:rPr>
                    <w:t>14</w:t>
                  </w:r>
                </w:p>
              </w:tc>
              <w:tc>
                <w:tcPr>
                  <w:tcW w:w="350" w:type="pct"/>
                  <w:shd w:val="clear" w:color="auto" w:fill="auto"/>
                  <w:vAlign w:val="center"/>
                </w:tcPr>
                <w:p w14:paraId="45D4FEAD">
                  <w:pPr>
                    <w:jc w:val="center"/>
                    <w:rPr>
                      <w:rFonts w:hint="default" w:eastAsia="宋体"/>
                      <w:color w:val="auto"/>
                      <w:lang w:val="en-US" w:eastAsia="zh-CN"/>
                    </w:rPr>
                  </w:pPr>
                  <w:r>
                    <w:rPr>
                      <w:color w:val="auto"/>
                    </w:rPr>
                    <w:t>0.81</w:t>
                  </w:r>
                </w:p>
              </w:tc>
              <w:tc>
                <w:tcPr>
                  <w:tcW w:w="289" w:type="pct"/>
                  <w:vMerge w:val="continue"/>
                  <w:shd w:val="clear" w:color="auto" w:fill="auto"/>
                  <w:vAlign w:val="center"/>
                </w:tcPr>
                <w:p w14:paraId="3B357359">
                  <w:pPr>
                    <w:jc w:val="center"/>
                    <w:rPr>
                      <w:color w:val="auto"/>
                    </w:rPr>
                  </w:pPr>
                </w:p>
              </w:tc>
            </w:tr>
            <w:tr w14:paraId="6149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5000" w:type="pct"/>
                  <w:gridSpan w:val="15"/>
                  <w:shd w:val="clear" w:color="auto" w:fill="auto"/>
                  <w:vAlign w:val="center"/>
                </w:tcPr>
                <w:p w14:paraId="70AC1393">
                  <w:pPr>
                    <w:jc w:val="left"/>
                    <w:rPr>
                      <w:rFonts w:hint="default" w:eastAsia="宋体"/>
                      <w:color w:val="auto"/>
                      <w:lang w:val="en-US" w:eastAsia="zh-CN"/>
                    </w:rPr>
                  </w:pPr>
                  <w:r>
                    <w:rPr>
                      <w:rFonts w:hint="eastAsia"/>
                      <w:color w:val="auto"/>
                      <w:lang w:val="en-US" w:eastAsia="zh-CN"/>
                    </w:rPr>
                    <w:t>注：本项目（二期工程）不新增氮氧化物产生量。</w:t>
                  </w:r>
                </w:p>
              </w:tc>
            </w:tr>
          </w:tbl>
          <w:p w14:paraId="7C79D799">
            <w:pPr>
              <w:autoSpaceDE w:val="0"/>
              <w:autoSpaceDN w:val="0"/>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2）无组织废气</w:t>
            </w:r>
          </w:p>
          <w:p w14:paraId="619AC846">
            <w:pPr>
              <w:jc w:val="center"/>
              <w:rPr>
                <w:b/>
                <w:bCs/>
                <w:color w:val="auto"/>
                <w:sz w:val="24"/>
                <w:szCs w:val="24"/>
              </w:rPr>
            </w:pPr>
            <w:r>
              <w:rPr>
                <w:b/>
                <w:bCs/>
                <w:color w:val="auto"/>
                <w:sz w:val="24"/>
                <w:szCs w:val="24"/>
              </w:rPr>
              <w:t>表</w:t>
            </w:r>
            <w:r>
              <w:rPr>
                <w:rFonts w:hint="eastAsia"/>
                <w:b/>
                <w:bCs/>
                <w:color w:val="auto"/>
                <w:sz w:val="24"/>
                <w:szCs w:val="24"/>
                <w:lang w:val="en-US" w:eastAsia="zh-CN"/>
              </w:rPr>
              <w:t>2-17</w:t>
            </w:r>
            <w:r>
              <w:rPr>
                <w:b/>
                <w:bCs/>
                <w:color w:val="auto"/>
                <w:sz w:val="24"/>
                <w:szCs w:val="24"/>
              </w:rPr>
              <w:t>项目无组织废气及其污染物排放状况</w:t>
            </w:r>
          </w:p>
          <w:p w14:paraId="45B34CD1">
            <w:pPr>
              <w:spacing w:line="68" w:lineRule="exact"/>
              <w:rPr>
                <w:color w:val="auto"/>
              </w:rPr>
            </w:pPr>
          </w:p>
          <w:tbl>
            <w:tblPr>
              <w:tblStyle w:val="75"/>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8"/>
              <w:gridCol w:w="1632"/>
              <w:gridCol w:w="1165"/>
              <w:gridCol w:w="1446"/>
              <w:gridCol w:w="1451"/>
              <w:gridCol w:w="1511"/>
              <w:gridCol w:w="1031"/>
            </w:tblGrid>
            <w:tr w14:paraId="23B6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569" w:type="pct"/>
                  <w:shd w:val="clear" w:color="auto" w:fill="auto"/>
                  <w:vAlign w:val="center"/>
                </w:tcPr>
                <w:p w14:paraId="456D849C">
                  <w:pPr>
                    <w:jc w:val="center"/>
                    <w:rPr>
                      <w:color w:val="auto"/>
                    </w:rPr>
                  </w:pPr>
                  <w:r>
                    <w:rPr>
                      <w:color w:val="auto"/>
                    </w:rPr>
                    <w:t>污染源位置</w:t>
                  </w:r>
                </w:p>
              </w:tc>
              <w:tc>
                <w:tcPr>
                  <w:tcW w:w="877" w:type="pct"/>
                  <w:shd w:val="clear" w:color="auto" w:fill="auto"/>
                  <w:vAlign w:val="center"/>
                </w:tcPr>
                <w:p w14:paraId="1F63DED0">
                  <w:pPr>
                    <w:jc w:val="center"/>
                    <w:rPr>
                      <w:color w:val="auto"/>
                    </w:rPr>
                  </w:pPr>
                  <w:r>
                    <w:rPr>
                      <w:color w:val="auto"/>
                    </w:rPr>
                    <w:t>污染源</w:t>
                  </w:r>
                </w:p>
              </w:tc>
              <w:tc>
                <w:tcPr>
                  <w:tcW w:w="626" w:type="pct"/>
                  <w:shd w:val="clear" w:color="auto" w:fill="auto"/>
                  <w:vAlign w:val="center"/>
                </w:tcPr>
                <w:p w14:paraId="08C6E73A">
                  <w:pPr>
                    <w:jc w:val="center"/>
                    <w:rPr>
                      <w:color w:val="auto"/>
                    </w:rPr>
                  </w:pPr>
                  <w:r>
                    <w:rPr>
                      <w:color w:val="auto"/>
                    </w:rPr>
                    <w:t>污染物名称</w:t>
                  </w:r>
                </w:p>
              </w:tc>
              <w:tc>
                <w:tcPr>
                  <w:tcW w:w="777" w:type="pct"/>
                  <w:shd w:val="clear" w:color="auto" w:fill="auto"/>
                  <w:vAlign w:val="center"/>
                </w:tcPr>
                <w:p w14:paraId="3A448DDC">
                  <w:pPr>
                    <w:jc w:val="center"/>
                    <w:rPr>
                      <w:color w:val="auto"/>
                    </w:rPr>
                  </w:pPr>
                  <w:r>
                    <w:rPr>
                      <w:color w:val="auto"/>
                    </w:rPr>
                    <w:t>污染物排放量（t/a）</w:t>
                  </w:r>
                </w:p>
              </w:tc>
              <w:tc>
                <w:tcPr>
                  <w:tcW w:w="780" w:type="pct"/>
                  <w:shd w:val="clear" w:color="auto" w:fill="auto"/>
                  <w:vAlign w:val="center"/>
                </w:tcPr>
                <w:p w14:paraId="511C047D">
                  <w:pPr>
                    <w:jc w:val="center"/>
                    <w:rPr>
                      <w:color w:val="auto"/>
                    </w:rPr>
                  </w:pPr>
                  <w:r>
                    <w:rPr>
                      <w:color w:val="auto"/>
                    </w:rPr>
                    <w:t>污染物排放速率（kg/h）</w:t>
                  </w:r>
                </w:p>
              </w:tc>
              <w:tc>
                <w:tcPr>
                  <w:tcW w:w="812" w:type="pct"/>
                  <w:shd w:val="clear" w:color="auto" w:fill="auto"/>
                  <w:vAlign w:val="center"/>
                </w:tcPr>
                <w:p w14:paraId="2ADE217A">
                  <w:pPr>
                    <w:jc w:val="center"/>
                    <w:rPr>
                      <w:color w:val="auto"/>
                    </w:rPr>
                  </w:pPr>
                  <w:r>
                    <w:rPr>
                      <w:color w:val="auto"/>
                    </w:rPr>
                    <w:t>面源面积</w:t>
                  </w:r>
                </w:p>
              </w:tc>
              <w:tc>
                <w:tcPr>
                  <w:tcW w:w="554" w:type="pct"/>
                  <w:shd w:val="clear" w:color="auto" w:fill="auto"/>
                  <w:vAlign w:val="center"/>
                </w:tcPr>
                <w:p w14:paraId="14933BDB">
                  <w:pPr>
                    <w:jc w:val="center"/>
                    <w:rPr>
                      <w:color w:val="auto"/>
                    </w:rPr>
                  </w:pPr>
                  <w:r>
                    <w:rPr>
                      <w:color w:val="auto"/>
                    </w:rPr>
                    <w:t>面源高度</w:t>
                  </w:r>
                </w:p>
              </w:tc>
            </w:tr>
            <w:tr w14:paraId="4617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569" w:type="pct"/>
                  <w:vMerge w:val="restart"/>
                  <w:vAlign w:val="center"/>
                </w:tcPr>
                <w:p w14:paraId="4C576056">
                  <w:pPr>
                    <w:jc w:val="center"/>
                    <w:rPr>
                      <w:color w:val="auto"/>
                    </w:rPr>
                  </w:pPr>
                  <w:r>
                    <w:rPr>
                      <w:color w:val="auto"/>
                    </w:rPr>
                    <w:t>1#电镀车间</w:t>
                  </w:r>
                </w:p>
              </w:tc>
              <w:tc>
                <w:tcPr>
                  <w:tcW w:w="877" w:type="pct"/>
                  <w:vAlign w:val="center"/>
                </w:tcPr>
                <w:p w14:paraId="76909337">
                  <w:pPr>
                    <w:jc w:val="center"/>
                    <w:rPr>
                      <w:color w:val="auto"/>
                    </w:rPr>
                  </w:pPr>
                  <w:r>
                    <w:rPr>
                      <w:color w:val="auto"/>
                    </w:rPr>
                    <w:t>半自动滚镀锌/锌镍合金线</w:t>
                  </w:r>
                </w:p>
              </w:tc>
              <w:tc>
                <w:tcPr>
                  <w:tcW w:w="626" w:type="pct"/>
                  <w:vAlign w:val="center"/>
                </w:tcPr>
                <w:p w14:paraId="708C6792">
                  <w:pPr>
                    <w:jc w:val="center"/>
                    <w:rPr>
                      <w:color w:val="auto"/>
                    </w:rPr>
                  </w:pPr>
                  <w:r>
                    <w:rPr>
                      <w:color w:val="auto"/>
                    </w:rPr>
                    <w:t>氮氧化物</w:t>
                  </w:r>
                </w:p>
              </w:tc>
              <w:tc>
                <w:tcPr>
                  <w:tcW w:w="777" w:type="pct"/>
                  <w:vAlign w:val="center"/>
                </w:tcPr>
                <w:p w14:paraId="77351CA3">
                  <w:pPr>
                    <w:jc w:val="center"/>
                    <w:rPr>
                      <w:color w:val="auto"/>
                    </w:rPr>
                  </w:pPr>
                  <w:r>
                    <w:rPr>
                      <w:color w:val="auto"/>
                    </w:rPr>
                    <w:t>0.022</w:t>
                  </w:r>
                </w:p>
              </w:tc>
              <w:tc>
                <w:tcPr>
                  <w:tcW w:w="780" w:type="pct"/>
                  <w:vAlign w:val="center"/>
                </w:tcPr>
                <w:p w14:paraId="7EF387FA">
                  <w:pPr>
                    <w:jc w:val="center"/>
                    <w:rPr>
                      <w:color w:val="auto"/>
                    </w:rPr>
                  </w:pPr>
                  <w:r>
                    <w:rPr>
                      <w:color w:val="auto"/>
                    </w:rPr>
                    <w:t>0.003</w:t>
                  </w:r>
                </w:p>
              </w:tc>
              <w:tc>
                <w:tcPr>
                  <w:tcW w:w="812" w:type="pct"/>
                  <w:vMerge w:val="restart"/>
                  <w:vAlign w:val="center"/>
                </w:tcPr>
                <w:p w14:paraId="010DDDD2">
                  <w:pPr>
                    <w:jc w:val="center"/>
                    <w:rPr>
                      <w:color w:val="auto"/>
                    </w:rPr>
                  </w:pPr>
                  <w:r>
                    <w:rPr>
                      <w:color w:val="auto"/>
                    </w:rPr>
                    <w:t>85m×22m</w:t>
                  </w:r>
                </w:p>
              </w:tc>
              <w:tc>
                <w:tcPr>
                  <w:tcW w:w="554" w:type="pct"/>
                  <w:vMerge w:val="restart"/>
                  <w:vAlign w:val="center"/>
                </w:tcPr>
                <w:p w14:paraId="546ECF42">
                  <w:pPr>
                    <w:jc w:val="center"/>
                    <w:rPr>
                      <w:color w:val="auto"/>
                    </w:rPr>
                  </w:pPr>
                  <w:r>
                    <w:rPr>
                      <w:color w:val="auto"/>
                    </w:rPr>
                    <w:t>7.2m</w:t>
                  </w:r>
                </w:p>
              </w:tc>
            </w:tr>
            <w:tr w14:paraId="20D6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569" w:type="pct"/>
                  <w:vMerge w:val="continue"/>
                  <w:vAlign w:val="center"/>
                </w:tcPr>
                <w:p w14:paraId="28A7B188">
                  <w:pPr>
                    <w:jc w:val="center"/>
                    <w:rPr>
                      <w:color w:val="auto"/>
                    </w:rPr>
                  </w:pPr>
                </w:p>
              </w:tc>
              <w:tc>
                <w:tcPr>
                  <w:tcW w:w="877" w:type="pct"/>
                  <w:vAlign w:val="center"/>
                </w:tcPr>
                <w:p w14:paraId="574BB1ED">
                  <w:pPr>
                    <w:jc w:val="center"/>
                    <w:rPr>
                      <w:color w:val="auto"/>
                    </w:rPr>
                  </w:pPr>
                  <w:r>
                    <w:rPr>
                      <w:color w:val="auto"/>
                    </w:rPr>
                    <w:t>全自动挂镀锌线、半自动滚镀锌/锌镍合金线</w:t>
                  </w:r>
                </w:p>
              </w:tc>
              <w:tc>
                <w:tcPr>
                  <w:tcW w:w="626" w:type="pct"/>
                  <w:vAlign w:val="center"/>
                </w:tcPr>
                <w:p w14:paraId="6FA729F2">
                  <w:pPr>
                    <w:jc w:val="center"/>
                    <w:rPr>
                      <w:color w:val="auto"/>
                    </w:rPr>
                  </w:pPr>
                  <w:r>
                    <w:rPr>
                      <w:color w:val="auto"/>
                    </w:rPr>
                    <w:t>氯化氢</w:t>
                  </w:r>
                </w:p>
              </w:tc>
              <w:tc>
                <w:tcPr>
                  <w:tcW w:w="777" w:type="pct"/>
                  <w:vAlign w:val="center"/>
                </w:tcPr>
                <w:p w14:paraId="152AA45D">
                  <w:pPr>
                    <w:jc w:val="center"/>
                    <w:rPr>
                      <w:color w:val="auto"/>
                    </w:rPr>
                  </w:pPr>
                  <w:r>
                    <w:rPr>
                      <w:color w:val="auto"/>
                    </w:rPr>
                    <w:t>0.0026</w:t>
                  </w:r>
                </w:p>
              </w:tc>
              <w:tc>
                <w:tcPr>
                  <w:tcW w:w="780" w:type="pct"/>
                  <w:vAlign w:val="center"/>
                </w:tcPr>
                <w:p w14:paraId="6A3D9F38">
                  <w:pPr>
                    <w:jc w:val="center"/>
                    <w:rPr>
                      <w:color w:val="auto"/>
                    </w:rPr>
                  </w:pPr>
                  <w:r>
                    <w:rPr>
                      <w:color w:val="auto"/>
                    </w:rPr>
                    <w:t>0.0003</w:t>
                  </w:r>
                </w:p>
              </w:tc>
              <w:tc>
                <w:tcPr>
                  <w:tcW w:w="812" w:type="pct"/>
                  <w:vMerge w:val="continue"/>
                  <w:vAlign w:val="center"/>
                </w:tcPr>
                <w:p w14:paraId="6646D3A8">
                  <w:pPr>
                    <w:jc w:val="center"/>
                    <w:rPr>
                      <w:color w:val="auto"/>
                    </w:rPr>
                  </w:pPr>
                </w:p>
              </w:tc>
              <w:tc>
                <w:tcPr>
                  <w:tcW w:w="554" w:type="pct"/>
                  <w:vMerge w:val="continue"/>
                  <w:vAlign w:val="center"/>
                </w:tcPr>
                <w:p w14:paraId="03D39390">
                  <w:pPr>
                    <w:jc w:val="center"/>
                    <w:rPr>
                      <w:color w:val="auto"/>
                    </w:rPr>
                  </w:pPr>
                </w:p>
              </w:tc>
            </w:tr>
            <w:tr w14:paraId="5809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69" w:type="pct"/>
                  <w:vMerge w:val="continue"/>
                  <w:vAlign w:val="center"/>
                </w:tcPr>
                <w:p w14:paraId="15D286D5">
                  <w:pPr>
                    <w:jc w:val="center"/>
                    <w:rPr>
                      <w:color w:val="auto"/>
                    </w:rPr>
                  </w:pPr>
                </w:p>
              </w:tc>
              <w:tc>
                <w:tcPr>
                  <w:tcW w:w="877" w:type="pct"/>
                  <w:vAlign w:val="center"/>
                </w:tcPr>
                <w:p w14:paraId="54A5B91C">
                  <w:pPr>
                    <w:jc w:val="center"/>
                    <w:rPr>
                      <w:color w:val="auto"/>
                    </w:rPr>
                  </w:pPr>
                  <w:r>
                    <w:rPr>
                      <w:color w:val="auto"/>
                    </w:rPr>
                    <w:t>挂镀电泳线</w:t>
                  </w:r>
                </w:p>
              </w:tc>
              <w:tc>
                <w:tcPr>
                  <w:tcW w:w="626" w:type="pct"/>
                  <w:vAlign w:val="center"/>
                </w:tcPr>
                <w:p w14:paraId="659D4F7B">
                  <w:pPr>
                    <w:jc w:val="center"/>
                    <w:rPr>
                      <w:color w:val="auto"/>
                    </w:rPr>
                  </w:pPr>
                  <w:r>
                    <w:rPr>
                      <w:color w:val="auto"/>
                    </w:rPr>
                    <w:t>VOCs</w:t>
                  </w:r>
                </w:p>
              </w:tc>
              <w:tc>
                <w:tcPr>
                  <w:tcW w:w="777" w:type="pct"/>
                  <w:vAlign w:val="center"/>
                </w:tcPr>
                <w:p w14:paraId="28A0C0D1">
                  <w:pPr>
                    <w:jc w:val="center"/>
                    <w:rPr>
                      <w:color w:val="auto"/>
                    </w:rPr>
                  </w:pPr>
                  <w:r>
                    <w:rPr>
                      <w:color w:val="auto"/>
                    </w:rPr>
                    <w:t>0.38</w:t>
                  </w:r>
                </w:p>
              </w:tc>
              <w:tc>
                <w:tcPr>
                  <w:tcW w:w="780" w:type="pct"/>
                  <w:vAlign w:val="center"/>
                </w:tcPr>
                <w:p w14:paraId="0BEAFF10">
                  <w:pPr>
                    <w:jc w:val="center"/>
                    <w:rPr>
                      <w:color w:val="auto"/>
                    </w:rPr>
                  </w:pPr>
                  <w:r>
                    <w:rPr>
                      <w:color w:val="auto"/>
                    </w:rPr>
                    <w:t>0.05</w:t>
                  </w:r>
                </w:p>
              </w:tc>
              <w:tc>
                <w:tcPr>
                  <w:tcW w:w="812" w:type="pct"/>
                  <w:vMerge w:val="continue"/>
                  <w:vAlign w:val="center"/>
                </w:tcPr>
                <w:p w14:paraId="6892329A">
                  <w:pPr>
                    <w:jc w:val="center"/>
                    <w:rPr>
                      <w:color w:val="auto"/>
                    </w:rPr>
                  </w:pPr>
                </w:p>
              </w:tc>
              <w:tc>
                <w:tcPr>
                  <w:tcW w:w="554" w:type="pct"/>
                  <w:vMerge w:val="continue"/>
                  <w:vAlign w:val="center"/>
                </w:tcPr>
                <w:p w14:paraId="7BAE3411">
                  <w:pPr>
                    <w:jc w:val="center"/>
                    <w:rPr>
                      <w:color w:val="auto"/>
                    </w:rPr>
                  </w:pPr>
                </w:p>
              </w:tc>
            </w:tr>
            <w:tr w14:paraId="5801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569" w:type="pct"/>
                  <w:vAlign w:val="center"/>
                </w:tcPr>
                <w:p w14:paraId="29225AD8">
                  <w:pPr>
                    <w:jc w:val="center"/>
                    <w:rPr>
                      <w:color w:val="auto"/>
                    </w:rPr>
                  </w:pPr>
                  <w:r>
                    <w:rPr>
                      <w:color w:val="auto"/>
                    </w:rPr>
                    <w:t>2#电镀车间</w:t>
                  </w:r>
                </w:p>
              </w:tc>
              <w:tc>
                <w:tcPr>
                  <w:tcW w:w="877" w:type="pct"/>
                  <w:vAlign w:val="center"/>
                </w:tcPr>
                <w:p w14:paraId="32115DAA">
                  <w:pPr>
                    <w:jc w:val="center"/>
                    <w:rPr>
                      <w:color w:val="auto"/>
                    </w:rPr>
                  </w:pPr>
                  <w:r>
                    <w:rPr>
                      <w:color w:val="auto"/>
                    </w:rPr>
                    <w:t>挂镀电泳线</w:t>
                  </w:r>
                </w:p>
              </w:tc>
              <w:tc>
                <w:tcPr>
                  <w:tcW w:w="626" w:type="pct"/>
                  <w:vAlign w:val="center"/>
                </w:tcPr>
                <w:p w14:paraId="20B8888C">
                  <w:pPr>
                    <w:jc w:val="center"/>
                    <w:rPr>
                      <w:color w:val="auto"/>
                    </w:rPr>
                  </w:pPr>
                  <w:r>
                    <w:rPr>
                      <w:color w:val="auto"/>
                    </w:rPr>
                    <w:t>VOCs</w:t>
                  </w:r>
                </w:p>
              </w:tc>
              <w:tc>
                <w:tcPr>
                  <w:tcW w:w="777" w:type="pct"/>
                  <w:vAlign w:val="center"/>
                </w:tcPr>
                <w:p w14:paraId="587FE84C">
                  <w:pPr>
                    <w:jc w:val="center"/>
                    <w:rPr>
                      <w:color w:val="auto"/>
                    </w:rPr>
                  </w:pPr>
                  <w:r>
                    <w:rPr>
                      <w:color w:val="auto"/>
                    </w:rPr>
                    <w:t>0.07</w:t>
                  </w:r>
                </w:p>
              </w:tc>
              <w:tc>
                <w:tcPr>
                  <w:tcW w:w="780" w:type="pct"/>
                  <w:vAlign w:val="center"/>
                </w:tcPr>
                <w:p w14:paraId="6B954108">
                  <w:pPr>
                    <w:jc w:val="center"/>
                    <w:rPr>
                      <w:color w:val="auto"/>
                    </w:rPr>
                  </w:pPr>
                  <w:r>
                    <w:rPr>
                      <w:color w:val="auto"/>
                    </w:rPr>
                    <w:t>0.008</w:t>
                  </w:r>
                </w:p>
              </w:tc>
              <w:tc>
                <w:tcPr>
                  <w:tcW w:w="812" w:type="pct"/>
                  <w:vAlign w:val="center"/>
                </w:tcPr>
                <w:p w14:paraId="64957424">
                  <w:pPr>
                    <w:jc w:val="center"/>
                    <w:rPr>
                      <w:color w:val="auto"/>
                    </w:rPr>
                  </w:pPr>
                  <w:r>
                    <w:rPr>
                      <w:color w:val="auto"/>
                    </w:rPr>
                    <w:t>85m×22m</w:t>
                  </w:r>
                </w:p>
              </w:tc>
              <w:tc>
                <w:tcPr>
                  <w:tcW w:w="554" w:type="pct"/>
                  <w:vAlign w:val="center"/>
                </w:tcPr>
                <w:p w14:paraId="096AE2D8">
                  <w:pPr>
                    <w:jc w:val="center"/>
                    <w:rPr>
                      <w:color w:val="auto"/>
                    </w:rPr>
                  </w:pPr>
                  <w:r>
                    <w:rPr>
                      <w:color w:val="auto"/>
                    </w:rPr>
                    <w:t>7.2m</w:t>
                  </w:r>
                </w:p>
              </w:tc>
            </w:tr>
            <w:tr w14:paraId="3E8B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569" w:type="pct"/>
                  <w:vAlign w:val="center"/>
                </w:tcPr>
                <w:p w14:paraId="72ADF78D">
                  <w:pPr>
                    <w:jc w:val="center"/>
                    <w:rPr>
                      <w:color w:val="auto"/>
                    </w:rPr>
                  </w:pPr>
                  <w:r>
                    <w:rPr>
                      <w:color w:val="auto"/>
                    </w:rPr>
                    <w:t>3#电镀车间</w:t>
                  </w:r>
                </w:p>
              </w:tc>
              <w:tc>
                <w:tcPr>
                  <w:tcW w:w="877" w:type="pct"/>
                  <w:vAlign w:val="center"/>
                </w:tcPr>
                <w:p w14:paraId="5EC5DD6D">
                  <w:pPr>
                    <w:jc w:val="center"/>
                    <w:rPr>
                      <w:color w:val="auto"/>
                    </w:rPr>
                  </w:pPr>
                  <w:r>
                    <w:rPr>
                      <w:color w:val="auto"/>
                    </w:rPr>
                    <w:t>全自动滚镀镍铜镍+化学</w:t>
                  </w:r>
                </w:p>
                <w:p w14:paraId="0DDCDAFD">
                  <w:pPr>
                    <w:jc w:val="center"/>
                    <w:rPr>
                      <w:color w:val="auto"/>
                    </w:rPr>
                  </w:pPr>
                  <w:r>
                    <w:rPr>
                      <w:color w:val="auto"/>
                    </w:rPr>
                    <w:t>镀镍线、镀镍铜镍挂具退</w:t>
                  </w:r>
                </w:p>
                <w:p w14:paraId="41CB62B3">
                  <w:pPr>
                    <w:jc w:val="center"/>
                    <w:rPr>
                      <w:color w:val="auto"/>
                    </w:rPr>
                  </w:pPr>
                  <w:r>
                    <w:rPr>
                      <w:color w:val="auto"/>
                    </w:rPr>
                    <w:t>镀线</w:t>
                  </w:r>
                </w:p>
              </w:tc>
              <w:tc>
                <w:tcPr>
                  <w:tcW w:w="626" w:type="pct"/>
                  <w:vAlign w:val="center"/>
                </w:tcPr>
                <w:p w14:paraId="3DFF3960">
                  <w:pPr>
                    <w:jc w:val="center"/>
                    <w:rPr>
                      <w:color w:val="auto"/>
                    </w:rPr>
                  </w:pPr>
                  <w:r>
                    <w:rPr>
                      <w:color w:val="auto"/>
                    </w:rPr>
                    <w:t>氮氧化物</w:t>
                  </w:r>
                </w:p>
              </w:tc>
              <w:tc>
                <w:tcPr>
                  <w:tcW w:w="777" w:type="pct"/>
                  <w:vAlign w:val="center"/>
                </w:tcPr>
                <w:p w14:paraId="446290E7">
                  <w:pPr>
                    <w:jc w:val="center"/>
                    <w:rPr>
                      <w:color w:val="auto"/>
                    </w:rPr>
                  </w:pPr>
                  <w:r>
                    <w:rPr>
                      <w:color w:val="auto"/>
                    </w:rPr>
                    <w:t>0.569</w:t>
                  </w:r>
                </w:p>
              </w:tc>
              <w:tc>
                <w:tcPr>
                  <w:tcW w:w="780" w:type="pct"/>
                  <w:vAlign w:val="center"/>
                </w:tcPr>
                <w:p w14:paraId="4DEE7015">
                  <w:pPr>
                    <w:jc w:val="center"/>
                    <w:rPr>
                      <w:color w:val="auto"/>
                    </w:rPr>
                  </w:pPr>
                  <w:r>
                    <w:rPr>
                      <w:color w:val="auto"/>
                    </w:rPr>
                    <w:t>0.07</w:t>
                  </w:r>
                </w:p>
              </w:tc>
              <w:tc>
                <w:tcPr>
                  <w:tcW w:w="812" w:type="pct"/>
                  <w:vAlign w:val="center"/>
                </w:tcPr>
                <w:p w14:paraId="469A4D34">
                  <w:pPr>
                    <w:jc w:val="center"/>
                    <w:rPr>
                      <w:color w:val="auto"/>
                    </w:rPr>
                  </w:pPr>
                  <w:r>
                    <w:rPr>
                      <w:color w:val="auto"/>
                    </w:rPr>
                    <w:t>85m×22m</w:t>
                  </w:r>
                </w:p>
              </w:tc>
              <w:tc>
                <w:tcPr>
                  <w:tcW w:w="554" w:type="pct"/>
                  <w:vAlign w:val="center"/>
                </w:tcPr>
                <w:p w14:paraId="0D814A6F">
                  <w:pPr>
                    <w:jc w:val="center"/>
                    <w:rPr>
                      <w:color w:val="auto"/>
                    </w:rPr>
                  </w:pPr>
                  <w:r>
                    <w:rPr>
                      <w:color w:val="auto"/>
                    </w:rPr>
                    <w:t>7.2m</w:t>
                  </w:r>
                </w:p>
              </w:tc>
            </w:tr>
            <w:tr w14:paraId="7B1E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569" w:type="pct"/>
                  <w:vMerge w:val="restart"/>
                  <w:vAlign w:val="center"/>
                </w:tcPr>
                <w:p w14:paraId="535BFF39">
                  <w:pPr>
                    <w:jc w:val="center"/>
                    <w:rPr>
                      <w:color w:val="auto"/>
                    </w:rPr>
                  </w:pPr>
                  <w:r>
                    <w:rPr>
                      <w:color w:val="auto"/>
                    </w:rPr>
                    <w:t>4#电镀车间</w:t>
                  </w:r>
                </w:p>
              </w:tc>
              <w:tc>
                <w:tcPr>
                  <w:tcW w:w="877" w:type="pct"/>
                  <w:vAlign w:val="center"/>
                </w:tcPr>
                <w:p w14:paraId="0B2B8266">
                  <w:pPr>
                    <w:jc w:val="center"/>
                    <w:rPr>
                      <w:color w:val="auto"/>
                    </w:rPr>
                  </w:pPr>
                  <w:r>
                    <w:rPr>
                      <w:color w:val="auto"/>
                    </w:rPr>
                    <w:t>全自动滚镀镍铜镍+化学</w:t>
                  </w:r>
                </w:p>
                <w:p w14:paraId="49163271">
                  <w:pPr>
                    <w:jc w:val="center"/>
                    <w:rPr>
                      <w:color w:val="auto"/>
                    </w:rPr>
                  </w:pPr>
                  <w:r>
                    <w:rPr>
                      <w:color w:val="auto"/>
                    </w:rPr>
                    <w:t>镀镍线、镀锌镍合金和镀</w:t>
                  </w:r>
                </w:p>
                <w:p w14:paraId="4FB944DB">
                  <w:pPr>
                    <w:jc w:val="center"/>
                    <w:rPr>
                      <w:color w:val="auto"/>
                    </w:rPr>
                  </w:pPr>
                  <w:r>
                    <w:rPr>
                      <w:color w:val="auto"/>
                    </w:rPr>
                    <w:t>镍铜镍退镀线</w:t>
                  </w:r>
                </w:p>
              </w:tc>
              <w:tc>
                <w:tcPr>
                  <w:tcW w:w="626" w:type="pct"/>
                  <w:vAlign w:val="center"/>
                </w:tcPr>
                <w:p w14:paraId="42E9C502">
                  <w:pPr>
                    <w:jc w:val="center"/>
                    <w:rPr>
                      <w:color w:val="auto"/>
                    </w:rPr>
                  </w:pPr>
                  <w:r>
                    <w:rPr>
                      <w:color w:val="auto"/>
                    </w:rPr>
                    <w:t>氮氧化物</w:t>
                  </w:r>
                </w:p>
              </w:tc>
              <w:tc>
                <w:tcPr>
                  <w:tcW w:w="777" w:type="pct"/>
                  <w:vAlign w:val="center"/>
                </w:tcPr>
                <w:p w14:paraId="060A79AF">
                  <w:pPr>
                    <w:jc w:val="center"/>
                    <w:rPr>
                      <w:color w:val="auto"/>
                    </w:rPr>
                  </w:pPr>
                  <w:r>
                    <w:rPr>
                      <w:color w:val="auto"/>
                    </w:rPr>
                    <w:t>0.0155</w:t>
                  </w:r>
                </w:p>
              </w:tc>
              <w:tc>
                <w:tcPr>
                  <w:tcW w:w="780" w:type="pct"/>
                  <w:vAlign w:val="center"/>
                </w:tcPr>
                <w:p w14:paraId="563CC1AF">
                  <w:pPr>
                    <w:jc w:val="center"/>
                    <w:rPr>
                      <w:color w:val="auto"/>
                    </w:rPr>
                  </w:pPr>
                  <w:r>
                    <w:rPr>
                      <w:color w:val="auto"/>
                    </w:rPr>
                    <w:t>0.002</w:t>
                  </w:r>
                </w:p>
              </w:tc>
              <w:tc>
                <w:tcPr>
                  <w:tcW w:w="812" w:type="pct"/>
                  <w:vMerge w:val="restart"/>
                  <w:vAlign w:val="center"/>
                </w:tcPr>
                <w:p w14:paraId="2A52E636">
                  <w:pPr>
                    <w:jc w:val="center"/>
                    <w:rPr>
                      <w:color w:val="auto"/>
                    </w:rPr>
                  </w:pPr>
                  <w:r>
                    <w:rPr>
                      <w:color w:val="auto"/>
                    </w:rPr>
                    <w:t>85m×22m</w:t>
                  </w:r>
                </w:p>
              </w:tc>
              <w:tc>
                <w:tcPr>
                  <w:tcW w:w="554" w:type="pct"/>
                  <w:vMerge w:val="restart"/>
                  <w:vAlign w:val="center"/>
                </w:tcPr>
                <w:p w14:paraId="011C06D1">
                  <w:pPr>
                    <w:jc w:val="center"/>
                    <w:rPr>
                      <w:color w:val="auto"/>
                    </w:rPr>
                  </w:pPr>
                  <w:r>
                    <w:rPr>
                      <w:color w:val="auto"/>
                    </w:rPr>
                    <w:t>7.2m</w:t>
                  </w:r>
                </w:p>
              </w:tc>
            </w:tr>
            <w:tr w14:paraId="34A3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69" w:type="pct"/>
                  <w:vMerge w:val="continue"/>
                  <w:vAlign w:val="center"/>
                </w:tcPr>
                <w:p w14:paraId="18BA0E99">
                  <w:pPr>
                    <w:jc w:val="center"/>
                    <w:rPr>
                      <w:color w:val="auto"/>
                    </w:rPr>
                  </w:pPr>
                </w:p>
              </w:tc>
              <w:tc>
                <w:tcPr>
                  <w:tcW w:w="877" w:type="pct"/>
                  <w:vMerge w:val="restart"/>
                  <w:vAlign w:val="center"/>
                </w:tcPr>
                <w:p w14:paraId="2D894B9A">
                  <w:pPr>
                    <w:jc w:val="center"/>
                    <w:rPr>
                      <w:color w:val="auto"/>
                    </w:rPr>
                  </w:pPr>
                  <w:r>
                    <w:rPr>
                      <w:color w:val="auto"/>
                    </w:rPr>
                    <w:t>水性漆、1#油性漆喷涂线喷枪清洗</w:t>
                  </w:r>
                </w:p>
              </w:tc>
              <w:tc>
                <w:tcPr>
                  <w:tcW w:w="626" w:type="pct"/>
                  <w:vAlign w:val="center"/>
                </w:tcPr>
                <w:p w14:paraId="47ECECA9">
                  <w:pPr>
                    <w:jc w:val="center"/>
                    <w:rPr>
                      <w:color w:val="auto"/>
                    </w:rPr>
                  </w:pPr>
                  <w:r>
                    <w:rPr>
                      <w:color w:val="auto"/>
                    </w:rPr>
                    <w:t>颗粒物</w:t>
                  </w:r>
                </w:p>
              </w:tc>
              <w:tc>
                <w:tcPr>
                  <w:tcW w:w="777" w:type="pct"/>
                  <w:vAlign w:val="center"/>
                </w:tcPr>
                <w:p w14:paraId="26A37F2D">
                  <w:pPr>
                    <w:jc w:val="center"/>
                    <w:rPr>
                      <w:color w:val="auto"/>
                    </w:rPr>
                  </w:pPr>
                  <w:r>
                    <w:rPr>
                      <w:color w:val="auto"/>
                    </w:rPr>
                    <w:t>0.075</w:t>
                  </w:r>
                </w:p>
              </w:tc>
              <w:tc>
                <w:tcPr>
                  <w:tcW w:w="780" w:type="pct"/>
                  <w:vAlign w:val="center"/>
                </w:tcPr>
                <w:p w14:paraId="79056339">
                  <w:pPr>
                    <w:jc w:val="center"/>
                    <w:rPr>
                      <w:color w:val="auto"/>
                    </w:rPr>
                  </w:pPr>
                  <w:r>
                    <w:rPr>
                      <w:color w:val="auto"/>
                    </w:rPr>
                    <w:t>0.009</w:t>
                  </w:r>
                </w:p>
              </w:tc>
              <w:tc>
                <w:tcPr>
                  <w:tcW w:w="812" w:type="pct"/>
                  <w:vMerge w:val="continue"/>
                  <w:vAlign w:val="center"/>
                </w:tcPr>
                <w:p w14:paraId="218EBFAC">
                  <w:pPr>
                    <w:jc w:val="center"/>
                    <w:rPr>
                      <w:color w:val="auto"/>
                    </w:rPr>
                  </w:pPr>
                </w:p>
              </w:tc>
              <w:tc>
                <w:tcPr>
                  <w:tcW w:w="554" w:type="pct"/>
                  <w:vMerge w:val="continue"/>
                  <w:vAlign w:val="center"/>
                </w:tcPr>
                <w:p w14:paraId="78C49EBE">
                  <w:pPr>
                    <w:jc w:val="center"/>
                    <w:rPr>
                      <w:color w:val="auto"/>
                    </w:rPr>
                  </w:pPr>
                </w:p>
              </w:tc>
            </w:tr>
            <w:tr w14:paraId="617B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569" w:type="pct"/>
                  <w:vMerge w:val="continue"/>
                  <w:vAlign w:val="center"/>
                </w:tcPr>
                <w:p w14:paraId="1CE22AF0">
                  <w:pPr>
                    <w:jc w:val="center"/>
                    <w:rPr>
                      <w:color w:val="auto"/>
                    </w:rPr>
                  </w:pPr>
                </w:p>
              </w:tc>
              <w:tc>
                <w:tcPr>
                  <w:tcW w:w="877" w:type="pct"/>
                  <w:vMerge w:val="continue"/>
                  <w:vAlign w:val="center"/>
                </w:tcPr>
                <w:p w14:paraId="4FA54EDE">
                  <w:pPr>
                    <w:jc w:val="center"/>
                    <w:rPr>
                      <w:color w:val="auto"/>
                    </w:rPr>
                  </w:pPr>
                </w:p>
              </w:tc>
              <w:tc>
                <w:tcPr>
                  <w:tcW w:w="626" w:type="pct"/>
                  <w:vAlign w:val="center"/>
                </w:tcPr>
                <w:p w14:paraId="4B95E346">
                  <w:pPr>
                    <w:jc w:val="center"/>
                    <w:rPr>
                      <w:color w:val="auto"/>
                    </w:rPr>
                  </w:pPr>
                  <w:r>
                    <w:rPr>
                      <w:color w:val="auto"/>
                    </w:rPr>
                    <w:t>VOCs</w:t>
                  </w:r>
                </w:p>
              </w:tc>
              <w:tc>
                <w:tcPr>
                  <w:tcW w:w="777" w:type="pct"/>
                  <w:vAlign w:val="center"/>
                </w:tcPr>
                <w:p w14:paraId="582AB0AB">
                  <w:pPr>
                    <w:jc w:val="center"/>
                    <w:rPr>
                      <w:color w:val="auto"/>
                    </w:rPr>
                  </w:pPr>
                  <w:r>
                    <w:rPr>
                      <w:color w:val="auto"/>
                    </w:rPr>
                    <w:t>0.1465</w:t>
                  </w:r>
                </w:p>
              </w:tc>
              <w:tc>
                <w:tcPr>
                  <w:tcW w:w="780" w:type="pct"/>
                  <w:vAlign w:val="center"/>
                </w:tcPr>
                <w:p w14:paraId="6D111637">
                  <w:pPr>
                    <w:jc w:val="center"/>
                    <w:rPr>
                      <w:color w:val="auto"/>
                    </w:rPr>
                  </w:pPr>
                  <w:r>
                    <w:rPr>
                      <w:color w:val="auto"/>
                    </w:rPr>
                    <w:t>0.02</w:t>
                  </w:r>
                </w:p>
              </w:tc>
              <w:tc>
                <w:tcPr>
                  <w:tcW w:w="812" w:type="pct"/>
                  <w:vMerge w:val="continue"/>
                  <w:vAlign w:val="center"/>
                </w:tcPr>
                <w:p w14:paraId="66A0F342">
                  <w:pPr>
                    <w:jc w:val="center"/>
                    <w:rPr>
                      <w:color w:val="auto"/>
                    </w:rPr>
                  </w:pPr>
                </w:p>
              </w:tc>
              <w:tc>
                <w:tcPr>
                  <w:tcW w:w="554" w:type="pct"/>
                  <w:vMerge w:val="continue"/>
                  <w:vAlign w:val="center"/>
                </w:tcPr>
                <w:p w14:paraId="1200F8F8">
                  <w:pPr>
                    <w:jc w:val="center"/>
                    <w:rPr>
                      <w:color w:val="auto"/>
                    </w:rPr>
                  </w:pPr>
                </w:p>
              </w:tc>
            </w:tr>
            <w:tr w14:paraId="7901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69" w:type="pct"/>
                  <w:vMerge w:val="continue"/>
                  <w:vAlign w:val="center"/>
                </w:tcPr>
                <w:p w14:paraId="287E9FFE">
                  <w:pPr>
                    <w:jc w:val="center"/>
                    <w:rPr>
                      <w:color w:val="auto"/>
                    </w:rPr>
                  </w:pPr>
                </w:p>
              </w:tc>
              <w:tc>
                <w:tcPr>
                  <w:tcW w:w="877" w:type="pct"/>
                  <w:vMerge w:val="continue"/>
                  <w:vAlign w:val="center"/>
                </w:tcPr>
                <w:p w14:paraId="599B1D29">
                  <w:pPr>
                    <w:jc w:val="center"/>
                    <w:rPr>
                      <w:color w:val="auto"/>
                    </w:rPr>
                  </w:pPr>
                </w:p>
              </w:tc>
              <w:tc>
                <w:tcPr>
                  <w:tcW w:w="626" w:type="pct"/>
                  <w:vAlign w:val="center"/>
                </w:tcPr>
                <w:p w14:paraId="60CB8195">
                  <w:pPr>
                    <w:jc w:val="center"/>
                    <w:rPr>
                      <w:color w:val="auto"/>
                    </w:rPr>
                  </w:pPr>
                  <w:r>
                    <w:rPr>
                      <w:color w:val="auto"/>
                    </w:rPr>
                    <w:t>二甲苯</w:t>
                  </w:r>
                </w:p>
              </w:tc>
              <w:tc>
                <w:tcPr>
                  <w:tcW w:w="777" w:type="pct"/>
                  <w:vAlign w:val="center"/>
                </w:tcPr>
                <w:p w14:paraId="7EC7D5E5">
                  <w:pPr>
                    <w:jc w:val="center"/>
                    <w:rPr>
                      <w:color w:val="auto"/>
                    </w:rPr>
                  </w:pPr>
                  <w:r>
                    <w:rPr>
                      <w:color w:val="auto"/>
                    </w:rPr>
                    <w:t>0.04</w:t>
                  </w:r>
                </w:p>
              </w:tc>
              <w:tc>
                <w:tcPr>
                  <w:tcW w:w="780" w:type="pct"/>
                  <w:vAlign w:val="center"/>
                </w:tcPr>
                <w:p w14:paraId="340ED7E7">
                  <w:pPr>
                    <w:jc w:val="center"/>
                    <w:rPr>
                      <w:color w:val="auto"/>
                    </w:rPr>
                  </w:pPr>
                  <w:r>
                    <w:rPr>
                      <w:color w:val="auto"/>
                    </w:rPr>
                    <w:t>0.005</w:t>
                  </w:r>
                </w:p>
              </w:tc>
              <w:tc>
                <w:tcPr>
                  <w:tcW w:w="812" w:type="pct"/>
                  <w:vMerge w:val="continue"/>
                  <w:vAlign w:val="center"/>
                </w:tcPr>
                <w:p w14:paraId="3427D3BD">
                  <w:pPr>
                    <w:jc w:val="center"/>
                    <w:rPr>
                      <w:color w:val="auto"/>
                    </w:rPr>
                  </w:pPr>
                </w:p>
              </w:tc>
              <w:tc>
                <w:tcPr>
                  <w:tcW w:w="554" w:type="pct"/>
                  <w:vMerge w:val="continue"/>
                  <w:vAlign w:val="center"/>
                </w:tcPr>
                <w:p w14:paraId="0B3E431C">
                  <w:pPr>
                    <w:jc w:val="center"/>
                    <w:rPr>
                      <w:color w:val="auto"/>
                    </w:rPr>
                  </w:pPr>
                </w:p>
              </w:tc>
            </w:tr>
            <w:tr w14:paraId="7508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569" w:type="pct"/>
                  <w:vMerge w:val="continue"/>
                  <w:vAlign w:val="center"/>
                </w:tcPr>
                <w:p w14:paraId="1633F08E">
                  <w:pPr>
                    <w:jc w:val="center"/>
                    <w:rPr>
                      <w:color w:val="auto"/>
                    </w:rPr>
                  </w:pPr>
                </w:p>
              </w:tc>
              <w:tc>
                <w:tcPr>
                  <w:tcW w:w="877" w:type="pct"/>
                  <w:vMerge w:val="continue"/>
                  <w:vAlign w:val="center"/>
                </w:tcPr>
                <w:p w14:paraId="280540B4">
                  <w:pPr>
                    <w:jc w:val="center"/>
                    <w:rPr>
                      <w:color w:val="auto"/>
                    </w:rPr>
                  </w:pPr>
                </w:p>
              </w:tc>
              <w:tc>
                <w:tcPr>
                  <w:tcW w:w="626" w:type="pct"/>
                  <w:vAlign w:val="center"/>
                </w:tcPr>
                <w:p w14:paraId="241802D2">
                  <w:pPr>
                    <w:jc w:val="center"/>
                    <w:rPr>
                      <w:color w:val="auto"/>
                    </w:rPr>
                  </w:pPr>
                  <w:r>
                    <w:rPr>
                      <w:color w:val="auto"/>
                    </w:rPr>
                    <w:t>甲醛</w:t>
                  </w:r>
                </w:p>
              </w:tc>
              <w:tc>
                <w:tcPr>
                  <w:tcW w:w="777" w:type="pct"/>
                  <w:vAlign w:val="center"/>
                </w:tcPr>
                <w:p w14:paraId="561B84BE">
                  <w:pPr>
                    <w:jc w:val="center"/>
                    <w:rPr>
                      <w:color w:val="auto"/>
                    </w:rPr>
                  </w:pPr>
                  <w:r>
                    <w:rPr>
                      <w:color w:val="auto"/>
                    </w:rPr>
                    <w:t>0.0001</w:t>
                  </w:r>
                </w:p>
              </w:tc>
              <w:tc>
                <w:tcPr>
                  <w:tcW w:w="780" w:type="pct"/>
                  <w:vAlign w:val="center"/>
                </w:tcPr>
                <w:p w14:paraId="17ADCF3C">
                  <w:pPr>
                    <w:jc w:val="center"/>
                    <w:rPr>
                      <w:color w:val="auto"/>
                    </w:rPr>
                  </w:pPr>
                  <w:r>
                    <w:rPr>
                      <w:color w:val="auto"/>
                    </w:rPr>
                    <w:t>0.00001</w:t>
                  </w:r>
                </w:p>
              </w:tc>
              <w:tc>
                <w:tcPr>
                  <w:tcW w:w="812" w:type="pct"/>
                  <w:vMerge w:val="continue"/>
                  <w:vAlign w:val="center"/>
                </w:tcPr>
                <w:p w14:paraId="0EAE01D6">
                  <w:pPr>
                    <w:jc w:val="center"/>
                    <w:rPr>
                      <w:color w:val="auto"/>
                    </w:rPr>
                  </w:pPr>
                </w:p>
              </w:tc>
              <w:tc>
                <w:tcPr>
                  <w:tcW w:w="554" w:type="pct"/>
                  <w:vMerge w:val="continue"/>
                  <w:vAlign w:val="center"/>
                </w:tcPr>
                <w:p w14:paraId="18F1A533">
                  <w:pPr>
                    <w:jc w:val="center"/>
                    <w:rPr>
                      <w:color w:val="auto"/>
                    </w:rPr>
                  </w:pPr>
                </w:p>
              </w:tc>
            </w:tr>
            <w:tr w14:paraId="7D67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69" w:type="pct"/>
                  <w:vMerge w:val="continue"/>
                  <w:vAlign w:val="center"/>
                </w:tcPr>
                <w:p w14:paraId="0D0A64FE">
                  <w:pPr>
                    <w:jc w:val="center"/>
                    <w:rPr>
                      <w:color w:val="auto"/>
                    </w:rPr>
                  </w:pPr>
                </w:p>
              </w:tc>
              <w:tc>
                <w:tcPr>
                  <w:tcW w:w="877" w:type="pct"/>
                  <w:vMerge w:val="continue"/>
                  <w:vAlign w:val="center"/>
                </w:tcPr>
                <w:p w14:paraId="5E07062D">
                  <w:pPr>
                    <w:jc w:val="center"/>
                    <w:rPr>
                      <w:color w:val="auto"/>
                    </w:rPr>
                  </w:pPr>
                </w:p>
              </w:tc>
              <w:tc>
                <w:tcPr>
                  <w:tcW w:w="626" w:type="pct"/>
                  <w:vAlign w:val="center"/>
                </w:tcPr>
                <w:p w14:paraId="53057395">
                  <w:pPr>
                    <w:jc w:val="center"/>
                    <w:rPr>
                      <w:color w:val="auto"/>
                    </w:rPr>
                  </w:pPr>
                  <w:r>
                    <w:rPr>
                      <w:color w:val="auto"/>
                    </w:rPr>
                    <w:t>甲苯</w:t>
                  </w:r>
                </w:p>
              </w:tc>
              <w:tc>
                <w:tcPr>
                  <w:tcW w:w="777" w:type="pct"/>
                  <w:vAlign w:val="center"/>
                </w:tcPr>
                <w:p w14:paraId="3DCC9116">
                  <w:pPr>
                    <w:jc w:val="center"/>
                    <w:rPr>
                      <w:color w:val="auto"/>
                    </w:rPr>
                  </w:pPr>
                  <w:r>
                    <w:rPr>
                      <w:color w:val="auto"/>
                    </w:rPr>
                    <w:t>0.01</w:t>
                  </w:r>
                </w:p>
              </w:tc>
              <w:tc>
                <w:tcPr>
                  <w:tcW w:w="780" w:type="pct"/>
                  <w:vAlign w:val="center"/>
                </w:tcPr>
                <w:p w14:paraId="4B7FD82E">
                  <w:pPr>
                    <w:jc w:val="center"/>
                    <w:rPr>
                      <w:color w:val="auto"/>
                    </w:rPr>
                  </w:pPr>
                  <w:r>
                    <w:rPr>
                      <w:color w:val="auto"/>
                    </w:rPr>
                    <w:t>0.001</w:t>
                  </w:r>
                </w:p>
              </w:tc>
              <w:tc>
                <w:tcPr>
                  <w:tcW w:w="812" w:type="pct"/>
                  <w:vMerge w:val="continue"/>
                  <w:vAlign w:val="center"/>
                </w:tcPr>
                <w:p w14:paraId="631DE5F3">
                  <w:pPr>
                    <w:jc w:val="center"/>
                    <w:rPr>
                      <w:color w:val="auto"/>
                    </w:rPr>
                  </w:pPr>
                </w:p>
              </w:tc>
              <w:tc>
                <w:tcPr>
                  <w:tcW w:w="554" w:type="pct"/>
                  <w:vMerge w:val="continue"/>
                  <w:vAlign w:val="center"/>
                </w:tcPr>
                <w:p w14:paraId="6F0AA949">
                  <w:pPr>
                    <w:jc w:val="center"/>
                    <w:rPr>
                      <w:color w:val="auto"/>
                    </w:rPr>
                  </w:pPr>
                </w:p>
              </w:tc>
            </w:tr>
            <w:tr w14:paraId="71C0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569" w:type="pct"/>
                  <w:vMerge w:val="restart"/>
                  <w:vAlign w:val="center"/>
                </w:tcPr>
                <w:p w14:paraId="5D86200D">
                  <w:pPr>
                    <w:jc w:val="center"/>
                    <w:rPr>
                      <w:color w:val="auto"/>
                    </w:rPr>
                  </w:pPr>
                  <w:r>
                    <w:rPr>
                      <w:color w:val="auto"/>
                    </w:rPr>
                    <w:t>5#电镀车间</w:t>
                  </w:r>
                </w:p>
              </w:tc>
              <w:tc>
                <w:tcPr>
                  <w:tcW w:w="877" w:type="pct"/>
                  <w:vAlign w:val="center"/>
                </w:tcPr>
                <w:p w14:paraId="11EAA2D4">
                  <w:pPr>
                    <w:jc w:val="center"/>
                    <w:rPr>
                      <w:color w:val="auto"/>
                    </w:rPr>
                  </w:pPr>
                  <w:r>
                    <w:rPr>
                      <w:color w:val="auto"/>
                    </w:rPr>
                    <w:t>全自动滚镀镍铜镍+化学镀镍线、半自动3C滚镀</w:t>
                  </w:r>
                </w:p>
                <w:p w14:paraId="55D11994">
                  <w:pPr>
                    <w:jc w:val="center"/>
                    <w:rPr>
                      <w:color w:val="auto"/>
                    </w:rPr>
                  </w:pPr>
                  <w:r>
                    <w:rPr>
                      <w:color w:val="auto"/>
                    </w:rPr>
                    <w:t>锌线</w:t>
                  </w:r>
                </w:p>
              </w:tc>
              <w:tc>
                <w:tcPr>
                  <w:tcW w:w="626" w:type="pct"/>
                  <w:vAlign w:val="center"/>
                </w:tcPr>
                <w:p w14:paraId="7C92AD2C">
                  <w:pPr>
                    <w:jc w:val="center"/>
                    <w:rPr>
                      <w:color w:val="auto"/>
                    </w:rPr>
                  </w:pPr>
                  <w:r>
                    <w:rPr>
                      <w:color w:val="auto"/>
                    </w:rPr>
                    <w:t>氮氧化物</w:t>
                  </w:r>
                </w:p>
              </w:tc>
              <w:tc>
                <w:tcPr>
                  <w:tcW w:w="777" w:type="pct"/>
                  <w:vAlign w:val="center"/>
                </w:tcPr>
                <w:p w14:paraId="59F2E4FD">
                  <w:pPr>
                    <w:jc w:val="center"/>
                    <w:rPr>
                      <w:color w:val="auto"/>
                    </w:rPr>
                  </w:pPr>
                  <w:r>
                    <w:rPr>
                      <w:color w:val="auto"/>
                    </w:rPr>
                    <w:t>0.029</w:t>
                  </w:r>
                </w:p>
              </w:tc>
              <w:tc>
                <w:tcPr>
                  <w:tcW w:w="780" w:type="pct"/>
                  <w:vAlign w:val="center"/>
                </w:tcPr>
                <w:p w14:paraId="1685807B">
                  <w:pPr>
                    <w:jc w:val="center"/>
                    <w:rPr>
                      <w:color w:val="auto"/>
                    </w:rPr>
                  </w:pPr>
                  <w:r>
                    <w:rPr>
                      <w:color w:val="auto"/>
                    </w:rPr>
                    <w:t>0.003</w:t>
                  </w:r>
                </w:p>
              </w:tc>
              <w:tc>
                <w:tcPr>
                  <w:tcW w:w="812" w:type="pct"/>
                  <w:vMerge w:val="restart"/>
                  <w:vAlign w:val="center"/>
                </w:tcPr>
                <w:p w14:paraId="4FD91DB5">
                  <w:pPr>
                    <w:jc w:val="center"/>
                    <w:rPr>
                      <w:color w:val="auto"/>
                    </w:rPr>
                  </w:pPr>
                  <w:r>
                    <w:rPr>
                      <w:color w:val="auto"/>
                    </w:rPr>
                    <w:t>85m×22m</w:t>
                  </w:r>
                </w:p>
              </w:tc>
              <w:tc>
                <w:tcPr>
                  <w:tcW w:w="554" w:type="pct"/>
                  <w:vMerge w:val="restart"/>
                  <w:vAlign w:val="center"/>
                </w:tcPr>
                <w:p w14:paraId="63E46438">
                  <w:pPr>
                    <w:jc w:val="center"/>
                    <w:rPr>
                      <w:color w:val="auto"/>
                    </w:rPr>
                  </w:pPr>
                  <w:r>
                    <w:rPr>
                      <w:color w:val="auto"/>
                    </w:rPr>
                    <w:t>7.2m</w:t>
                  </w:r>
                </w:p>
              </w:tc>
            </w:tr>
            <w:tr w14:paraId="4E86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69" w:type="pct"/>
                  <w:vMerge w:val="continue"/>
                  <w:vAlign w:val="center"/>
                </w:tcPr>
                <w:p w14:paraId="611C810A">
                  <w:pPr>
                    <w:jc w:val="center"/>
                    <w:rPr>
                      <w:color w:val="auto"/>
                    </w:rPr>
                  </w:pPr>
                </w:p>
              </w:tc>
              <w:tc>
                <w:tcPr>
                  <w:tcW w:w="877" w:type="pct"/>
                  <w:vAlign w:val="center"/>
                </w:tcPr>
                <w:p w14:paraId="7DF749FF">
                  <w:pPr>
                    <w:jc w:val="center"/>
                    <w:rPr>
                      <w:color w:val="auto"/>
                    </w:rPr>
                  </w:pPr>
                  <w:r>
                    <w:rPr>
                      <w:color w:val="auto"/>
                    </w:rPr>
                    <w:t>挂镀电泳线</w:t>
                  </w:r>
                </w:p>
              </w:tc>
              <w:tc>
                <w:tcPr>
                  <w:tcW w:w="626" w:type="pct"/>
                  <w:vAlign w:val="center"/>
                </w:tcPr>
                <w:p w14:paraId="0548B3B1">
                  <w:pPr>
                    <w:jc w:val="center"/>
                    <w:rPr>
                      <w:color w:val="auto"/>
                    </w:rPr>
                  </w:pPr>
                  <w:r>
                    <w:rPr>
                      <w:color w:val="auto"/>
                    </w:rPr>
                    <w:t>VOCs</w:t>
                  </w:r>
                </w:p>
              </w:tc>
              <w:tc>
                <w:tcPr>
                  <w:tcW w:w="777" w:type="pct"/>
                  <w:vAlign w:val="center"/>
                </w:tcPr>
                <w:p w14:paraId="7BF5C47F">
                  <w:pPr>
                    <w:jc w:val="center"/>
                    <w:rPr>
                      <w:color w:val="auto"/>
                    </w:rPr>
                  </w:pPr>
                  <w:r>
                    <w:rPr>
                      <w:color w:val="auto"/>
                    </w:rPr>
                    <w:t>0.38</w:t>
                  </w:r>
                </w:p>
              </w:tc>
              <w:tc>
                <w:tcPr>
                  <w:tcW w:w="780" w:type="pct"/>
                  <w:vAlign w:val="center"/>
                </w:tcPr>
                <w:p w14:paraId="55CDD78D">
                  <w:pPr>
                    <w:jc w:val="center"/>
                    <w:rPr>
                      <w:color w:val="auto"/>
                    </w:rPr>
                  </w:pPr>
                  <w:r>
                    <w:rPr>
                      <w:color w:val="auto"/>
                    </w:rPr>
                    <w:t>0.05</w:t>
                  </w:r>
                </w:p>
              </w:tc>
              <w:tc>
                <w:tcPr>
                  <w:tcW w:w="812" w:type="pct"/>
                  <w:vMerge w:val="continue"/>
                  <w:vAlign w:val="center"/>
                </w:tcPr>
                <w:p w14:paraId="569BD5A3">
                  <w:pPr>
                    <w:jc w:val="center"/>
                    <w:rPr>
                      <w:color w:val="auto"/>
                    </w:rPr>
                  </w:pPr>
                </w:p>
              </w:tc>
              <w:tc>
                <w:tcPr>
                  <w:tcW w:w="554" w:type="pct"/>
                  <w:vMerge w:val="continue"/>
                  <w:vAlign w:val="center"/>
                </w:tcPr>
                <w:p w14:paraId="38DE8C95">
                  <w:pPr>
                    <w:jc w:val="center"/>
                    <w:rPr>
                      <w:color w:val="auto"/>
                    </w:rPr>
                  </w:pPr>
                </w:p>
              </w:tc>
            </w:tr>
            <w:tr w14:paraId="1F13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569" w:type="pct"/>
                  <w:vMerge w:val="restart"/>
                  <w:vAlign w:val="center"/>
                </w:tcPr>
                <w:p w14:paraId="5C783313">
                  <w:pPr>
                    <w:jc w:val="center"/>
                    <w:rPr>
                      <w:color w:val="auto"/>
                    </w:rPr>
                  </w:pPr>
                  <w:r>
                    <w:rPr>
                      <w:color w:val="auto"/>
                    </w:rPr>
                    <w:t>6#电镀车间</w:t>
                  </w:r>
                </w:p>
              </w:tc>
              <w:tc>
                <w:tcPr>
                  <w:tcW w:w="877" w:type="pct"/>
                  <w:vAlign w:val="center"/>
                </w:tcPr>
                <w:p w14:paraId="549A67C9">
                  <w:pPr>
                    <w:jc w:val="center"/>
                    <w:rPr>
                      <w:color w:val="auto"/>
                    </w:rPr>
                  </w:pPr>
                  <w:r>
                    <w:rPr>
                      <w:color w:val="auto"/>
                    </w:rPr>
                    <w:t>全自动滚镀镍铜镍+化学镀镍线、半自动3C滚镀</w:t>
                  </w:r>
                </w:p>
                <w:p w14:paraId="7674D679">
                  <w:pPr>
                    <w:jc w:val="center"/>
                    <w:rPr>
                      <w:color w:val="auto"/>
                    </w:rPr>
                  </w:pPr>
                  <w:r>
                    <w:rPr>
                      <w:color w:val="auto"/>
                    </w:rPr>
                    <w:t>锌线</w:t>
                  </w:r>
                </w:p>
              </w:tc>
              <w:tc>
                <w:tcPr>
                  <w:tcW w:w="626" w:type="pct"/>
                  <w:vAlign w:val="center"/>
                </w:tcPr>
                <w:p w14:paraId="285287DF">
                  <w:pPr>
                    <w:jc w:val="center"/>
                    <w:rPr>
                      <w:color w:val="auto"/>
                    </w:rPr>
                  </w:pPr>
                  <w:r>
                    <w:rPr>
                      <w:color w:val="auto"/>
                    </w:rPr>
                    <w:t>氮氧化物</w:t>
                  </w:r>
                </w:p>
              </w:tc>
              <w:tc>
                <w:tcPr>
                  <w:tcW w:w="777" w:type="pct"/>
                  <w:vAlign w:val="center"/>
                </w:tcPr>
                <w:p w14:paraId="3BF7F2BA">
                  <w:pPr>
                    <w:jc w:val="center"/>
                    <w:rPr>
                      <w:color w:val="auto"/>
                    </w:rPr>
                  </w:pPr>
                  <w:r>
                    <w:rPr>
                      <w:color w:val="auto"/>
                    </w:rPr>
                    <w:t>0.018</w:t>
                  </w:r>
                </w:p>
              </w:tc>
              <w:tc>
                <w:tcPr>
                  <w:tcW w:w="780" w:type="pct"/>
                  <w:vAlign w:val="center"/>
                </w:tcPr>
                <w:p w14:paraId="432B611D">
                  <w:pPr>
                    <w:jc w:val="center"/>
                    <w:rPr>
                      <w:color w:val="auto"/>
                    </w:rPr>
                  </w:pPr>
                  <w:r>
                    <w:rPr>
                      <w:color w:val="auto"/>
                    </w:rPr>
                    <w:t>0.002</w:t>
                  </w:r>
                </w:p>
              </w:tc>
              <w:tc>
                <w:tcPr>
                  <w:tcW w:w="812" w:type="pct"/>
                  <w:vMerge w:val="restart"/>
                  <w:vAlign w:val="center"/>
                </w:tcPr>
                <w:p w14:paraId="1BF52770">
                  <w:pPr>
                    <w:jc w:val="center"/>
                    <w:rPr>
                      <w:color w:val="auto"/>
                    </w:rPr>
                  </w:pPr>
                  <w:r>
                    <w:rPr>
                      <w:color w:val="auto"/>
                    </w:rPr>
                    <w:t>85m×22m</w:t>
                  </w:r>
                </w:p>
              </w:tc>
              <w:tc>
                <w:tcPr>
                  <w:tcW w:w="554" w:type="pct"/>
                  <w:vMerge w:val="restart"/>
                  <w:vAlign w:val="center"/>
                </w:tcPr>
                <w:p w14:paraId="18C4516B">
                  <w:pPr>
                    <w:jc w:val="center"/>
                    <w:rPr>
                      <w:color w:val="auto"/>
                    </w:rPr>
                  </w:pPr>
                  <w:r>
                    <w:rPr>
                      <w:color w:val="auto"/>
                    </w:rPr>
                    <w:t>7.2m</w:t>
                  </w:r>
                </w:p>
              </w:tc>
            </w:tr>
            <w:tr w14:paraId="649D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569" w:type="pct"/>
                  <w:vMerge w:val="continue"/>
                  <w:vAlign w:val="center"/>
                </w:tcPr>
                <w:p w14:paraId="077DCD12">
                  <w:pPr>
                    <w:jc w:val="center"/>
                    <w:rPr>
                      <w:color w:val="auto"/>
                    </w:rPr>
                  </w:pPr>
                </w:p>
              </w:tc>
              <w:tc>
                <w:tcPr>
                  <w:tcW w:w="877" w:type="pct"/>
                  <w:vAlign w:val="center"/>
                </w:tcPr>
                <w:p w14:paraId="4E8BDDB3">
                  <w:pPr>
                    <w:jc w:val="center"/>
                    <w:rPr>
                      <w:color w:val="auto"/>
                    </w:rPr>
                  </w:pPr>
                  <w:r>
                    <w:rPr>
                      <w:color w:val="auto"/>
                    </w:rPr>
                    <w:t>全自动挂镀锌线</w:t>
                  </w:r>
                </w:p>
              </w:tc>
              <w:tc>
                <w:tcPr>
                  <w:tcW w:w="626" w:type="pct"/>
                  <w:vAlign w:val="center"/>
                </w:tcPr>
                <w:p w14:paraId="17862CC5">
                  <w:pPr>
                    <w:jc w:val="center"/>
                    <w:rPr>
                      <w:color w:val="auto"/>
                    </w:rPr>
                  </w:pPr>
                  <w:r>
                    <w:rPr>
                      <w:color w:val="auto"/>
                    </w:rPr>
                    <w:t>氯化氢</w:t>
                  </w:r>
                </w:p>
              </w:tc>
              <w:tc>
                <w:tcPr>
                  <w:tcW w:w="777" w:type="pct"/>
                  <w:vAlign w:val="center"/>
                </w:tcPr>
                <w:p w14:paraId="693FD848">
                  <w:pPr>
                    <w:jc w:val="center"/>
                    <w:rPr>
                      <w:color w:val="auto"/>
                    </w:rPr>
                  </w:pPr>
                  <w:r>
                    <w:rPr>
                      <w:color w:val="auto"/>
                    </w:rPr>
                    <w:t>0.0004</w:t>
                  </w:r>
                </w:p>
              </w:tc>
              <w:tc>
                <w:tcPr>
                  <w:tcW w:w="780" w:type="pct"/>
                  <w:vAlign w:val="center"/>
                </w:tcPr>
                <w:p w14:paraId="3B36A8D4">
                  <w:pPr>
                    <w:jc w:val="center"/>
                    <w:rPr>
                      <w:color w:val="auto"/>
                    </w:rPr>
                  </w:pPr>
                  <w:r>
                    <w:rPr>
                      <w:color w:val="auto"/>
                    </w:rPr>
                    <w:t>0.00005</w:t>
                  </w:r>
                </w:p>
              </w:tc>
              <w:tc>
                <w:tcPr>
                  <w:tcW w:w="812" w:type="pct"/>
                  <w:vMerge w:val="continue"/>
                  <w:vAlign w:val="center"/>
                </w:tcPr>
                <w:p w14:paraId="4BC85A4E">
                  <w:pPr>
                    <w:jc w:val="center"/>
                    <w:rPr>
                      <w:color w:val="auto"/>
                    </w:rPr>
                  </w:pPr>
                </w:p>
              </w:tc>
              <w:tc>
                <w:tcPr>
                  <w:tcW w:w="554" w:type="pct"/>
                  <w:vMerge w:val="continue"/>
                  <w:vAlign w:val="center"/>
                </w:tcPr>
                <w:p w14:paraId="46575282">
                  <w:pPr>
                    <w:jc w:val="center"/>
                    <w:rPr>
                      <w:color w:val="auto"/>
                    </w:rPr>
                  </w:pPr>
                </w:p>
              </w:tc>
            </w:tr>
            <w:tr w14:paraId="1A82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Align w:val="center"/>
                </w:tcPr>
                <w:p w14:paraId="5C823C2C">
                  <w:pPr>
                    <w:jc w:val="center"/>
                    <w:rPr>
                      <w:color w:val="auto"/>
                    </w:rPr>
                  </w:pPr>
                  <w:r>
                    <w:rPr>
                      <w:color w:val="auto"/>
                    </w:rPr>
                    <w:t>7#电镀车间</w:t>
                  </w:r>
                </w:p>
              </w:tc>
              <w:tc>
                <w:tcPr>
                  <w:tcW w:w="877" w:type="pct"/>
                  <w:vAlign w:val="center"/>
                </w:tcPr>
                <w:p w14:paraId="5DE8B1BE">
                  <w:pPr>
                    <w:jc w:val="center"/>
                    <w:rPr>
                      <w:color w:val="auto"/>
                    </w:rPr>
                  </w:pPr>
                  <w:r>
                    <w:rPr>
                      <w:color w:val="auto"/>
                    </w:rPr>
                    <w:t>全自动滚镀镍铜镍+化学</w:t>
                  </w:r>
                  <w:r>
                    <w:rPr>
                      <w:color w:val="auto"/>
                      <w:spacing w:val="-1"/>
                      <w:sz w:val="21"/>
                      <w:szCs w:val="21"/>
                    </w:rPr>
                    <w:t>镀镍线、镀锌镍合金和镀镍铜镍退镀线</w:t>
                  </w:r>
                </w:p>
              </w:tc>
              <w:tc>
                <w:tcPr>
                  <w:tcW w:w="626" w:type="pct"/>
                  <w:vAlign w:val="center"/>
                </w:tcPr>
                <w:p w14:paraId="662EF081">
                  <w:pPr>
                    <w:jc w:val="center"/>
                    <w:rPr>
                      <w:color w:val="auto"/>
                    </w:rPr>
                  </w:pPr>
                  <w:r>
                    <w:rPr>
                      <w:color w:val="auto"/>
                    </w:rPr>
                    <w:t>氮氧化物</w:t>
                  </w:r>
                </w:p>
              </w:tc>
              <w:tc>
                <w:tcPr>
                  <w:tcW w:w="777" w:type="pct"/>
                  <w:vAlign w:val="center"/>
                </w:tcPr>
                <w:p w14:paraId="7E65FE93">
                  <w:pPr>
                    <w:jc w:val="center"/>
                    <w:rPr>
                      <w:color w:val="auto"/>
                    </w:rPr>
                  </w:pPr>
                  <w:r>
                    <w:rPr>
                      <w:color w:val="auto"/>
                    </w:rPr>
                    <w:t>0.045</w:t>
                  </w:r>
                </w:p>
              </w:tc>
              <w:tc>
                <w:tcPr>
                  <w:tcW w:w="780" w:type="pct"/>
                  <w:vAlign w:val="center"/>
                </w:tcPr>
                <w:p w14:paraId="2E18060C">
                  <w:pPr>
                    <w:jc w:val="center"/>
                    <w:rPr>
                      <w:color w:val="auto"/>
                    </w:rPr>
                  </w:pPr>
                  <w:r>
                    <w:rPr>
                      <w:color w:val="auto"/>
                    </w:rPr>
                    <w:t>0.006</w:t>
                  </w:r>
                </w:p>
              </w:tc>
              <w:tc>
                <w:tcPr>
                  <w:tcW w:w="812" w:type="pct"/>
                  <w:vAlign w:val="center"/>
                </w:tcPr>
                <w:p w14:paraId="7FEA37A7">
                  <w:pPr>
                    <w:jc w:val="center"/>
                    <w:rPr>
                      <w:color w:val="auto"/>
                    </w:rPr>
                  </w:pPr>
                  <w:r>
                    <w:rPr>
                      <w:color w:val="auto"/>
                    </w:rPr>
                    <w:t>85m×22m</w:t>
                  </w:r>
                </w:p>
              </w:tc>
              <w:tc>
                <w:tcPr>
                  <w:tcW w:w="554" w:type="pct"/>
                  <w:vAlign w:val="center"/>
                </w:tcPr>
                <w:p w14:paraId="354F4574">
                  <w:pPr>
                    <w:jc w:val="center"/>
                    <w:rPr>
                      <w:color w:val="auto"/>
                    </w:rPr>
                  </w:pPr>
                  <w:r>
                    <w:rPr>
                      <w:color w:val="auto"/>
                    </w:rPr>
                    <w:t>7.2m</w:t>
                  </w:r>
                </w:p>
              </w:tc>
            </w:tr>
            <w:tr w14:paraId="36F8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restart"/>
                  <w:shd w:val="clear" w:color="auto" w:fill="auto"/>
                  <w:vAlign w:val="center"/>
                </w:tcPr>
                <w:p w14:paraId="62189E05">
                  <w:pPr>
                    <w:jc w:val="center"/>
                    <w:rPr>
                      <w:rFonts w:ascii="Times New Roman" w:hAnsi="Times New Roman" w:eastAsia="宋体" w:cs="Times New Roman"/>
                      <w:color w:val="auto"/>
                      <w:kern w:val="2"/>
                      <w:sz w:val="21"/>
                      <w:szCs w:val="24"/>
                      <w:lang w:val="en-US" w:eastAsia="zh-CN" w:bidi="ar-SA"/>
                    </w:rPr>
                  </w:pPr>
                  <w:r>
                    <w:rPr>
                      <w:color w:val="auto"/>
                    </w:rPr>
                    <w:t>8#电镀车间</w:t>
                  </w:r>
                </w:p>
              </w:tc>
              <w:tc>
                <w:tcPr>
                  <w:tcW w:w="877" w:type="pct"/>
                  <w:shd w:val="clear" w:color="auto" w:fill="auto"/>
                  <w:vAlign w:val="center"/>
                </w:tcPr>
                <w:p w14:paraId="3BA9E1E6">
                  <w:pPr>
                    <w:jc w:val="center"/>
                    <w:rPr>
                      <w:color w:val="auto"/>
                    </w:rPr>
                  </w:pPr>
                  <w:r>
                    <w:rPr>
                      <w:color w:val="auto"/>
                    </w:rPr>
                    <w:t>全自动滚镀镍铜镍+化学镀镍线、镀锌镍合金和镀</w:t>
                  </w:r>
                </w:p>
                <w:p w14:paraId="71CFEE25">
                  <w:pPr>
                    <w:jc w:val="center"/>
                    <w:rPr>
                      <w:rFonts w:ascii="Times New Roman" w:hAnsi="Times New Roman" w:eastAsia="宋体" w:cs="Times New Roman"/>
                      <w:color w:val="auto"/>
                      <w:kern w:val="2"/>
                      <w:sz w:val="21"/>
                      <w:szCs w:val="24"/>
                      <w:lang w:val="en-US" w:eastAsia="zh-CN" w:bidi="ar-SA"/>
                    </w:rPr>
                  </w:pPr>
                  <w:r>
                    <w:rPr>
                      <w:color w:val="auto"/>
                    </w:rPr>
                    <w:t>镍铜镍退镀线</w:t>
                  </w:r>
                </w:p>
              </w:tc>
              <w:tc>
                <w:tcPr>
                  <w:tcW w:w="626" w:type="pct"/>
                  <w:shd w:val="clear" w:color="auto" w:fill="auto"/>
                  <w:vAlign w:val="center"/>
                </w:tcPr>
                <w:p w14:paraId="597BEDC6">
                  <w:pPr>
                    <w:jc w:val="center"/>
                    <w:rPr>
                      <w:rFonts w:ascii="Times New Roman" w:hAnsi="Times New Roman" w:eastAsia="宋体" w:cs="Times New Roman"/>
                      <w:color w:val="auto"/>
                      <w:kern w:val="2"/>
                      <w:sz w:val="21"/>
                      <w:szCs w:val="24"/>
                      <w:lang w:val="en-US" w:eastAsia="zh-CN" w:bidi="ar-SA"/>
                    </w:rPr>
                  </w:pPr>
                  <w:r>
                    <w:rPr>
                      <w:color w:val="auto"/>
                    </w:rPr>
                    <w:t>氮氧化物</w:t>
                  </w:r>
                </w:p>
              </w:tc>
              <w:tc>
                <w:tcPr>
                  <w:tcW w:w="777" w:type="pct"/>
                  <w:shd w:val="clear" w:color="auto" w:fill="auto"/>
                  <w:vAlign w:val="center"/>
                </w:tcPr>
                <w:p w14:paraId="47659C12">
                  <w:pPr>
                    <w:jc w:val="center"/>
                    <w:rPr>
                      <w:rFonts w:ascii="Times New Roman" w:hAnsi="Times New Roman" w:eastAsia="宋体" w:cs="Times New Roman"/>
                      <w:color w:val="auto"/>
                      <w:kern w:val="2"/>
                      <w:sz w:val="21"/>
                      <w:szCs w:val="24"/>
                      <w:lang w:val="en-US" w:eastAsia="zh-CN" w:bidi="ar-SA"/>
                    </w:rPr>
                  </w:pPr>
                  <w:r>
                    <w:rPr>
                      <w:color w:val="auto"/>
                    </w:rPr>
                    <w:t>0.0155</w:t>
                  </w:r>
                </w:p>
              </w:tc>
              <w:tc>
                <w:tcPr>
                  <w:tcW w:w="780" w:type="pct"/>
                  <w:shd w:val="clear" w:color="auto" w:fill="auto"/>
                  <w:vAlign w:val="center"/>
                </w:tcPr>
                <w:p w14:paraId="3F74092D">
                  <w:pPr>
                    <w:jc w:val="center"/>
                    <w:rPr>
                      <w:rFonts w:ascii="Times New Roman" w:hAnsi="Times New Roman" w:eastAsia="宋体" w:cs="Times New Roman"/>
                      <w:color w:val="auto"/>
                      <w:kern w:val="2"/>
                      <w:sz w:val="21"/>
                      <w:szCs w:val="24"/>
                      <w:lang w:val="en-US" w:eastAsia="zh-CN" w:bidi="ar-SA"/>
                    </w:rPr>
                  </w:pPr>
                  <w:r>
                    <w:rPr>
                      <w:color w:val="auto"/>
                    </w:rPr>
                    <w:t>0.002</w:t>
                  </w:r>
                </w:p>
              </w:tc>
              <w:tc>
                <w:tcPr>
                  <w:tcW w:w="812" w:type="pct"/>
                  <w:vMerge w:val="restart"/>
                  <w:shd w:val="clear" w:color="auto" w:fill="auto"/>
                  <w:vAlign w:val="center"/>
                </w:tcPr>
                <w:p w14:paraId="08E75EA8">
                  <w:pPr>
                    <w:jc w:val="center"/>
                    <w:rPr>
                      <w:rFonts w:ascii="Times New Roman" w:hAnsi="Times New Roman" w:eastAsia="宋体" w:cs="Times New Roman"/>
                      <w:color w:val="auto"/>
                      <w:kern w:val="2"/>
                      <w:sz w:val="21"/>
                      <w:szCs w:val="24"/>
                      <w:lang w:val="en-US" w:eastAsia="zh-CN" w:bidi="ar-SA"/>
                    </w:rPr>
                  </w:pPr>
                  <w:r>
                    <w:rPr>
                      <w:color w:val="auto"/>
                    </w:rPr>
                    <w:t>85m×22m</w:t>
                  </w:r>
                </w:p>
              </w:tc>
              <w:tc>
                <w:tcPr>
                  <w:tcW w:w="554" w:type="pct"/>
                  <w:vMerge w:val="restart"/>
                  <w:shd w:val="clear" w:color="auto" w:fill="auto"/>
                  <w:vAlign w:val="center"/>
                </w:tcPr>
                <w:p w14:paraId="5CCF69ED">
                  <w:pPr>
                    <w:jc w:val="center"/>
                    <w:rPr>
                      <w:rFonts w:ascii="Times New Roman" w:hAnsi="Times New Roman" w:eastAsia="宋体" w:cs="Times New Roman"/>
                      <w:color w:val="auto"/>
                      <w:kern w:val="2"/>
                      <w:sz w:val="21"/>
                      <w:szCs w:val="24"/>
                      <w:lang w:val="en-US" w:eastAsia="zh-CN" w:bidi="ar-SA"/>
                    </w:rPr>
                  </w:pPr>
                  <w:r>
                    <w:rPr>
                      <w:color w:val="auto"/>
                    </w:rPr>
                    <w:t>7.2m</w:t>
                  </w:r>
                </w:p>
              </w:tc>
            </w:tr>
            <w:tr w14:paraId="3901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43B506C1">
                  <w:pPr>
                    <w:jc w:val="center"/>
                    <w:rPr>
                      <w:color w:val="auto"/>
                    </w:rPr>
                  </w:pPr>
                </w:p>
              </w:tc>
              <w:tc>
                <w:tcPr>
                  <w:tcW w:w="877" w:type="pct"/>
                  <w:vMerge w:val="restart"/>
                  <w:shd w:val="clear" w:color="auto" w:fill="auto"/>
                  <w:vAlign w:val="center"/>
                </w:tcPr>
                <w:p w14:paraId="3AE6C43E">
                  <w:pPr>
                    <w:jc w:val="center"/>
                    <w:rPr>
                      <w:rFonts w:ascii="Times New Roman" w:hAnsi="Times New Roman" w:eastAsia="宋体" w:cs="Times New Roman"/>
                      <w:color w:val="auto"/>
                      <w:kern w:val="2"/>
                      <w:sz w:val="21"/>
                      <w:szCs w:val="24"/>
                      <w:lang w:val="en-US" w:eastAsia="zh-CN" w:bidi="ar-SA"/>
                    </w:rPr>
                  </w:pPr>
                  <w:r>
                    <w:rPr>
                      <w:color w:val="auto"/>
                    </w:rPr>
                    <w:t>水性漆、2#油性漆喷涂线喷枪清洗</w:t>
                  </w:r>
                </w:p>
              </w:tc>
              <w:tc>
                <w:tcPr>
                  <w:tcW w:w="1163" w:type="dxa"/>
                  <w:shd w:val="clear" w:color="auto" w:fill="auto"/>
                  <w:vAlign w:val="center"/>
                </w:tcPr>
                <w:p w14:paraId="46D711C7">
                  <w:pPr>
                    <w:jc w:val="center"/>
                    <w:rPr>
                      <w:rFonts w:ascii="Times New Roman" w:hAnsi="Times New Roman" w:eastAsia="宋体" w:cs="Times New Roman"/>
                      <w:color w:val="auto"/>
                      <w:kern w:val="2"/>
                      <w:sz w:val="21"/>
                      <w:szCs w:val="24"/>
                      <w:lang w:val="en-US" w:eastAsia="zh-CN" w:bidi="ar-SA"/>
                    </w:rPr>
                  </w:pPr>
                  <w:r>
                    <w:rPr>
                      <w:color w:val="auto"/>
                    </w:rPr>
                    <w:t>颗粒物</w:t>
                  </w:r>
                </w:p>
              </w:tc>
              <w:tc>
                <w:tcPr>
                  <w:tcW w:w="1443" w:type="dxa"/>
                  <w:shd w:val="clear" w:color="auto" w:fill="auto"/>
                  <w:vAlign w:val="center"/>
                </w:tcPr>
                <w:p w14:paraId="1E7FAEE9">
                  <w:pPr>
                    <w:jc w:val="center"/>
                    <w:rPr>
                      <w:rFonts w:ascii="Times New Roman" w:hAnsi="Times New Roman" w:eastAsia="宋体" w:cs="Times New Roman"/>
                      <w:color w:val="auto"/>
                      <w:kern w:val="2"/>
                      <w:sz w:val="21"/>
                      <w:szCs w:val="24"/>
                      <w:lang w:val="en-US" w:eastAsia="zh-CN" w:bidi="ar-SA"/>
                    </w:rPr>
                  </w:pPr>
                  <w:r>
                    <w:rPr>
                      <w:color w:val="auto"/>
                    </w:rPr>
                    <w:t>0.075</w:t>
                  </w:r>
                </w:p>
              </w:tc>
              <w:tc>
                <w:tcPr>
                  <w:tcW w:w="1449" w:type="dxa"/>
                  <w:shd w:val="clear" w:color="auto" w:fill="auto"/>
                  <w:vAlign w:val="center"/>
                </w:tcPr>
                <w:p w14:paraId="2CBBDAD6">
                  <w:pPr>
                    <w:jc w:val="center"/>
                    <w:rPr>
                      <w:rFonts w:ascii="Times New Roman" w:hAnsi="Times New Roman" w:eastAsia="宋体" w:cs="Times New Roman"/>
                      <w:color w:val="auto"/>
                      <w:kern w:val="2"/>
                      <w:sz w:val="21"/>
                      <w:szCs w:val="24"/>
                      <w:lang w:val="en-US" w:eastAsia="zh-CN" w:bidi="ar-SA"/>
                    </w:rPr>
                  </w:pPr>
                  <w:r>
                    <w:rPr>
                      <w:color w:val="auto"/>
                    </w:rPr>
                    <w:t>0.009</w:t>
                  </w:r>
                </w:p>
              </w:tc>
              <w:tc>
                <w:tcPr>
                  <w:tcW w:w="812" w:type="pct"/>
                  <w:vMerge w:val="continue"/>
                  <w:vAlign w:val="center"/>
                </w:tcPr>
                <w:p w14:paraId="4BBBA394">
                  <w:pPr>
                    <w:jc w:val="center"/>
                    <w:rPr>
                      <w:color w:val="auto"/>
                    </w:rPr>
                  </w:pPr>
                </w:p>
              </w:tc>
              <w:tc>
                <w:tcPr>
                  <w:tcW w:w="554" w:type="pct"/>
                  <w:vMerge w:val="continue"/>
                  <w:vAlign w:val="center"/>
                </w:tcPr>
                <w:p w14:paraId="35A42752">
                  <w:pPr>
                    <w:jc w:val="center"/>
                    <w:rPr>
                      <w:color w:val="auto"/>
                    </w:rPr>
                  </w:pPr>
                </w:p>
              </w:tc>
            </w:tr>
            <w:tr w14:paraId="666F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569" w:type="pct"/>
                  <w:vMerge w:val="continue"/>
                  <w:vAlign w:val="center"/>
                </w:tcPr>
                <w:p w14:paraId="1D738EDD">
                  <w:pPr>
                    <w:jc w:val="center"/>
                    <w:rPr>
                      <w:color w:val="auto"/>
                    </w:rPr>
                  </w:pPr>
                </w:p>
              </w:tc>
              <w:tc>
                <w:tcPr>
                  <w:tcW w:w="877" w:type="pct"/>
                  <w:vMerge w:val="continue"/>
                  <w:vAlign w:val="center"/>
                </w:tcPr>
                <w:p w14:paraId="58CFDAA2">
                  <w:pPr>
                    <w:jc w:val="center"/>
                    <w:rPr>
                      <w:color w:val="auto"/>
                    </w:rPr>
                  </w:pPr>
                </w:p>
              </w:tc>
              <w:tc>
                <w:tcPr>
                  <w:tcW w:w="1163" w:type="dxa"/>
                  <w:shd w:val="clear" w:color="auto" w:fill="auto"/>
                  <w:vAlign w:val="center"/>
                </w:tcPr>
                <w:p w14:paraId="32616486">
                  <w:pPr>
                    <w:jc w:val="center"/>
                    <w:rPr>
                      <w:rFonts w:ascii="Times New Roman" w:hAnsi="Times New Roman" w:eastAsia="宋体" w:cs="Times New Roman"/>
                      <w:color w:val="auto"/>
                      <w:kern w:val="2"/>
                      <w:sz w:val="21"/>
                      <w:szCs w:val="24"/>
                      <w:lang w:val="en-US" w:eastAsia="zh-CN" w:bidi="ar-SA"/>
                    </w:rPr>
                  </w:pPr>
                  <w:r>
                    <w:rPr>
                      <w:color w:val="auto"/>
                    </w:rPr>
                    <w:t>VOCs</w:t>
                  </w:r>
                </w:p>
              </w:tc>
              <w:tc>
                <w:tcPr>
                  <w:tcW w:w="1443" w:type="dxa"/>
                  <w:shd w:val="clear" w:color="auto" w:fill="auto"/>
                  <w:vAlign w:val="center"/>
                </w:tcPr>
                <w:p w14:paraId="764802D4">
                  <w:pPr>
                    <w:jc w:val="center"/>
                    <w:rPr>
                      <w:rFonts w:ascii="Times New Roman" w:hAnsi="Times New Roman" w:eastAsia="宋体" w:cs="Times New Roman"/>
                      <w:color w:val="auto"/>
                      <w:kern w:val="2"/>
                      <w:sz w:val="21"/>
                      <w:szCs w:val="24"/>
                      <w:lang w:val="en-US" w:eastAsia="zh-CN" w:bidi="ar-SA"/>
                    </w:rPr>
                  </w:pPr>
                  <w:r>
                    <w:rPr>
                      <w:color w:val="auto"/>
                    </w:rPr>
                    <w:t>0.1665</w:t>
                  </w:r>
                </w:p>
              </w:tc>
              <w:tc>
                <w:tcPr>
                  <w:tcW w:w="1449" w:type="dxa"/>
                  <w:shd w:val="clear" w:color="auto" w:fill="auto"/>
                  <w:vAlign w:val="center"/>
                </w:tcPr>
                <w:p w14:paraId="7180B78D">
                  <w:pPr>
                    <w:jc w:val="center"/>
                    <w:rPr>
                      <w:rFonts w:ascii="Times New Roman" w:hAnsi="Times New Roman" w:eastAsia="宋体" w:cs="Times New Roman"/>
                      <w:color w:val="auto"/>
                      <w:kern w:val="2"/>
                      <w:sz w:val="21"/>
                      <w:szCs w:val="24"/>
                      <w:lang w:val="en-US" w:eastAsia="zh-CN" w:bidi="ar-SA"/>
                    </w:rPr>
                  </w:pPr>
                  <w:r>
                    <w:rPr>
                      <w:color w:val="auto"/>
                    </w:rPr>
                    <w:t>0.02</w:t>
                  </w:r>
                </w:p>
              </w:tc>
              <w:tc>
                <w:tcPr>
                  <w:tcW w:w="812" w:type="pct"/>
                  <w:vMerge w:val="continue"/>
                  <w:vAlign w:val="center"/>
                </w:tcPr>
                <w:p w14:paraId="5EC50469">
                  <w:pPr>
                    <w:jc w:val="center"/>
                    <w:rPr>
                      <w:color w:val="auto"/>
                    </w:rPr>
                  </w:pPr>
                </w:p>
              </w:tc>
              <w:tc>
                <w:tcPr>
                  <w:tcW w:w="554" w:type="pct"/>
                  <w:vMerge w:val="continue"/>
                  <w:vAlign w:val="center"/>
                </w:tcPr>
                <w:p w14:paraId="00282D33">
                  <w:pPr>
                    <w:jc w:val="center"/>
                    <w:rPr>
                      <w:color w:val="auto"/>
                    </w:rPr>
                  </w:pPr>
                </w:p>
              </w:tc>
            </w:tr>
            <w:tr w14:paraId="5F81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7B6A8454">
                  <w:pPr>
                    <w:jc w:val="center"/>
                    <w:rPr>
                      <w:color w:val="auto"/>
                    </w:rPr>
                  </w:pPr>
                </w:p>
              </w:tc>
              <w:tc>
                <w:tcPr>
                  <w:tcW w:w="877" w:type="pct"/>
                  <w:vMerge w:val="continue"/>
                  <w:vAlign w:val="center"/>
                </w:tcPr>
                <w:p w14:paraId="7DF11FB8">
                  <w:pPr>
                    <w:jc w:val="center"/>
                    <w:rPr>
                      <w:color w:val="auto"/>
                    </w:rPr>
                  </w:pPr>
                </w:p>
              </w:tc>
              <w:tc>
                <w:tcPr>
                  <w:tcW w:w="1163" w:type="dxa"/>
                  <w:shd w:val="clear" w:color="auto" w:fill="auto"/>
                  <w:vAlign w:val="center"/>
                </w:tcPr>
                <w:p w14:paraId="0D02D8AF">
                  <w:pPr>
                    <w:jc w:val="center"/>
                    <w:rPr>
                      <w:rFonts w:ascii="Times New Roman" w:hAnsi="Times New Roman" w:eastAsia="宋体" w:cs="Times New Roman"/>
                      <w:color w:val="auto"/>
                      <w:kern w:val="2"/>
                      <w:sz w:val="21"/>
                      <w:szCs w:val="24"/>
                      <w:lang w:val="en-US" w:eastAsia="zh-CN" w:bidi="ar-SA"/>
                    </w:rPr>
                  </w:pPr>
                  <w:r>
                    <w:rPr>
                      <w:color w:val="auto"/>
                    </w:rPr>
                    <w:t>二甲苯</w:t>
                  </w:r>
                </w:p>
              </w:tc>
              <w:tc>
                <w:tcPr>
                  <w:tcW w:w="1443" w:type="dxa"/>
                  <w:shd w:val="clear" w:color="auto" w:fill="auto"/>
                  <w:vAlign w:val="center"/>
                </w:tcPr>
                <w:p w14:paraId="0AE6A523">
                  <w:pPr>
                    <w:jc w:val="center"/>
                    <w:rPr>
                      <w:rFonts w:ascii="Times New Roman" w:hAnsi="Times New Roman" w:eastAsia="宋体" w:cs="Times New Roman"/>
                      <w:color w:val="auto"/>
                      <w:kern w:val="2"/>
                      <w:sz w:val="21"/>
                      <w:szCs w:val="24"/>
                      <w:lang w:val="en-US" w:eastAsia="zh-CN" w:bidi="ar-SA"/>
                    </w:rPr>
                  </w:pPr>
                  <w:r>
                    <w:rPr>
                      <w:color w:val="auto"/>
                    </w:rPr>
                    <w:t>0.01</w:t>
                  </w:r>
                </w:p>
              </w:tc>
              <w:tc>
                <w:tcPr>
                  <w:tcW w:w="1449" w:type="dxa"/>
                  <w:shd w:val="clear" w:color="auto" w:fill="auto"/>
                  <w:vAlign w:val="center"/>
                </w:tcPr>
                <w:p w14:paraId="5FA61121">
                  <w:pPr>
                    <w:jc w:val="center"/>
                    <w:rPr>
                      <w:rFonts w:ascii="Times New Roman" w:hAnsi="Times New Roman" w:eastAsia="宋体" w:cs="Times New Roman"/>
                      <w:color w:val="auto"/>
                      <w:kern w:val="2"/>
                      <w:sz w:val="21"/>
                      <w:szCs w:val="24"/>
                      <w:lang w:val="en-US" w:eastAsia="zh-CN" w:bidi="ar-SA"/>
                    </w:rPr>
                  </w:pPr>
                  <w:r>
                    <w:rPr>
                      <w:color w:val="auto"/>
                    </w:rPr>
                    <w:t>0.001</w:t>
                  </w:r>
                </w:p>
              </w:tc>
              <w:tc>
                <w:tcPr>
                  <w:tcW w:w="812" w:type="pct"/>
                  <w:vMerge w:val="continue"/>
                  <w:vAlign w:val="center"/>
                </w:tcPr>
                <w:p w14:paraId="65296D4C">
                  <w:pPr>
                    <w:jc w:val="center"/>
                    <w:rPr>
                      <w:color w:val="auto"/>
                    </w:rPr>
                  </w:pPr>
                </w:p>
              </w:tc>
              <w:tc>
                <w:tcPr>
                  <w:tcW w:w="554" w:type="pct"/>
                  <w:vMerge w:val="continue"/>
                  <w:vAlign w:val="center"/>
                </w:tcPr>
                <w:p w14:paraId="221FFC61">
                  <w:pPr>
                    <w:jc w:val="center"/>
                    <w:rPr>
                      <w:color w:val="auto"/>
                    </w:rPr>
                  </w:pPr>
                </w:p>
              </w:tc>
            </w:tr>
            <w:tr w14:paraId="7623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79A41C98">
                  <w:pPr>
                    <w:jc w:val="center"/>
                    <w:rPr>
                      <w:color w:val="auto"/>
                    </w:rPr>
                  </w:pPr>
                </w:p>
              </w:tc>
              <w:tc>
                <w:tcPr>
                  <w:tcW w:w="877" w:type="pct"/>
                  <w:vMerge w:val="continue"/>
                  <w:vAlign w:val="center"/>
                </w:tcPr>
                <w:p w14:paraId="12F56E48">
                  <w:pPr>
                    <w:jc w:val="center"/>
                    <w:rPr>
                      <w:color w:val="auto"/>
                    </w:rPr>
                  </w:pPr>
                </w:p>
              </w:tc>
              <w:tc>
                <w:tcPr>
                  <w:tcW w:w="1163" w:type="dxa"/>
                  <w:shd w:val="clear" w:color="auto" w:fill="auto"/>
                  <w:vAlign w:val="center"/>
                </w:tcPr>
                <w:p w14:paraId="2B8213C5">
                  <w:pPr>
                    <w:jc w:val="center"/>
                    <w:rPr>
                      <w:rFonts w:ascii="Times New Roman" w:hAnsi="Times New Roman" w:eastAsia="宋体" w:cs="Times New Roman"/>
                      <w:color w:val="auto"/>
                      <w:kern w:val="2"/>
                      <w:sz w:val="21"/>
                      <w:szCs w:val="24"/>
                      <w:lang w:val="en-US" w:eastAsia="zh-CN" w:bidi="ar-SA"/>
                    </w:rPr>
                  </w:pPr>
                  <w:r>
                    <w:rPr>
                      <w:color w:val="auto"/>
                    </w:rPr>
                    <w:t>甲醛</w:t>
                  </w:r>
                </w:p>
              </w:tc>
              <w:tc>
                <w:tcPr>
                  <w:tcW w:w="1443" w:type="dxa"/>
                  <w:shd w:val="clear" w:color="auto" w:fill="auto"/>
                  <w:vAlign w:val="center"/>
                </w:tcPr>
                <w:p w14:paraId="4795AB78">
                  <w:pPr>
                    <w:jc w:val="center"/>
                    <w:rPr>
                      <w:rFonts w:ascii="Times New Roman" w:hAnsi="Times New Roman" w:eastAsia="宋体" w:cs="Times New Roman"/>
                      <w:color w:val="auto"/>
                      <w:kern w:val="2"/>
                      <w:sz w:val="21"/>
                      <w:szCs w:val="24"/>
                      <w:lang w:val="en-US" w:eastAsia="zh-CN" w:bidi="ar-SA"/>
                    </w:rPr>
                  </w:pPr>
                  <w:r>
                    <w:rPr>
                      <w:color w:val="auto"/>
                    </w:rPr>
                    <w:t>0.002</w:t>
                  </w:r>
                </w:p>
              </w:tc>
              <w:tc>
                <w:tcPr>
                  <w:tcW w:w="1449" w:type="dxa"/>
                  <w:shd w:val="clear" w:color="auto" w:fill="auto"/>
                  <w:vAlign w:val="center"/>
                </w:tcPr>
                <w:p w14:paraId="33B21F42">
                  <w:pPr>
                    <w:jc w:val="center"/>
                    <w:rPr>
                      <w:rFonts w:ascii="Times New Roman" w:hAnsi="Times New Roman" w:eastAsia="宋体" w:cs="Times New Roman"/>
                      <w:color w:val="auto"/>
                      <w:kern w:val="2"/>
                      <w:sz w:val="21"/>
                      <w:szCs w:val="24"/>
                      <w:lang w:val="en-US" w:eastAsia="zh-CN" w:bidi="ar-SA"/>
                    </w:rPr>
                  </w:pPr>
                  <w:r>
                    <w:rPr>
                      <w:color w:val="auto"/>
                    </w:rPr>
                    <w:t>0.0002</w:t>
                  </w:r>
                </w:p>
              </w:tc>
              <w:tc>
                <w:tcPr>
                  <w:tcW w:w="812" w:type="pct"/>
                  <w:vMerge w:val="continue"/>
                  <w:vAlign w:val="center"/>
                </w:tcPr>
                <w:p w14:paraId="750518A2">
                  <w:pPr>
                    <w:jc w:val="center"/>
                    <w:rPr>
                      <w:color w:val="auto"/>
                    </w:rPr>
                  </w:pPr>
                </w:p>
              </w:tc>
              <w:tc>
                <w:tcPr>
                  <w:tcW w:w="554" w:type="pct"/>
                  <w:vMerge w:val="continue"/>
                  <w:vAlign w:val="center"/>
                </w:tcPr>
                <w:p w14:paraId="5F79A518">
                  <w:pPr>
                    <w:jc w:val="center"/>
                    <w:rPr>
                      <w:color w:val="auto"/>
                    </w:rPr>
                  </w:pPr>
                </w:p>
              </w:tc>
            </w:tr>
            <w:tr w14:paraId="7989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77F5CCE9">
                  <w:pPr>
                    <w:jc w:val="center"/>
                    <w:rPr>
                      <w:color w:val="auto"/>
                    </w:rPr>
                  </w:pPr>
                </w:p>
              </w:tc>
              <w:tc>
                <w:tcPr>
                  <w:tcW w:w="877" w:type="pct"/>
                  <w:vMerge w:val="continue"/>
                  <w:vAlign w:val="center"/>
                </w:tcPr>
                <w:p w14:paraId="55878ACE">
                  <w:pPr>
                    <w:jc w:val="center"/>
                    <w:rPr>
                      <w:color w:val="auto"/>
                    </w:rPr>
                  </w:pPr>
                </w:p>
              </w:tc>
              <w:tc>
                <w:tcPr>
                  <w:tcW w:w="1163" w:type="dxa"/>
                  <w:shd w:val="clear" w:color="auto" w:fill="auto"/>
                  <w:vAlign w:val="center"/>
                </w:tcPr>
                <w:p w14:paraId="0F0C1BCD">
                  <w:pPr>
                    <w:jc w:val="center"/>
                    <w:rPr>
                      <w:rFonts w:ascii="Times New Roman" w:hAnsi="Times New Roman" w:eastAsia="宋体" w:cs="Times New Roman"/>
                      <w:color w:val="auto"/>
                      <w:kern w:val="2"/>
                      <w:sz w:val="21"/>
                      <w:szCs w:val="24"/>
                      <w:lang w:val="en-US" w:eastAsia="zh-CN" w:bidi="ar-SA"/>
                    </w:rPr>
                  </w:pPr>
                  <w:r>
                    <w:rPr>
                      <w:color w:val="auto"/>
                    </w:rPr>
                    <w:t>甲苯</w:t>
                  </w:r>
                </w:p>
              </w:tc>
              <w:tc>
                <w:tcPr>
                  <w:tcW w:w="1443" w:type="dxa"/>
                  <w:shd w:val="clear" w:color="auto" w:fill="auto"/>
                  <w:vAlign w:val="center"/>
                </w:tcPr>
                <w:p w14:paraId="37A2E301">
                  <w:pPr>
                    <w:jc w:val="center"/>
                    <w:rPr>
                      <w:rFonts w:ascii="Times New Roman" w:hAnsi="Times New Roman" w:eastAsia="宋体" w:cs="Times New Roman"/>
                      <w:color w:val="auto"/>
                      <w:kern w:val="2"/>
                      <w:sz w:val="21"/>
                      <w:szCs w:val="24"/>
                      <w:lang w:val="en-US" w:eastAsia="zh-CN" w:bidi="ar-SA"/>
                    </w:rPr>
                  </w:pPr>
                  <w:r>
                    <w:rPr>
                      <w:color w:val="auto"/>
                    </w:rPr>
                    <w:t>0.01</w:t>
                  </w:r>
                </w:p>
              </w:tc>
              <w:tc>
                <w:tcPr>
                  <w:tcW w:w="1449" w:type="dxa"/>
                  <w:shd w:val="clear" w:color="auto" w:fill="auto"/>
                  <w:vAlign w:val="center"/>
                </w:tcPr>
                <w:p w14:paraId="403D8500">
                  <w:pPr>
                    <w:jc w:val="center"/>
                    <w:rPr>
                      <w:rFonts w:ascii="Times New Roman" w:hAnsi="Times New Roman" w:eastAsia="宋体" w:cs="Times New Roman"/>
                      <w:color w:val="auto"/>
                      <w:kern w:val="2"/>
                      <w:sz w:val="21"/>
                      <w:szCs w:val="24"/>
                      <w:lang w:val="en-US" w:eastAsia="zh-CN" w:bidi="ar-SA"/>
                    </w:rPr>
                  </w:pPr>
                  <w:r>
                    <w:rPr>
                      <w:color w:val="auto"/>
                    </w:rPr>
                    <w:t>0.001</w:t>
                  </w:r>
                </w:p>
              </w:tc>
              <w:tc>
                <w:tcPr>
                  <w:tcW w:w="812" w:type="pct"/>
                  <w:vMerge w:val="continue"/>
                  <w:vAlign w:val="center"/>
                </w:tcPr>
                <w:p w14:paraId="49BBA889">
                  <w:pPr>
                    <w:jc w:val="center"/>
                    <w:rPr>
                      <w:color w:val="auto"/>
                    </w:rPr>
                  </w:pPr>
                </w:p>
              </w:tc>
              <w:tc>
                <w:tcPr>
                  <w:tcW w:w="554" w:type="pct"/>
                  <w:vMerge w:val="continue"/>
                  <w:vAlign w:val="center"/>
                </w:tcPr>
                <w:p w14:paraId="7CC23B1B">
                  <w:pPr>
                    <w:jc w:val="center"/>
                    <w:rPr>
                      <w:color w:val="auto"/>
                    </w:rPr>
                  </w:pPr>
                </w:p>
              </w:tc>
            </w:tr>
            <w:tr w14:paraId="5EA6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restart"/>
                  <w:shd w:val="clear" w:color="auto" w:fill="auto"/>
                  <w:vAlign w:val="center"/>
                </w:tcPr>
                <w:p w14:paraId="53EE696A">
                  <w:pPr>
                    <w:jc w:val="center"/>
                    <w:rPr>
                      <w:rFonts w:ascii="Times New Roman" w:hAnsi="Times New Roman" w:eastAsia="宋体" w:cs="Times New Roman"/>
                      <w:color w:val="auto"/>
                      <w:kern w:val="2"/>
                      <w:sz w:val="21"/>
                      <w:szCs w:val="24"/>
                      <w:lang w:val="en-US" w:eastAsia="zh-CN" w:bidi="ar-SA"/>
                    </w:rPr>
                  </w:pPr>
                  <w:r>
                    <w:rPr>
                      <w:color w:val="auto"/>
                    </w:rPr>
                    <w:t>注射粘结磁生产车间</w:t>
                  </w:r>
                </w:p>
              </w:tc>
              <w:tc>
                <w:tcPr>
                  <w:tcW w:w="1629" w:type="dxa"/>
                  <w:shd w:val="clear" w:color="auto" w:fill="auto"/>
                  <w:vAlign w:val="center"/>
                </w:tcPr>
                <w:p w14:paraId="2CA2394D">
                  <w:pPr>
                    <w:jc w:val="center"/>
                    <w:rPr>
                      <w:rFonts w:ascii="Times New Roman" w:hAnsi="Times New Roman" w:eastAsia="宋体" w:cs="Times New Roman"/>
                      <w:color w:val="auto"/>
                      <w:kern w:val="2"/>
                      <w:sz w:val="21"/>
                      <w:szCs w:val="24"/>
                      <w:lang w:val="en-US" w:eastAsia="zh-CN" w:bidi="ar-SA"/>
                    </w:rPr>
                  </w:pPr>
                  <w:r>
                    <w:rPr>
                      <w:color w:val="auto"/>
                    </w:rPr>
                    <w:t>混料、造粒投料、破碎、研磨</w:t>
                  </w:r>
                </w:p>
              </w:tc>
              <w:tc>
                <w:tcPr>
                  <w:tcW w:w="1163" w:type="dxa"/>
                  <w:shd w:val="clear" w:color="auto" w:fill="auto"/>
                  <w:vAlign w:val="center"/>
                </w:tcPr>
                <w:p w14:paraId="3AC3179B">
                  <w:pPr>
                    <w:jc w:val="center"/>
                    <w:rPr>
                      <w:rFonts w:ascii="Times New Roman" w:hAnsi="Times New Roman" w:eastAsia="宋体" w:cs="Times New Roman"/>
                      <w:color w:val="auto"/>
                      <w:kern w:val="2"/>
                      <w:sz w:val="21"/>
                      <w:szCs w:val="24"/>
                      <w:lang w:val="en-US" w:eastAsia="zh-CN" w:bidi="ar-SA"/>
                    </w:rPr>
                  </w:pPr>
                  <w:r>
                    <w:rPr>
                      <w:color w:val="auto"/>
                    </w:rPr>
                    <w:t>颗粒物</w:t>
                  </w:r>
                </w:p>
              </w:tc>
              <w:tc>
                <w:tcPr>
                  <w:tcW w:w="1443" w:type="dxa"/>
                  <w:shd w:val="clear" w:color="auto" w:fill="auto"/>
                  <w:vAlign w:val="center"/>
                </w:tcPr>
                <w:p w14:paraId="275ED767">
                  <w:pPr>
                    <w:jc w:val="center"/>
                    <w:rPr>
                      <w:rFonts w:ascii="Times New Roman" w:hAnsi="Times New Roman" w:eastAsia="宋体" w:cs="Times New Roman"/>
                      <w:color w:val="auto"/>
                      <w:kern w:val="2"/>
                      <w:sz w:val="21"/>
                      <w:szCs w:val="24"/>
                      <w:lang w:val="en-US" w:eastAsia="zh-CN" w:bidi="ar-SA"/>
                    </w:rPr>
                  </w:pPr>
                  <w:r>
                    <w:rPr>
                      <w:color w:val="auto"/>
                    </w:rPr>
                    <w:t>1.8608</w:t>
                  </w:r>
                </w:p>
              </w:tc>
              <w:tc>
                <w:tcPr>
                  <w:tcW w:w="1449" w:type="dxa"/>
                  <w:shd w:val="clear" w:color="auto" w:fill="auto"/>
                  <w:vAlign w:val="center"/>
                </w:tcPr>
                <w:p w14:paraId="7750DB6B">
                  <w:pPr>
                    <w:jc w:val="center"/>
                    <w:rPr>
                      <w:rFonts w:ascii="Times New Roman" w:hAnsi="Times New Roman" w:eastAsia="宋体" w:cs="Times New Roman"/>
                      <w:color w:val="auto"/>
                      <w:kern w:val="2"/>
                      <w:sz w:val="21"/>
                      <w:szCs w:val="24"/>
                      <w:lang w:val="en-US" w:eastAsia="zh-CN" w:bidi="ar-SA"/>
                    </w:rPr>
                  </w:pPr>
                  <w:r>
                    <w:rPr>
                      <w:color w:val="auto"/>
                    </w:rPr>
                    <w:t>0.22</w:t>
                  </w:r>
                </w:p>
              </w:tc>
              <w:tc>
                <w:tcPr>
                  <w:tcW w:w="812" w:type="pct"/>
                  <w:vMerge w:val="restart"/>
                  <w:shd w:val="clear" w:color="auto" w:fill="auto"/>
                  <w:vAlign w:val="center"/>
                </w:tcPr>
                <w:p w14:paraId="6E3D8238">
                  <w:pPr>
                    <w:jc w:val="center"/>
                    <w:rPr>
                      <w:rFonts w:ascii="Times New Roman" w:hAnsi="Times New Roman" w:eastAsia="宋体" w:cs="Times New Roman"/>
                      <w:color w:val="auto"/>
                      <w:kern w:val="2"/>
                      <w:sz w:val="21"/>
                      <w:szCs w:val="24"/>
                      <w:lang w:val="en-US" w:eastAsia="zh-CN" w:bidi="ar-SA"/>
                    </w:rPr>
                  </w:pPr>
                  <w:r>
                    <w:rPr>
                      <w:color w:val="auto"/>
                    </w:rPr>
                    <w:t>132.38m×54.56m</w:t>
                  </w:r>
                </w:p>
              </w:tc>
              <w:tc>
                <w:tcPr>
                  <w:tcW w:w="554" w:type="pct"/>
                  <w:vMerge w:val="restart"/>
                  <w:shd w:val="clear" w:color="auto" w:fill="auto"/>
                  <w:vAlign w:val="center"/>
                </w:tcPr>
                <w:p w14:paraId="09AE2F53">
                  <w:pPr>
                    <w:jc w:val="center"/>
                    <w:rPr>
                      <w:rFonts w:ascii="Times New Roman" w:hAnsi="Times New Roman" w:eastAsia="宋体" w:cs="Times New Roman"/>
                      <w:color w:val="auto"/>
                      <w:kern w:val="2"/>
                      <w:sz w:val="21"/>
                      <w:szCs w:val="24"/>
                      <w:lang w:val="en-US" w:eastAsia="zh-CN" w:bidi="ar-SA"/>
                    </w:rPr>
                  </w:pPr>
                  <w:r>
                    <w:rPr>
                      <w:color w:val="auto"/>
                    </w:rPr>
                    <w:t>6m</w:t>
                  </w:r>
                </w:p>
              </w:tc>
            </w:tr>
            <w:tr w14:paraId="0B9A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1CC6A02D">
                  <w:pPr>
                    <w:jc w:val="center"/>
                    <w:rPr>
                      <w:color w:val="auto"/>
                    </w:rPr>
                  </w:pPr>
                </w:p>
              </w:tc>
              <w:tc>
                <w:tcPr>
                  <w:tcW w:w="877" w:type="pct"/>
                  <w:vMerge w:val="restart"/>
                  <w:shd w:val="clear" w:color="auto" w:fill="auto"/>
                  <w:vAlign w:val="center"/>
                </w:tcPr>
                <w:p w14:paraId="0543F39B">
                  <w:pPr>
                    <w:jc w:val="center"/>
                    <w:rPr>
                      <w:rFonts w:ascii="Times New Roman" w:hAnsi="Times New Roman" w:eastAsia="宋体" w:cs="Times New Roman"/>
                      <w:color w:val="auto"/>
                      <w:kern w:val="2"/>
                      <w:sz w:val="21"/>
                      <w:szCs w:val="24"/>
                      <w:lang w:val="en-US" w:eastAsia="zh-CN" w:bidi="ar-SA"/>
                    </w:rPr>
                  </w:pPr>
                  <w:r>
                    <w:rPr>
                      <w:color w:val="auto"/>
                    </w:rPr>
                    <w:t>造粒、成型</w:t>
                  </w:r>
                </w:p>
              </w:tc>
              <w:tc>
                <w:tcPr>
                  <w:tcW w:w="1163" w:type="dxa"/>
                  <w:shd w:val="clear" w:color="auto" w:fill="auto"/>
                  <w:vAlign w:val="center"/>
                </w:tcPr>
                <w:p w14:paraId="60B2BEAA">
                  <w:pPr>
                    <w:jc w:val="center"/>
                    <w:rPr>
                      <w:rFonts w:ascii="Times New Roman" w:hAnsi="Times New Roman" w:eastAsia="宋体" w:cs="Times New Roman"/>
                      <w:color w:val="auto"/>
                      <w:kern w:val="2"/>
                      <w:sz w:val="21"/>
                      <w:szCs w:val="24"/>
                      <w:lang w:val="en-US" w:eastAsia="zh-CN" w:bidi="ar-SA"/>
                    </w:rPr>
                  </w:pPr>
                  <w:r>
                    <w:rPr>
                      <w:color w:val="auto"/>
                    </w:rPr>
                    <w:t>VOCs</w:t>
                  </w:r>
                </w:p>
              </w:tc>
              <w:tc>
                <w:tcPr>
                  <w:tcW w:w="1443" w:type="dxa"/>
                  <w:shd w:val="clear" w:color="auto" w:fill="auto"/>
                  <w:vAlign w:val="center"/>
                </w:tcPr>
                <w:p w14:paraId="2C025652">
                  <w:pPr>
                    <w:jc w:val="center"/>
                    <w:rPr>
                      <w:rFonts w:ascii="Times New Roman" w:hAnsi="Times New Roman" w:eastAsia="宋体" w:cs="Times New Roman"/>
                      <w:color w:val="auto"/>
                      <w:kern w:val="2"/>
                      <w:sz w:val="21"/>
                      <w:szCs w:val="24"/>
                      <w:lang w:val="en-US" w:eastAsia="zh-CN" w:bidi="ar-SA"/>
                    </w:rPr>
                  </w:pPr>
                  <w:r>
                    <w:rPr>
                      <w:color w:val="auto"/>
                    </w:rPr>
                    <w:t>0.16</w:t>
                  </w:r>
                </w:p>
              </w:tc>
              <w:tc>
                <w:tcPr>
                  <w:tcW w:w="1449" w:type="dxa"/>
                  <w:shd w:val="clear" w:color="auto" w:fill="auto"/>
                  <w:vAlign w:val="center"/>
                </w:tcPr>
                <w:p w14:paraId="3AC00DC6">
                  <w:pPr>
                    <w:jc w:val="center"/>
                    <w:rPr>
                      <w:rFonts w:ascii="Times New Roman" w:hAnsi="Times New Roman" w:eastAsia="宋体" w:cs="Times New Roman"/>
                      <w:color w:val="auto"/>
                      <w:kern w:val="2"/>
                      <w:sz w:val="21"/>
                      <w:szCs w:val="24"/>
                      <w:lang w:val="en-US" w:eastAsia="zh-CN" w:bidi="ar-SA"/>
                    </w:rPr>
                  </w:pPr>
                  <w:r>
                    <w:rPr>
                      <w:color w:val="auto"/>
                    </w:rPr>
                    <w:t>0.02</w:t>
                  </w:r>
                </w:p>
              </w:tc>
              <w:tc>
                <w:tcPr>
                  <w:tcW w:w="812" w:type="pct"/>
                  <w:vMerge w:val="continue"/>
                  <w:vAlign w:val="center"/>
                </w:tcPr>
                <w:p w14:paraId="0920E27E">
                  <w:pPr>
                    <w:jc w:val="center"/>
                    <w:rPr>
                      <w:color w:val="auto"/>
                    </w:rPr>
                  </w:pPr>
                </w:p>
              </w:tc>
              <w:tc>
                <w:tcPr>
                  <w:tcW w:w="554" w:type="pct"/>
                  <w:vMerge w:val="continue"/>
                  <w:vAlign w:val="center"/>
                </w:tcPr>
                <w:p w14:paraId="60EB48D9">
                  <w:pPr>
                    <w:jc w:val="center"/>
                    <w:rPr>
                      <w:color w:val="auto"/>
                    </w:rPr>
                  </w:pPr>
                </w:p>
              </w:tc>
            </w:tr>
            <w:tr w14:paraId="4D43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5056C679">
                  <w:pPr>
                    <w:jc w:val="center"/>
                    <w:rPr>
                      <w:color w:val="auto"/>
                    </w:rPr>
                  </w:pPr>
                </w:p>
              </w:tc>
              <w:tc>
                <w:tcPr>
                  <w:tcW w:w="877" w:type="pct"/>
                  <w:vMerge w:val="continue"/>
                  <w:vAlign w:val="center"/>
                </w:tcPr>
                <w:p w14:paraId="21C2032C">
                  <w:pPr>
                    <w:jc w:val="center"/>
                    <w:rPr>
                      <w:color w:val="auto"/>
                    </w:rPr>
                  </w:pPr>
                </w:p>
              </w:tc>
              <w:tc>
                <w:tcPr>
                  <w:tcW w:w="1163" w:type="dxa"/>
                  <w:shd w:val="clear" w:color="auto" w:fill="auto"/>
                  <w:vAlign w:val="center"/>
                </w:tcPr>
                <w:p w14:paraId="6AB91EA3">
                  <w:pPr>
                    <w:jc w:val="center"/>
                    <w:rPr>
                      <w:rFonts w:ascii="Times New Roman" w:hAnsi="Times New Roman" w:eastAsia="宋体" w:cs="Times New Roman"/>
                      <w:color w:val="auto"/>
                      <w:kern w:val="2"/>
                      <w:sz w:val="21"/>
                      <w:szCs w:val="24"/>
                      <w:lang w:val="en-US" w:eastAsia="zh-CN" w:bidi="ar-SA"/>
                    </w:rPr>
                  </w:pPr>
                  <w:r>
                    <w:rPr>
                      <w:color w:val="auto"/>
                    </w:rPr>
                    <w:t>非甲烷总烃</w:t>
                  </w:r>
                </w:p>
              </w:tc>
              <w:tc>
                <w:tcPr>
                  <w:tcW w:w="1443" w:type="dxa"/>
                  <w:shd w:val="clear" w:color="auto" w:fill="auto"/>
                  <w:vAlign w:val="center"/>
                </w:tcPr>
                <w:p w14:paraId="1E6FFB0A">
                  <w:pPr>
                    <w:jc w:val="center"/>
                    <w:rPr>
                      <w:rFonts w:ascii="Times New Roman" w:hAnsi="Times New Roman" w:eastAsia="宋体" w:cs="Times New Roman"/>
                      <w:color w:val="auto"/>
                      <w:kern w:val="2"/>
                      <w:sz w:val="21"/>
                      <w:szCs w:val="24"/>
                      <w:lang w:val="en-US" w:eastAsia="zh-CN" w:bidi="ar-SA"/>
                    </w:rPr>
                  </w:pPr>
                  <w:r>
                    <w:rPr>
                      <w:color w:val="auto"/>
                    </w:rPr>
                    <w:t>0.16</w:t>
                  </w:r>
                </w:p>
              </w:tc>
              <w:tc>
                <w:tcPr>
                  <w:tcW w:w="1449" w:type="dxa"/>
                  <w:shd w:val="clear" w:color="auto" w:fill="auto"/>
                  <w:vAlign w:val="center"/>
                </w:tcPr>
                <w:p w14:paraId="5E054F2F">
                  <w:pPr>
                    <w:jc w:val="center"/>
                    <w:rPr>
                      <w:rFonts w:ascii="Times New Roman" w:hAnsi="Times New Roman" w:eastAsia="宋体" w:cs="Times New Roman"/>
                      <w:color w:val="auto"/>
                      <w:kern w:val="2"/>
                      <w:sz w:val="21"/>
                      <w:szCs w:val="24"/>
                      <w:lang w:val="en-US" w:eastAsia="zh-CN" w:bidi="ar-SA"/>
                    </w:rPr>
                  </w:pPr>
                  <w:r>
                    <w:rPr>
                      <w:color w:val="auto"/>
                    </w:rPr>
                    <w:t>0.02</w:t>
                  </w:r>
                </w:p>
              </w:tc>
              <w:tc>
                <w:tcPr>
                  <w:tcW w:w="812" w:type="pct"/>
                  <w:vMerge w:val="continue"/>
                  <w:vAlign w:val="center"/>
                </w:tcPr>
                <w:p w14:paraId="6F4668A4">
                  <w:pPr>
                    <w:jc w:val="center"/>
                    <w:rPr>
                      <w:color w:val="auto"/>
                    </w:rPr>
                  </w:pPr>
                </w:p>
              </w:tc>
              <w:tc>
                <w:tcPr>
                  <w:tcW w:w="554" w:type="pct"/>
                  <w:vMerge w:val="continue"/>
                  <w:vAlign w:val="center"/>
                </w:tcPr>
                <w:p w14:paraId="3DA3FC3E">
                  <w:pPr>
                    <w:jc w:val="center"/>
                    <w:rPr>
                      <w:color w:val="auto"/>
                    </w:rPr>
                  </w:pPr>
                </w:p>
              </w:tc>
            </w:tr>
            <w:tr w14:paraId="4F13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restart"/>
                  <w:shd w:val="clear" w:color="auto" w:fill="auto"/>
                  <w:vAlign w:val="center"/>
                </w:tcPr>
                <w:p w14:paraId="5443429D">
                  <w:pPr>
                    <w:jc w:val="center"/>
                    <w:rPr>
                      <w:color w:val="auto"/>
                    </w:rPr>
                  </w:pPr>
                </w:p>
                <w:p w14:paraId="0AC6DC70">
                  <w:pPr>
                    <w:jc w:val="center"/>
                    <w:rPr>
                      <w:rFonts w:ascii="Times New Roman" w:hAnsi="Times New Roman" w:eastAsia="宋体" w:cs="Times New Roman"/>
                      <w:color w:val="auto"/>
                      <w:kern w:val="2"/>
                      <w:sz w:val="21"/>
                      <w:szCs w:val="24"/>
                      <w:lang w:val="en-US" w:eastAsia="zh-CN" w:bidi="ar-SA"/>
                    </w:rPr>
                  </w:pPr>
                  <w:r>
                    <w:rPr>
                      <w:color w:val="auto"/>
                    </w:rPr>
                    <w:t>1#模压粘结磁生产车间</w:t>
                  </w:r>
                </w:p>
              </w:tc>
              <w:tc>
                <w:tcPr>
                  <w:tcW w:w="877" w:type="pct"/>
                  <w:vMerge w:val="restart"/>
                  <w:shd w:val="clear" w:color="auto" w:fill="auto"/>
                  <w:vAlign w:val="center"/>
                </w:tcPr>
                <w:p w14:paraId="72CF1148">
                  <w:pPr>
                    <w:jc w:val="center"/>
                    <w:rPr>
                      <w:rFonts w:ascii="Times New Roman" w:hAnsi="Times New Roman" w:eastAsia="宋体" w:cs="Times New Roman"/>
                      <w:color w:val="auto"/>
                      <w:kern w:val="2"/>
                      <w:sz w:val="21"/>
                      <w:szCs w:val="24"/>
                      <w:lang w:val="en-US" w:eastAsia="zh-CN" w:bidi="ar-SA"/>
                    </w:rPr>
                  </w:pPr>
                  <w:r>
                    <w:rPr>
                      <w:color w:val="auto"/>
                    </w:rPr>
                    <w:t>溶解、混胶、固化</w:t>
                  </w:r>
                </w:p>
              </w:tc>
              <w:tc>
                <w:tcPr>
                  <w:tcW w:w="1163" w:type="dxa"/>
                  <w:shd w:val="clear" w:color="auto" w:fill="auto"/>
                  <w:vAlign w:val="center"/>
                </w:tcPr>
                <w:p w14:paraId="069F425E">
                  <w:pPr>
                    <w:jc w:val="center"/>
                    <w:rPr>
                      <w:rFonts w:ascii="Times New Roman" w:hAnsi="Times New Roman" w:eastAsia="宋体" w:cs="Times New Roman"/>
                      <w:color w:val="auto"/>
                      <w:kern w:val="2"/>
                      <w:sz w:val="21"/>
                      <w:szCs w:val="24"/>
                      <w:lang w:val="en-US" w:eastAsia="zh-CN" w:bidi="ar-SA"/>
                    </w:rPr>
                  </w:pPr>
                  <w:r>
                    <w:rPr>
                      <w:color w:val="auto"/>
                    </w:rPr>
                    <w:t>VOCs</w:t>
                  </w:r>
                </w:p>
              </w:tc>
              <w:tc>
                <w:tcPr>
                  <w:tcW w:w="1443" w:type="dxa"/>
                  <w:shd w:val="clear" w:color="auto" w:fill="auto"/>
                  <w:vAlign w:val="center"/>
                </w:tcPr>
                <w:p w14:paraId="12B77A12">
                  <w:pPr>
                    <w:jc w:val="center"/>
                    <w:rPr>
                      <w:rFonts w:ascii="Times New Roman" w:hAnsi="Times New Roman" w:eastAsia="宋体" w:cs="Times New Roman"/>
                      <w:color w:val="auto"/>
                      <w:kern w:val="2"/>
                      <w:sz w:val="21"/>
                      <w:szCs w:val="24"/>
                      <w:lang w:val="en-US" w:eastAsia="zh-CN" w:bidi="ar-SA"/>
                    </w:rPr>
                  </w:pPr>
                  <w:r>
                    <w:rPr>
                      <w:color w:val="auto"/>
                    </w:rPr>
                    <w:t>0.1</w:t>
                  </w:r>
                </w:p>
              </w:tc>
              <w:tc>
                <w:tcPr>
                  <w:tcW w:w="1449" w:type="dxa"/>
                  <w:shd w:val="clear" w:color="auto" w:fill="auto"/>
                  <w:vAlign w:val="center"/>
                </w:tcPr>
                <w:p w14:paraId="41CE8E80">
                  <w:pPr>
                    <w:jc w:val="center"/>
                    <w:rPr>
                      <w:rFonts w:ascii="Times New Roman" w:hAnsi="Times New Roman" w:eastAsia="宋体" w:cs="Times New Roman"/>
                      <w:color w:val="auto"/>
                      <w:kern w:val="2"/>
                      <w:sz w:val="21"/>
                      <w:szCs w:val="24"/>
                      <w:lang w:val="en-US" w:eastAsia="zh-CN" w:bidi="ar-SA"/>
                    </w:rPr>
                  </w:pPr>
                  <w:r>
                    <w:rPr>
                      <w:color w:val="auto"/>
                    </w:rPr>
                    <w:t>0.01</w:t>
                  </w:r>
                </w:p>
              </w:tc>
              <w:tc>
                <w:tcPr>
                  <w:tcW w:w="812" w:type="pct"/>
                  <w:vMerge w:val="restart"/>
                  <w:shd w:val="clear" w:color="auto" w:fill="auto"/>
                  <w:vAlign w:val="center"/>
                </w:tcPr>
                <w:p w14:paraId="7B62043E">
                  <w:pPr>
                    <w:jc w:val="center"/>
                    <w:rPr>
                      <w:rFonts w:ascii="Times New Roman" w:hAnsi="Times New Roman" w:eastAsia="宋体" w:cs="Times New Roman"/>
                      <w:color w:val="auto"/>
                      <w:kern w:val="2"/>
                      <w:sz w:val="21"/>
                      <w:szCs w:val="24"/>
                      <w:lang w:val="en-US" w:eastAsia="zh-CN" w:bidi="ar-SA"/>
                    </w:rPr>
                  </w:pPr>
                  <w:r>
                    <w:rPr>
                      <w:color w:val="auto"/>
                    </w:rPr>
                    <w:t>132.38m×48m</w:t>
                  </w:r>
                </w:p>
              </w:tc>
              <w:tc>
                <w:tcPr>
                  <w:tcW w:w="554" w:type="pct"/>
                  <w:vMerge w:val="restart"/>
                  <w:shd w:val="clear" w:color="auto" w:fill="auto"/>
                  <w:vAlign w:val="center"/>
                </w:tcPr>
                <w:p w14:paraId="4DE0B454">
                  <w:pPr>
                    <w:jc w:val="center"/>
                    <w:rPr>
                      <w:rFonts w:ascii="Times New Roman" w:hAnsi="Times New Roman" w:eastAsia="宋体" w:cs="Times New Roman"/>
                      <w:color w:val="auto"/>
                      <w:kern w:val="2"/>
                      <w:sz w:val="21"/>
                      <w:szCs w:val="24"/>
                      <w:lang w:val="en-US" w:eastAsia="zh-CN" w:bidi="ar-SA"/>
                    </w:rPr>
                  </w:pPr>
                  <w:r>
                    <w:rPr>
                      <w:color w:val="auto"/>
                    </w:rPr>
                    <w:t>7.8m</w:t>
                  </w:r>
                </w:p>
              </w:tc>
            </w:tr>
            <w:tr w14:paraId="1E8E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654AF024">
                  <w:pPr>
                    <w:jc w:val="center"/>
                    <w:rPr>
                      <w:color w:val="auto"/>
                    </w:rPr>
                  </w:pPr>
                </w:p>
              </w:tc>
              <w:tc>
                <w:tcPr>
                  <w:tcW w:w="877" w:type="pct"/>
                  <w:vMerge w:val="continue"/>
                  <w:vAlign w:val="center"/>
                </w:tcPr>
                <w:p w14:paraId="36DB7E55">
                  <w:pPr>
                    <w:jc w:val="center"/>
                    <w:rPr>
                      <w:color w:val="auto"/>
                    </w:rPr>
                  </w:pPr>
                </w:p>
              </w:tc>
              <w:tc>
                <w:tcPr>
                  <w:tcW w:w="1163" w:type="dxa"/>
                  <w:shd w:val="clear" w:color="auto" w:fill="auto"/>
                  <w:vAlign w:val="center"/>
                </w:tcPr>
                <w:p w14:paraId="223861BA">
                  <w:pPr>
                    <w:jc w:val="center"/>
                    <w:rPr>
                      <w:rFonts w:ascii="Times New Roman" w:hAnsi="Times New Roman" w:eastAsia="宋体" w:cs="Times New Roman"/>
                      <w:color w:val="auto"/>
                      <w:kern w:val="2"/>
                      <w:sz w:val="21"/>
                      <w:szCs w:val="24"/>
                      <w:lang w:val="en-US" w:eastAsia="zh-CN" w:bidi="ar-SA"/>
                    </w:rPr>
                  </w:pPr>
                  <w:r>
                    <w:rPr>
                      <w:color w:val="auto"/>
                    </w:rPr>
                    <w:t>非甲烷总烃</w:t>
                  </w:r>
                </w:p>
              </w:tc>
              <w:tc>
                <w:tcPr>
                  <w:tcW w:w="1443" w:type="dxa"/>
                  <w:shd w:val="clear" w:color="auto" w:fill="auto"/>
                  <w:vAlign w:val="center"/>
                </w:tcPr>
                <w:p w14:paraId="22F10E40">
                  <w:pPr>
                    <w:jc w:val="center"/>
                    <w:rPr>
                      <w:rFonts w:ascii="Times New Roman" w:hAnsi="Times New Roman" w:eastAsia="宋体" w:cs="Times New Roman"/>
                      <w:color w:val="auto"/>
                      <w:kern w:val="2"/>
                      <w:sz w:val="21"/>
                      <w:szCs w:val="24"/>
                      <w:lang w:val="en-US" w:eastAsia="zh-CN" w:bidi="ar-SA"/>
                    </w:rPr>
                  </w:pPr>
                  <w:r>
                    <w:rPr>
                      <w:color w:val="auto"/>
                    </w:rPr>
                    <w:t>0.1</w:t>
                  </w:r>
                </w:p>
              </w:tc>
              <w:tc>
                <w:tcPr>
                  <w:tcW w:w="1449" w:type="dxa"/>
                  <w:shd w:val="clear" w:color="auto" w:fill="auto"/>
                  <w:vAlign w:val="center"/>
                </w:tcPr>
                <w:p w14:paraId="0BCED52B">
                  <w:pPr>
                    <w:jc w:val="center"/>
                    <w:rPr>
                      <w:rFonts w:ascii="Times New Roman" w:hAnsi="Times New Roman" w:eastAsia="宋体" w:cs="Times New Roman"/>
                      <w:color w:val="auto"/>
                      <w:kern w:val="2"/>
                      <w:sz w:val="21"/>
                      <w:szCs w:val="24"/>
                      <w:lang w:val="en-US" w:eastAsia="zh-CN" w:bidi="ar-SA"/>
                    </w:rPr>
                  </w:pPr>
                  <w:r>
                    <w:rPr>
                      <w:color w:val="auto"/>
                    </w:rPr>
                    <w:t>0.01</w:t>
                  </w:r>
                </w:p>
              </w:tc>
              <w:tc>
                <w:tcPr>
                  <w:tcW w:w="812" w:type="pct"/>
                  <w:vMerge w:val="continue"/>
                  <w:vAlign w:val="center"/>
                </w:tcPr>
                <w:p w14:paraId="1CDF3541">
                  <w:pPr>
                    <w:jc w:val="center"/>
                    <w:rPr>
                      <w:color w:val="auto"/>
                    </w:rPr>
                  </w:pPr>
                </w:p>
              </w:tc>
              <w:tc>
                <w:tcPr>
                  <w:tcW w:w="554" w:type="pct"/>
                  <w:vMerge w:val="continue"/>
                  <w:vAlign w:val="center"/>
                </w:tcPr>
                <w:p w14:paraId="0C995EB1">
                  <w:pPr>
                    <w:jc w:val="center"/>
                    <w:rPr>
                      <w:color w:val="auto"/>
                    </w:rPr>
                  </w:pPr>
                </w:p>
              </w:tc>
            </w:tr>
            <w:tr w14:paraId="4173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0238F398">
                  <w:pPr>
                    <w:jc w:val="center"/>
                    <w:rPr>
                      <w:color w:val="auto"/>
                    </w:rPr>
                  </w:pPr>
                </w:p>
              </w:tc>
              <w:tc>
                <w:tcPr>
                  <w:tcW w:w="1629" w:type="dxa"/>
                  <w:shd w:val="clear" w:color="auto" w:fill="auto"/>
                  <w:vAlign w:val="center"/>
                </w:tcPr>
                <w:p w14:paraId="74B74A62">
                  <w:pPr>
                    <w:jc w:val="center"/>
                    <w:rPr>
                      <w:rFonts w:ascii="Times New Roman" w:hAnsi="Times New Roman" w:eastAsia="宋体" w:cs="Times New Roman"/>
                      <w:color w:val="auto"/>
                      <w:kern w:val="2"/>
                      <w:sz w:val="21"/>
                      <w:szCs w:val="24"/>
                      <w:lang w:val="en-US" w:eastAsia="zh-CN" w:bidi="ar-SA"/>
                    </w:rPr>
                  </w:pPr>
                  <w:r>
                    <w:rPr>
                      <w:color w:val="auto"/>
                    </w:rPr>
                    <w:t>溶解、混胶</w:t>
                  </w:r>
                </w:p>
              </w:tc>
              <w:tc>
                <w:tcPr>
                  <w:tcW w:w="1163" w:type="dxa"/>
                  <w:shd w:val="clear" w:color="auto" w:fill="auto"/>
                  <w:vAlign w:val="center"/>
                </w:tcPr>
                <w:p w14:paraId="7F50F88E">
                  <w:pPr>
                    <w:jc w:val="center"/>
                    <w:rPr>
                      <w:rFonts w:ascii="Times New Roman" w:hAnsi="Times New Roman" w:eastAsia="宋体" w:cs="Times New Roman"/>
                      <w:color w:val="auto"/>
                      <w:kern w:val="2"/>
                      <w:sz w:val="21"/>
                      <w:szCs w:val="24"/>
                      <w:lang w:val="en-US" w:eastAsia="zh-CN" w:bidi="ar-SA"/>
                    </w:rPr>
                  </w:pPr>
                  <w:r>
                    <w:rPr>
                      <w:color w:val="auto"/>
                    </w:rPr>
                    <w:t>丙酮</w:t>
                  </w:r>
                </w:p>
              </w:tc>
              <w:tc>
                <w:tcPr>
                  <w:tcW w:w="1443" w:type="dxa"/>
                  <w:shd w:val="clear" w:color="auto" w:fill="auto"/>
                  <w:vAlign w:val="center"/>
                </w:tcPr>
                <w:p w14:paraId="7F0CD7CD">
                  <w:pPr>
                    <w:jc w:val="center"/>
                    <w:rPr>
                      <w:rFonts w:ascii="Times New Roman" w:hAnsi="Times New Roman" w:eastAsia="宋体" w:cs="Times New Roman"/>
                      <w:color w:val="auto"/>
                      <w:kern w:val="2"/>
                      <w:sz w:val="21"/>
                      <w:szCs w:val="24"/>
                      <w:lang w:val="en-US" w:eastAsia="zh-CN" w:bidi="ar-SA"/>
                    </w:rPr>
                  </w:pPr>
                  <w:r>
                    <w:rPr>
                      <w:color w:val="auto"/>
                    </w:rPr>
                    <w:t>0.08</w:t>
                  </w:r>
                </w:p>
              </w:tc>
              <w:tc>
                <w:tcPr>
                  <w:tcW w:w="1449" w:type="dxa"/>
                  <w:shd w:val="clear" w:color="auto" w:fill="auto"/>
                  <w:vAlign w:val="center"/>
                </w:tcPr>
                <w:p w14:paraId="128E5EF7">
                  <w:pPr>
                    <w:jc w:val="center"/>
                    <w:rPr>
                      <w:rFonts w:ascii="Times New Roman" w:hAnsi="Times New Roman" w:eastAsia="宋体" w:cs="Times New Roman"/>
                      <w:color w:val="auto"/>
                      <w:kern w:val="2"/>
                      <w:sz w:val="21"/>
                      <w:szCs w:val="24"/>
                      <w:lang w:val="en-US" w:eastAsia="zh-CN" w:bidi="ar-SA"/>
                    </w:rPr>
                  </w:pPr>
                  <w:r>
                    <w:rPr>
                      <w:color w:val="auto"/>
                    </w:rPr>
                    <w:t>0.01</w:t>
                  </w:r>
                </w:p>
              </w:tc>
              <w:tc>
                <w:tcPr>
                  <w:tcW w:w="812" w:type="pct"/>
                  <w:vMerge w:val="continue"/>
                  <w:vAlign w:val="center"/>
                </w:tcPr>
                <w:p w14:paraId="1C751B58">
                  <w:pPr>
                    <w:jc w:val="center"/>
                    <w:rPr>
                      <w:color w:val="auto"/>
                    </w:rPr>
                  </w:pPr>
                </w:p>
              </w:tc>
              <w:tc>
                <w:tcPr>
                  <w:tcW w:w="554" w:type="pct"/>
                  <w:vMerge w:val="continue"/>
                  <w:vAlign w:val="center"/>
                </w:tcPr>
                <w:p w14:paraId="11302779">
                  <w:pPr>
                    <w:jc w:val="center"/>
                    <w:rPr>
                      <w:color w:val="auto"/>
                    </w:rPr>
                  </w:pPr>
                </w:p>
              </w:tc>
            </w:tr>
            <w:tr w14:paraId="3CCD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6476925E">
                  <w:pPr>
                    <w:jc w:val="center"/>
                    <w:rPr>
                      <w:color w:val="auto"/>
                    </w:rPr>
                  </w:pPr>
                </w:p>
              </w:tc>
              <w:tc>
                <w:tcPr>
                  <w:tcW w:w="1629" w:type="dxa"/>
                  <w:shd w:val="clear" w:color="auto" w:fill="auto"/>
                  <w:vAlign w:val="center"/>
                </w:tcPr>
                <w:p w14:paraId="29D9E2A8">
                  <w:pPr>
                    <w:jc w:val="center"/>
                    <w:rPr>
                      <w:rFonts w:ascii="Times New Roman" w:hAnsi="Times New Roman" w:eastAsia="宋体" w:cs="Times New Roman"/>
                      <w:color w:val="auto"/>
                      <w:kern w:val="2"/>
                      <w:sz w:val="21"/>
                      <w:szCs w:val="24"/>
                      <w:lang w:val="en-US" w:eastAsia="zh-CN" w:bidi="ar-SA"/>
                    </w:rPr>
                  </w:pPr>
                  <w:r>
                    <w:rPr>
                      <w:color w:val="auto"/>
                    </w:rPr>
                    <w:t>混胶投料、球磨、筛分、混粉、抛光</w:t>
                  </w:r>
                </w:p>
              </w:tc>
              <w:tc>
                <w:tcPr>
                  <w:tcW w:w="1163" w:type="dxa"/>
                  <w:shd w:val="clear" w:color="auto" w:fill="auto"/>
                  <w:vAlign w:val="center"/>
                </w:tcPr>
                <w:p w14:paraId="48EB3457">
                  <w:pPr>
                    <w:jc w:val="center"/>
                    <w:rPr>
                      <w:rFonts w:ascii="Times New Roman" w:hAnsi="Times New Roman" w:eastAsia="宋体" w:cs="Times New Roman"/>
                      <w:color w:val="auto"/>
                      <w:kern w:val="2"/>
                      <w:sz w:val="21"/>
                      <w:szCs w:val="24"/>
                      <w:lang w:val="en-US" w:eastAsia="zh-CN" w:bidi="ar-SA"/>
                    </w:rPr>
                  </w:pPr>
                  <w:r>
                    <w:rPr>
                      <w:color w:val="auto"/>
                    </w:rPr>
                    <w:t>颗粒物</w:t>
                  </w:r>
                </w:p>
              </w:tc>
              <w:tc>
                <w:tcPr>
                  <w:tcW w:w="1443" w:type="dxa"/>
                  <w:shd w:val="clear" w:color="auto" w:fill="auto"/>
                  <w:vAlign w:val="center"/>
                </w:tcPr>
                <w:p w14:paraId="6F588DEF">
                  <w:pPr>
                    <w:jc w:val="center"/>
                    <w:rPr>
                      <w:rFonts w:ascii="Times New Roman" w:hAnsi="Times New Roman" w:eastAsia="宋体" w:cs="Times New Roman"/>
                      <w:color w:val="auto"/>
                      <w:kern w:val="2"/>
                      <w:sz w:val="21"/>
                      <w:szCs w:val="24"/>
                      <w:lang w:val="en-US" w:eastAsia="zh-CN" w:bidi="ar-SA"/>
                    </w:rPr>
                  </w:pPr>
                  <w:r>
                    <w:rPr>
                      <w:color w:val="auto"/>
                    </w:rPr>
                    <w:t>3.71</w:t>
                  </w:r>
                </w:p>
              </w:tc>
              <w:tc>
                <w:tcPr>
                  <w:tcW w:w="1449" w:type="dxa"/>
                  <w:shd w:val="clear" w:color="auto" w:fill="auto"/>
                  <w:vAlign w:val="center"/>
                </w:tcPr>
                <w:p w14:paraId="09272570">
                  <w:pPr>
                    <w:jc w:val="center"/>
                    <w:rPr>
                      <w:rFonts w:ascii="Times New Roman" w:hAnsi="Times New Roman" w:eastAsia="宋体" w:cs="Times New Roman"/>
                      <w:color w:val="auto"/>
                      <w:kern w:val="2"/>
                      <w:sz w:val="21"/>
                      <w:szCs w:val="24"/>
                      <w:lang w:val="en-US" w:eastAsia="zh-CN" w:bidi="ar-SA"/>
                    </w:rPr>
                  </w:pPr>
                  <w:r>
                    <w:rPr>
                      <w:color w:val="auto"/>
                    </w:rPr>
                    <w:t>0.44</w:t>
                  </w:r>
                </w:p>
              </w:tc>
              <w:tc>
                <w:tcPr>
                  <w:tcW w:w="812" w:type="pct"/>
                  <w:vMerge w:val="continue"/>
                  <w:vAlign w:val="center"/>
                </w:tcPr>
                <w:p w14:paraId="6BC70B61">
                  <w:pPr>
                    <w:jc w:val="center"/>
                    <w:rPr>
                      <w:color w:val="auto"/>
                    </w:rPr>
                  </w:pPr>
                </w:p>
              </w:tc>
              <w:tc>
                <w:tcPr>
                  <w:tcW w:w="554" w:type="pct"/>
                  <w:vMerge w:val="continue"/>
                  <w:vAlign w:val="center"/>
                </w:tcPr>
                <w:p w14:paraId="2DD241A4">
                  <w:pPr>
                    <w:jc w:val="center"/>
                    <w:rPr>
                      <w:color w:val="auto"/>
                    </w:rPr>
                  </w:pPr>
                </w:p>
              </w:tc>
            </w:tr>
            <w:tr w14:paraId="3E16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restart"/>
                  <w:shd w:val="clear" w:color="auto" w:fill="auto"/>
                  <w:vAlign w:val="center"/>
                </w:tcPr>
                <w:p w14:paraId="2674E797">
                  <w:pPr>
                    <w:jc w:val="center"/>
                    <w:rPr>
                      <w:rFonts w:ascii="Times New Roman" w:hAnsi="Times New Roman" w:eastAsia="宋体" w:cs="Times New Roman"/>
                      <w:color w:val="auto"/>
                      <w:kern w:val="2"/>
                      <w:sz w:val="21"/>
                      <w:szCs w:val="24"/>
                      <w:lang w:val="en-US" w:eastAsia="zh-CN" w:bidi="ar-SA"/>
                    </w:rPr>
                  </w:pPr>
                  <w:r>
                    <w:rPr>
                      <w:color w:val="auto"/>
                    </w:rPr>
                    <w:t>2#模压粘结磁生产车间</w:t>
                  </w:r>
                </w:p>
              </w:tc>
              <w:tc>
                <w:tcPr>
                  <w:tcW w:w="877" w:type="pct"/>
                  <w:vMerge w:val="restart"/>
                  <w:shd w:val="clear" w:color="auto" w:fill="auto"/>
                  <w:vAlign w:val="center"/>
                </w:tcPr>
                <w:p w14:paraId="5088F4A3">
                  <w:pPr>
                    <w:jc w:val="center"/>
                    <w:rPr>
                      <w:rFonts w:ascii="Times New Roman" w:hAnsi="Times New Roman" w:eastAsia="宋体" w:cs="Times New Roman"/>
                      <w:color w:val="auto"/>
                      <w:kern w:val="2"/>
                      <w:sz w:val="21"/>
                      <w:szCs w:val="24"/>
                      <w:lang w:val="en-US" w:eastAsia="zh-CN" w:bidi="ar-SA"/>
                    </w:rPr>
                  </w:pPr>
                  <w:r>
                    <w:rPr>
                      <w:color w:val="auto"/>
                    </w:rPr>
                    <w:t>溶解、混胶、固化</w:t>
                  </w:r>
                </w:p>
              </w:tc>
              <w:tc>
                <w:tcPr>
                  <w:tcW w:w="1163" w:type="dxa"/>
                  <w:shd w:val="clear" w:color="auto" w:fill="auto"/>
                  <w:vAlign w:val="center"/>
                </w:tcPr>
                <w:p w14:paraId="79EB8687">
                  <w:pPr>
                    <w:jc w:val="center"/>
                    <w:rPr>
                      <w:rFonts w:ascii="Times New Roman" w:hAnsi="Times New Roman" w:eastAsia="宋体" w:cs="Times New Roman"/>
                      <w:color w:val="auto"/>
                      <w:kern w:val="2"/>
                      <w:sz w:val="21"/>
                      <w:szCs w:val="24"/>
                      <w:lang w:val="en-US" w:eastAsia="zh-CN" w:bidi="ar-SA"/>
                    </w:rPr>
                  </w:pPr>
                  <w:r>
                    <w:rPr>
                      <w:color w:val="auto"/>
                    </w:rPr>
                    <w:t>VOCs</w:t>
                  </w:r>
                </w:p>
              </w:tc>
              <w:tc>
                <w:tcPr>
                  <w:tcW w:w="1443" w:type="dxa"/>
                  <w:shd w:val="clear" w:color="auto" w:fill="auto"/>
                  <w:vAlign w:val="center"/>
                </w:tcPr>
                <w:p w14:paraId="1E491621">
                  <w:pPr>
                    <w:jc w:val="center"/>
                    <w:rPr>
                      <w:rFonts w:ascii="Times New Roman" w:hAnsi="Times New Roman" w:eastAsia="宋体" w:cs="Times New Roman"/>
                      <w:color w:val="auto"/>
                      <w:kern w:val="2"/>
                      <w:sz w:val="21"/>
                      <w:szCs w:val="24"/>
                      <w:lang w:val="en-US" w:eastAsia="zh-CN" w:bidi="ar-SA"/>
                    </w:rPr>
                  </w:pPr>
                  <w:r>
                    <w:rPr>
                      <w:color w:val="auto"/>
                    </w:rPr>
                    <w:t>0.03</w:t>
                  </w:r>
                </w:p>
              </w:tc>
              <w:tc>
                <w:tcPr>
                  <w:tcW w:w="1449" w:type="dxa"/>
                  <w:shd w:val="clear" w:color="auto" w:fill="auto"/>
                  <w:vAlign w:val="center"/>
                </w:tcPr>
                <w:p w14:paraId="1A448C59">
                  <w:pPr>
                    <w:jc w:val="center"/>
                    <w:rPr>
                      <w:rFonts w:ascii="Times New Roman" w:hAnsi="Times New Roman" w:eastAsia="宋体" w:cs="Times New Roman"/>
                      <w:color w:val="auto"/>
                      <w:kern w:val="2"/>
                      <w:sz w:val="21"/>
                      <w:szCs w:val="24"/>
                      <w:lang w:val="en-US" w:eastAsia="zh-CN" w:bidi="ar-SA"/>
                    </w:rPr>
                  </w:pPr>
                  <w:r>
                    <w:rPr>
                      <w:color w:val="auto"/>
                    </w:rPr>
                    <w:t>0.004</w:t>
                  </w:r>
                </w:p>
              </w:tc>
              <w:tc>
                <w:tcPr>
                  <w:tcW w:w="812" w:type="pct"/>
                  <w:vMerge w:val="restart"/>
                  <w:shd w:val="clear" w:color="auto" w:fill="auto"/>
                  <w:vAlign w:val="center"/>
                </w:tcPr>
                <w:p w14:paraId="1ADC569F">
                  <w:pPr>
                    <w:jc w:val="center"/>
                    <w:rPr>
                      <w:rFonts w:ascii="Times New Roman" w:hAnsi="Times New Roman" w:eastAsia="宋体" w:cs="Times New Roman"/>
                      <w:color w:val="auto"/>
                      <w:kern w:val="2"/>
                      <w:sz w:val="21"/>
                      <w:szCs w:val="24"/>
                      <w:lang w:val="en-US" w:eastAsia="zh-CN" w:bidi="ar-SA"/>
                    </w:rPr>
                  </w:pPr>
                  <w:r>
                    <w:rPr>
                      <w:color w:val="auto"/>
                    </w:rPr>
                    <w:t>117.14m×44m</w:t>
                  </w:r>
                </w:p>
              </w:tc>
              <w:tc>
                <w:tcPr>
                  <w:tcW w:w="554" w:type="pct"/>
                  <w:vMerge w:val="restart"/>
                  <w:shd w:val="clear" w:color="auto" w:fill="auto"/>
                  <w:vAlign w:val="center"/>
                </w:tcPr>
                <w:p w14:paraId="36DF6D7E">
                  <w:pPr>
                    <w:jc w:val="center"/>
                    <w:rPr>
                      <w:rFonts w:ascii="Times New Roman" w:hAnsi="Times New Roman" w:eastAsia="宋体" w:cs="Times New Roman"/>
                      <w:color w:val="auto"/>
                      <w:kern w:val="2"/>
                      <w:sz w:val="21"/>
                      <w:szCs w:val="24"/>
                      <w:lang w:val="en-US" w:eastAsia="zh-CN" w:bidi="ar-SA"/>
                    </w:rPr>
                  </w:pPr>
                  <w:r>
                    <w:rPr>
                      <w:color w:val="auto"/>
                    </w:rPr>
                    <w:t>13m</w:t>
                  </w:r>
                </w:p>
              </w:tc>
            </w:tr>
            <w:tr w14:paraId="1653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3DB8D166">
                  <w:pPr>
                    <w:jc w:val="center"/>
                    <w:rPr>
                      <w:color w:val="auto"/>
                    </w:rPr>
                  </w:pPr>
                </w:p>
              </w:tc>
              <w:tc>
                <w:tcPr>
                  <w:tcW w:w="877" w:type="pct"/>
                  <w:vMerge w:val="continue"/>
                  <w:vAlign w:val="center"/>
                </w:tcPr>
                <w:p w14:paraId="3CA36753">
                  <w:pPr>
                    <w:jc w:val="center"/>
                    <w:rPr>
                      <w:color w:val="auto"/>
                    </w:rPr>
                  </w:pPr>
                </w:p>
              </w:tc>
              <w:tc>
                <w:tcPr>
                  <w:tcW w:w="1163" w:type="dxa"/>
                  <w:shd w:val="clear" w:color="auto" w:fill="auto"/>
                  <w:vAlign w:val="center"/>
                </w:tcPr>
                <w:p w14:paraId="05CC1B44">
                  <w:pPr>
                    <w:jc w:val="center"/>
                    <w:rPr>
                      <w:rFonts w:ascii="Times New Roman" w:hAnsi="Times New Roman" w:eastAsia="宋体" w:cs="Times New Roman"/>
                      <w:color w:val="auto"/>
                      <w:kern w:val="2"/>
                      <w:sz w:val="21"/>
                      <w:szCs w:val="24"/>
                      <w:lang w:val="en-US" w:eastAsia="zh-CN" w:bidi="ar-SA"/>
                    </w:rPr>
                  </w:pPr>
                  <w:r>
                    <w:rPr>
                      <w:color w:val="auto"/>
                    </w:rPr>
                    <w:t>非甲烷总烃</w:t>
                  </w:r>
                </w:p>
              </w:tc>
              <w:tc>
                <w:tcPr>
                  <w:tcW w:w="1443" w:type="dxa"/>
                  <w:shd w:val="clear" w:color="auto" w:fill="auto"/>
                  <w:vAlign w:val="center"/>
                </w:tcPr>
                <w:p w14:paraId="5EF51335">
                  <w:pPr>
                    <w:jc w:val="center"/>
                    <w:rPr>
                      <w:rFonts w:ascii="Times New Roman" w:hAnsi="Times New Roman" w:eastAsia="宋体" w:cs="Times New Roman"/>
                      <w:color w:val="auto"/>
                      <w:kern w:val="2"/>
                      <w:sz w:val="21"/>
                      <w:szCs w:val="24"/>
                      <w:lang w:val="en-US" w:eastAsia="zh-CN" w:bidi="ar-SA"/>
                    </w:rPr>
                  </w:pPr>
                  <w:r>
                    <w:rPr>
                      <w:color w:val="auto"/>
                    </w:rPr>
                    <w:t>0.03</w:t>
                  </w:r>
                </w:p>
              </w:tc>
              <w:tc>
                <w:tcPr>
                  <w:tcW w:w="1449" w:type="dxa"/>
                  <w:shd w:val="clear" w:color="auto" w:fill="auto"/>
                  <w:vAlign w:val="center"/>
                </w:tcPr>
                <w:p w14:paraId="0B05F059">
                  <w:pPr>
                    <w:jc w:val="center"/>
                    <w:rPr>
                      <w:rFonts w:ascii="Times New Roman" w:hAnsi="Times New Roman" w:eastAsia="宋体" w:cs="Times New Roman"/>
                      <w:color w:val="auto"/>
                      <w:kern w:val="2"/>
                      <w:sz w:val="21"/>
                      <w:szCs w:val="24"/>
                      <w:lang w:val="en-US" w:eastAsia="zh-CN" w:bidi="ar-SA"/>
                    </w:rPr>
                  </w:pPr>
                  <w:r>
                    <w:rPr>
                      <w:color w:val="auto"/>
                    </w:rPr>
                    <w:t>0.004</w:t>
                  </w:r>
                </w:p>
              </w:tc>
              <w:tc>
                <w:tcPr>
                  <w:tcW w:w="812" w:type="pct"/>
                  <w:vMerge w:val="continue"/>
                  <w:vAlign w:val="center"/>
                </w:tcPr>
                <w:p w14:paraId="199E8F08">
                  <w:pPr>
                    <w:jc w:val="center"/>
                    <w:rPr>
                      <w:color w:val="auto"/>
                    </w:rPr>
                  </w:pPr>
                </w:p>
              </w:tc>
              <w:tc>
                <w:tcPr>
                  <w:tcW w:w="554" w:type="pct"/>
                  <w:vMerge w:val="continue"/>
                  <w:vAlign w:val="center"/>
                </w:tcPr>
                <w:p w14:paraId="4F1B3935">
                  <w:pPr>
                    <w:jc w:val="center"/>
                    <w:rPr>
                      <w:color w:val="auto"/>
                    </w:rPr>
                  </w:pPr>
                </w:p>
              </w:tc>
            </w:tr>
            <w:tr w14:paraId="5CED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3CEDCFC2">
                  <w:pPr>
                    <w:jc w:val="center"/>
                    <w:rPr>
                      <w:color w:val="auto"/>
                    </w:rPr>
                  </w:pPr>
                </w:p>
              </w:tc>
              <w:tc>
                <w:tcPr>
                  <w:tcW w:w="1629" w:type="dxa"/>
                  <w:shd w:val="clear" w:color="auto" w:fill="auto"/>
                  <w:vAlign w:val="center"/>
                </w:tcPr>
                <w:p w14:paraId="06A8833C">
                  <w:pPr>
                    <w:jc w:val="center"/>
                    <w:rPr>
                      <w:rFonts w:ascii="Times New Roman" w:hAnsi="Times New Roman" w:eastAsia="宋体" w:cs="Times New Roman"/>
                      <w:color w:val="auto"/>
                      <w:kern w:val="2"/>
                      <w:sz w:val="21"/>
                      <w:szCs w:val="24"/>
                      <w:lang w:val="en-US" w:eastAsia="zh-CN" w:bidi="ar-SA"/>
                    </w:rPr>
                  </w:pPr>
                  <w:r>
                    <w:rPr>
                      <w:color w:val="auto"/>
                    </w:rPr>
                    <w:t>溶解、混胶</w:t>
                  </w:r>
                </w:p>
              </w:tc>
              <w:tc>
                <w:tcPr>
                  <w:tcW w:w="1163" w:type="dxa"/>
                  <w:shd w:val="clear" w:color="auto" w:fill="auto"/>
                  <w:vAlign w:val="center"/>
                </w:tcPr>
                <w:p w14:paraId="11C048E7">
                  <w:pPr>
                    <w:jc w:val="center"/>
                    <w:rPr>
                      <w:rFonts w:ascii="Times New Roman" w:hAnsi="Times New Roman" w:eastAsia="宋体" w:cs="Times New Roman"/>
                      <w:color w:val="auto"/>
                      <w:kern w:val="2"/>
                      <w:sz w:val="21"/>
                      <w:szCs w:val="24"/>
                      <w:lang w:val="en-US" w:eastAsia="zh-CN" w:bidi="ar-SA"/>
                    </w:rPr>
                  </w:pPr>
                  <w:r>
                    <w:rPr>
                      <w:color w:val="auto"/>
                    </w:rPr>
                    <w:t>丙酮</w:t>
                  </w:r>
                </w:p>
              </w:tc>
              <w:tc>
                <w:tcPr>
                  <w:tcW w:w="1443" w:type="dxa"/>
                  <w:shd w:val="clear" w:color="auto" w:fill="auto"/>
                  <w:vAlign w:val="center"/>
                </w:tcPr>
                <w:p w14:paraId="66191979">
                  <w:pPr>
                    <w:jc w:val="center"/>
                    <w:rPr>
                      <w:rFonts w:ascii="Times New Roman" w:hAnsi="Times New Roman" w:eastAsia="宋体" w:cs="Times New Roman"/>
                      <w:color w:val="auto"/>
                      <w:kern w:val="2"/>
                      <w:sz w:val="21"/>
                      <w:szCs w:val="24"/>
                      <w:lang w:val="en-US" w:eastAsia="zh-CN" w:bidi="ar-SA"/>
                    </w:rPr>
                  </w:pPr>
                  <w:r>
                    <w:rPr>
                      <w:color w:val="auto"/>
                    </w:rPr>
                    <w:t>0.03</w:t>
                  </w:r>
                </w:p>
              </w:tc>
              <w:tc>
                <w:tcPr>
                  <w:tcW w:w="1449" w:type="dxa"/>
                  <w:shd w:val="clear" w:color="auto" w:fill="auto"/>
                  <w:vAlign w:val="center"/>
                </w:tcPr>
                <w:p w14:paraId="767ADF90">
                  <w:pPr>
                    <w:jc w:val="center"/>
                    <w:rPr>
                      <w:rFonts w:ascii="Times New Roman" w:hAnsi="Times New Roman" w:eastAsia="宋体" w:cs="Times New Roman"/>
                      <w:color w:val="auto"/>
                      <w:kern w:val="2"/>
                      <w:sz w:val="21"/>
                      <w:szCs w:val="24"/>
                      <w:lang w:val="en-US" w:eastAsia="zh-CN" w:bidi="ar-SA"/>
                    </w:rPr>
                  </w:pPr>
                  <w:r>
                    <w:rPr>
                      <w:color w:val="auto"/>
                    </w:rPr>
                    <w:t>0.004</w:t>
                  </w:r>
                </w:p>
              </w:tc>
              <w:tc>
                <w:tcPr>
                  <w:tcW w:w="812" w:type="pct"/>
                  <w:vMerge w:val="continue"/>
                  <w:vAlign w:val="center"/>
                </w:tcPr>
                <w:p w14:paraId="32CBEB2E">
                  <w:pPr>
                    <w:jc w:val="center"/>
                    <w:rPr>
                      <w:color w:val="auto"/>
                    </w:rPr>
                  </w:pPr>
                </w:p>
              </w:tc>
              <w:tc>
                <w:tcPr>
                  <w:tcW w:w="554" w:type="pct"/>
                  <w:vMerge w:val="continue"/>
                  <w:vAlign w:val="center"/>
                </w:tcPr>
                <w:p w14:paraId="694BCA02">
                  <w:pPr>
                    <w:jc w:val="center"/>
                    <w:rPr>
                      <w:color w:val="auto"/>
                    </w:rPr>
                  </w:pPr>
                </w:p>
              </w:tc>
            </w:tr>
            <w:tr w14:paraId="4A0E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69" w:type="pct"/>
                  <w:vMerge w:val="continue"/>
                  <w:vAlign w:val="center"/>
                </w:tcPr>
                <w:p w14:paraId="37A9FCA5">
                  <w:pPr>
                    <w:jc w:val="center"/>
                    <w:rPr>
                      <w:color w:val="auto"/>
                    </w:rPr>
                  </w:pPr>
                </w:p>
              </w:tc>
              <w:tc>
                <w:tcPr>
                  <w:tcW w:w="1629" w:type="dxa"/>
                  <w:shd w:val="clear" w:color="auto" w:fill="auto"/>
                  <w:vAlign w:val="center"/>
                </w:tcPr>
                <w:p w14:paraId="382E63B0">
                  <w:pPr>
                    <w:jc w:val="center"/>
                    <w:rPr>
                      <w:rFonts w:ascii="Times New Roman" w:hAnsi="Times New Roman" w:eastAsia="宋体" w:cs="Times New Roman"/>
                      <w:color w:val="auto"/>
                      <w:kern w:val="2"/>
                      <w:sz w:val="21"/>
                      <w:szCs w:val="24"/>
                      <w:lang w:val="en-US" w:eastAsia="zh-CN" w:bidi="ar-SA"/>
                    </w:rPr>
                  </w:pPr>
                  <w:r>
                    <w:rPr>
                      <w:color w:val="auto"/>
                    </w:rPr>
                    <w:t>混胶投料、球磨、筛分、混粉、抛光</w:t>
                  </w:r>
                </w:p>
              </w:tc>
              <w:tc>
                <w:tcPr>
                  <w:tcW w:w="1163" w:type="dxa"/>
                  <w:shd w:val="clear" w:color="auto" w:fill="auto"/>
                  <w:vAlign w:val="center"/>
                </w:tcPr>
                <w:p w14:paraId="7FAFC11F">
                  <w:pPr>
                    <w:jc w:val="center"/>
                    <w:rPr>
                      <w:rFonts w:ascii="Times New Roman" w:hAnsi="Times New Roman" w:eastAsia="宋体" w:cs="Times New Roman"/>
                      <w:color w:val="auto"/>
                      <w:kern w:val="2"/>
                      <w:sz w:val="21"/>
                      <w:szCs w:val="24"/>
                      <w:lang w:val="en-US" w:eastAsia="zh-CN" w:bidi="ar-SA"/>
                    </w:rPr>
                  </w:pPr>
                  <w:r>
                    <w:rPr>
                      <w:color w:val="auto"/>
                    </w:rPr>
                    <w:t>颗粒物</w:t>
                  </w:r>
                </w:p>
              </w:tc>
              <w:tc>
                <w:tcPr>
                  <w:tcW w:w="1443" w:type="dxa"/>
                  <w:shd w:val="clear" w:color="auto" w:fill="auto"/>
                  <w:vAlign w:val="center"/>
                </w:tcPr>
                <w:p w14:paraId="1F052D1E">
                  <w:pPr>
                    <w:jc w:val="center"/>
                    <w:rPr>
                      <w:rFonts w:ascii="Times New Roman" w:hAnsi="Times New Roman" w:eastAsia="宋体" w:cs="Times New Roman"/>
                      <w:color w:val="auto"/>
                      <w:kern w:val="2"/>
                      <w:sz w:val="21"/>
                      <w:szCs w:val="24"/>
                      <w:lang w:val="en-US" w:eastAsia="zh-CN" w:bidi="ar-SA"/>
                    </w:rPr>
                  </w:pPr>
                  <w:r>
                    <w:rPr>
                      <w:color w:val="auto"/>
                    </w:rPr>
                    <w:t>1.23</w:t>
                  </w:r>
                </w:p>
              </w:tc>
              <w:tc>
                <w:tcPr>
                  <w:tcW w:w="1449" w:type="dxa"/>
                  <w:shd w:val="clear" w:color="auto" w:fill="auto"/>
                  <w:vAlign w:val="center"/>
                </w:tcPr>
                <w:p w14:paraId="1F8B453E">
                  <w:pPr>
                    <w:jc w:val="center"/>
                    <w:rPr>
                      <w:rFonts w:ascii="Times New Roman" w:hAnsi="Times New Roman" w:eastAsia="宋体" w:cs="Times New Roman"/>
                      <w:color w:val="auto"/>
                      <w:kern w:val="2"/>
                      <w:sz w:val="21"/>
                      <w:szCs w:val="24"/>
                      <w:lang w:val="en-US" w:eastAsia="zh-CN" w:bidi="ar-SA"/>
                    </w:rPr>
                  </w:pPr>
                  <w:r>
                    <w:rPr>
                      <w:color w:val="auto"/>
                    </w:rPr>
                    <w:t>0.15</w:t>
                  </w:r>
                </w:p>
              </w:tc>
              <w:tc>
                <w:tcPr>
                  <w:tcW w:w="812" w:type="pct"/>
                  <w:vMerge w:val="continue"/>
                  <w:vAlign w:val="center"/>
                </w:tcPr>
                <w:p w14:paraId="41B56F59">
                  <w:pPr>
                    <w:jc w:val="center"/>
                    <w:rPr>
                      <w:color w:val="auto"/>
                    </w:rPr>
                  </w:pPr>
                </w:p>
              </w:tc>
              <w:tc>
                <w:tcPr>
                  <w:tcW w:w="554" w:type="pct"/>
                  <w:vMerge w:val="continue"/>
                  <w:vAlign w:val="center"/>
                </w:tcPr>
                <w:p w14:paraId="7EC24C44">
                  <w:pPr>
                    <w:jc w:val="center"/>
                    <w:rPr>
                      <w:color w:val="auto"/>
                    </w:rPr>
                  </w:pPr>
                </w:p>
              </w:tc>
            </w:tr>
          </w:tbl>
          <w:p w14:paraId="2DCC7FDB">
            <w:pPr>
              <w:pStyle w:val="6"/>
              <w:keepNext w:val="0"/>
              <w:keepLines w:val="0"/>
              <w:pageBreakBefore w:val="0"/>
              <w:widowControl/>
              <w:kinsoku/>
              <w:wordWrap/>
              <w:overflowPunct/>
              <w:topLinePunct w:val="0"/>
              <w:autoSpaceDE/>
              <w:autoSpaceDN/>
              <w:bidi w:val="0"/>
              <w:adjustRightInd/>
              <w:snapToGrid/>
              <w:spacing w:before="0" w:after="0" w:line="260" w:lineRule="auto"/>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lang w:val="en-US" w:eastAsia="zh-CN"/>
              </w:rPr>
              <w:t>废水污染物产品情况</w:t>
            </w:r>
          </w:p>
          <w:p w14:paraId="4FB5FC08">
            <w:pPr>
              <w:jc w:val="center"/>
              <w:rPr>
                <w:b/>
                <w:bCs/>
                <w:color w:val="auto"/>
                <w:sz w:val="24"/>
                <w:szCs w:val="24"/>
              </w:rPr>
            </w:pPr>
            <w:r>
              <w:rPr>
                <w:b/>
                <w:bCs/>
                <w:color w:val="auto"/>
                <w:sz w:val="24"/>
                <w:szCs w:val="24"/>
              </w:rPr>
              <w:t>表</w:t>
            </w:r>
            <w:r>
              <w:rPr>
                <w:rFonts w:hint="eastAsia"/>
                <w:b/>
                <w:bCs/>
                <w:color w:val="auto"/>
                <w:sz w:val="24"/>
                <w:szCs w:val="24"/>
                <w:lang w:val="en-US" w:eastAsia="zh-CN"/>
              </w:rPr>
              <w:t>2-18现有工程废水</w:t>
            </w:r>
            <w:r>
              <w:rPr>
                <w:b/>
                <w:bCs/>
                <w:color w:val="auto"/>
                <w:sz w:val="24"/>
                <w:szCs w:val="24"/>
              </w:rPr>
              <w:t>及其污染物排放状况</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1"/>
              <w:gridCol w:w="196"/>
              <w:gridCol w:w="412"/>
              <w:gridCol w:w="660"/>
              <w:gridCol w:w="297"/>
              <w:gridCol w:w="615"/>
              <w:gridCol w:w="522"/>
              <w:gridCol w:w="708"/>
              <w:gridCol w:w="522"/>
              <w:gridCol w:w="522"/>
              <w:gridCol w:w="615"/>
              <w:gridCol w:w="429"/>
              <w:gridCol w:w="429"/>
              <w:gridCol w:w="522"/>
              <w:gridCol w:w="336"/>
              <w:gridCol w:w="429"/>
              <w:gridCol w:w="429"/>
              <w:gridCol w:w="429"/>
              <w:gridCol w:w="429"/>
              <w:gridCol w:w="429"/>
            </w:tblGrid>
            <w:tr w14:paraId="7786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13" w:type="pct"/>
                  <w:shd w:val="clear" w:color="auto" w:fill="auto"/>
                  <w:vAlign w:val="center"/>
                </w:tcPr>
                <w:p w14:paraId="6AFCF606">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29" w:type="pct"/>
                  <w:shd w:val="clear" w:color="auto" w:fill="auto"/>
                  <w:vAlign w:val="center"/>
                </w:tcPr>
                <w:p w14:paraId="3E54DC52">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废水</w:t>
                  </w:r>
                </w:p>
              </w:tc>
              <w:tc>
                <w:tcPr>
                  <w:tcW w:w="220" w:type="pct"/>
                  <w:shd w:val="clear" w:color="auto" w:fill="auto"/>
                  <w:vAlign w:val="center"/>
                </w:tcPr>
                <w:p w14:paraId="1F1C6904">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指标</w:t>
                  </w:r>
                </w:p>
              </w:tc>
              <w:tc>
                <w:tcPr>
                  <w:tcW w:w="327" w:type="pct"/>
                  <w:shd w:val="clear" w:color="auto" w:fill="auto"/>
                  <w:vAlign w:val="center"/>
                </w:tcPr>
                <w:p w14:paraId="0A35F9DB">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废水量</w:t>
                  </w:r>
                </w:p>
              </w:tc>
              <w:tc>
                <w:tcPr>
                  <w:tcW w:w="170" w:type="pct"/>
                  <w:shd w:val="clear" w:color="auto" w:fill="auto"/>
                  <w:vAlign w:val="center"/>
                </w:tcPr>
                <w:p w14:paraId="76641B53">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pH</w:t>
                  </w:r>
                </w:p>
              </w:tc>
              <w:tc>
                <w:tcPr>
                  <w:tcW w:w="354" w:type="pct"/>
                  <w:shd w:val="clear" w:color="auto" w:fill="auto"/>
                  <w:vAlign w:val="center"/>
                </w:tcPr>
                <w:p w14:paraId="7A0892C3">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CODcr</w:t>
                  </w:r>
                </w:p>
              </w:tc>
              <w:tc>
                <w:tcPr>
                  <w:tcW w:w="299" w:type="pct"/>
                  <w:shd w:val="clear" w:color="auto" w:fill="auto"/>
                  <w:vAlign w:val="center"/>
                </w:tcPr>
                <w:p w14:paraId="74957C42">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BOD5</w:t>
                  </w:r>
                </w:p>
              </w:tc>
              <w:tc>
                <w:tcPr>
                  <w:tcW w:w="299" w:type="pct"/>
                  <w:shd w:val="clear" w:color="auto" w:fill="auto"/>
                  <w:vAlign w:val="center"/>
                </w:tcPr>
                <w:p w14:paraId="5470F7BF">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总氮</w:t>
                  </w:r>
                </w:p>
              </w:tc>
              <w:tc>
                <w:tcPr>
                  <w:tcW w:w="299" w:type="pct"/>
                  <w:shd w:val="clear" w:color="auto" w:fill="auto"/>
                  <w:vAlign w:val="center"/>
                </w:tcPr>
                <w:p w14:paraId="1B24AD47">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总磷</w:t>
                  </w:r>
                </w:p>
              </w:tc>
              <w:tc>
                <w:tcPr>
                  <w:tcW w:w="246" w:type="pct"/>
                  <w:shd w:val="clear" w:color="auto" w:fill="auto"/>
                  <w:vAlign w:val="center"/>
                </w:tcPr>
                <w:p w14:paraId="40358E5D">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氨氮</w:t>
                  </w:r>
                </w:p>
              </w:tc>
              <w:tc>
                <w:tcPr>
                  <w:tcW w:w="299" w:type="pct"/>
                  <w:shd w:val="clear" w:color="auto" w:fill="auto"/>
                  <w:vAlign w:val="center"/>
                </w:tcPr>
                <w:p w14:paraId="3590EE50">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SS</w:t>
                  </w:r>
                </w:p>
              </w:tc>
              <w:tc>
                <w:tcPr>
                  <w:tcW w:w="246" w:type="pct"/>
                  <w:shd w:val="clear" w:color="auto" w:fill="auto"/>
                  <w:vAlign w:val="center"/>
                </w:tcPr>
                <w:p w14:paraId="29D162D8">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石油类</w:t>
                  </w:r>
                </w:p>
              </w:tc>
              <w:tc>
                <w:tcPr>
                  <w:tcW w:w="246" w:type="pct"/>
                  <w:shd w:val="clear" w:color="auto" w:fill="auto"/>
                  <w:vAlign w:val="center"/>
                </w:tcPr>
                <w:p w14:paraId="2CB44E2B">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总锌</w:t>
                  </w:r>
                </w:p>
              </w:tc>
              <w:tc>
                <w:tcPr>
                  <w:tcW w:w="299" w:type="pct"/>
                  <w:shd w:val="clear" w:color="auto" w:fill="auto"/>
                  <w:vAlign w:val="center"/>
                </w:tcPr>
                <w:p w14:paraId="7AD14A09">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总镍</w:t>
                  </w:r>
                </w:p>
              </w:tc>
              <w:tc>
                <w:tcPr>
                  <w:tcW w:w="192" w:type="pct"/>
                  <w:shd w:val="clear" w:color="auto" w:fill="auto"/>
                  <w:vAlign w:val="center"/>
                </w:tcPr>
                <w:p w14:paraId="411B2A33">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总铜</w:t>
                  </w:r>
                </w:p>
              </w:tc>
              <w:tc>
                <w:tcPr>
                  <w:tcW w:w="246" w:type="pct"/>
                  <w:shd w:val="clear" w:color="auto" w:fill="auto"/>
                  <w:vAlign w:val="center"/>
                </w:tcPr>
                <w:p w14:paraId="459A2D7C">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总铬</w:t>
                  </w:r>
                </w:p>
              </w:tc>
              <w:tc>
                <w:tcPr>
                  <w:tcW w:w="246" w:type="pct"/>
                  <w:shd w:val="clear" w:color="auto" w:fill="auto"/>
                  <w:vAlign w:val="center"/>
                </w:tcPr>
                <w:p w14:paraId="31CB608B">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LAS</w:t>
                  </w:r>
                </w:p>
              </w:tc>
              <w:tc>
                <w:tcPr>
                  <w:tcW w:w="165" w:type="pct"/>
                  <w:shd w:val="clear" w:color="auto" w:fill="auto"/>
                  <w:vAlign w:val="center"/>
                </w:tcPr>
                <w:p w14:paraId="2931214A">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总锡</w:t>
                  </w:r>
                </w:p>
              </w:tc>
              <w:tc>
                <w:tcPr>
                  <w:tcW w:w="246" w:type="pct"/>
                  <w:shd w:val="clear" w:color="auto" w:fill="auto"/>
                  <w:vAlign w:val="center"/>
                </w:tcPr>
                <w:p w14:paraId="72A76BD8">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色度</w:t>
                  </w:r>
                </w:p>
              </w:tc>
              <w:tc>
                <w:tcPr>
                  <w:tcW w:w="248" w:type="pct"/>
                  <w:shd w:val="clear" w:color="auto" w:fill="auto"/>
                  <w:vAlign w:val="center"/>
                </w:tcPr>
                <w:p w14:paraId="62A41C93">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总硼</w:t>
                  </w:r>
                </w:p>
              </w:tc>
            </w:tr>
            <w:tr w14:paraId="51F9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213" w:type="pct"/>
                  <w:vMerge w:val="restart"/>
                  <w:vAlign w:val="center"/>
                </w:tcPr>
                <w:p w14:paraId="3446917D">
                  <w:pPr>
                    <w:jc w:val="center"/>
                    <w:rPr>
                      <w:rFonts w:ascii="Times New Roman" w:hAnsi="Times New Roman" w:eastAsia="宋体"/>
                      <w:color w:val="auto"/>
                      <w:sz w:val="21"/>
                      <w:szCs w:val="21"/>
                    </w:rPr>
                  </w:pPr>
                  <w:r>
                    <w:rPr>
                      <w:rFonts w:ascii="Times New Roman" w:hAnsi="Times New Roman" w:eastAsia="宋体"/>
                      <w:color w:val="auto"/>
                      <w:sz w:val="21"/>
                      <w:szCs w:val="21"/>
                    </w:rPr>
                    <w:t>W1</w:t>
                  </w:r>
                </w:p>
              </w:tc>
              <w:tc>
                <w:tcPr>
                  <w:tcW w:w="129" w:type="pct"/>
                  <w:vMerge w:val="restart"/>
                  <w:vAlign w:val="center"/>
                </w:tcPr>
                <w:p w14:paraId="611D0A32">
                  <w:pPr>
                    <w:jc w:val="center"/>
                    <w:rPr>
                      <w:rFonts w:ascii="Times New Roman" w:hAnsi="Times New Roman" w:eastAsia="宋体"/>
                      <w:color w:val="auto"/>
                      <w:sz w:val="21"/>
                      <w:szCs w:val="21"/>
                    </w:rPr>
                  </w:pPr>
                  <w:r>
                    <w:rPr>
                      <w:rFonts w:ascii="Times New Roman" w:hAnsi="Times New Roman" w:eastAsia="宋体"/>
                      <w:color w:val="auto"/>
                      <w:sz w:val="21"/>
                      <w:szCs w:val="21"/>
                    </w:rPr>
                    <w:t>前处理废水</w:t>
                  </w:r>
                </w:p>
              </w:tc>
              <w:tc>
                <w:tcPr>
                  <w:tcW w:w="220" w:type="pct"/>
                  <w:vAlign w:val="center"/>
                </w:tcPr>
                <w:p w14:paraId="57187648">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57B6F95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439471FA">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c>
                <w:tcPr>
                  <w:tcW w:w="354" w:type="pct"/>
                  <w:vAlign w:val="center"/>
                </w:tcPr>
                <w:p w14:paraId="0B3CC0A7">
                  <w:pPr>
                    <w:jc w:val="center"/>
                    <w:rPr>
                      <w:rFonts w:ascii="Times New Roman" w:hAnsi="Times New Roman" w:eastAsia="宋体"/>
                      <w:color w:val="auto"/>
                      <w:sz w:val="21"/>
                      <w:szCs w:val="21"/>
                    </w:rPr>
                  </w:pPr>
                  <w:r>
                    <w:rPr>
                      <w:rFonts w:ascii="Times New Roman" w:hAnsi="Times New Roman" w:eastAsia="宋体"/>
                      <w:color w:val="auto"/>
                      <w:sz w:val="21"/>
                      <w:szCs w:val="21"/>
                    </w:rPr>
                    <w:t>1500</w:t>
                  </w:r>
                </w:p>
              </w:tc>
              <w:tc>
                <w:tcPr>
                  <w:tcW w:w="299" w:type="pct"/>
                  <w:vAlign w:val="center"/>
                </w:tcPr>
                <w:p w14:paraId="37A1C01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05DD1DD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F58E5F0">
                  <w:pPr>
                    <w:jc w:val="center"/>
                    <w:rPr>
                      <w:rFonts w:ascii="Times New Roman" w:hAnsi="Times New Roman" w:eastAsia="宋体"/>
                      <w:color w:val="auto"/>
                      <w:sz w:val="21"/>
                      <w:szCs w:val="21"/>
                    </w:rPr>
                  </w:pPr>
                  <w:r>
                    <w:rPr>
                      <w:rFonts w:ascii="Times New Roman" w:hAnsi="Times New Roman" w:eastAsia="宋体"/>
                      <w:color w:val="auto"/>
                      <w:sz w:val="21"/>
                      <w:szCs w:val="21"/>
                    </w:rPr>
                    <w:t>500</w:t>
                  </w:r>
                </w:p>
              </w:tc>
              <w:tc>
                <w:tcPr>
                  <w:tcW w:w="246" w:type="pct"/>
                  <w:vAlign w:val="center"/>
                </w:tcPr>
                <w:p w14:paraId="0A84AC75">
                  <w:pPr>
                    <w:jc w:val="center"/>
                    <w:rPr>
                      <w:rFonts w:ascii="Times New Roman" w:hAnsi="Times New Roman" w:eastAsia="宋体"/>
                      <w:color w:val="auto"/>
                      <w:sz w:val="21"/>
                      <w:szCs w:val="21"/>
                    </w:rPr>
                  </w:pPr>
                  <w:r>
                    <w:rPr>
                      <w:rFonts w:ascii="Times New Roman" w:hAnsi="Times New Roman" w:eastAsia="宋体"/>
                      <w:color w:val="auto"/>
                      <w:sz w:val="21"/>
                      <w:szCs w:val="21"/>
                    </w:rPr>
                    <w:t>50</w:t>
                  </w:r>
                </w:p>
              </w:tc>
              <w:tc>
                <w:tcPr>
                  <w:tcW w:w="299" w:type="pct"/>
                  <w:vAlign w:val="center"/>
                </w:tcPr>
                <w:p w14:paraId="4F30693F">
                  <w:pPr>
                    <w:jc w:val="center"/>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246" w:type="pct"/>
                  <w:vAlign w:val="center"/>
                </w:tcPr>
                <w:p w14:paraId="2FB0F2A7">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46" w:type="pct"/>
                  <w:vAlign w:val="center"/>
                </w:tcPr>
                <w:p w14:paraId="3CF66369">
                  <w:pPr>
                    <w:jc w:val="center"/>
                    <w:rPr>
                      <w:rFonts w:ascii="Times New Roman" w:hAnsi="Times New Roman" w:eastAsia="宋体"/>
                      <w:color w:val="auto"/>
                      <w:sz w:val="21"/>
                      <w:szCs w:val="21"/>
                    </w:rPr>
                  </w:pPr>
                  <w:r>
                    <w:rPr>
                      <w:rFonts w:ascii="Times New Roman" w:hAnsi="Times New Roman" w:eastAsia="宋体"/>
                      <w:color w:val="auto"/>
                      <w:sz w:val="21"/>
                      <w:szCs w:val="21"/>
                    </w:rPr>
                    <w:t>8</w:t>
                  </w:r>
                </w:p>
              </w:tc>
              <w:tc>
                <w:tcPr>
                  <w:tcW w:w="299" w:type="pct"/>
                  <w:vAlign w:val="center"/>
                </w:tcPr>
                <w:p w14:paraId="4C511FA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2763D25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D8AE8B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B30384D">
                  <w:pPr>
                    <w:jc w:val="center"/>
                    <w:rPr>
                      <w:rFonts w:ascii="Times New Roman" w:hAnsi="Times New Roman" w:eastAsia="宋体"/>
                      <w:color w:val="auto"/>
                      <w:sz w:val="21"/>
                      <w:szCs w:val="21"/>
                    </w:rPr>
                  </w:pPr>
                  <w:r>
                    <w:rPr>
                      <w:rFonts w:ascii="Times New Roman" w:hAnsi="Times New Roman" w:eastAsia="宋体"/>
                      <w:color w:val="auto"/>
                      <w:sz w:val="21"/>
                      <w:szCs w:val="21"/>
                    </w:rPr>
                    <w:t>50</w:t>
                  </w:r>
                </w:p>
              </w:tc>
              <w:tc>
                <w:tcPr>
                  <w:tcW w:w="165" w:type="pct"/>
                  <w:vAlign w:val="center"/>
                </w:tcPr>
                <w:p w14:paraId="29BF0FA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B8E816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0D67DFD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6190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5E6E75A8">
                  <w:pPr>
                    <w:jc w:val="center"/>
                    <w:rPr>
                      <w:rFonts w:ascii="Times New Roman" w:hAnsi="Times New Roman" w:eastAsia="宋体"/>
                      <w:color w:val="auto"/>
                      <w:sz w:val="21"/>
                      <w:szCs w:val="21"/>
                    </w:rPr>
                  </w:pPr>
                </w:p>
              </w:tc>
              <w:tc>
                <w:tcPr>
                  <w:tcW w:w="129" w:type="pct"/>
                  <w:vMerge w:val="continue"/>
                  <w:vAlign w:val="center"/>
                </w:tcPr>
                <w:p w14:paraId="25AB3022">
                  <w:pPr>
                    <w:jc w:val="center"/>
                    <w:rPr>
                      <w:rFonts w:ascii="Times New Roman" w:hAnsi="Times New Roman" w:eastAsia="宋体"/>
                      <w:color w:val="auto"/>
                      <w:sz w:val="21"/>
                      <w:szCs w:val="21"/>
                    </w:rPr>
                  </w:pPr>
                </w:p>
              </w:tc>
              <w:tc>
                <w:tcPr>
                  <w:tcW w:w="220" w:type="pct"/>
                  <w:vAlign w:val="center"/>
                </w:tcPr>
                <w:p w14:paraId="3226CC37">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1B33F206">
                  <w:pPr>
                    <w:jc w:val="center"/>
                    <w:rPr>
                      <w:rFonts w:ascii="Times New Roman" w:hAnsi="Times New Roman" w:eastAsia="宋体"/>
                      <w:color w:val="auto"/>
                      <w:sz w:val="21"/>
                      <w:szCs w:val="21"/>
                    </w:rPr>
                  </w:pPr>
                  <w:r>
                    <w:rPr>
                      <w:rFonts w:ascii="Times New Roman" w:hAnsi="Times New Roman" w:eastAsia="宋体"/>
                      <w:color w:val="auto"/>
                      <w:sz w:val="21"/>
                      <w:szCs w:val="21"/>
                    </w:rPr>
                    <w:t>120500</w:t>
                  </w:r>
                </w:p>
              </w:tc>
              <w:tc>
                <w:tcPr>
                  <w:tcW w:w="170" w:type="pct"/>
                  <w:vAlign w:val="center"/>
                </w:tcPr>
                <w:p w14:paraId="170BEA3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3EAA4971">
                  <w:pPr>
                    <w:jc w:val="center"/>
                    <w:rPr>
                      <w:rFonts w:ascii="Times New Roman" w:hAnsi="Times New Roman" w:eastAsia="宋体"/>
                      <w:color w:val="auto"/>
                      <w:sz w:val="21"/>
                      <w:szCs w:val="21"/>
                    </w:rPr>
                  </w:pPr>
                  <w:r>
                    <w:rPr>
                      <w:rFonts w:ascii="Times New Roman" w:hAnsi="Times New Roman" w:eastAsia="宋体"/>
                      <w:color w:val="auto"/>
                      <w:sz w:val="21"/>
                      <w:szCs w:val="21"/>
                    </w:rPr>
                    <w:t>180.75</w:t>
                  </w:r>
                </w:p>
              </w:tc>
              <w:tc>
                <w:tcPr>
                  <w:tcW w:w="299" w:type="pct"/>
                  <w:vAlign w:val="center"/>
                </w:tcPr>
                <w:p w14:paraId="3DE2004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8AF561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6BD2D7D0">
                  <w:pPr>
                    <w:jc w:val="center"/>
                    <w:rPr>
                      <w:rFonts w:ascii="Times New Roman" w:hAnsi="Times New Roman" w:eastAsia="宋体"/>
                      <w:color w:val="auto"/>
                      <w:sz w:val="21"/>
                      <w:szCs w:val="21"/>
                    </w:rPr>
                  </w:pPr>
                  <w:r>
                    <w:rPr>
                      <w:rFonts w:ascii="Times New Roman" w:hAnsi="Times New Roman" w:eastAsia="宋体"/>
                      <w:color w:val="auto"/>
                      <w:sz w:val="21"/>
                      <w:szCs w:val="21"/>
                    </w:rPr>
                    <w:t>60.249</w:t>
                  </w:r>
                </w:p>
              </w:tc>
              <w:tc>
                <w:tcPr>
                  <w:tcW w:w="246" w:type="pct"/>
                  <w:vAlign w:val="center"/>
                </w:tcPr>
                <w:p w14:paraId="5B7A89A8">
                  <w:pPr>
                    <w:jc w:val="center"/>
                    <w:rPr>
                      <w:rFonts w:ascii="Times New Roman" w:hAnsi="Times New Roman" w:eastAsia="宋体"/>
                      <w:color w:val="auto"/>
                      <w:sz w:val="21"/>
                      <w:szCs w:val="21"/>
                    </w:rPr>
                  </w:pPr>
                  <w:r>
                    <w:rPr>
                      <w:rFonts w:ascii="Times New Roman" w:hAnsi="Times New Roman" w:eastAsia="宋体"/>
                      <w:color w:val="auto"/>
                      <w:sz w:val="21"/>
                      <w:szCs w:val="21"/>
                    </w:rPr>
                    <w:t>6.025</w:t>
                  </w:r>
                </w:p>
              </w:tc>
              <w:tc>
                <w:tcPr>
                  <w:tcW w:w="299" w:type="pct"/>
                  <w:vAlign w:val="center"/>
                </w:tcPr>
                <w:p w14:paraId="4B44B40B">
                  <w:pPr>
                    <w:jc w:val="center"/>
                    <w:rPr>
                      <w:rFonts w:ascii="Times New Roman" w:hAnsi="Times New Roman" w:eastAsia="宋体"/>
                      <w:color w:val="auto"/>
                      <w:sz w:val="21"/>
                      <w:szCs w:val="21"/>
                    </w:rPr>
                  </w:pPr>
                  <w:r>
                    <w:rPr>
                      <w:rFonts w:ascii="Times New Roman" w:hAnsi="Times New Roman" w:eastAsia="宋体"/>
                      <w:color w:val="auto"/>
                      <w:sz w:val="21"/>
                      <w:szCs w:val="21"/>
                    </w:rPr>
                    <w:t>24.1</w:t>
                  </w:r>
                </w:p>
              </w:tc>
              <w:tc>
                <w:tcPr>
                  <w:tcW w:w="246" w:type="pct"/>
                  <w:vAlign w:val="center"/>
                </w:tcPr>
                <w:p w14:paraId="3CCF1B94">
                  <w:pPr>
                    <w:jc w:val="center"/>
                    <w:rPr>
                      <w:rFonts w:ascii="Times New Roman" w:hAnsi="Times New Roman" w:eastAsia="宋体"/>
                      <w:color w:val="auto"/>
                      <w:sz w:val="21"/>
                      <w:szCs w:val="21"/>
                    </w:rPr>
                  </w:pPr>
                  <w:r>
                    <w:rPr>
                      <w:rFonts w:ascii="Times New Roman" w:hAnsi="Times New Roman" w:eastAsia="宋体"/>
                      <w:color w:val="auto"/>
                      <w:sz w:val="21"/>
                      <w:szCs w:val="21"/>
                    </w:rPr>
                    <w:t>12.05</w:t>
                  </w:r>
                </w:p>
              </w:tc>
              <w:tc>
                <w:tcPr>
                  <w:tcW w:w="246" w:type="pct"/>
                  <w:vAlign w:val="center"/>
                </w:tcPr>
                <w:p w14:paraId="05B0450B">
                  <w:pPr>
                    <w:jc w:val="center"/>
                    <w:rPr>
                      <w:rFonts w:ascii="Times New Roman" w:hAnsi="Times New Roman" w:eastAsia="宋体"/>
                      <w:color w:val="auto"/>
                      <w:sz w:val="21"/>
                      <w:szCs w:val="21"/>
                    </w:rPr>
                  </w:pPr>
                  <w:r>
                    <w:rPr>
                      <w:rFonts w:ascii="Times New Roman" w:hAnsi="Times New Roman" w:eastAsia="宋体"/>
                      <w:color w:val="auto"/>
                      <w:sz w:val="21"/>
                      <w:szCs w:val="21"/>
                    </w:rPr>
                    <w:t>0.955</w:t>
                  </w:r>
                </w:p>
              </w:tc>
              <w:tc>
                <w:tcPr>
                  <w:tcW w:w="299" w:type="pct"/>
                  <w:vAlign w:val="center"/>
                </w:tcPr>
                <w:p w14:paraId="3346492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61F1252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DD97DE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F43039E">
                  <w:pPr>
                    <w:jc w:val="center"/>
                    <w:rPr>
                      <w:rFonts w:ascii="Times New Roman" w:hAnsi="Times New Roman" w:eastAsia="宋体"/>
                      <w:color w:val="auto"/>
                      <w:sz w:val="21"/>
                      <w:szCs w:val="21"/>
                    </w:rPr>
                  </w:pPr>
                  <w:r>
                    <w:rPr>
                      <w:rFonts w:ascii="Times New Roman" w:hAnsi="Times New Roman" w:eastAsia="宋体"/>
                      <w:color w:val="auto"/>
                      <w:sz w:val="21"/>
                      <w:szCs w:val="21"/>
                    </w:rPr>
                    <w:t>6.025</w:t>
                  </w:r>
                </w:p>
              </w:tc>
              <w:tc>
                <w:tcPr>
                  <w:tcW w:w="165" w:type="pct"/>
                  <w:vAlign w:val="center"/>
                </w:tcPr>
                <w:p w14:paraId="0A5BF27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BF3818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1FDFD8A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1CA8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4CDCBCE3">
                  <w:pPr>
                    <w:jc w:val="center"/>
                    <w:rPr>
                      <w:rFonts w:ascii="Times New Roman" w:hAnsi="Times New Roman" w:eastAsia="宋体"/>
                      <w:color w:val="auto"/>
                      <w:sz w:val="21"/>
                      <w:szCs w:val="21"/>
                    </w:rPr>
                  </w:pPr>
                  <w:r>
                    <w:rPr>
                      <w:rFonts w:ascii="Times New Roman" w:hAnsi="Times New Roman" w:eastAsia="宋体"/>
                      <w:color w:val="auto"/>
                      <w:sz w:val="21"/>
                      <w:szCs w:val="21"/>
                    </w:rPr>
                    <w:t>W2</w:t>
                  </w:r>
                </w:p>
              </w:tc>
              <w:tc>
                <w:tcPr>
                  <w:tcW w:w="129" w:type="pct"/>
                  <w:vMerge w:val="restart"/>
                  <w:vAlign w:val="center"/>
                </w:tcPr>
                <w:p w14:paraId="2FAC4C2D">
                  <w:pPr>
                    <w:jc w:val="center"/>
                    <w:rPr>
                      <w:rFonts w:ascii="Times New Roman" w:hAnsi="Times New Roman" w:eastAsia="宋体"/>
                      <w:color w:val="auto"/>
                      <w:sz w:val="21"/>
                      <w:szCs w:val="21"/>
                    </w:rPr>
                  </w:pPr>
                  <w:r>
                    <w:rPr>
                      <w:rFonts w:ascii="Times New Roman" w:hAnsi="Times New Roman" w:eastAsia="宋体"/>
                      <w:color w:val="auto"/>
                      <w:sz w:val="21"/>
                      <w:szCs w:val="21"/>
                    </w:rPr>
                    <w:t>硝酸酸洗废水</w:t>
                  </w:r>
                </w:p>
              </w:tc>
              <w:tc>
                <w:tcPr>
                  <w:tcW w:w="220" w:type="pct"/>
                  <w:vAlign w:val="center"/>
                </w:tcPr>
                <w:p w14:paraId="533C9AC1">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378DD56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541ECBA0">
                  <w:pPr>
                    <w:jc w:val="center"/>
                    <w:rPr>
                      <w:rFonts w:ascii="Times New Roman" w:hAnsi="Times New Roman" w:eastAsia="宋体"/>
                      <w:color w:val="auto"/>
                      <w:sz w:val="21"/>
                      <w:szCs w:val="21"/>
                    </w:rPr>
                  </w:pPr>
                  <w:r>
                    <w:rPr>
                      <w:rFonts w:ascii="Times New Roman" w:hAnsi="Times New Roman" w:eastAsia="宋体"/>
                      <w:color w:val="auto"/>
                      <w:sz w:val="21"/>
                      <w:szCs w:val="21"/>
                    </w:rPr>
                    <w:t>1~3</w:t>
                  </w:r>
                </w:p>
              </w:tc>
              <w:tc>
                <w:tcPr>
                  <w:tcW w:w="354" w:type="pct"/>
                  <w:vAlign w:val="center"/>
                </w:tcPr>
                <w:p w14:paraId="06E4C8A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598F3F6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08A3C569">
                  <w:pPr>
                    <w:jc w:val="center"/>
                    <w:rPr>
                      <w:rFonts w:ascii="Times New Roman" w:hAnsi="Times New Roman" w:eastAsia="宋体"/>
                      <w:color w:val="auto"/>
                      <w:sz w:val="21"/>
                      <w:szCs w:val="21"/>
                    </w:rPr>
                  </w:pPr>
                  <w:r>
                    <w:rPr>
                      <w:rFonts w:ascii="Times New Roman" w:hAnsi="Times New Roman" w:eastAsia="宋体"/>
                      <w:color w:val="auto"/>
                      <w:sz w:val="21"/>
                      <w:szCs w:val="21"/>
                    </w:rPr>
                    <w:t>33978</w:t>
                  </w:r>
                </w:p>
              </w:tc>
              <w:tc>
                <w:tcPr>
                  <w:tcW w:w="299" w:type="pct"/>
                  <w:vAlign w:val="center"/>
                </w:tcPr>
                <w:p w14:paraId="4E21560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34A0463">
                  <w:pPr>
                    <w:jc w:val="center"/>
                    <w:rPr>
                      <w:rFonts w:ascii="Times New Roman" w:hAnsi="Times New Roman" w:eastAsia="宋体"/>
                      <w:color w:val="auto"/>
                      <w:sz w:val="21"/>
                      <w:szCs w:val="21"/>
                    </w:rPr>
                  </w:pPr>
                  <w:r>
                    <w:rPr>
                      <w:rFonts w:ascii="Times New Roman" w:hAnsi="Times New Roman" w:eastAsia="宋体"/>
                      <w:color w:val="auto"/>
                      <w:sz w:val="21"/>
                      <w:szCs w:val="21"/>
                    </w:rPr>
                    <w:t>15</w:t>
                  </w:r>
                </w:p>
              </w:tc>
              <w:tc>
                <w:tcPr>
                  <w:tcW w:w="299" w:type="pct"/>
                  <w:vAlign w:val="center"/>
                </w:tcPr>
                <w:p w14:paraId="50BF9786">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46" w:type="pct"/>
                  <w:vAlign w:val="center"/>
                </w:tcPr>
                <w:p w14:paraId="11A1938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228B06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20A3F1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2B7F538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4713D7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5C6861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136CA11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139C69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02EDD01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25F2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72228B9B">
                  <w:pPr>
                    <w:jc w:val="center"/>
                    <w:rPr>
                      <w:rFonts w:ascii="Times New Roman" w:hAnsi="Times New Roman" w:eastAsia="宋体"/>
                      <w:color w:val="auto"/>
                      <w:sz w:val="21"/>
                      <w:szCs w:val="21"/>
                    </w:rPr>
                  </w:pPr>
                </w:p>
              </w:tc>
              <w:tc>
                <w:tcPr>
                  <w:tcW w:w="129" w:type="pct"/>
                  <w:vMerge w:val="continue"/>
                  <w:vAlign w:val="center"/>
                </w:tcPr>
                <w:p w14:paraId="06DC4511">
                  <w:pPr>
                    <w:jc w:val="center"/>
                    <w:rPr>
                      <w:rFonts w:ascii="Times New Roman" w:hAnsi="Times New Roman" w:eastAsia="宋体"/>
                      <w:color w:val="auto"/>
                      <w:sz w:val="21"/>
                      <w:szCs w:val="21"/>
                    </w:rPr>
                  </w:pPr>
                </w:p>
              </w:tc>
              <w:tc>
                <w:tcPr>
                  <w:tcW w:w="220" w:type="pct"/>
                  <w:vAlign w:val="center"/>
                </w:tcPr>
                <w:p w14:paraId="7D0FF57F">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190AD4C4">
                  <w:pPr>
                    <w:jc w:val="center"/>
                    <w:rPr>
                      <w:rFonts w:ascii="Times New Roman" w:hAnsi="Times New Roman" w:eastAsia="宋体"/>
                      <w:color w:val="auto"/>
                      <w:sz w:val="21"/>
                      <w:szCs w:val="21"/>
                    </w:rPr>
                  </w:pPr>
                  <w:r>
                    <w:rPr>
                      <w:rFonts w:ascii="Times New Roman" w:hAnsi="Times New Roman" w:eastAsia="宋体"/>
                      <w:color w:val="auto"/>
                      <w:sz w:val="21"/>
                      <w:szCs w:val="21"/>
                    </w:rPr>
                    <w:t>73815</w:t>
                  </w:r>
                </w:p>
              </w:tc>
              <w:tc>
                <w:tcPr>
                  <w:tcW w:w="170" w:type="pct"/>
                  <w:vAlign w:val="center"/>
                </w:tcPr>
                <w:p w14:paraId="65BF23B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634441B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513172C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0A1CF352">
                  <w:pPr>
                    <w:jc w:val="center"/>
                    <w:rPr>
                      <w:rFonts w:ascii="Times New Roman" w:hAnsi="Times New Roman" w:eastAsia="宋体"/>
                      <w:color w:val="auto"/>
                      <w:sz w:val="21"/>
                      <w:szCs w:val="21"/>
                    </w:rPr>
                  </w:pPr>
                  <w:r>
                    <w:rPr>
                      <w:rFonts w:ascii="Times New Roman" w:hAnsi="Times New Roman" w:eastAsia="宋体"/>
                      <w:color w:val="auto"/>
                      <w:sz w:val="21"/>
                      <w:szCs w:val="21"/>
                    </w:rPr>
                    <w:t>2508.1</w:t>
                  </w:r>
                </w:p>
              </w:tc>
              <w:tc>
                <w:tcPr>
                  <w:tcW w:w="299" w:type="pct"/>
                  <w:vAlign w:val="center"/>
                </w:tcPr>
                <w:p w14:paraId="22AE2F3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06CD8798">
                  <w:pPr>
                    <w:jc w:val="center"/>
                    <w:rPr>
                      <w:rFonts w:ascii="Times New Roman" w:hAnsi="Times New Roman" w:eastAsia="宋体"/>
                      <w:color w:val="auto"/>
                      <w:sz w:val="21"/>
                      <w:szCs w:val="21"/>
                    </w:rPr>
                  </w:pPr>
                  <w:r>
                    <w:rPr>
                      <w:rFonts w:ascii="Times New Roman" w:hAnsi="Times New Roman" w:eastAsia="宋体"/>
                      <w:color w:val="auto"/>
                      <w:sz w:val="21"/>
                      <w:szCs w:val="21"/>
                    </w:rPr>
                    <w:t>1.107</w:t>
                  </w:r>
                </w:p>
              </w:tc>
              <w:tc>
                <w:tcPr>
                  <w:tcW w:w="299" w:type="pct"/>
                  <w:vAlign w:val="center"/>
                </w:tcPr>
                <w:p w14:paraId="07FD2F96">
                  <w:pPr>
                    <w:jc w:val="center"/>
                    <w:rPr>
                      <w:rFonts w:ascii="Times New Roman" w:hAnsi="Times New Roman" w:eastAsia="宋体"/>
                      <w:color w:val="auto"/>
                      <w:sz w:val="21"/>
                      <w:szCs w:val="21"/>
                    </w:rPr>
                  </w:pPr>
                  <w:r>
                    <w:rPr>
                      <w:rFonts w:ascii="Times New Roman" w:hAnsi="Times New Roman" w:eastAsia="宋体"/>
                      <w:color w:val="auto"/>
                      <w:sz w:val="21"/>
                      <w:szCs w:val="21"/>
                    </w:rPr>
                    <w:t>22.145</w:t>
                  </w:r>
                </w:p>
              </w:tc>
              <w:tc>
                <w:tcPr>
                  <w:tcW w:w="246" w:type="pct"/>
                  <w:vAlign w:val="center"/>
                </w:tcPr>
                <w:p w14:paraId="7F062B7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7148DC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20D7178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61FED5C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DBEF58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9D41B2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362624E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ABF88C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1C2889A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3A3B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010BC382">
                  <w:pPr>
                    <w:jc w:val="center"/>
                    <w:rPr>
                      <w:rFonts w:ascii="Times New Roman" w:hAnsi="Times New Roman" w:eastAsia="宋体"/>
                      <w:color w:val="auto"/>
                      <w:sz w:val="21"/>
                      <w:szCs w:val="21"/>
                    </w:rPr>
                  </w:pPr>
                  <w:r>
                    <w:rPr>
                      <w:rFonts w:ascii="Times New Roman" w:hAnsi="Times New Roman" w:eastAsia="宋体"/>
                      <w:color w:val="auto"/>
                      <w:sz w:val="21"/>
                      <w:szCs w:val="21"/>
                    </w:rPr>
                    <w:t>W3</w:t>
                  </w:r>
                </w:p>
              </w:tc>
              <w:tc>
                <w:tcPr>
                  <w:tcW w:w="129" w:type="pct"/>
                  <w:vMerge w:val="restart"/>
                  <w:vAlign w:val="center"/>
                </w:tcPr>
                <w:p w14:paraId="5EA904B7">
                  <w:pPr>
                    <w:jc w:val="center"/>
                    <w:rPr>
                      <w:rFonts w:ascii="Times New Roman" w:hAnsi="Times New Roman" w:eastAsia="宋体"/>
                      <w:color w:val="auto"/>
                      <w:sz w:val="21"/>
                      <w:szCs w:val="21"/>
                    </w:rPr>
                  </w:pPr>
                  <w:r>
                    <w:rPr>
                      <w:rFonts w:ascii="Times New Roman" w:hAnsi="Times New Roman" w:eastAsia="宋体"/>
                      <w:color w:val="auto"/>
                      <w:sz w:val="21"/>
                      <w:szCs w:val="21"/>
                    </w:rPr>
                    <w:t>含镍废水</w:t>
                  </w:r>
                </w:p>
              </w:tc>
              <w:tc>
                <w:tcPr>
                  <w:tcW w:w="220" w:type="pct"/>
                  <w:vAlign w:val="center"/>
                </w:tcPr>
                <w:p w14:paraId="34BDFD90">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2A601E8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19F3FF5D">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c>
                <w:tcPr>
                  <w:tcW w:w="354" w:type="pct"/>
                  <w:vAlign w:val="center"/>
                </w:tcPr>
                <w:p w14:paraId="0F985319">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99" w:type="pct"/>
                  <w:vAlign w:val="center"/>
                </w:tcPr>
                <w:p w14:paraId="16C4EB3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31D49D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05CDBF1E">
                  <w:pPr>
                    <w:jc w:val="center"/>
                    <w:rPr>
                      <w:rFonts w:ascii="Times New Roman" w:hAnsi="Times New Roman" w:eastAsia="宋体"/>
                      <w:color w:val="auto"/>
                      <w:sz w:val="21"/>
                      <w:szCs w:val="21"/>
                    </w:rPr>
                  </w:pPr>
                  <w:r>
                    <w:rPr>
                      <w:rFonts w:ascii="Times New Roman" w:hAnsi="Times New Roman" w:eastAsia="宋体"/>
                      <w:color w:val="auto"/>
                      <w:sz w:val="21"/>
                      <w:szCs w:val="21"/>
                    </w:rPr>
                    <w:t>0.1</w:t>
                  </w:r>
                </w:p>
              </w:tc>
              <w:tc>
                <w:tcPr>
                  <w:tcW w:w="246" w:type="pct"/>
                  <w:vAlign w:val="center"/>
                </w:tcPr>
                <w:p w14:paraId="4C3F77BE">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299" w:type="pct"/>
                  <w:vAlign w:val="center"/>
                </w:tcPr>
                <w:p w14:paraId="350F9FC7">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4AD98BE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9AECF3B">
                  <w:pPr>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299" w:type="pct"/>
                  <w:vAlign w:val="center"/>
                </w:tcPr>
                <w:p w14:paraId="6F45A527">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192" w:type="pct"/>
                  <w:vAlign w:val="center"/>
                </w:tcPr>
                <w:p w14:paraId="71A0989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975C7C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0201BD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7361423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9C1EB5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5109EACF">
                  <w:pPr>
                    <w:jc w:val="center"/>
                    <w:rPr>
                      <w:rFonts w:ascii="Times New Roman" w:hAnsi="Times New Roman" w:eastAsia="宋体"/>
                      <w:color w:val="auto"/>
                      <w:sz w:val="21"/>
                      <w:szCs w:val="21"/>
                    </w:rPr>
                  </w:pPr>
                  <w:r>
                    <w:rPr>
                      <w:rFonts w:ascii="Times New Roman" w:hAnsi="Times New Roman" w:eastAsia="宋体"/>
                      <w:color w:val="auto"/>
                      <w:sz w:val="21"/>
                      <w:szCs w:val="21"/>
                    </w:rPr>
                    <w:t>101</w:t>
                  </w:r>
                </w:p>
              </w:tc>
            </w:tr>
            <w:tr w14:paraId="04A2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6EA3C0A9">
                  <w:pPr>
                    <w:jc w:val="center"/>
                    <w:rPr>
                      <w:rFonts w:ascii="Times New Roman" w:hAnsi="Times New Roman" w:eastAsia="宋体"/>
                      <w:color w:val="auto"/>
                      <w:sz w:val="21"/>
                      <w:szCs w:val="21"/>
                    </w:rPr>
                  </w:pPr>
                </w:p>
              </w:tc>
              <w:tc>
                <w:tcPr>
                  <w:tcW w:w="129" w:type="pct"/>
                  <w:vMerge w:val="continue"/>
                  <w:vAlign w:val="center"/>
                </w:tcPr>
                <w:p w14:paraId="2F3589E8">
                  <w:pPr>
                    <w:jc w:val="center"/>
                    <w:rPr>
                      <w:rFonts w:ascii="Times New Roman" w:hAnsi="Times New Roman" w:eastAsia="宋体"/>
                      <w:color w:val="auto"/>
                      <w:sz w:val="21"/>
                      <w:szCs w:val="21"/>
                    </w:rPr>
                  </w:pPr>
                </w:p>
              </w:tc>
              <w:tc>
                <w:tcPr>
                  <w:tcW w:w="220" w:type="pct"/>
                  <w:vAlign w:val="center"/>
                </w:tcPr>
                <w:p w14:paraId="62983AB6">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5080913D">
                  <w:pPr>
                    <w:jc w:val="center"/>
                    <w:rPr>
                      <w:rFonts w:ascii="Times New Roman" w:hAnsi="Times New Roman" w:eastAsia="宋体"/>
                      <w:color w:val="auto"/>
                      <w:sz w:val="21"/>
                      <w:szCs w:val="21"/>
                    </w:rPr>
                  </w:pPr>
                  <w:r>
                    <w:rPr>
                      <w:rFonts w:ascii="Times New Roman" w:hAnsi="Times New Roman" w:eastAsia="宋体"/>
                      <w:color w:val="auto"/>
                      <w:sz w:val="21"/>
                      <w:szCs w:val="21"/>
                    </w:rPr>
                    <w:t>148881</w:t>
                  </w:r>
                </w:p>
              </w:tc>
              <w:tc>
                <w:tcPr>
                  <w:tcW w:w="170" w:type="pct"/>
                  <w:vAlign w:val="center"/>
                </w:tcPr>
                <w:p w14:paraId="247293A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37F31355">
                  <w:pPr>
                    <w:jc w:val="center"/>
                    <w:rPr>
                      <w:rFonts w:ascii="Times New Roman" w:hAnsi="Times New Roman" w:eastAsia="宋体"/>
                      <w:color w:val="auto"/>
                      <w:sz w:val="21"/>
                      <w:szCs w:val="21"/>
                    </w:rPr>
                  </w:pPr>
                  <w:r>
                    <w:rPr>
                      <w:rFonts w:ascii="Times New Roman" w:hAnsi="Times New Roman" w:eastAsia="宋体"/>
                      <w:color w:val="auto"/>
                      <w:sz w:val="21"/>
                      <w:szCs w:val="21"/>
                    </w:rPr>
                    <w:t>44.664</w:t>
                  </w:r>
                </w:p>
              </w:tc>
              <w:tc>
                <w:tcPr>
                  <w:tcW w:w="299" w:type="pct"/>
                  <w:vAlign w:val="center"/>
                </w:tcPr>
                <w:p w14:paraId="3A19BBA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2DD5486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DBB526B">
                  <w:pPr>
                    <w:jc w:val="center"/>
                    <w:rPr>
                      <w:rFonts w:ascii="Times New Roman" w:hAnsi="Times New Roman" w:eastAsia="宋体"/>
                      <w:color w:val="auto"/>
                      <w:sz w:val="21"/>
                      <w:szCs w:val="21"/>
                    </w:rPr>
                  </w:pPr>
                  <w:r>
                    <w:rPr>
                      <w:rFonts w:ascii="Times New Roman" w:hAnsi="Times New Roman" w:eastAsia="宋体"/>
                      <w:color w:val="auto"/>
                      <w:sz w:val="21"/>
                      <w:szCs w:val="21"/>
                    </w:rPr>
                    <w:t>0.011</w:t>
                  </w:r>
                </w:p>
              </w:tc>
              <w:tc>
                <w:tcPr>
                  <w:tcW w:w="246" w:type="pct"/>
                  <w:vAlign w:val="center"/>
                </w:tcPr>
                <w:p w14:paraId="13F584C8">
                  <w:pPr>
                    <w:jc w:val="center"/>
                    <w:rPr>
                      <w:rFonts w:ascii="Times New Roman" w:hAnsi="Times New Roman" w:eastAsia="宋体"/>
                      <w:color w:val="auto"/>
                      <w:sz w:val="21"/>
                      <w:szCs w:val="21"/>
                    </w:rPr>
                  </w:pPr>
                  <w:r>
                    <w:rPr>
                      <w:rFonts w:ascii="Times New Roman" w:hAnsi="Times New Roman" w:eastAsia="宋体"/>
                      <w:color w:val="auto"/>
                      <w:sz w:val="21"/>
                      <w:szCs w:val="21"/>
                    </w:rPr>
                    <w:t>2.978</w:t>
                  </w:r>
                </w:p>
              </w:tc>
              <w:tc>
                <w:tcPr>
                  <w:tcW w:w="299" w:type="pct"/>
                  <w:vAlign w:val="center"/>
                </w:tcPr>
                <w:p w14:paraId="35104B24">
                  <w:pPr>
                    <w:jc w:val="center"/>
                    <w:rPr>
                      <w:rFonts w:ascii="Times New Roman" w:hAnsi="Times New Roman" w:eastAsia="宋体"/>
                      <w:color w:val="auto"/>
                      <w:sz w:val="21"/>
                      <w:szCs w:val="21"/>
                    </w:rPr>
                  </w:pPr>
                  <w:r>
                    <w:rPr>
                      <w:rFonts w:ascii="Times New Roman" w:hAnsi="Times New Roman" w:eastAsia="宋体"/>
                      <w:color w:val="auto"/>
                      <w:sz w:val="21"/>
                      <w:szCs w:val="21"/>
                    </w:rPr>
                    <w:t>22.332</w:t>
                  </w:r>
                </w:p>
              </w:tc>
              <w:tc>
                <w:tcPr>
                  <w:tcW w:w="246" w:type="pct"/>
                  <w:vAlign w:val="center"/>
                </w:tcPr>
                <w:p w14:paraId="0EFB839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43CE0F0">
                  <w:pPr>
                    <w:jc w:val="center"/>
                    <w:rPr>
                      <w:rFonts w:ascii="Times New Roman" w:hAnsi="Times New Roman" w:eastAsia="宋体"/>
                      <w:color w:val="auto"/>
                      <w:sz w:val="21"/>
                      <w:szCs w:val="21"/>
                    </w:rPr>
                  </w:pPr>
                  <w:r>
                    <w:rPr>
                      <w:rFonts w:ascii="Times New Roman" w:hAnsi="Times New Roman" w:eastAsia="宋体"/>
                      <w:color w:val="auto"/>
                      <w:sz w:val="21"/>
                      <w:szCs w:val="21"/>
                    </w:rPr>
                    <w:t>0.275</w:t>
                  </w:r>
                </w:p>
              </w:tc>
              <w:tc>
                <w:tcPr>
                  <w:tcW w:w="299" w:type="pct"/>
                  <w:vAlign w:val="center"/>
                </w:tcPr>
                <w:p w14:paraId="6B0FAA4C">
                  <w:pPr>
                    <w:jc w:val="center"/>
                    <w:rPr>
                      <w:rFonts w:ascii="Times New Roman" w:hAnsi="Times New Roman" w:eastAsia="宋体"/>
                      <w:color w:val="auto"/>
                      <w:sz w:val="21"/>
                      <w:szCs w:val="21"/>
                    </w:rPr>
                  </w:pPr>
                  <w:r>
                    <w:rPr>
                      <w:rFonts w:ascii="Times New Roman" w:hAnsi="Times New Roman" w:eastAsia="宋体"/>
                      <w:color w:val="auto"/>
                      <w:sz w:val="21"/>
                      <w:szCs w:val="21"/>
                    </w:rPr>
                    <w:t>14.888</w:t>
                  </w:r>
                </w:p>
              </w:tc>
              <w:tc>
                <w:tcPr>
                  <w:tcW w:w="192" w:type="pct"/>
                  <w:vAlign w:val="center"/>
                </w:tcPr>
                <w:p w14:paraId="15C6A7F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245F04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5FEAF6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2D0E54F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3E86C8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0D5A6B52">
                  <w:pPr>
                    <w:jc w:val="center"/>
                    <w:rPr>
                      <w:rFonts w:ascii="Times New Roman" w:hAnsi="Times New Roman" w:eastAsia="宋体"/>
                      <w:color w:val="auto"/>
                      <w:sz w:val="21"/>
                      <w:szCs w:val="21"/>
                    </w:rPr>
                  </w:pPr>
                  <w:r>
                    <w:rPr>
                      <w:rFonts w:ascii="Times New Roman" w:hAnsi="Times New Roman" w:eastAsia="宋体"/>
                      <w:color w:val="auto"/>
                      <w:sz w:val="21"/>
                      <w:szCs w:val="21"/>
                    </w:rPr>
                    <w:t>14.98</w:t>
                  </w:r>
                </w:p>
              </w:tc>
            </w:tr>
            <w:tr w14:paraId="4F92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12C30DDD">
                  <w:pPr>
                    <w:jc w:val="center"/>
                    <w:rPr>
                      <w:rFonts w:ascii="Times New Roman" w:hAnsi="Times New Roman" w:eastAsia="宋体"/>
                      <w:color w:val="auto"/>
                      <w:sz w:val="21"/>
                      <w:szCs w:val="21"/>
                    </w:rPr>
                  </w:pPr>
                  <w:r>
                    <w:rPr>
                      <w:rFonts w:ascii="Times New Roman" w:hAnsi="Times New Roman" w:eastAsia="宋体"/>
                      <w:color w:val="auto"/>
                      <w:sz w:val="21"/>
                      <w:szCs w:val="21"/>
                    </w:rPr>
                    <w:t>W4</w:t>
                  </w:r>
                </w:p>
              </w:tc>
              <w:tc>
                <w:tcPr>
                  <w:tcW w:w="129" w:type="pct"/>
                  <w:vMerge w:val="restart"/>
                  <w:vAlign w:val="center"/>
                </w:tcPr>
                <w:p w14:paraId="24DAD579">
                  <w:pPr>
                    <w:jc w:val="center"/>
                    <w:rPr>
                      <w:rFonts w:ascii="Times New Roman" w:hAnsi="Times New Roman" w:eastAsia="宋体"/>
                      <w:color w:val="auto"/>
                      <w:sz w:val="21"/>
                      <w:szCs w:val="21"/>
                    </w:rPr>
                  </w:pPr>
                  <w:r>
                    <w:rPr>
                      <w:rFonts w:ascii="Times New Roman" w:hAnsi="Times New Roman" w:eastAsia="宋体"/>
                      <w:color w:val="auto"/>
                      <w:sz w:val="21"/>
                      <w:szCs w:val="21"/>
                    </w:rPr>
                    <w:t>含铜废水</w:t>
                  </w:r>
                </w:p>
              </w:tc>
              <w:tc>
                <w:tcPr>
                  <w:tcW w:w="220" w:type="pct"/>
                  <w:vAlign w:val="center"/>
                </w:tcPr>
                <w:p w14:paraId="54EC2B65">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607B4F9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488447DC">
                  <w:pPr>
                    <w:jc w:val="center"/>
                    <w:rPr>
                      <w:rFonts w:ascii="Times New Roman" w:hAnsi="Times New Roman" w:eastAsia="宋体"/>
                      <w:color w:val="auto"/>
                      <w:sz w:val="21"/>
                      <w:szCs w:val="21"/>
                    </w:rPr>
                  </w:pPr>
                  <w:r>
                    <w:rPr>
                      <w:rFonts w:ascii="Times New Roman" w:hAnsi="Times New Roman" w:eastAsia="宋体"/>
                      <w:color w:val="auto"/>
                      <w:sz w:val="21"/>
                      <w:szCs w:val="21"/>
                    </w:rPr>
                    <w:t>7</w:t>
                  </w:r>
                </w:p>
              </w:tc>
              <w:tc>
                <w:tcPr>
                  <w:tcW w:w="354" w:type="pct"/>
                  <w:vAlign w:val="center"/>
                </w:tcPr>
                <w:p w14:paraId="33206961">
                  <w:pPr>
                    <w:jc w:val="center"/>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299" w:type="pct"/>
                  <w:vAlign w:val="center"/>
                </w:tcPr>
                <w:p w14:paraId="6BE15A0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21CAD67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897A6F9">
                  <w:pPr>
                    <w:jc w:val="center"/>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246" w:type="pct"/>
                  <w:vAlign w:val="center"/>
                </w:tcPr>
                <w:p w14:paraId="1AA6204C">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299" w:type="pct"/>
                  <w:vAlign w:val="center"/>
                </w:tcPr>
                <w:p w14:paraId="3F4DF09E">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4D9CE08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775C61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0D7299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2629C861">
                  <w:pPr>
                    <w:jc w:val="center"/>
                    <w:rPr>
                      <w:rFonts w:ascii="Times New Roman" w:hAnsi="Times New Roman" w:eastAsia="宋体"/>
                      <w:color w:val="auto"/>
                      <w:sz w:val="21"/>
                      <w:szCs w:val="21"/>
                    </w:rPr>
                  </w:pPr>
                  <w:r>
                    <w:rPr>
                      <w:rFonts w:ascii="Times New Roman" w:hAnsi="Times New Roman" w:eastAsia="宋体"/>
                      <w:color w:val="auto"/>
                      <w:sz w:val="21"/>
                      <w:szCs w:val="21"/>
                    </w:rPr>
                    <w:t>50</w:t>
                  </w:r>
                </w:p>
              </w:tc>
              <w:tc>
                <w:tcPr>
                  <w:tcW w:w="246" w:type="pct"/>
                  <w:vAlign w:val="center"/>
                </w:tcPr>
                <w:p w14:paraId="60321C2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5AC254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4A3E9B6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F3BC63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45691F8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0859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58C75E1C">
                  <w:pPr>
                    <w:jc w:val="center"/>
                    <w:rPr>
                      <w:rFonts w:ascii="Times New Roman" w:hAnsi="Times New Roman" w:eastAsia="宋体"/>
                      <w:color w:val="auto"/>
                      <w:sz w:val="21"/>
                      <w:szCs w:val="21"/>
                    </w:rPr>
                  </w:pPr>
                </w:p>
              </w:tc>
              <w:tc>
                <w:tcPr>
                  <w:tcW w:w="129" w:type="pct"/>
                  <w:vMerge w:val="continue"/>
                  <w:vAlign w:val="center"/>
                </w:tcPr>
                <w:p w14:paraId="5DE512DF">
                  <w:pPr>
                    <w:jc w:val="center"/>
                    <w:rPr>
                      <w:rFonts w:ascii="Times New Roman" w:hAnsi="Times New Roman" w:eastAsia="宋体"/>
                      <w:color w:val="auto"/>
                      <w:sz w:val="21"/>
                      <w:szCs w:val="21"/>
                    </w:rPr>
                  </w:pPr>
                </w:p>
              </w:tc>
              <w:tc>
                <w:tcPr>
                  <w:tcW w:w="220" w:type="pct"/>
                  <w:vAlign w:val="center"/>
                </w:tcPr>
                <w:p w14:paraId="11816A1E">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235F68AE">
                  <w:pPr>
                    <w:jc w:val="center"/>
                    <w:rPr>
                      <w:rFonts w:ascii="Times New Roman" w:hAnsi="Times New Roman" w:eastAsia="宋体"/>
                      <w:color w:val="auto"/>
                      <w:sz w:val="21"/>
                      <w:szCs w:val="21"/>
                    </w:rPr>
                  </w:pPr>
                  <w:r>
                    <w:rPr>
                      <w:rFonts w:ascii="Times New Roman" w:hAnsi="Times New Roman" w:eastAsia="宋体"/>
                      <w:color w:val="auto"/>
                      <w:sz w:val="21"/>
                      <w:szCs w:val="21"/>
                    </w:rPr>
                    <w:t>91400</w:t>
                  </w:r>
                </w:p>
              </w:tc>
              <w:tc>
                <w:tcPr>
                  <w:tcW w:w="170" w:type="pct"/>
                  <w:vAlign w:val="center"/>
                </w:tcPr>
                <w:p w14:paraId="40BE402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410B1BBD">
                  <w:pPr>
                    <w:jc w:val="center"/>
                    <w:rPr>
                      <w:rFonts w:ascii="Times New Roman" w:hAnsi="Times New Roman" w:eastAsia="宋体"/>
                      <w:color w:val="auto"/>
                      <w:sz w:val="21"/>
                      <w:szCs w:val="21"/>
                    </w:rPr>
                  </w:pPr>
                  <w:r>
                    <w:rPr>
                      <w:rFonts w:ascii="Times New Roman" w:hAnsi="Times New Roman" w:eastAsia="宋体"/>
                      <w:color w:val="auto"/>
                      <w:sz w:val="21"/>
                      <w:szCs w:val="21"/>
                    </w:rPr>
                    <w:t>18.28</w:t>
                  </w:r>
                </w:p>
              </w:tc>
              <w:tc>
                <w:tcPr>
                  <w:tcW w:w="299" w:type="pct"/>
                  <w:vAlign w:val="center"/>
                </w:tcPr>
                <w:p w14:paraId="28C1806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766FF10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70B93A1B">
                  <w:pPr>
                    <w:jc w:val="center"/>
                    <w:rPr>
                      <w:rFonts w:ascii="Times New Roman" w:hAnsi="Times New Roman" w:eastAsia="宋体"/>
                      <w:color w:val="auto"/>
                      <w:sz w:val="21"/>
                      <w:szCs w:val="21"/>
                    </w:rPr>
                  </w:pPr>
                  <w:r>
                    <w:rPr>
                      <w:rFonts w:ascii="Times New Roman" w:hAnsi="Times New Roman" w:eastAsia="宋体"/>
                      <w:color w:val="auto"/>
                      <w:sz w:val="21"/>
                      <w:szCs w:val="21"/>
                    </w:rPr>
                    <w:t>18.284</w:t>
                  </w:r>
                </w:p>
              </w:tc>
              <w:tc>
                <w:tcPr>
                  <w:tcW w:w="246" w:type="pct"/>
                  <w:vAlign w:val="center"/>
                </w:tcPr>
                <w:p w14:paraId="6F11045D">
                  <w:pPr>
                    <w:jc w:val="center"/>
                    <w:rPr>
                      <w:rFonts w:ascii="Times New Roman" w:hAnsi="Times New Roman" w:eastAsia="宋体"/>
                      <w:color w:val="auto"/>
                      <w:sz w:val="21"/>
                      <w:szCs w:val="21"/>
                    </w:rPr>
                  </w:pPr>
                  <w:r>
                    <w:rPr>
                      <w:rFonts w:ascii="Times New Roman" w:hAnsi="Times New Roman" w:eastAsia="宋体"/>
                      <w:color w:val="auto"/>
                      <w:sz w:val="21"/>
                      <w:szCs w:val="21"/>
                    </w:rPr>
                    <w:t>1.828</w:t>
                  </w:r>
                </w:p>
              </w:tc>
              <w:tc>
                <w:tcPr>
                  <w:tcW w:w="299" w:type="pct"/>
                  <w:vAlign w:val="center"/>
                </w:tcPr>
                <w:p w14:paraId="63985DA0">
                  <w:pPr>
                    <w:jc w:val="center"/>
                    <w:rPr>
                      <w:rFonts w:ascii="Times New Roman" w:hAnsi="Times New Roman" w:eastAsia="宋体"/>
                      <w:color w:val="auto"/>
                      <w:sz w:val="21"/>
                      <w:szCs w:val="21"/>
                    </w:rPr>
                  </w:pPr>
                  <w:r>
                    <w:rPr>
                      <w:rFonts w:ascii="Times New Roman" w:hAnsi="Times New Roman" w:eastAsia="宋体"/>
                      <w:color w:val="auto"/>
                      <w:sz w:val="21"/>
                      <w:szCs w:val="21"/>
                    </w:rPr>
                    <w:t>13.71</w:t>
                  </w:r>
                </w:p>
              </w:tc>
              <w:tc>
                <w:tcPr>
                  <w:tcW w:w="246" w:type="pct"/>
                  <w:vAlign w:val="center"/>
                </w:tcPr>
                <w:p w14:paraId="2243318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6A857C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7A2DEB1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6C2B3287">
                  <w:pPr>
                    <w:jc w:val="center"/>
                    <w:rPr>
                      <w:rFonts w:ascii="Times New Roman" w:hAnsi="Times New Roman" w:eastAsia="宋体"/>
                      <w:color w:val="auto"/>
                      <w:sz w:val="21"/>
                      <w:szCs w:val="21"/>
                    </w:rPr>
                  </w:pPr>
                  <w:r>
                    <w:rPr>
                      <w:rFonts w:ascii="Times New Roman" w:hAnsi="Times New Roman" w:eastAsia="宋体"/>
                      <w:color w:val="auto"/>
                      <w:sz w:val="21"/>
                      <w:szCs w:val="21"/>
                    </w:rPr>
                    <w:t>4.57</w:t>
                  </w:r>
                </w:p>
              </w:tc>
              <w:tc>
                <w:tcPr>
                  <w:tcW w:w="246" w:type="pct"/>
                  <w:vAlign w:val="center"/>
                </w:tcPr>
                <w:p w14:paraId="40D8903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701C7A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0BC9833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22E260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134CEDB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4746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06D79628">
                  <w:pPr>
                    <w:jc w:val="center"/>
                    <w:rPr>
                      <w:rFonts w:ascii="Times New Roman" w:hAnsi="Times New Roman" w:eastAsia="宋体"/>
                      <w:color w:val="auto"/>
                      <w:sz w:val="21"/>
                      <w:szCs w:val="21"/>
                    </w:rPr>
                  </w:pPr>
                  <w:r>
                    <w:rPr>
                      <w:rFonts w:ascii="Times New Roman" w:hAnsi="Times New Roman" w:eastAsia="宋体"/>
                      <w:color w:val="auto"/>
                      <w:sz w:val="21"/>
                      <w:szCs w:val="21"/>
                    </w:rPr>
                    <w:t>W5</w:t>
                  </w:r>
                </w:p>
              </w:tc>
              <w:tc>
                <w:tcPr>
                  <w:tcW w:w="129" w:type="pct"/>
                  <w:vMerge w:val="restart"/>
                  <w:vAlign w:val="center"/>
                </w:tcPr>
                <w:p w14:paraId="6C19D952">
                  <w:pPr>
                    <w:jc w:val="center"/>
                    <w:rPr>
                      <w:rFonts w:ascii="Times New Roman" w:hAnsi="Times New Roman" w:eastAsia="宋体"/>
                      <w:color w:val="auto"/>
                      <w:sz w:val="21"/>
                      <w:szCs w:val="21"/>
                    </w:rPr>
                  </w:pPr>
                  <w:r>
                    <w:rPr>
                      <w:rFonts w:ascii="Times New Roman" w:hAnsi="Times New Roman" w:eastAsia="宋体"/>
                      <w:color w:val="auto"/>
                      <w:sz w:val="21"/>
                      <w:szCs w:val="21"/>
                    </w:rPr>
                    <w:t>化学镀镍废水</w:t>
                  </w:r>
                </w:p>
              </w:tc>
              <w:tc>
                <w:tcPr>
                  <w:tcW w:w="220" w:type="pct"/>
                  <w:vAlign w:val="center"/>
                </w:tcPr>
                <w:p w14:paraId="19D3E5A3">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30AE3CD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143A403E">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c>
                <w:tcPr>
                  <w:tcW w:w="354" w:type="pct"/>
                  <w:vAlign w:val="center"/>
                </w:tcPr>
                <w:p w14:paraId="7A320C2C">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99" w:type="pct"/>
                  <w:vAlign w:val="center"/>
                </w:tcPr>
                <w:p w14:paraId="3B42D7D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8B1A25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9428BFF">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46" w:type="pct"/>
                  <w:vAlign w:val="center"/>
                </w:tcPr>
                <w:p w14:paraId="02A057EA">
                  <w:pPr>
                    <w:jc w:val="center"/>
                    <w:rPr>
                      <w:rFonts w:ascii="Times New Roman" w:hAnsi="Times New Roman" w:eastAsia="宋体"/>
                      <w:color w:val="auto"/>
                      <w:sz w:val="21"/>
                      <w:szCs w:val="21"/>
                    </w:rPr>
                  </w:pPr>
                  <w:r>
                    <w:rPr>
                      <w:rFonts w:ascii="Times New Roman" w:hAnsi="Times New Roman" w:eastAsia="宋体"/>
                      <w:color w:val="auto"/>
                      <w:sz w:val="21"/>
                      <w:szCs w:val="21"/>
                    </w:rPr>
                    <w:t>65</w:t>
                  </w:r>
                </w:p>
              </w:tc>
              <w:tc>
                <w:tcPr>
                  <w:tcW w:w="299" w:type="pct"/>
                  <w:vAlign w:val="center"/>
                </w:tcPr>
                <w:p w14:paraId="5EFF4ED0">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409C147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BB7CC6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68FC23CD">
                  <w:pPr>
                    <w:jc w:val="center"/>
                    <w:rPr>
                      <w:rFonts w:ascii="Times New Roman" w:hAnsi="Times New Roman" w:eastAsia="宋体"/>
                      <w:color w:val="auto"/>
                      <w:sz w:val="21"/>
                      <w:szCs w:val="21"/>
                    </w:rPr>
                  </w:pPr>
                  <w:r>
                    <w:rPr>
                      <w:rFonts w:ascii="Times New Roman" w:hAnsi="Times New Roman" w:eastAsia="宋体"/>
                      <w:color w:val="auto"/>
                      <w:sz w:val="21"/>
                      <w:szCs w:val="21"/>
                    </w:rPr>
                    <w:t>50</w:t>
                  </w:r>
                </w:p>
              </w:tc>
              <w:tc>
                <w:tcPr>
                  <w:tcW w:w="192" w:type="pct"/>
                  <w:vAlign w:val="center"/>
                </w:tcPr>
                <w:p w14:paraId="7C93A79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EF6BF1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AAF8CF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2E7FA38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A3EE4F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1A3B81E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784E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5687FD7F">
                  <w:pPr>
                    <w:jc w:val="center"/>
                    <w:rPr>
                      <w:rFonts w:ascii="Times New Roman" w:hAnsi="Times New Roman" w:eastAsia="宋体"/>
                      <w:color w:val="auto"/>
                      <w:sz w:val="21"/>
                      <w:szCs w:val="21"/>
                    </w:rPr>
                  </w:pPr>
                </w:p>
              </w:tc>
              <w:tc>
                <w:tcPr>
                  <w:tcW w:w="129" w:type="pct"/>
                  <w:vMerge w:val="continue"/>
                  <w:vAlign w:val="center"/>
                </w:tcPr>
                <w:p w14:paraId="2E21BA0F">
                  <w:pPr>
                    <w:jc w:val="center"/>
                    <w:rPr>
                      <w:rFonts w:ascii="Times New Roman" w:hAnsi="Times New Roman" w:eastAsia="宋体"/>
                      <w:color w:val="auto"/>
                      <w:sz w:val="21"/>
                      <w:szCs w:val="21"/>
                    </w:rPr>
                  </w:pPr>
                </w:p>
              </w:tc>
              <w:tc>
                <w:tcPr>
                  <w:tcW w:w="220" w:type="pct"/>
                  <w:vAlign w:val="center"/>
                </w:tcPr>
                <w:p w14:paraId="1DB12DAB">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5DC5B5D8">
                  <w:pPr>
                    <w:jc w:val="center"/>
                    <w:rPr>
                      <w:rFonts w:ascii="Times New Roman" w:hAnsi="Times New Roman" w:eastAsia="宋体"/>
                      <w:color w:val="auto"/>
                      <w:sz w:val="21"/>
                      <w:szCs w:val="21"/>
                    </w:rPr>
                  </w:pPr>
                  <w:r>
                    <w:rPr>
                      <w:rFonts w:ascii="Times New Roman" w:hAnsi="Times New Roman" w:eastAsia="宋体"/>
                      <w:color w:val="auto"/>
                      <w:sz w:val="21"/>
                      <w:szCs w:val="21"/>
                    </w:rPr>
                    <w:t>28770</w:t>
                  </w:r>
                </w:p>
              </w:tc>
              <w:tc>
                <w:tcPr>
                  <w:tcW w:w="170" w:type="pct"/>
                  <w:vAlign w:val="center"/>
                </w:tcPr>
                <w:p w14:paraId="42A2263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284C788B">
                  <w:pPr>
                    <w:jc w:val="center"/>
                    <w:rPr>
                      <w:rFonts w:ascii="Times New Roman" w:hAnsi="Times New Roman" w:eastAsia="宋体"/>
                      <w:color w:val="auto"/>
                      <w:sz w:val="21"/>
                      <w:szCs w:val="21"/>
                    </w:rPr>
                  </w:pPr>
                  <w:r>
                    <w:rPr>
                      <w:rFonts w:ascii="Times New Roman" w:hAnsi="Times New Roman" w:eastAsia="宋体"/>
                      <w:color w:val="auto"/>
                      <w:sz w:val="21"/>
                      <w:szCs w:val="21"/>
                    </w:rPr>
                    <w:t>8.631</w:t>
                  </w:r>
                </w:p>
              </w:tc>
              <w:tc>
                <w:tcPr>
                  <w:tcW w:w="299" w:type="pct"/>
                  <w:vAlign w:val="center"/>
                </w:tcPr>
                <w:p w14:paraId="1A28C7A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5CD1011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094FDA75">
                  <w:pPr>
                    <w:jc w:val="center"/>
                    <w:rPr>
                      <w:rFonts w:ascii="Times New Roman" w:hAnsi="Times New Roman" w:eastAsia="宋体"/>
                      <w:color w:val="auto"/>
                      <w:sz w:val="21"/>
                      <w:szCs w:val="21"/>
                    </w:rPr>
                  </w:pPr>
                  <w:r>
                    <w:rPr>
                      <w:rFonts w:ascii="Times New Roman" w:hAnsi="Times New Roman" w:eastAsia="宋体"/>
                      <w:color w:val="auto"/>
                      <w:sz w:val="21"/>
                      <w:szCs w:val="21"/>
                    </w:rPr>
                    <w:t>2.877</w:t>
                  </w:r>
                </w:p>
              </w:tc>
              <w:tc>
                <w:tcPr>
                  <w:tcW w:w="246" w:type="pct"/>
                  <w:vAlign w:val="center"/>
                </w:tcPr>
                <w:p w14:paraId="04638700">
                  <w:pPr>
                    <w:jc w:val="center"/>
                    <w:rPr>
                      <w:rFonts w:ascii="Times New Roman" w:hAnsi="Times New Roman" w:eastAsia="宋体"/>
                      <w:color w:val="auto"/>
                      <w:sz w:val="21"/>
                      <w:szCs w:val="21"/>
                    </w:rPr>
                  </w:pPr>
                  <w:r>
                    <w:rPr>
                      <w:rFonts w:ascii="Times New Roman" w:hAnsi="Times New Roman" w:eastAsia="宋体"/>
                      <w:color w:val="auto"/>
                      <w:sz w:val="21"/>
                      <w:szCs w:val="21"/>
                    </w:rPr>
                    <w:t>1.870</w:t>
                  </w:r>
                </w:p>
              </w:tc>
              <w:tc>
                <w:tcPr>
                  <w:tcW w:w="299" w:type="pct"/>
                  <w:vAlign w:val="center"/>
                </w:tcPr>
                <w:p w14:paraId="745DE9C9">
                  <w:pPr>
                    <w:jc w:val="center"/>
                    <w:rPr>
                      <w:rFonts w:ascii="Times New Roman" w:hAnsi="Times New Roman" w:eastAsia="宋体"/>
                      <w:color w:val="auto"/>
                      <w:sz w:val="21"/>
                      <w:szCs w:val="21"/>
                    </w:rPr>
                  </w:pPr>
                  <w:r>
                    <w:rPr>
                      <w:rFonts w:ascii="Times New Roman" w:hAnsi="Times New Roman" w:eastAsia="宋体"/>
                      <w:color w:val="auto"/>
                      <w:sz w:val="21"/>
                      <w:szCs w:val="21"/>
                    </w:rPr>
                    <w:t>4.316</w:t>
                  </w:r>
                </w:p>
              </w:tc>
              <w:tc>
                <w:tcPr>
                  <w:tcW w:w="246" w:type="pct"/>
                  <w:vAlign w:val="center"/>
                </w:tcPr>
                <w:p w14:paraId="167DB54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A4AFB4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7F8E105B">
                  <w:pPr>
                    <w:jc w:val="center"/>
                    <w:rPr>
                      <w:rFonts w:ascii="Times New Roman" w:hAnsi="Times New Roman" w:eastAsia="宋体"/>
                      <w:color w:val="auto"/>
                      <w:sz w:val="21"/>
                      <w:szCs w:val="21"/>
                    </w:rPr>
                  </w:pPr>
                  <w:r>
                    <w:rPr>
                      <w:rFonts w:ascii="Times New Roman" w:hAnsi="Times New Roman" w:eastAsia="宋体"/>
                      <w:color w:val="auto"/>
                      <w:sz w:val="21"/>
                      <w:szCs w:val="21"/>
                    </w:rPr>
                    <w:t>1.439</w:t>
                  </w:r>
                </w:p>
              </w:tc>
              <w:tc>
                <w:tcPr>
                  <w:tcW w:w="192" w:type="pct"/>
                  <w:vAlign w:val="center"/>
                </w:tcPr>
                <w:p w14:paraId="742ED62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287FF2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E32604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13DA2DF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3027DF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5FA21A0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0965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213" w:type="pct"/>
                  <w:vMerge w:val="restart"/>
                  <w:vAlign w:val="center"/>
                </w:tcPr>
                <w:p w14:paraId="6FC16777">
                  <w:pPr>
                    <w:jc w:val="center"/>
                    <w:rPr>
                      <w:rFonts w:ascii="Times New Roman" w:hAnsi="Times New Roman" w:eastAsia="宋体"/>
                      <w:color w:val="auto"/>
                      <w:sz w:val="21"/>
                      <w:szCs w:val="21"/>
                    </w:rPr>
                  </w:pPr>
                  <w:r>
                    <w:rPr>
                      <w:rFonts w:ascii="Times New Roman" w:hAnsi="Times New Roman" w:eastAsia="宋体"/>
                      <w:color w:val="auto"/>
                      <w:sz w:val="21"/>
                      <w:szCs w:val="21"/>
                    </w:rPr>
                    <w:t>W6</w:t>
                  </w:r>
                </w:p>
              </w:tc>
              <w:tc>
                <w:tcPr>
                  <w:tcW w:w="129" w:type="pct"/>
                  <w:vMerge w:val="restart"/>
                  <w:vAlign w:val="center"/>
                </w:tcPr>
                <w:p w14:paraId="213A23DE">
                  <w:pPr>
                    <w:jc w:val="center"/>
                    <w:rPr>
                      <w:rFonts w:ascii="Times New Roman" w:hAnsi="Times New Roman" w:eastAsia="宋体"/>
                      <w:color w:val="auto"/>
                      <w:sz w:val="21"/>
                      <w:szCs w:val="21"/>
                    </w:rPr>
                  </w:pPr>
                  <w:r>
                    <w:rPr>
                      <w:rFonts w:ascii="Times New Roman" w:hAnsi="Times New Roman" w:eastAsia="宋体"/>
                      <w:color w:val="auto"/>
                      <w:sz w:val="21"/>
                      <w:szCs w:val="21"/>
                    </w:rPr>
                    <w:t>含锌废水</w:t>
                  </w:r>
                </w:p>
              </w:tc>
              <w:tc>
                <w:tcPr>
                  <w:tcW w:w="220" w:type="pct"/>
                  <w:vAlign w:val="center"/>
                </w:tcPr>
                <w:p w14:paraId="4FB022EF">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0733041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0DBA1B12">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c>
                <w:tcPr>
                  <w:tcW w:w="354" w:type="pct"/>
                  <w:vAlign w:val="center"/>
                </w:tcPr>
                <w:p w14:paraId="62C3A9F6">
                  <w:pPr>
                    <w:jc w:val="center"/>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299" w:type="pct"/>
                  <w:vAlign w:val="center"/>
                </w:tcPr>
                <w:p w14:paraId="0C289F7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F736BDC">
                  <w:pPr>
                    <w:jc w:val="center"/>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299" w:type="pct"/>
                  <w:vAlign w:val="center"/>
                </w:tcPr>
                <w:p w14:paraId="2C8F17B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C85EF06">
                  <w:pPr>
                    <w:jc w:val="center"/>
                    <w:rPr>
                      <w:rFonts w:ascii="Times New Roman" w:hAnsi="Times New Roman" w:eastAsia="宋体"/>
                      <w:color w:val="auto"/>
                      <w:sz w:val="21"/>
                      <w:szCs w:val="21"/>
                    </w:rPr>
                  </w:pPr>
                  <w:r>
                    <w:rPr>
                      <w:rFonts w:ascii="Times New Roman" w:hAnsi="Times New Roman" w:eastAsia="宋体"/>
                      <w:color w:val="auto"/>
                      <w:sz w:val="21"/>
                      <w:szCs w:val="21"/>
                    </w:rPr>
                    <w:t>80</w:t>
                  </w:r>
                </w:p>
              </w:tc>
              <w:tc>
                <w:tcPr>
                  <w:tcW w:w="299" w:type="pct"/>
                  <w:vAlign w:val="center"/>
                </w:tcPr>
                <w:p w14:paraId="70BD2CD4">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086BFEB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A8D649E">
                  <w:pPr>
                    <w:jc w:val="center"/>
                    <w:rPr>
                      <w:rFonts w:ascii="Times New Roman" w:hAnsi="Times New Roman" w:eastAsia="宋体"/>
                      <w:color w:val="auto"/>
                      <w:sz w:val="21"/>
                      <w:szCs w:val="21"/>
                    </w:rPr>
                  </w:pPr>
                  <w:r>
                    <w:rPr>
                      <w:rFonts w:ascii="Times New Roman" w:hAnsi="Times New Roman" w:eastAsia="宋体"/>
                      <w:color w:val="auto"/>
                      <w:sz w:val="21"/>
                      <w:szCs w:val="21"/>
                    </w:rPr>
                    <w:t>50</w:t>
                  </w:r>
                </w:p>
              </w:tc>
              <w:tc>
                <w:tcPr>
                  <w:tcW w:w="299" w:type="pct"/>
                  <w:vAlign w:val="center"/>
                </w:tcPr>
                <w:p w14:paraId="05B483E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39DF29E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CB4B69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EFFCDF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2DC78FD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C85AFB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269112BB">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r>
            <w:tr w14:paraId="0FF8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4BA79E06">
                  <w:pPr>
                    <w:jc w:val="center"/>
                    <w:rPr>
                      <w:rFonts w:ascii="Times New Roman" w:hAnsi="Times New Roman" w:eastAsia="宋体"/>
                      <w:color w:val="auto"/>
                      <w:sz w:val="21"/>
                      <w:szCs w:val="21"/>
                    </w:rPr>
                  </w:pPr>
                </w:p>
              </w:tc>
              <w:tc>
                <w:tcPr>
                  <w:tcW w:w="129" w:type="pct"/>
                  <w:vMerge w:val="continue"/>
                  <w:vAlign w:val="center"/>
                </w:tcPr>
                <w:p w14:paraId="66A19D1A">
                  <w:pPr>
                    <w:jc w:val="center"/>
                    <w:rPr>
                      <w:rFonts w:ascii="Times New Roman" w:hAnsi="Times New Roman" w:eastAsia="宋体"/>
                      <w:color w:val="auto"/>
                      <w:sz w:val="21"/>
                      <w:szCs w:val="21"/>
                    </w:rPr>
                  </w:pPr>
                </w:p>
              </w:tc>
              <w:tc>
                <w:tcPr>
                  <w:tcW w:w="220" w:type="pct"/>
                  <w:vAlign w:val="center"/>
                </w:tcPr>
                <w:p w14:paraId="2B05C85F">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194066FF">
                  <w:pPr>
                    <w:jc w:val="center"/>
                    <w:rPr>
                      <w:rFonts w:ascii="Times New Roman" w:hAnsi="Times New Roman" w:eastAsia="宋体"/>
                      <w:color w:val="auto"/>
                      <w:sz w:val="21"/>
                      <w:szCs w:val="21"/>
                    </w:rPr>
                  </w:pPr>
                  <w:r>
                    <w:rPr>
                      <w:rFonts w:ascii="Times New Roman" w:hAnsi="Times New Roman" w:eastAsia="宋体"/>
                      <w:color w:val="auto"/>
                      <w:sz w:val="21"/>
                      <w:szCs w:val="21"/>
                    </w:rPr>
                    <w:t>29417</w:t>
                  </w:r>
                </w:p>
              </w:tc>
              <w:tc>
                <w:tcPr>
                  <w:tcW w:w="170" w:type="pct"/>
                  <w:vAlign w:val="center"/>
                </w:tcPr>
                <w:p w14:paraId="7AB8E21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20AF536C">
                  <w:pPr>
                    <w:jc w:val="center"/>
                    <w:rPr>
                      <w:rFonts w:ascii="Times New Roman" w:hAnsi="Times New Roman" w:eastAsia="宋体"/>
                      <w:color w:val="auto"/>
                      <w:sz w:val="21"/>
                      <w:szCs w:val="21"/>
                    </w:rPr>
                  </w:pPr>
                  <w:r>
                    <w:rPr>
                      <w:rFonts w:ascii="Times New Roman" w:hAnsi="Times New Roman" w:eastAsia="宋体"/>
                      <w:color w:val="auto"/>
                      <w:sz w:val="21"/>
                      <w:szCs w:val="21"/>
                    </w:rPr>
                    <w:t>5.883</w:t>
                  </w:r>
                </w:p>
              </w:tc>
              <w:tc>
                <w:tcPr>
                  <w:tcW w:w="299" w:type="pct"/>
                  <w:vAlign w:val="center"/>
                </w:tcPr>
                <w:p w14:paraId="75B81B4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370AB78">
                  <w:pPr>
                    <w:jc w:val="center"/>
                    <w:rPr>
                      <w:rFonts w:ascii="Times New Roman" w:hAnsi="Times New Roman" w:eastAsia="宋体"/>
                      <w:color w:val="auto"/>
                      <w:sz w:val="21"/>
                      <w:szCs w:val="21"/>
                    </w:rPr>
                  </w:pPr>
                  <w:r>
                    <w:rPr>
                      <w:rFonts w:ascii="Times New Roman" w:hAnsi="Times New Roman" w:eastAsia="宋体"/>
                      <w:color w:val="auto"/>
                      <w:sz w:val="21"/>
                      <w:szCs w:val="21"/>
                    </w:rPr>
                    <w:t>5.883</w:t>
                  </w:r>
                </w:p>
              </w:tc>
              <w:tc>
                <w:tcPr>
                  <w:tcW w:w="299" w:type="pct"/>
                  <w:vAlign w:val="center"/>
                </w:tcPr>
                <w:p w14:paraId="68B0F70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FA785C3">
                  <w:pPr>
                    <w:jc w:val="center"/>
                    <w:rPr>
                      <w:rFonts w:ascii="Times New Roman" w:hAnsi="Times New Roman" w:eastAsia="宋体"/>
                      <w:color w:val="auto"/>
                      <w:sz w:val="21"/>
                      <w:szCs w:val="21"/>
                    </w:rPr>
                  </w:pPr>
                  <w:r>
                    <w:rPr>
                      <w:rFonts w:ascii="Times New Roman" w:hAnsi="Times New Roman" w:eastAsia="宋体"/>
                      <w:color w:val="auto"/>
                      <w:sz w:val="21"/>
                      <w:szCs w:val="21"/>
                    </w:rPr>
                    <w:t>2.353</w:t>
                  </w:r>
                </w:p>
              </w:tc>
              <w:tc>
                <w:tcPr>
                  <w:tcW w:w="299" w:type="pct"/>
                  <w:vAlign w:val="center"/>
                </w:tcPr>
                <w:p w14:paraId="1E98EE6E">
                  <w:pPr>
                    <w:jc w:val="center"/>
                    <w:rPr>
                      <w:rFonts w:ascii="Times New Roman" w:hAnsi="Times New Roman" w:eastAsia="宋体"/>
                      <w:color w:val="auto"/>
                      <w:sz w:val="21"/>
                      <w:szCs w:val="21"/>
                    </w:rPr>
                  </w:pPr>
                  <w:r>
                    <w:rPr>
                      <w:rFonts w:ascii="Times New Roman" w:hAnsi="Times New Roman" w:eastAsia="宋体"/>
                      <w:color w:val="auto"/>
                      <w:sz w:val="21"/>
                      <w:szCs w:val="21"/>
                    </w:rPr>
                    <w:t>4.413</w:t>
                  </w:r>
                </w:p>
              </w:tc>
              <w:tc>
                <w:tcPr>
                  <w:tcW w:w="246" w:type="pct"/>
                  <w:vAlign w:val="center"/>
                </w:tcPr>
                <w:p w14:paraId="5649B87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DA90185">
                  <w:pPr>
                    <w:jc w:val="center"/>
                    <w:rPr>
                      <w:rFonts w:ascii="Times New Roman" w:hAnsi="Times New Roman" w:eastAsia="宋体"/>
                      <w:color w:val="auto"/>
                      <w:sz w:val="21"/>
                      <w:szCs w:val="21"/>
                    </w:rPr>
                  </w:pPr>
                  <w:r>
                    <w:rPr>
                      <w:rFonts w:ascii="Times New Roman" w:hAnsi="Times New Roman" w:eastAsia="宋体"/>
                      <w:color w:val="auto"/>
                      <w:sz w:val="21"/>
                      <w:szCs w:val="21"/>
                    </w:rPr>
                    <w:t>1.471</w:t>
                  </w:r>
                </w:p>
              </w:tc>
              <w:tc>
                <w:tcPr>
                  <w:tcW w:w="299" w:type="pct"/>
                  <w:vAlign w:val="center"/>
                </w:tcPr>
                <w:p w14:paraId="4B44426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7E23441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1A9AAC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62B0BF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28868D0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72A9CD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7260036D">
                  <w:pPr>
                    <w:jc w:val="center"/>
                    <w:rPr>
                      <w:rFonts w:ascii="Times New Roman" w:hAnsi="Times New Roman" w:eastAsia="宋体"/>
                      <w:color w:val="auto"/>
                      <w:sz w:val="21"/>
                      <w:szCs w:val="21"/>
                    </w:rPr>
                  </w:pPr>
                  <w:r>
                    <w:rPr>
                      <w:rFonts w:ascii="Times New Roman" w:hAnsi="Times New Roman" w:eastAsia="宋体"/>
                      <w:color w:val="auto"/>
                      <w:sz w:val="21"/>
                      <w:szCs w:val="21"/>
                    </w:rPr>
                    <w:t>2.94</w:t>
                  </w:r>
                </w:p>
              </w:tc>
            </w:tr>
            <w:tr w14:paraId="0C67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13B4F392">
                  <w:pPr>
                    <w:jc w:val="center"/>
                    <w:rPr>
                      <w:rFonts w:ascii="Times New Roman" w:hAnsi="Times New Roman" w:eastAsia="宋体"/>
                      <w:color w:val="auto"/>
                      <w:sz w:val="21"/>
                      <w:szCs w:val="21"/>
                    </w:rPr>
                  </w:pPr>
                  <w:r>
                    <w:rPr>
                      <w:rFonts w:ascii="Times New Roman" w:hAnsi="Times New Roman" w:eastAsia="宋体"/>
                      <w:color w:val="auto"/>
                      <w:sz w:val="21"/>
                      <w:szCs w:val="21"/>
                    </w:rPr>
                    <w:t>W7</w:t>
                  </w:r>
                </w:p>
              </w:tc>
              <w:tc>
                <w:tcPr>
                  <w:tcW w:w="129" w:type="pct"/>
                  <w:vMerge w:val="restart"/>
                  <w:vAlign w:val="center"/>
                </w:tcPr>
                <w:p w14:paraId="0D22CE60">
                  <w:pPr>
                    <w:jc w:val="center"/>
                    <w:rPr>
                      <w:rFonts w:ascii="Times New Roman" w:hAnsi="Times New Roman" w:eastAsia="宋体"/>
                      <w:color w:val="auto"/>
                      <w:sz w:val="21"/>
                      <w:szCs w:val="21"/>
                    </w:rPr>
                  </w:pPr>
                  <w:r>
                    <w:rPr>
                      <w:rFonts w:ascii="Times New Roman" w:hAnsi="Times New Roman" w:eastAsia="宋体"/>
                      <w:color w:val="auto"/>
                      <w:sz w:val="21"/>
                      <w:szCs w:val="21"/>
                    </w:rPr>
                    <w:t>含铬废水</w:t>
                  </w:r>
                </w:p>
              </w:tc>
              <w:tc>
                <w:tcPr>
                  <w:tcW w:w="220" w:type="pct"/>
                  <w:vAlign w:val="center"/>
                </w:tcPr>
                <w:p w14:paraId="11C01732">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1D79C39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3F96AA90">
                  <w:pPr>
                    <w:jc w:val="center"/>
                    <w:rPr>
                      <w:rFonts w:ascii="Times New Roman" w:hAnsi="Times New Roman" w:eastAsia="宋体"/>
                      <w:color w:val="auto"/>
                      <w:sz w:val="21"/>
                      <w:szCs w:val="21"/>
                    </w:rPr>
                  </w:pPr>
                  <w:r>
                    <w:rPr>
                      <w:rFonts w:ascii="Times New Roman" w:hAnsi="Times New Roman" w:eastAsia="宋体"/>
                      <w:color w:val="auto"/>
                      <w:sz w:val="21"/>
                      <w:szCs w:val="21"/>
                    </w:rPr>
                    <w:t>6~9</w:t>
                  </w:r>
                </w:p>
              </w:tc>
              <w:tc>
                <w:tcPr>
                  <w:tcW w:w="354" w:type="pct"/>
                  <w:vAlign w:val="center"/>
                </w:tcPr>
                <w:p w14:paraId="49E8060E">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99" w:type="pct"/>
                  <w:vAlign w:val="center"/>
                </w:tcPr>
                <w:p w14:paraId="7784A65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68232CE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EBE28C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8DB84C9">
                  <w:pPr>
                    <w:jc w:val="center"/>
                    <w:rPr>
                      <w:rFonts w:ascii="Times New Roman" w:hAnsi="Times New Roman" w:eastAsia="宋体"/>
                      <w:color w:val="auto"/>
                      <w:sz w:val="21"/>
                      <w:szCs w:val="21"/>
                    </w:rPr>
                  </w:pPr>
                  <w:r>
                    <w:rPr>
                      <w:rFonts w:ascii="Times New Roman" w:hAnsi="Times New Roman" w:eastAsia="宋体"/>
                      <w:color w:val="auto"/>
                      <w:sz w:val="21"/>
                      <w:szCs w:val="21"/>
                    </w:rPr>
                    <w:t>80</w:t>
                  </w:r>
                </w:p>
              </w:tc>
              <w:tc>
                <w:tcPr>
                  <w:tcW w:w="299" w:type="pct"/>
                  <w:vAlign w:val="center"/>
                </w:tcPr>
                <w:p w14:paraId="5E3AB964">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74A8C76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FECC6E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647CA4F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5C585FD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F9FB07A">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46" w:type="pct"/>
                  <w:vAlign w:val="center"/>
                </w:tcPr>
                <w:p w14:paraId="2E2D6E7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6AAFFC3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445AF06">
                  <w:pPr>
                    <w:jc w:val="center"/>
                    <w:rPr>
                      <w:rFonts w:ascii="Times New Roman" w:hAnsi="Times New Roman" w:eastAsia="宋体"/>
                      <w:color w:val="auto"/>
                      <w:sz w:val="21"/>
                      <w:szCs w:val="21"/>
                    </w:rPr>
                  </w:pPr>
                  <w:r>
                    <w:rPr>
                      <w:rFonts w:ascii="Times New Roman" w:hAnsi="Times New Roman" w:eastAsia="宋体"/>
                      <w:color w:val="auto"/>
                      <w:sz w:val="21"/>
                      <w:szCs w:val="21"/>
                    </w:rPr>
                    <w:t>30</w:t>
                  </w:r>
                </w:p>
              </w:tc>
              <w:tc>
                <w:tcPr>
                  <w:tcW w:w="248" w:type="pct"/>
                  <w:vAlign w:val="center"/>
                </w:tcPr>
                <w:p w14:paraId="45B340F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5836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52D3BABB">
                  <w:pPr>
                    <w:jc w:val="center"/>
                    <w:rPr>
                      <w:rFonts w:ascii="Times New Roman" w:hAnsi="Times New Roman" w:eastAsia="宋体"/>
                      <w:color w:val="auto"/>
                      <w:sz w:val="21"/>
                      <w:szCs w:val="21"/>
                    </w:rPr>
                  </w:pPr>
                </w:p>
              </w:tc>
              <w:tc>
                <w:tcPr>
                  <w:tcW w:w="129" w:type="pct"/>
                  <w:vMerge w:val="continue"/>
                  <w:vAlign w:val="center"/>
                </w:tcPr>
                <w:p w14:paraId="3C5F4425">
                  <w:pPr>
                    <w:jc w:val="center"/>
                    <w:rPr>
                      <w:rFonts w:ascii="Times New Roman" w:hAnsi="Times New Roman" w:eastAsia="宋体"/>
                      <w:color w:val="auto"/>
                      <w:sz w:val="21"/>
                      <w:szCs w:val="21"/>
                    </w:rPr>
                  </w:pPr>
                </w:p>
              </w:tc>
              <w:tc>
                <w:tcPr>
                  <w:tcW w:w="220" w:type="pct"/>
                  <w:vAlign w:val="center"/>
                </w:tcPr>
                <w:p w14:paraId="3F944F2A">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04AE4D51">
                  <w:pPr>
                    <w:jc w:val="center"/>
                    <w:rPr>
                      <w:rFonts w:ascii="Times New Roman" w:hAnsi="Times New Roman" w:eastAsia="宋体"/>
                      <w:color w:val="auto"/>
                      <w:sz w:val="21"/>
                      <w:szCs w:val="21"/>
                    </w:rPr>
                  </w:pPr>
                  <w:r>
                    <w:rPr>
                      <w:rFonts w:ascii="Times New Roman" w:hAnsi="Times New Roman" w:eastAsia="宋体"/>
                      <w:color w:val="auto"/>
                      <w:sz w:val="21"/>
                      <w:szCs w:val="21"/>
                    </w:rPr>
                    <w:t>28721</w:t>
                  </w:r>
                </w:p>
              </w:tc>
              <w:tc>
                <w:tcPr>
                  <w:tcW w:w="170" w:type="pct"/>
                  <w:vAlign w:val="center"/>
                </w:tcPr>
                <w:p w14:paraId="1CDBAF0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20BBD799">
                  <w:pPr>
                    <w:jc w:val="center"/>
                    <w:rPr>
                      <w:rFonts w:ascii="Times New Roman" w:hAnsi="Times New Roman" w:eastAsia="宋体"/>
                      <w:color w:val="auto"/>
                      <w:sz w:val="21"/>
                      <w:szCs w:val="21"/>
                    </w:rPr>
                  </w:pPr>
                  <w:r>
                    <w:rPr>
                      <w:rFonts w:ascii="Times New Roman" w:hAnsi="Times New Roman" w:eastAsia="宋体"/>
                      <w:color w:val="auto"/>
                      <w:sz w:val="21"/>
                      <w:szCs w:val="21"/>
                    </w:rPr>
                    <w:t>2.872</w:t>
                  </w:r>
                </w:p>
              </w:tc>
              <w:tc>
                <w:tcPr>
                  <w:tcW w:w="299" w:type="pct"/>
                  <w:vAlign w:val="center"/>
                </w:tcPr>
                <w:p w14:paraId="7948FE4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5BD6519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EC93B1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7AD4953">
                  <w:pPr>
                    <w:jc w:val="center"/>
                    <w:rPr>
                      <w:rFonts w:ascii="Times New Roman" w:hAnsi="Times New Roman" w:eastAsia="宋体"/>
                      <w:color w:val="auto"/>
                      <w:sz w:val="21"/>
                      <w:szCs w:val="21"/>
                    </w:rPr>
                  </w:pPr>
                  <w:r>
                    <w:rPr>
                      <w:rFonts w:ascii="Times New Roman" w:hAnsi="Times New Roman" w:eastAsia="宋体"/>
                      <w:color w:val="auto"/>
                      <w:sz w:val="21"/>
                      <w:szCs w:val="21"/>
                    </w:rPr>
                    <w:t>2.298</w:t>
                  </w:r>
                </w:p>
              </w:tc>
              <w:tc>
                <w:tcPr>
                  <w:tcW w:w="299" w:type="pct"/>
                  <w:vAlign w:val="center"/>
                </w:tcPr>
                <w:p w14:paraId="7B08560B">
                  <w:pPr>
                    <w:jc w:val="center"/>
                    <w:rPr>
                      <w:rFonts w:ascii="Times New Roman" w:hAnsi="Times New Roman" w:eastAsia="宋体"/>
                      <w:color w:val="auto"/>
                      <w:sz w:val="21"/>
                      <w:szCs w:val="21"/>
                    </w:rPr>
                  </w:pPr>
                  <w:r>
                    <w:rPr>
                      <w:rFonts w:ascii="Times New Roman" w:hAnsi="Times New Roman" w:eastAsia="宋体"/>
                      <w:color w:val="auto"/>
                      <w:sz w:val="21"/>
                      <w:szCs w:val="21"/>
                    </w:rPr>
                    <w:t>4.308</w:t>
                  </w:r>
                </w:p>
              </w:tc>
              <w:tc>
                <w:tcPr>
                  <w:tcW w:w="246" w:type="pct"/>
                  <w:vAlign w:val="center"/>
                </w:tcPr>
                <w:p w14:paraId="49B0FA0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490A96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008274D">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783F421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766BFF2">
                  <w:pPr>
                    <w:jc w:val="center"/>
                    <w:rPr>
                      <w:rFonts w:ascii="Times New Roman" w:hAnsi="Times New Roman" w:eastAsia="宋体"/>
                      <w:color w:val="auto"/>
                      <w:sz w:val="21"/>
                      <w:szCs w:val="21"/>
                    </w:rPr>
                  </w:pPr>
                  <w:r>
                    <w:rPr>
                      <w:rFonts w:ascii="Times New Roman" w:hAnsi="Times New Roman" w:eastAsia="宋体"/>
                      <w:color w:val="auto"/>
                      <w:sz w:val="21"/>
                      <w:szCs w:val="21"/>
                    </w:rPr>
                    <w:t>2.872</w:t>
                  </w:r>
                </w:p>
              </w:tc>
              <w:tc>
                <w:tcPr>
                  <w:tcW w:w="246" w:type="pct"/>
                  <w:vAlign w:val="center"/>
                </w:tcPr>
                <w:p w14:paraId="33BB0C6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48BDE8F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BE5BC50">
                  <w:pPr>
                    <w:jc w:val="center"/>
                    <w:rPr>
                      <w:rFonts w:ascii="Times New Roman" w:hAnsi="Times New Roman" w:eastAsia="宋体"/>
                      <w:color w:val="auto"/>
                      <w:sz w:val="21"/>
                      <w:szCs w:val="21"/>
                    </w:rPr>
                  </w:pPr>
                  <w:r>
                    <w:rPr>
                      <w:rFonts w:ascii="Times New Roman" w:hAnsi="Times New Roman" w:eastAsia="宋体"/>
                      <w:color w:val="auto"/>
                      <w:sz w:val="21"/>
                      <w:szCs w:val="21"/>
                    </w:rPr>
                    <w:t>0.862</w:t>
                  </w:r>
                </w:p>
              </w:tc>
              <w:tc>
                <w:tcPr>
                  <w:tcW w:w="248" w:type="pct"/>
                  <w:vAlign w:val="center"/>
                </w:tcPr>
                <w:p w14:paraId="1000C64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6642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1B2189B4">
                  <w:pPr>
                    <w:jc w:val="center"/>
                    <w:rPr>
                      <w:rFonts w:ascii="Times New Roman" w:hAnsi="Times New Roman" w:eastAsia="宋体"/>
                      <w:color w:val="auto"/>
                      <w:sz w:val="21"/>
                      <w:szCs w:val="21"/>
                    </w:rPr>
                  </w:pPr>
                  <w:r>
                    <w:rPr>
                      <w:rFonts w:ascii="Times New Roman" w:hAnsi="Times New Roman" w:eastAsia="宋体"/>
                      <w:color w:val="auto"/>
                      <w:sz w:val="21"/>
                      <w:szCs w:val="21"/>
                    </w:rPr>
                    <w:t>W8</w:t>
                  </w:r>
                </w:p>
              </w:tc>
              <w:tc>
                <w:tcPr>
                  <w:tcW w:w="129" w:type="pct"/>
                  <w:vMerge w:val="restart"/>
                  <w:vAlign w:val="center"/>
                </w:tcPr>
                <w:p w14:paraId="15310A71">
                  <w:pPr>
                    <w:jc w:val="center"/>
                    <w:rPr>
                      <w:rFonts w:ascii="Times New Roman" w:hAnsi="Times New Roman" w:eastAsia="宋体"/>
                      <w:color w:val="auto"/>
                      <w:sz w:val="21"/>
                      <w:szCs w:val="21"/>
                    </w:rPr>
                  </w:pPr>
                  <w:r>
                    <w:rPr>
                      <w:rFonts w:ascii="Times New Roman" w:hAnsi="Times New Roman" w:eastAsia="宋体"/>
                      <w:color w:val="auto"/>
                      <w:sz w:val="21"/>
                      <w:szCs w:val="21"/>
                    </w:rPr>
                    <w:t>磷化废水</w:t>
                  </w:r>
                </w:p>
              </w:tc>
              <w:tc>
                <w:tcPr>
                  <w:tcW w:w="220" w:type="pct"/>
                  <w:vAlign w:val="center"/>
                </w:tcPr>
                <w:p w14:paraId="1D4E2B8E">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00745C6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13162DDB">
                  <w:pPr>
                    <w:jc w:val="center"/>
                    <w:rPr>
                      <w:rFonts w:ascii="Times New Roman" w:hAnsi="Times New Roman" w:eastAsia="宋体"/>
                      <w:color w:val="auto"/>
                      <w:sz w:val="21"/>
                      <w:szCs w:val="21"/>
                    </w:rPr>
                  </w:pPr>
                  <w:r>
                    <w:rPr>
                      <w:rFonts w:ascii="Times New Roman" w:hAnsi="Times New Roman" w:eastAsia="宋体"/>
                      <w:color w:val="auto"/>
                      <w:sz w:val="21"/>
                      <w:szCs w:val="21"/>
                    </w:rPr>
                    <w:t>6~9</w:t>
                  </w:r>
                </w:p>
              </w:tc>
              <w:tc>
                <w:tcPr>
                  <w:tcW w:w="354" w:type="pct"/>
                  <w:vAlign w:val="center"/>
                </w:tcPr>
                <w:p w14:paraId="48B69345">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99" w:type="pct"/>
                  <w:vAlign w:val="center"/>
                </w:tcPr>
                <w:p w14:paraId="6004BC4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1A22617">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299" w:type="pct"/>
                  <w:vAlign w:val="center"/>
                </w:tcPr>
                <w:p w14:paraId="5335A1AC">
                  <w:pPr>
                    <w:jc w:val="center"/>
                    <w:rPr>
                      <w:rFonts w:ascii="Times New Roman" w:hAnsi="Times New Roman" w:eastAsia="宋体"/>
                      <w:color w:val="auto"/>
                      <w:sz w:val="21"/>
                      <w:szCs w:val="21"/>
                    </w:rPr>
                  </w:pPr>
                  <w:r>
                    <w:rPr>
                      <w:rFonts w:ascii="Times New Roman" w:hAnsi="Times New Roman" w:eastAsia="宋体"/>
                      <w:color w:val="auto"/>
                      <w:sz w:val="21"/>
                      <w:szCs w:val="21"/>
                    </w:rPr>
                    <w:t>110</w:t>
                  </w:r>
                </w:p>
              </w:tc>
              <w:tc>
                <w:tcPr>
                  <w:tcW w:w="246" w:type="pct"/>
                  <w:vAlign w:val="center"/>
                </w:tcPr>
                <w:p w14:paraId="77F7FA9D">
                  <w:pPr>
                    <w:jc w:val="center"/>
                    <w:rPr>
                      <w:rFonts w:ascii="Times New Roman" w:hAnsi="Times New Roman" w:eastAsia="宋体"/>
                      <w:color w:val="auto"/>
                      <w:sz w:val="21"/>
                      <w:szCs w:val="21"/>
                    </w:rPr>
                  </w:pPr>
                  <w:r>
                    <w:rPr>
                      <w:rFonts w:ascii="Times New Roman" w:hAnsi="Times New Roman" w:eastAsia="宋体"/>
                      <w:color w:val="auto"/>
                      <w:sz w:val="21"/>
                      <w:szCs w:val="21"/>
                    </w:rPr>
                    <w:t>15</w:t>
                  </w:r>
                </w:p>
              </w:tc>
              <w:tc>
                <w:tcPr>
                  <w:tcW w:w="299" w:type="pct"/>
                  <w:vAlign w:val="center"/>
                </w:tcPr>
                <w:p w14:paraId="08E02ED0">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46" w:type="pct"/>
                  <w:vAlign w:val="center"/>
                </w:tcPr>
                <w:p w14:paraId="69666E7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0E9F8436">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99" w:type="pct"/>
                  <w:vAlign w:val="center"/>
                </w:tcPr>
                <w:p w14:paraId="5D6BE32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5D7F2F5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D2F52A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1220BA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21C5514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5193D3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7B8490A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4A11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4A8A2E5F">
                  <w:pPr>
                    <w:jc w:val="center"/>
                    <w:rPr>
                      <w:rFonts w:ascii="Times New Roman" w:hAnsi="Times New Roman" w:eastAsia="宋体"/>
                      <w:color w:val="auto"/>
                      <w:sz w:val="21"/>
                      <w:szCs w:val="21"/>
                    </w:rPr>
                  </w:pPr>
                </w:p>
              </w:tc>
              <w:tc>
                <w:tcPr>
                  <w:tcW w:w="129" w:type="pct"/>
                  <w:vMerge w:val="continue"/>
                  <w:vAlign w:val="center"/>
                </w:tcPr>
                <w:p w14:paraId="7C3224C0">
                  <w:pPr>
                    <w:jc w:val="center"/>
                    <w:rPr>
                      <w:rFonts w:ascii="Times New Roman" w:hAnsi="Times New Roman" w:eastAsia="宋体"/>
                      <w:color w:val="auto"/>
                      <w:sz w:val="21"/>
                      <w:szCs w:val="21"/>
                    </w:rPr>
                  </w:pPr>
                </w:p>
              </w:tc>
              <w:tc>
                <w:tcPr>
                  <w:tcW w:w="220" w:type="pct"/>
                  <w:vAlign w:val="center"/>
                </w:tcPr>
                <w:p w14:paraId="2098248C">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676ACA80">
                  <w:pPr>
                    <w:jc w:val="center"/>
                    <w:rPr>
                      <w:rFonts w:ascii="Times New Roman" w:hAnsi="Times New Roman" w:eastAsia="宋体"/>
                      <w:color w:val="auto"/>
                      <w:sz w:val="21"/>
                      <w:szCs w:val="21"/>
                    </w:rPr>
                  </w:pPr>
                  <w:r>
                    <w:rPr>
                      <w:rFonts w:ascii="Times New Roman" w:hAnsi="Times New Roman" w:eastAsia="宋体"/>
                      <w:color w:val="auto"/>
                      <w:sz w:val="21"/>
                      <w:szCs w:val="21"/>
                    </w:rPr>
                    <w:t>66976</w:t>
                  </w:r>
                </w:p>
              </w:tc>
              <w:tc>
                <w:tcPr>
                  <w:tcW w:w="170" w:type="pct"/>
                  <w:vAlign w:val="center"/>
                </w:tcPr>
                <w:p w14:paraId="27392DE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3E7F5956">
                  <w:pPr>
                    <w:jc w:val="center"/>
                    <w:rPr>
                      <w:rFonts w:ascii="Times New Roman" w:hAnsi="Times New Roman" w:eastAsia="宋体"/>
                      <w:color w:val="auto"/>
                      <w:sz w:val="21"/>
                      <w:szCs w:val="21"/>
                    </w:rPr>
                  </w:pPr>
                  <w:r>
                    <w:rPr>
                      <w:rFonts w:ascii="Times New Roman" w:hAnsi="Times New Roman" w:eastAsia="宋体"/>
                      <w:color w:val="auto"/>
                      <w:sz w:val="21"/>
                      <w:szCs w:val="21"/>
                    </w:rPr>
                    <w:t>20.093</w:t>
                  </w:r>
                </w:p>
              </w:tc>
              <w:tc>
                <w:tcPr>
                  <w:tcW w:w="299" w:type="pct"/>
                  <w:vAlign w:val="center"/>
                </w:tcPr>
                <w:p w14:paraId="1CDC8EEC">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2D4FEF5">
                  <w:pPr>
                    <w:jc w:val="center"/>
                    <w:rPr>
                      <w:rFonts w:ascii="Times New Roman" w:hAnsi="Times New Roman" w:eastAsia="宋体"/>
                      <w:color w:val="auto"/>
                      <w:sz w:val="21"/>
                      <w:szCs w:val="21"/>
                    </w:rPr>
                  </w:pPr>
                  <w:r>
                    <w:rPr>
                      <w:rFonts w:ascii="Times New Roman" w:hAnsi="Times New Roman" w:eastAsia="宋体"/>
                      <w:color w:val="auto"/>
                      <w:sz w:val="21"/>
                      <w:szCs w:val="21"/>
                    </w:rPr>
                    <w:t>1.34</w:t>
                  </w:r>
                </w:p>
              </w:tc>
              <w:tc>
                <w:tcPr>
                  <w:tcW w:w="299" w:type="pct"/>
                  <w:vAlign w:val="center"/>
                </w:tcPr>
                <w:p w14:paraId="15FC121D">
                  <w:pPr>
                    <w:jc w:val="center"/>
                    <w:rPr>
                      <w:rFonts w:ascii="Times New Roman" w:hAnsi="Times New Roman" w:eastAsia="宋体"/>
                      <w:color w:val="auto"/>
                      <w:sz w:val="21"/>
                      <w:szCs w:val="21"/>
                    </w:rPr>
                  </w:pPr>
                  <w:r>
                    <w:rPr>
                      <w:rFonts w:ascii="Times New Roman" w:hAnsi="Times New Roman" w:eastAsia="宋体"/>
                      <w:color w:val="auto"/>
                      <w:sz w:val="21"/>
                      <w:szCs w:val="21"/>
                    </w:rPr>
                    <w:t>7.367</w:t>
                  </w:r>
                </w:p>
              </w:tc>
              <w:tc>
                <w:tcPr>
                  <w:tcW w:w="246" w:type="pct"/>
                  <w:vAlign w:val="center"/>
                </w:tcPr>
                <w:p w14:paraId="10BF1F32">
                  <w:pPr>
                    <w:jc w:val="center"/>
                    <w:rPr>
                      <w:rFonts w:ascii="Times New Roman" w:hAnsi="Times New Roman" w:eastAsia="宋体"/>
                      <w:color w:val="auto"/>
                      <w:sz w:val="21"/>
                      <w:szCs w:val="21"/>
                    </w:rPr>
                  </w:pPr>
                  <w:r>
                    <w:rPr>
                      <w:rFonts w:ascii="Times New Roman" w:hAnsi="Times New Roman" w:eastAsia="宋体"/>
                      <w:color w:val="auto"/>
                      <w:sz w:val="21"/>
                      <w:szCs w:val="21"/>
                    </w:rPr>
                    <w:t>1.005</w:t>
                  </w:r>
                </w:p>
              </w:tc>
              <w:tc>
                <w:tcPr>
                  <w:tcW w:w="299" w:type="pct"/>
                  <w:vAlign w:val="center"/>
                </w:tcPr>
                <w:p w14:paraId="22696DD4">
                  <w:pPr>
                    <w:jc w:val="center"/>
                    <w:rPr>
                      <w:rFonts w:ascii="Times New Roman" w:hAnsi="Times New Roman" w:eastAsia="宋体"/>
                      <w:color w:val="auto"/>
                      <w:sz w:val="21"/>
                      <w:szCs w:val="21"/>
                    </w:rPr>
                  </w:pPr>
                  <w:r>
                    <w:rPr>
                      <w:rFonts w:ascii="Times New Roman" w:hAnsi="Times New Roman" w:eastAsia="宋体"/>
                      <w:color w:val="auto"/>
                      <w:sz w:val="21"/>
                      <w:szCs w:val="21"/>
                    </w:rPr>
                    <w:t>6.698</w:t>
                  </w:r>
                </w:p>
              </w:tc>
              <w:tc>
                <w:tcPr>
                  <w:tcW w:w="246" w:type="pct"/>
                  <w:vAlign w:val="center"/>
                </w:tcPr>
                <w:p w14:paraId="27E428B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B6C5062">
                  <w:pPr>
                    <w:jc w:val="center"/>
                    <w:rPr>
                      <w:rFonts w:ascii="Times New Roman" w:hAnsi="Times New Roman" w:eastAsia="宋体"/>
                      <w:color w:val="auto"/>
                      <w:sz w:val="21"/>
                      <w:szCs w:val="21"/>
                    </w:rPr>
                  </w:pPr>
                  <w:r>
                    <w:rPr>
                      <w:rFonts w:ascii="Times New Roman" w:hAnsi="Times New Roman" w:eastAsia="宋体"/>
                      <w:color w:val="auto"/>
                      <w:sz w:val="21"/>
                      <w:szCs w:val="21"/>
                    </w:rPr>
                    <w:t>6.698</w:t>
                  </w:r>
                </w:p>
              </w:tc>
              <w:tc>
                <w:tcPr>
                  <w:tcW w:w="299" w:type="pct"/>
                  <w:vAlign w:val="center"/>
                </w:tcPr>
                <w:p w14:paraId="6A4428EA">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0208A3C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B1DC28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B04E9D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0F8326C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ABD1B5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762384E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6F11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restart"/>
                  <w:vAlign w:val="center"/>
                </w:tcPr>
                <w:p w14:paraId="668870F2">
                  <w:pPr>
                    <w:jc w:val="center"/>
                    <w:rPr>
                      <w:rFonts w:ascii="Times New Roman" w:hAnsi="Times New Roman" w:eastAsia="宋体"/>
                      <w:color w:val="auto"/>
                      <w:sz w:val="21"/>
                      <w:szCs w:val="21"/>
                    </w:rPr>
                  </w:pPr>
                  <w:r>
                    <w:rPr>
                      <w:rFonts w:ascii="Times New Roman" w:hAnsi="Times New Roman" w:eastAsia="宋体"/>
                      <w:color w:val="auto"/>
                      <w:sz w:val="21"/>
                      <w:szCs w:val="21"/>
                    </w:rPr>
                    <w:t>W9</w:t>
                  </w:r>
                </w:p>
              </w:tc>
              <w:tc>
                <w:tcPr>
                  <w:tcW w:w="129" w:type="pct"/>
                  <w:vMerge w:val="restart"/>
                  <w:vAlign w:val="center"/>
                </w:tcPr>
                <w:p w14:paraId="6C3B1216">
                  <w:pPr>
                    <w:jc w:val="center"/>
                    <w:rPr>
                      <w:rFonts w:ascii="Times New Roman" w:hAnsi="Times New Roman" w:eastAsia="宋体"/>
                      <w:color w:val="auto"/>
                      <w:sz w:val="21"/>
                      <w:szCs w:val="21"/>
                    </w:rPr>
                  </w:pPr>
                  <w:r>
                    <w:rPr>
                      <w:rFonts w:ascii="Times New Roman" w:hAnsi="Times New Roman" w:eastAsia="宋体"/>
                      <w:color w:val="auto"/>
                      <w:sz w:val="21"/>
                      <w:szCs w:val="21"/>
                    </w:rPr>
                    <w:t>电泳废水</w:t>
                  </w:r>
                </w:p>
              </w:tc>
              <w:tc>
                <w:tcPr>
                  <w:tcW w:w="220" w:type="pct"/>
                  <w:vAlign w:val="center"/>
                </w:tcPr>
                <w:p w14:paraId="65CE96FD">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41C4B57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026803E5">
                  <w:pPr>
                    <w:jc w:val="center"/>
                    <w:rPr>
                      <w:rFonts w:ascii="Times New Roman" w:hAnsi="Times New Roman" w:eastAsia="宋体"/>
                      <w:color w:val="auto"/>
                      <w:sz w:val="21"/>
                      <w:szCs w:val="21"/>
                    </w:rPr>
                  </w:pPr>
                  <w:r>
                    <w:rPr>
                      <w:rFonts w:ascii="Times New Roman" w:hAnsi="Times New Roman" w:eastAsia="宋体"/>
                      <w:color w:val="auto"/>
                      <w:sz w:val="21"/>
                      <w:szCs w:val="21"/>
                    </w:rPr>
                    <w:t>6~9</w:t>
                  </w:r>
                </w:p>
              </w:tc>
              <w:tc>
                <w:tcPr>
                  <w:tcW w:w="354" w:type="pct"/>
                  <w:vAlign w:val="center"/>
                </w:tcPr>
                <w:p w14:paraId="4CDEC918">
                  <w:pPr>
                    <w:jc w:val="center"/>
                    <w:rPr>
                      <w:rFonts w:ascii="Times New Roman" w:hAnsi="Times New Roman" w:eastAsia="宋体"/>
                      <w:color w:val="auto"/>
                      <w:sz w:val="21"/>
                      <w:szCs w:val="21"/>
                    </w:rPr>
                  </w:pPr>
                  <w:r>
                    <w:rPr>
                      <w:rFonts w:ascii="Times New Roman" w:hAnsi="Times New Roman" w:eastAsia="宋体"/>
                      <w:color w:val="auto"/>
                      <w:sz w:val="21"/>
                      <w:szCs w:val="21"/>
                    </w:rPr>
                    <w:t>1500</w:t>
                  </w:r>
                </w:p>
              </w:tc>
              <w:tc>
                <w:tcPr>
                  <w:tcW w:w="299" w:type="pct"/>
                  <w:vAlign w:val="center"/>
                </w:tcPr>
                <w:p w14:paraId="34E32574">
                  <w:pPr>
                    <w:jc w:val="center"/>
                    <w:rPr>
                      <w:rFonts w:ascii="Times New Roman" w:hAnsi="Times New Roman" w:eastAsia="宋体"/>
                      <w:color w:val="auto"/>
                      <w:sz w:val="21"/>
                      <w:szCs w:val="21"/>
                    </w:rPr>
                  </w:pPr>
                  <w:r>
                    <w:rPr>
                      <w:rFonts w:ascii="Times New Roman" w:hAnsi="Times New Roman" w:eastAsia="宋体"/>
                      <w:color w:val="auto"/>
                      <w:sz w:val="21"/>
                      <w:szCs w:val="21"/>
                    </w:rPr>
                    <w:t>450</w:t>
                  </w:r>
                </w:p>
              </w:tc>
              <w:tc>
                <w:tcPr>
                  <w:tcW w:w="299" w:type="pct"/>
                  <w:vAlign w:val="center"/>
                </w:tcPr>
                <w:p w14:paraId="27F6E91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49B9A94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74BE602">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299" w:type="pct"/>
                  <w:vAlign w:val="center"/>
                </w:tcPr>
                <w:p w14:paraId="48FF2454">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46" w:type="pct"/>
                  <w:vAlign w:val="center"/>
                </w:tcPr>
                <w:p w14:paraId="473BE9F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5A6207A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71CD513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4B5ACFB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3EAADCF">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BB1E0E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6EE451F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74C3C33">
                  <w:pPr>
                    <w:jc w:val="center"/>
                    <w:rPr>
                      <w:rFonts w:ascii="Times New Roman" w:hAnsi="Times New Roman" w:eastAsia="宋体"/>
                      <w:color w:val="auto"/>
                      <w:sz w:val="21"/>
                      <w:szCs w:val="21"/>
                    </w:rPr>
                  </w:pPr>
                  <w:r>
                    <w:rPr>
                      <w:rFonts w:ascii="Times New Roman" w:hAnsi="Times New Roman" w:eastAsia="宋体"/>
                      <w:color w:val="auto"/>
                      <w:sz w:val="21"/>
                      <w:szCs w:val="21"/>
                    </w:rPr>
                    <w:t>30</w:t>
                  </w:r>
                </w:p>
              </w:tc>
              <w:tc>
                <w:tcPr>
                  <w:tcW w:w="248" w:type="pct"/>
                  <w:vAlign w:val="center"/>
                </w:tcPr>
                <w:p w14:paraId="39A162A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2287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13" w:type="pct"/>
                  <w:vMerge w:val="continue"/>
                  <w:vAlign w:val="center"/>
                </w:tcPr>
                <w:p w14:paraId="2B004971">
                  <w:pPr>
                    <w:jc w:val="center"/>
                    <w:rPr>
                      <w:rFonts w:ascii="Times New Roman" w:hAnsi="Times New Roman" w:eastAsia="宋体"/>
                      <w:color w:val="auto"/>
                      <w:sz w:val="21"/>
                      <w:szCs w:val="21"/>
                    </w:rPr>
                  </w:pPr>
                </w:p>
              </w:tc>
              <w:tc>
                <w:tcPr>
                  <w:tcW w:w="129" w:type="pct"/>
                  <w:vMerge w:val="continue"/>
                  <w:vAlign w:val="center"/>
                </w:tcPr>
                <w:p w14:paraId="38E2572B">
                  <w:pPr>
                    <w:jc w:val="center"/>
                    <w:rPr>
                      <w:rFonts w:ascii="Times New Roman" w:hAnsi="Times New Roman" w:eastAsia="宋体"/>
                      <w:color w:val="auto"/>
                      <w:sz w:val="21"/>
                      <w:szCs w:val="21"/>
                    </w:rPr>
                  </w:pPr>
                </w:p>
              </w:tc>
              <w:tc>
                <w:tcPr>
                  <w:tcW w:w="220" w:type="pct"/>
                  <w:vAlign w:val="center"/>
                </w:tcPr>
                <w:p w14:paraId="5218E877">
                  <w:pPr>
                    <w:jc w:val="center"/>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327" w:type="pct"/>
                  <w:vAlign w:val="center"/>
                </w:tcPr>
                <w:p w14:paraId="1944D4C3">
                  <w:pPr>
                    <w:jc w:val="center"/>
                    <w:rPr>
                      <w:rFonts w:ascii="Times New Roman" w:hAnsi="Times New Roman" w:eastAsia="宋体"/>
                      <w:color w:val="auto"/>
                      <w:sz w:val="21"/>
                      <w:szCs w:val="21"/>
                    </w:rPr>
                  </w:pPr>
                  <w:r>
                    <w:rPr>
                      <w:rFonts w:ascii="Times New Roman" w:hAnsi="Times New Roman" w:eastAsia="宋体"/>
                      <w:color w:val="auto"/>
                      <w:sz w:val="21"/>
                      <w:szCs w:val="21"/>
                    </w:rPr>
                    <w:t>114381</w:t>
                  </w:r>
                </w:p>
              </w:tc>
              <w:tc>
                <w:tcPr>
                  <w:tcW w:w="170" w:type="pct"/>
                  <w:vAlign w:val="center"/>
                </w:tcPr>
                <w:p w14:paraId="62D54501">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354" w:type="pct"/>
                  <w:vAlign w:val="center"/>
                </w:tcPr>
                <w:p w14:paraId="3C066DF3">
                  <w:pPr>
                    <w:jc w:val="center"/>
                    <w:rPr>
                      <w:rFonts w:ascii="Times New Roman" w:hAnsi="Times New Roman" w:eastAsia="宋体"/>
                      <w:color w:val="auto"/>
                      <w:sz w:val="21"/>
                      <w:szCs w:val="21"/>
                    </w:rPr>
                  </w:pPr>
                  <w:r>
                    <w:rPr>
                      <w:rFonts w:ascii="Times New Roman" w:hAnsi="Times New Roman" w:eastAsia="宋体"/>
                      <w:color w:val="auto"/>
                      <w:sz w:val="21"/>
                      <w:szCs w:val="21"/>
                    </w:rPr>
                    <w:t>171.572</w:t>
                  </w:r>
                </w:p>
              </w:tc>
              <w:tc>
                <w:tcPr>
                  <w:tcW w:w="299" w:type="pct"/>
                  <w:vAlign w:val="center"/>
                </w:tcPr>
                <w:p w14:paraId="5623F6B8">
                  <w:pPr>
                    <w:jc w:val="center"/>
                    <w:rPr>
                      <w:rFonts w:ascii="Times New Roman" w:hAnsi="Times New Roman" w:eastAsia="宋体"/>
                      <w:color w:val="auto"/>
                      <w:sz w:val="21"/>
                      <w:szCs w:val="21"/>
                    </w:rPr>
                  </w:pPr>
                  <w:r>
                    <w:rPr>
                      <w:rFonts w:ascii="Times New Roman" w:hAnsi="Times New Roman" w:eastAsia="宋体"/>
                      <w:color w:val="auto"/>
                      <w:sz w:val="21"/>
                      <w:szCs w:val="21"/>
                    </w:rPr>
                    <w:t>51.471</w:t>
                  </w:r>
                </w:p>
              </w:tc>
              <w:tc>
                <w:tcPr>
                  <w:tcW w:w="299" w:type="pct"/>
                  <w:vAlign w:val="center"/>
                </w:tcPr>
                <w:p w14:paraId="684EE32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89E6C24">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04E8A35B">
                  <w:pPr>
                    <w:jc w:val="center"/>
                    <w:rPr>
                      <w:rFonts w:ascii="Times New Roman" w:hAnsi="Times New Roman" w:eastAsia="宋体"/>
                      <w:color w:val="auto"/>
                      <w:sz w:val="21"/>
                      <w:szCs w:val="21"/>
                    </w:rPr>
                  </w:pPr>
                  <w:r>
                    <w:rPr>
                      <w:rFonts w:ascii="Times New Roman" w:hAnsi="Times New Roman" w:eastAsia="宋体"/>
                      <w:color w:val="auto"/>
                      <w:sz w:val="21"/>
                      <w:szCs w:val="21"/>
                    </w:rPr>
                    <w:t>2.288</w:t>
                  </w:r>
                </w:p>
              </w:tc>
              <w:tc>
                <w:tcPr>
                  <w:tcW w:w="299" w:type="pct"/>
                  <w:vAlign w:val="center"/>
                </w:tcPr>
                <w:p w14:paraId="44E7ABB7">
                  <w:pPr>
                    <w:jc w:val="center"/>
                    <w:rPr>
                      <w:rFonts w:ascii="Times New Roman" w:hAnsi="Times New Roman" w:eastAsia="宋体"/>
                      <w:color w:val="auto"/>
                      <w:sz w:val="21"/>
                      <w:szCs w:val="21"/>
                    </w:rPr>
                  </w:pPr>
                  <w:r>
                    <w:rPr>
                      <w:rFonts w:ascii="Times New Roman" w:hAnsi="Times New Roman" w:eastAsia="宋体"/>
                      <w:color w:val="auto"/>
                      <w:sz w:val="21"/>
                      <w:szCs w:val="21"/>
                    </w:rPr>
                    <w:t>34.314</w:t>
                  </w:r>
                </w:p>
              </w:tc>
              <w:tc>
                <w:tcPr>
                  <w:tcW w:w="246" w:type="pct"/>
                  <w:vAlign w:val="center"/>
                </w:tcPr>
                <w:p w14:paraId="2109C40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6AF194D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BF7EAB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0AA7690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365CAF6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655EA3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01586EF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AA0BD36">
                  <w:pPr>
                    <w:jc w:val="center"/>
                    <w:rPr>
                      <w:rFonts w:ascii="Times New Roman" w:hAnsi="Times New Roman" w:eastAsia="宋体"/>
                      <w:color w:val="auto"/>
                      <w:sz w:val="21"/>
                      <w:szCs w:val="21"/>
                    </w:rPr>
                  </w:pPr>
                  <w:r>
                    <w:rPr>
                      <w:rFonts w:ascii="Times New Roman" w:hAnsi="Times New Roman" w:eastAsia="宋体"/>
                      <w:color w:val="auto"/>
                      <w:sz w:val="21"/>
                      <w:szCs w:val="21"/>
                    </w:rPr>
                    <w:t>3.431</w:t>
                  </w:r>
                </w:p>
              </w:tc>
              <w:tc>
                <w:tcPr>
                  <w:tcW w:w="248" w:type="pct"/>
                  <w:vAlign w:val="center"/>
                </w:tcPr>
                <w:p w14:paraId="347B2E20">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37DE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vAlign w:val="center"/>
                </w:tcPr>
                <w:p w14:paraId="2AB6F40A">
                  <w:pPr>
                    <w:jc w:val="center"/>
                    <w:rPr>
                      <w:rFonts w:ascii="Times New Roman" w:hAnsi="Times New Roman" w:eastAsia="宋体"/>
                      <w:color w:val="auto"/>
                      <w:sz w:val="21"/>
                      <w:szCs w:val="21"/>
                    </w:rPr>
                  </w:pPr>
                  <w:r>
                    <w:rPr>
                      <w:rFonts w:ascii="Times New Roman" w:hAnsi="Times New Roman" w:eastAsia="宋体"/>
                      <w:color w:val="auto"/>
                      <w:sz w:val="21"/>
                      <w:szCs w:val="21"/>
                    </w:rPr>
                    <w:t>W10</w:t>
                  </w:r>
                </w:p>
              </w:tc>
              <w:tc>
                <w:tcPr>
                  <w:tcW w:w="129" w:type="pct"/>
                  <w:vMerge w:val="restart"/>
                  <w:vAlign w:val="center"/>
                </w:tcPr>
                <w:p w14:paraId="39EE95A2">
                  <w:pPr>
                    <w:jc w:val="center"/>
                    <w:rPr>
                      <w:rFonts w:ascii="Times New Roman" w:hAnsi="Times New Roman" w:eastAsia="宋体"/>
                      <w:color w:val="auto"/>
                      <w:sz w:val="21"/>
                      <w:szCs w:val="21"/>
                    </w:rPr>
                  </w:pPr>
                  <w:r>
                    <w:rPr>
                      <w:rFonts w:ascii="Times New Roman" w:hAnsi="Times New Roman" w:eastAsia="宋体"/>
                      <w:color w:val="auto"/>
                      <w:sz w:val="21"/>
                      <w:szCs w:val="21"/>
                    </w:rPr>
                    <w:t>含锡废</w:t>
                  </w:r>
                </w:p>
              </w:tc>
              <w:tc>
                <w:tcPr>
                  <w:tcW w:w="220" w:type="pct"/>
                  <w:vAlign w:val="center"/>
                </w:tcPr>
                <w:p w14:paraId="128D26D0">
                  <w:pPr>
                    <w:jc w:val="center"/>
                    <w:rPr>
                      <w:rFonts w:ascii="Times New Roman" w:hAnsi="Times New Roman" w:eastAsia="宋体"/>
                      <w:color w:val="auto"/>
                      <w:sz w:val="21"/>
                      <w:szCs w:val="21"/>
                    </w:rPr>
                  </w:pPr>
                  <w:r>
                    <w:rPr>
                      <w:rFonts w:ascii="Times New Roman" w:hAnsi="Times New Roman" w:eastAsia="宋体"/>
                      <w:color w:val="auto"/>
                      <w:sz w:val="21"/>
                      <w:szCs w:val="21"/>
                    </w:rPr>
                    <w:t>浓度mg/L</w:t>
                  </w:r>
                </w:p>
              </w:tc>
              <w:tc>
                <w:tcPr>
                  <w:tcW w:w="327" w:type="pct"/>
                  <w:vAlign w:val="center"/>
                </w:tcPr>
                <w:p w14:paraId="09A8045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70" w:type="pct"/>
                  <w:vAlign w:val="center"/>
                </w:tcPr>
                <w:p w14:paraId="4BC39BC0">
                  <w:pPr>
                    <w:jc w:val="center"/>
                    <w:rPr>
                      <w:rFonts w:ascii="Times New Roman" w:hAnsi="Times New Roman" w:eastAsia="宋体"/>
                      <w:color w:val="auto"/>
                      <w:sz w:val="21"/>
                      <w:szCs w:val="21"/>
                    </w:rPr>
                  </w:pPr>
                  <w:r>
                    <w:rPr>
                      <w:rFonts w:ascii="Times New Roman" w:hAnsi="Times New Roman" w:eastAsia="宋体"/>
                      <w:color w:val="auto"/>
                      <w:sz w:val="21"/>
                      <w:szCs w:val="21"/>
                    </w:rPr>
                    <w:t>6~9</w:t>
                  </w:r>
                </w:p>
              </w:tc>
              <w:tc>
                <w:tcPr>
                  <w:tcW w:w="354" w:type="pct"/>
                  <w:vAlign w:val="center"/>
                </w:tcPr>
                <w:p w14:paraId="5D73CAFA">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99" w:type="pct"/>
                  <w:vAlign w:val="center"/>
                </w:tcPr>
                <w:p w14:paraId="2335B993">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130DDDD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2E73C062">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77F7BC8F">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299" w:type="pct"/>
                  <w:vAlign w:val="center"/>
                </w:tcPr>
                <w:p w14:paraId="1205A8A2">
                  <w:pPr>
                    <w:jc w:val="center"/>
                    <w:rPr>
                      <w:rFonts w:ascii="Times New Roman" w:hAnsi="Times New Roman" w:eastAsia="宋体"/>
                      <w:color w:val="auto"/>
                      <w:sz w:val="21"/>
                      <w:szCs w:val="21"/>
                    </w:rPr>
                  </w:pPr>
                  <w:r>
                    <w:rPr>
                      <w:rFonts w:ascii="Times New Roman" w:hAnsi="Times New Roman" w:eastAsia="宋体"/>
                      <w:color w:val="auto"/>
                      <w:sz w:val="21"/>
                      <w:szCs w:val="21"/>
                    </w:rPr>
                    <w:t>150</w:t>
                  </w:r>
                </w:p>
              </w:tc>
              <w:tc>
                <w:tcPr>
                  <w:tcW w:w="246" w:type="pct"/>
                  <w:vAlign w:val="center"/>
                </w:tcPr>
                <w:p w14:paraId="73415A1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4162D9BE">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99" w:type="pct"/>
                  <w:vAlign w:val="center"/>
                </w:tcPr>
                <w:p w14:paraId="3FEB0ED5">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92" w:type="pct"/>
                  <w:vAlign w:val="center"/>
                </w:tcPr>
                <w:p w14:paraId="0DA38A1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274127DB">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6" w:type="pct"/>
                  <w:vAlign w:val="center"/>
                </w:tcPr>
                <w:p w14:paraId="15CED117">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165" w:type="pct"/>
                  <w:vAlign w:val="center"/>
                </w:tcPr>
                <w:p w14:paraId="4DF009FF">
                  <w:pPr>
                    <w:jc w:val="center"/>
                    <w:rPr>
                      <w:rFonts w:ascii="Times New Roman" w:hAnsi="Times New Roman" w:eastAsia="宋体"/>
                      <w:color w:val="auto"/>
                      <w:sz w:val="21"/>
                      <w:szCs w:val="21"/>
                    </w:rPr>
                  </w:pPr>
                  <w:r>
                    <w:rPr>
                      <w:rFonts w:ascii="Times New Roman" w:hAnsi="Times New Roman" w:eastAsia="宋体"/>
                      <w:color w:val="auto"/>
                      <w:sz w:val="21"/>
                      <w:szCs w:val="21"/>
                    </w:rPr>
                    <w:t>300</w:t>
                  </w:r>
                </w:p>
              </w:tc>
              <w:tc>
                <w:tcPr>
                  <w:tcW w:w="246" w:type="pct"/>
                  <w:vAlign w:val="center"/>
                </w:tcPr>
                <w:p w14:paraId="6C412538">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248" w:type="pct"/>
                  <w:vAlign w:val="center"/>
                </w:tcPr>
                <w:p w14:paraId="04EAC476">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r>
            <w:tr w14:paraId="10F6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0FD74DB6">
                  <w:pPr>
                    <w:jc w:val="center"/>
                    <w:rPr>
                      <w:rFonts w:ascii="Times New Roman" w:hAnsi="Times New Roman" w:eastAsia="宋体"/>
                      <w:color w:val="auto"/>
                      <w:sz w:val="21"/>
                      <w:szCs w:val="21"/>
                    </w:rPr>
                  </w:pPr>
                </w:p>
              </w:tc>
              <w:tc>
                <w:tcPr>
                  <w:tcW w:w="129" w:type="pct"/>
                  <w:vMerge w:val="continue"/>
                  <w:vAlign w:val="center"/>
                </w:tcPr>
                <w:p w14:paraId="1C8115C9">
                  <w:pPr>
                    <w:jc w:val="center"/>
                    <w:rPr>
                      <w:rFonts w:ascii="Times New Roman" w:hAnsi="Times New Roman" w:eastAsia="宋体"/>
                      <w:color w:val="auto"/>
                      <w:sz w:val="21"/>
                      <w:szCs w:val="21"/>
                    </w:rPr>
                  </w:pPr>
                </w:p>
              </w:tc>
              <w:tc>
                <w:tcPr>
                  <w:tcW w:w="220" w:type="pct"/>
                  <w:shd w:val="clear" w:color="auto" w:fill="auto"/>
                  <w:vAlign w:val="center"/>
                </w:tcPr>
                <w:p w14:paraId="65561479">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327" w:type="pct"/>
                  <w:shd w:val="clear" w:color="auto" w:fill="auto"/>
                  <w:vAlign w:val="center"/>
                </w:tcPr>
                <w:p w14:paraId="09EC5F9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6615</w:t>
                  </w:r>
                </w:p>
              </w:tc>
              <w:tc>
                <w:tcPr>
                  <w:tcW w:w="170" w:type="pct"/>
                  <w:shd w:val="clear" w:color="auto" w:fill="auto"/>
                  <w:vAlign w:val="center"/>
                </w:tcPr>
                <w:p w14:paraId="5D43CF3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54" w:type="pct"/>
                  <w:shd w:val="clear" w:color="auto" w:fill="auto"/>
                  <w:vAlign w:val="center"/>
                </w:tcPr>
                <w:p w14:paraId="426D96A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0.662</w:t>
                  </w:r>
                </w:p>
              </w:tc>
              <w:tc>
                <w:tcPr>
                  <w:tcW w:w="299" w:type="pct"/>
                  <w:shd w:val="clear" w:color="auto" w:fill="auto"/>
                  <w:vAlign w:val="center"/>
                </w:tcPr>
                <w:p w14:paraId="5B7F251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9" w:type="pct"/>
                  <w:shd w:val="clear" w:color="auto" w:fill="auto"/>
                  <w:vAlign w:val="center"/>
                </w:tcPr>
                <w:p w14:paraId="1A2FAAF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9" w:type="pct"/>
                  <w:shd w:val="clear" w:color="auto" w:fill="auto"/>
                  <w:vAlign w:val="center"/>
                </w:tcPr>
                <w:p w14:paraId="5A33313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6A49C2A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0.132</w:t>
                  </w:r>
                </w:p>
              </w:tc>
              <w:tc>
                <w:tcPr>
                  <w:tcW w:w="299" w:type="pct"/>
                  <w:shd w:val="clear" w:color="auto" w:fill="auto"/>
                  <w:vAlign w:val="center"/>
                </w:tcPr>
                <w:p w14:paraId="738C0F7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0.992</w:t>
                  </w:r>
                </w:p>
              </w:tc>
              <w:tc>
                <w:tcPr>
                  <w:tcW w:w="246" w:type="pct"/>
                  <w:shd w:val="clear" w:color="auto" w:fill="auto"/>
                  <w:vAlign w:val="center"/>
                </w:tcPr>
                <w:p w14:paraId="3600302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7F80B1B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9" w:type="pct"/>
                  <w:shd w:val="clear" w:color="auto" w:fill="auto"/>
                  <w:vAlign w:val="center"/>
                </w:tcPr>
                <w:p w14:paraId="109247B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192" w:type="pct"/>
                  <w:shd w:val="clear" w:color="auto" w:fill="auto"/>
                  <w:vAlign w:val="center"/>
                </w:tcPr>
                <w:p w14:paraId="5666726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20913E5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5193140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165" w:type="pct"/>
                  <w:shd w:val="clear" w:color="auto" w:fill="auto"/>
                  <w:vAlign w:val="center"/>
                </w:tcPr>
                <w:p w14:paraId="1609B4C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1.985</w:t>
                  </w:r>
                </w:p>
              </w:tc>
              <w:tc>
                <w:tcPr>
                  <w:tcW w:w="246" w:type="pct"/>
                  <w:shd w:val="clear" w:color="auto" w:fill="auto"/>
                  <w:vAlign w:val="center"/>
                </w:tcPr>
                <w:p w14:paraId="7124D44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8" w:type="pct"/>
                  <w:shd w:val="clear" w:color="auto" w:fill="auto"/>
                  <w:vAlign w:val="center"/>
                </w:tcPr>
                <w:p w14:paraId="362CD8C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6A2B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20F2319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W11</w:t>
                  </w:r>
                </w:p>
              </w:tc>
              <w:tc>
                <w:tcPr>
                  <w:tcW w:w="129" w:type="pct"/>
                  <w:vMerge w:val="restart"/>
                  <w:shd w:val="clear" w:color="auto" w:fill="auto"/>
                  <w:vAlign w:val="center"/>
                </w:tcPr>
                <w:p w14:paraId="1146DF22">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倒角废水</w:t>
                  </w:r>
                </w:p>
              </w:tc>
              <w:tc>
                <w:tcPr>
                  <w:tcW w:w="220" w:type="pct"/>
                  <w:shd w:val="clear" w:color="auto" w:fill="auto"/>
                  <w:vAlign w:val="center"/>
                </w:tcPr>
                <w:p w14:paraId="41BBDF8F">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327" w:type="pct"/>
                  <w:shd w:val="clear" w:color="auto" w:fill="auto"/>
                  <w:vAlign w:val="center"/>
                </w:tcPr>
                <w:p w14:paraId="31ADE95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170" w:type="pct"/>
                  <w:shd w:val="clear" w:color="auto" w:fill="auto"/>
                  <w:vAlign w:val="center"/>
                </w:tcPr>
                <w:p w14:paraId="15565E8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6~9</w:t>
                  </w:r>
                </w:p>
              </w:tc>
              <w:tc>
                <w:tcPr>
                  <w:tcW w:w="354" w:type="pct"/>
                  <w:shd w:val="clear" w:color="auto" w:fill="auto"/>
                  <w:vAlign w:val="center"/>
                </w:tcPr>
                <w:p w14:paraId="34671EB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800</w:t>
                  </w:r>
                </w:p>
              </w:tc>
              <w:tc>
                <w:tcPr>
                  <w:tcW w:w="299" w:type="pct"/>
                  <w:shd w:val="clear" w:color="auto" w:fill="auto"/>
                  <w:vAlign w:val="center"/>
                </w:tcPr>
                <w:p w14:paraId="258C1A5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260</w:t>
                  </w:r>
                </w:p>
              </w:tc>
              <w:tc>
                <w:tcPr>
                  <w:tcW w:w="299" w:type="pct"/>
                  <w:shd w:val="clear" w:color="auto" w:fill="auto"/>
                  <w:vAlign w:val="center"/>
                </w:tcPr>
                <w:p w14:paraId="33E92F4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9" w:type="pct"/>
                  <w:shd w:val="clear" w:color="auto" w:fill="auto"/>
                  <w:vAlign w:val="center"/>
                </w:tcPr>
                <w:p w14:paraId="1880415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45B5F5B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w:t>
                  </w:r>
                </w:p>
              </w:tc>
              <w:tc>
                <w:tcPr>
                  <w:tcW w:w="299" w:type="pct"/>
                  <w:shd w:val="clear" w:color="auto" w:fill="auto"/>
                  <w:vAlign w:val="center"/>
                </w:tcPr>
                <w:p w14:paraId="3F8D497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300</w:t>
                  </w:r>
                </w:p>
              </w:tc>
              <w:tc>
                <w:tcPr>
                  <w:tcW w:w="246" w:type="pct"/>
                  <w:shd w:val="clear" w:color="auto" w:fill="auto"/>
                  <w:vAlign w:val="center"/>
                </w:tcPr>
                <w:p w14:paraId="374C663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50</w:t>
                  </w:r>
                </w:p>
              </w:tc>
              <w:tc>
                <w:tcPr>
                  <w:tcW w:w="246" w:type="pct"/>
                  <w:shd w:val="clear" w:color="auto" w:fill="auto"/>
                  <w:vAlign w:val="center"/>
                </w:tcPr>
                <w:p w14:paraId="75C5693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9" w:type="pct"/>
                  <w:shd w:val="clear" w:color="auto" w:fill="auto"/>
                  <w:vAlign w:val="center"/>
                </w:tcPr>
                <w:p w14:paraId="0368795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192" w:type="pct"/>
                  <w:shd w:val="clear" w:color="auto" w:fill="auto"/>
                  <w:vAlign w:val="center"/>
                </w:tcPr>
                <w:p w14:paraId="3113CFD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654D035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39DCBA9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165" w:type="pct"/>
                  <w:shd w:val="clear" w:color="auto" w:fill="auto"/>
                  <w:vAlign w:val="center"/>
                </w:tcPr>
                <w:p w14:paraId="34CAF74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6" w:type="pct"/>
                  <w:shd w:val="clear" w:color="auto" w:fill="auto"/>
                  <w:vAlign w:val="center"/>
                </w:tcPr>
                <w:p w14:paraId="21C1F7C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48" w:type="pct"/>
                  <w:shd w:val="clear" w:color="auto" w:fill="auto"/>
                  <w:vAlign w:val="center"/>
                </w:tcPr>
                <w:p w14:paraId="29037A4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35DC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1815B7C9">
                  <w:pPr>
                    <w:jc w:val="center"/>
                    <w:rPr>
                      <w:rFonts w:ascii="Times New Roman" w:hAnsi="Times New Roman" w:eastAsia="宋体"/>
                      <w:color w:val="auto"/>
                      <w:sz w:val="21"/>
                      <w:szCs w:val="21"/>
                    </w:rPr>
                  </w:pPr>
                </w:p>
              </w:tc>
              <w:tc>
                <w:tcPr>
                  <w:tcW w:w="129" w:type="pct"/>
                  <w:vMerge w:val="continue"/>
                  <w:vAlign w:val="center"/>
                </w:tcPr>
                <w:p w14:paraId="325AC298">
                  <w:pPr>
                    <w:jc w:val="center"/>
                    <w:rPr>
                      <w:rFonts w:ascii="Times New Roman" w:hAnsi="Times New Roman" w:eastAsia="宋体"/>
                      <w:color w:val="auto"/>
                      <w:sz w:val="21"/>
                      <w:szCs w:val="21"/>
                    </w:rPr>
                  </w:pPr>
                </w:p>
              </w:tc>
              <w:tc>
                <w:tcPr>
                  <w:tcW w:w="412" w:type="dxa"/>
                  <w:shd w:val="clear" w:color="auto" w:fill="auto"/>
                  <w:vAlign w:val="center"/>
                </w:tcPr>
                <w:p w14:paraId="22C42773">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2246DCF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94500</w:t>
                  </w:r>
                </w:p>
              </w:tc>
              <w:tc>
                <w:tcPr>
                  <w:tcW w:w="297" w:type="dxa"/>
                  <w:shd w:val="clear" w:color="auto" w:fill="auto"/>
                  <w:vAlign w:val="center"/>
                </w:tcPr>
                <w:p w14:paraId="42D60A6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4E936C6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75.6</w:t>
                  </w:r>
                </w:p>
              </w:tc>
              <w:tc>
                <w:tcPr>
                  <w:tcW w:w="522" w:type="dxa"/>
                  <w:shd w:val="clear" w:color="auto" w:fill="auto"/>
                  <w:vAlign w:val="center"/>
                </w:tcPr>
                <w:p w14:paraId="00BD9A1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24.57</w:t>
                  </w:r>
                </w:p>
              </w:tc>
              <w:tc>
                <w:tcPr>
                  <w:tcW w:w="708" w:type="dxa"/>
                  <w:shd w:val="clear" w:color="auto" w:fill="auto"/>
                  <w:vAlign w:val="center"/>
                </w:tcPr>
                <w:p w14:paraId="507B342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2D9BD5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CC6989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1.418</w:t>
                  </w:r>
                </w:p>
              </w:tc>
              <w:tc>
                <w:tcPr>
                  <w:tcW w:w="615" w:type="dxa"/>
                  <w:shd w:val="clear" w:color="auto" w:fill="auto"/>
                  <w:vAlign w:val="center"/>
                </w:tcPr>
                <w:p w14:paraId="67BD743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28.35</w:t>
                  </w:r>
                </w:p>
              </w:tc>
              <w:tc>
                <w:tcPr>
                  <w:tcW w:w="429" w:type="dxa"/>
                  <w:shd w:val="clear" w:color="auto" w:fill="auto"/>
                  <w:vAlign w:val="center"/>
                </w:tcPr>
                <w:p w14:paraId="5CA0A08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4.725</w:t>
                  </w:r>
                </w:p>
              </w:tc>
              <w:tc>
                <w:tcPr>
                  <w:tcW w:w="429" w:type="dxa"/>
                  <w:shd w:val="clear" w:color="auto" w:fill="auto"/>
                  <w:vAlign w:val="center"/>
                </w:tcPr>
                <w:p w14:paraId="57FEA24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19744AE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058FB1F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4ACB54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9692F0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6D0C63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B834DA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926934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28E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76D71E9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W12</w:t>
                  </w:r>
                </w:p>
              </w:tc>
              <w:tc>
                <w:tcPr>
                  <w:tcW w:w="129" w:type="pct"/>
                  <w:vMerge w:val="restart"/>
                  <w:shd w:val="clear" w:color="auto" w:fill="auto"/>
                  <w:vAlign w:val="center"/>
                </w:tcPr>
                <w:p w14:paraId="275CD52E">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地面清洗废水</w:t>
                  </w:r>
                </w:p>
              </w:tc>
              <w:tc>
                <w:tcPr>
                  <w:tcW w:w="412" w:type="dxa"/>
                  <w:shd w:val="clear" w:color="auto" w:fill="auto"/>
                  <w:vAlign w:val="center"/>
                </w:tcPr>
                <w:p w14:paraId="3D5A8B03">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1625A37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501989A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726DCCA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300</w:t>
                  </w:r>
                </w:p>
              </w:tc>
              <w:tc>
                <w:tcPr>
                  <w:tcW w:w="522" w:type="dxa"/>
                  <w:shd w:val="clear" w:color="auto" w:fill="auto"/>
                  <w:vAlign w:val="center"/>
                </w:tcPr>
                <w:p w14:paraId="3BC0AB2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4EC426D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629D0EC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1FE179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4157E3A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200</w:t>
                  </w:r>
                </w:p>
              </w:tc>
              <w:tc>
                <w:tcPr>
                  <w:tcW w:w="429" w:type="dxa"/>
                  <w:shd w:val="clear" w:color="auto" w:fill="auto"/>
                  <w:vAlign w:val="center"/>
                </w:tcPr>
                <w:p w14:paraId="6E40C57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058266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0AD2423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6F784C0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1FCCDE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EFE319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7435F9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4F797F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CD6268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2E99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6AA2013A">
                  <w:pPr>
                    <w:jc w:val="center"/>
                    <w:rPr>
                      <w:rFonts w:ascii="Times New Roman" w:hAnsi="Times New Roman" w:eastAsia="宋体"/>
                      <w:color w:val="auto"/>
                      <w:sz w:val="21"/>
                      <w:szCs w:val="21"/>
                    </w:rPr>
                  </w:pPr>
                </w:p>
              </w:tc>
              <w:tc>
                <w:tcPr>
                  <w:tcW w:w="129" w:type="pct"/>
                  <w:vMerge w:val="continue"/>
                  <w:vAlign w:val="center"/>
                </w:tcPr>
                <w:p w14:paraId="74C1000F">
                  <w:pPr>
                    <w:jc w:val="center"/>
                    <w:rPr>
                      <w:rFonts w:ascii="Times New Roman" w:hAnsi="Times New Roman" w:eastAsia="宋体"/>
                      <w:color w:val="auto"/>
                      <w:sz w:val="21"/>
                      <w:szCs w:val="21"/>
                    </w:rPr>
                  </w:pPr>
                </w:p>
              </w:tc>
              <w:tc>
                <w:tcPr>
                  <w:tcW w:w="412" w:type="dxa"/>
                  <w:shd w:val="clear" w:color="auto" w:fill="auto"/>
                  <w:vAlign w:val="center"/>
                </w:tcPr>
                <w:p w14:paraId="611EFA33">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1551529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4718</w:t>
                  </w:r>
                </w:p>
              </w:tc>
              <w:tc>
                <w:tcPr>
                  <w:tcW w:w="297" w:type="dxa"/>
                  <w:shd w:val="clear" w:color="auto" w:fill="auto"/>
                  <w:vAlign w:val="center"/>
                </w:tcPr>
                <w:p w14:paraId="25533F5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555ACA4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1.415</w:t>
                  </w:r>
                </w:p>
              </w:tc>
              <w:tc>
                <w:tcPr>
                  <w:tcW w:w="522" w:type="dxa"/>
                  <w:shd w:val="clear" w:color="auto" w:fill="auto"/>
                  <w:vAlign w:val="center"/>
                </w:tcPr>
                <w:p w14:paraId="51F8A66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2BDE14A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0EBAB1A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6BE1D9C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270C461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0.944</w:t>
                  </w:r>
                </w:p>
              </w:tc>
              <w:tc>
                <w:tcPr>
                  <w:tcW w:w="429" w:type="dxa"/>
                  <w:shd w:val="clear" w:color="auto" w:fill="auto"/>
                  <w:vAlign w:val="center"/>
                </w:tcPr>
                <w:p w14:paraId="646F613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6705C3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64FD270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237EBC0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A32E3A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2F563D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D39794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5E16F2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684A83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2BB2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40CDFCE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W13</w:t>
                  </w:r>
                </w:p>
              </w:tc>
              <w:tc>
                <w:tcPr>
                  <w:tcW w:w="129" w:type="pct"/>
                  <w:vMerge w:val="restart"/>
                  <w:shd w:val="clear" w:color="auto" w:fill="auto"/>
                  <w:vAlign w:val="center"/>
                </w:tcPr>
                <w:p w14:paraId="1CAE5687">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废气喷淋塔定排废水</w:t>
                  </w:r>
                </w:p>
              </w:tc>
              <w:tc>
                <w:tcPr>
                  <w:tcW w:w="412" w:type="dxa"/>
                  <w:shd w:val="clear" w:color="auto" w:fill="auto"/>
                  <w:vAlign w:val="center"/>
                </w:tcPr>
                <w:p w14:paraId="720C4290">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7FA3B0A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6B0AB89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10</w:t>
                  </w:r>
                </w:p>
              </w:tc>
              <w:tc>
                <w:tcPr>
                  <w:tcW w:w="615" w:type="dxa"/>
                  <w:shd w:val="clear" w:color="auto" w:fill="auto"/>
                  <w:vAlign w:val="center"/>
                </w:tcPr>
                <w:p w14:paraId="23FC23D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A3BB96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3EF4284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13429</w:t>
                  </w:r>
                </w:p>
              </w:tc>
              <w:tc>
                <w:tcPr>
                  <w:tcW w:w="522" w:type="dxa"/>
                  <w:shd w:val="clear" w:color="auto" w:fill="auto"/>
                  <w:vAlign w:val="center"/>
                </w:tcPr>
                <w:p w14:paraId="4F9B3B6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5640DB2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5</w:t>
                  </w:r>
                </w:p>
              </w:tc>
              <w:tc>
                <w:tcPr>
                  <w:tcW w:w="615" w:type="dxa"/>
                  <w:shd w:val="clear" w:color="auto" w:fill="auto"/>
                  <w:vAlign w:val="center"/>
                </w:tcPr>
                <w:p w14:paraId="79B8DB0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445C7F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9E377F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C3CC74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4471785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AEB56C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7EE0DF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2FE2EE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428FFC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DA8BD5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2610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3EFC4D73">
                  <w:pPr>
                    <w:jc w:val="center"/>
                    <w:rPr>
                      <w:rFonts w:ascii="Times New Roman" w:hAnsi="Times New Roman" w:eastAsia="宋体"/>
                      <w:color w:val="auto"/>
                      <w:sz w:val="21"/>
                      <w:szCs w:val="21"/>
                    </w:rPr>
                  </w:pPr>
                </w:p>
              </w:tc>
              <w:tc>
                <w:tcPr>
                  <w:tcW w:w="129" w:type="pct"/>
                  <w:vMerge w:val="continue"/>
                  <w:vAlign w:val="center"/>
                </w:tcPr>
                <w:p w14:paraId="723BD04E">
                  <w:pPr>
                    <w:jc w:val="center"/>
                    <w:rPr>
                      <w:rFonts w:ascii="Times New Roman" w:hAnsi="Times New Roman" w:eastAsia="宋体"/>
                      <w:color w:val="auto"/>
                      <w:sz w:val="21"/>
                      <w:szCs w:val="21"/>
                    </w:rPr>
                  </w:pPr>
                </w:p>
              </w:tc>
              <w:tc>
                <w:tcPr>
                  <w:tcW w:w="412" w:type="dxa"/>
                  <w:shd w:val="clear" w:color="auto" w:fill="auto"/>
                  <w:vAlign w:val="center"/>
                </w:tcPr>
                <w:p w14:paraId="3C80644F">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697012E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105</w:t>
                  </w:r>
                </w:p>
              </w:tc>
              <w:tc>
                <w:tcPr>
                  <w:tcW w:w="297" w:type="dxa"/>
                  <w:shd w:val="clear" w:color="auto" w:fill="auto"/>
                  <w:vAlign w:val="center"/>
                </w:tcPr>
                <w:p w14:paraId="3E4881F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682E81A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54FDE9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39817A3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1.41</w:t>
                  </w:r>
                </w:p>
              </w:tc>
              <w:tc>
                <w:tcPr>
                  <w:tcW w:w="522" w:type="dxa"/>
                  <w:shd w:val="clear" w:color="auto" w:fill="auto"/>
                  <w:vAlign w:val="center"/>
                </w:tcPr>
                <w:p w14:paraId="1751BF2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10C5F0F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0.001</w:t>
                  </w:r>
                </w:p>
              </w:tc>
              <w:tc>
                <w:tcPr>
                  <w:tcW w:w="615" w:type="dxa"/>
                  <w:shd w:val="clear" w:color="auto" w:fill="auto"/>
                  <w:vAlign w:val="center"/>
                </w:tcPr>
                <w:p w14:paraId="73CFBB9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BE9EAD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E9084C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6F76224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1B0A8D2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3AC2B1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CB3EF3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2D5A05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FE03B2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504A74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1A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240B71F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W14</w:t>
                  </w:r>
                </w:p>
              </w:tc>
              <w:tc>
                <w:tcPr>
                  <w:tcW w:w="129" w:type="pct"/>
                  <w:vMerge w:val="restart"/>
                  <w:shd w:val="clear" w:color="auto" w:fill="auto"/>
                  <w:vAlign w:val="center"/>
                </w:tcPr>
                <w:p w14:paraId="05B1F575">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水帘柜废水</w:t>
                  </w:r>
                </w:p>
              </w:tc>
              <w:tc>
                <w:tcPr>
                  <w:tcW w:w="412" w:type="dxa"/>
                  <w:shd w:val="clear" w:color="auto" w:fill="auto"/>
                  <w:vAlign w:val="center"/>
                </w:tcPr>
                <w:p w14:paraId="107DA879">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2CCE39B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5928531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6~9</w:t>
                  </w:r>
                </w:p>
              </w:tc>
              <w:tc>
                <w:tcPr>
                  <w:tcW w:w="615" w:type="dxa"/>
                  <w:shd w:val="clear" w:color="auto" w:fill="auto"/>
                  <w:vAlign w:val="center"/>
                </w:tcPr>
                <w:p w14:paraId="56831E8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3500</w:t>
                  </w:r>
                </w:p>
              </w:tc>
              <w:tc>
                <w:tcPr>
                  <w:tcW w:w="522" w:type="dxa"/>
                  <w:shd w:val="clear" w:color="auto" w:fill="auto"/>
                  <w:vAlign w:val="center"/>
                </w:tcPr>
                <w:p w14:paraId="65EA14E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1500</w:t>
                  </w:r>
                </w:p>
              </w:tc>
              <w:tc>
                <w:tcPr>
                  <w:tcW w:w="708" w:type="dxa"/>
                  <w:shd w:val="clear" w:color="auto" w:fill="auto"/>
                  <w:vAlign w:val="center"/>
                </w:tcPr>
                <w:p w14:paraId="638F518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06F84D8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DAD07C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7147DBC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600</w:t>
                  </w:r>
                </w:p>
              </w:tc>
              <w:tc>
                <w:tcPr>
                  <w:tcW w:w="429" w:type="dxa"/>
                  <w:shd w:val="clear" w:color="auto" w:fill="auto"/>
                  <w:vAlign w:val="center"/>
                </w:tcPr>
                <w:p w14:paraId="57722BA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98FE76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D02949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117965A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1735CB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363503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3A7F5F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96312C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70</w:t>
                  </w:r>
                </w:p>
              </w:tc>
              <w:tc>
                <w:tcPr>
                  <w:tcW w:w="429" w:type="dxa"/>
                  <w:shd w:val="clear" w:color="auto" w:fill="auto"/>
                  <w:vAlign w:val="center"/>
                </w:tcPr>
                <w:p w14:paraId="10A09AD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7137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35396B32">
                  <w:pPr>
                    <w:jc w:val="center"/>
                    <w:rPr>
                      <w:rFonts w:ascii="Times New Roman" w:hAnsi="Times New Roman" w:eastAsia="宋体"/>
                      <w:color w:val="auto"/>
                      <w:sz w:val="21"/>
                      <w:szCs w:val="21"/>
                    </w:rPr>
                  </w:pPr>
                </w:p>
              </w:tc>
              <w:tc>
                <w:tcPr>
                  <w:tcW w:w="129" w:type="pct"/>
                  <w:vMerge w:val="continue"/>
                  <w:vAlign w:val="center"/>
                </w:tcPr>
                <w:p w14:paraId="4F886BA2">
                  <w:pPr>
                    <w:jc w:val="center"/>
                    <w:rPr>
                      <w:rFonts w:ascii="Times New Roman" w:hAnsi="Times New Roman" w:eastAsia="宋体"/>
                      <w:color w:val="auto"/>
                      <w:sz w:val="21"/>
                      <w:szCs w:val="21"/>
                    </w:rPr>
                  </w:pPr>
                </w:p>
              </w:tc>
              <w:tc>
                <w:tcPr>
                  <w:tcW w:w="412" w:type="dxa"/>
                  <w:shd w:val="clear" w:color="auto" w:fill="auto"/>
                  <w:vAlign w:val="center"/>
                </w:tcPr>
                <w:p w14:paraId="05AC2270">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2796395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1120</w:t>
                  </w:r>
                </w:p>
              </w:tc>
              <w:tc>
                <w:tcPr>
                  <w:tcW w:w="297" w:type="dxa"/>
                  <w:shd w:val="clear" w:color="auto" w:fill="auto"/>
                  <w:vAlign w:val="center"/>
                </w:tcPr>
                <w:p w14:paraId="1AA299C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177181B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3.92</w:t>
                  </w:r>
                </w:p>
              </w:tc>
              <w:tc>
                <w:tcPr>
                  <w:tcW w:w="522" w:type="dxa"/>
                  <w:shd w:val="clear" w:color="auto" w:fill="auto"/>
                  <w:vAlign w:val="center"/>
                </w:tcPr>
                <w:p w14:paraId="577967A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1.68</w:t>
                  </w:r>
                </w:p>
              </w:tc>
              <w:tc>
                <w:tcPr>
                  <w:tcW w:w="708" w:type="dxa"/>
                  <w:shd w:val="clear" w:color="auto" w:fill="auto"/>
                  <w:vAlign w:val="center"/>
                </w:tcPr>
                <w:p w14:paraId="0201534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740738F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367220B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46B54BA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0.672</w:t>
                  </w:r>
                </w:p>
              </w:tc>
              <w:tc>
                <w:tcPr>
                  <w:tcW w:w="429" w:type="dxa"/>
                  <w:shd w:val="clear" w:color="auto" w:fill="auto"/>
                  <w:vAlign w:val="center"/>
                </w:tcPr>
                <w:p w14:paraId="0A309F0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783E92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04B129E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278CEAD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D30EDE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35DF51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67A9DB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06FDFF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0.078</w:t>
                  </w:r>
                </w:p>
              </w:tc>
              <w:tc>
                <w:tcPr>
                  <w:tcW w:w="429" w:type="dxa"/>
                  <w:shd w:val="clear" w:color="auto" w:fill="auto"/>
                  <w:vAlign w:val="center"/>
                </w:tcPr>
                <w:p w14:paraId="4BE193D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5E57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65BFD84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W15</w:t>
                  </w:r>
                </w:p>
              </w:tc>
              <w:tc>
                <w:tcPr>
                  <w:tcW w:w="129" w:type="pct"/>
                  <w:vMerge w:val="restart"/>
                  <w:shd w:val="clear" w:color="auto" w:fill="auto"/>
                  <w:vAlign w:val="center"/>
                </w:tcPr>
                <w:p w14:paraId="34610C9A">
                  <w:pPr>
                    <w:jc w:val="center"/>
                    <w:rPr>
                      <w:rFonts w:ascii="Times New Roman" w:hAnsi="Times New Roman" w:eastAsia="宋体"/>
                      <w:color w:val="auto"/>
                      <w:sz w:val="21"/>
                      <w:szCs w:val="21"/>
                    </w:rPr>
                  </w:pPr>
                  <w:r>
                    <w:rPr>
                      <w:rFonts w:ascii="Times New Roman" w:hAnsi="Times New Roman" w:eastAsia="宋体"/>
                      <w:color w:val="auto"/>
                      <w:sz w:val="21"/>
                      <w:szCs w:val="21"/>
                    </w:rPr>
                    <w:t>蒸汽锅</w:t>
                  </w:r>
                </w:p>
                <w:p w14:paraId="0DAF7C78">
                  <w:pPr>
                    <w:jc w:val="center"/>
                    <w:rPr>
                      <w:rFonts w:ascii="Times New Roman" w:hAnsi="Times New Roman" w:eastAsia="宋体"/>
                      <w:color w:val="auto"/>
                      <w:sz w:val="21"/>
                      <w:szCs w:val="21"/>
                    </w:rPr>
                  </w:pPr>
                  <w:r>
                    <w:rPr>
                      <w:rFonts w:ascii="Times New Roman" w:hAnsi="Times New Roman" w:eastAsia="宋体"/>
                      <w:color w:val="auto"/>
                      <w:sz w:val="21"/>
                      <w:szCs w:val="21"/>
                    </w:rPr>
                    <w:t>炉定排</w:t>
                  </w:r>
                </w:p>
                <w:p w14:paraId="6C33388A">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水</w:t>
                  </w:r>
                </w:p>
              </w:tc>
              <w:tc>
                <w:tcPr>
                  <w:tcW w:w="412" w:type="dxa"/>
                  <w:shd w:val="clear" w:color="auto" w:fill="auto"/>
                  <w:vAlign w:val="center"/>
                </w:tcPr>
                <w:p w14:paraId="770B5237">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654925E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1C04EFA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00A7376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100</w:t>
                  </w:r>
                </w:p>
              </w:tc>
              <w:tc>
                <w:tcPr>
                  <w:tcW w:w="522" w:type="dxa"/>
                  <w:shd w:val="clear" w:color="auto" w:fill="auto"/>
                  <w:vAlign w:val="center"/>
                </w:tcPr>
                <w:p w14:paraId="71FB4CC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5C375E3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670A174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701E74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w:t>
                  </w:r>
                </w:p>
              </w:tc>
              <w:tc>
                <w:tcPr>
                  <w:tcW w:w="615" w:type="dxa"/>
                  <w:shd w:val="clear" w:color="auto" w:fill="auto"/>
                  <w:vAlign w:val="center"/>
                </w:tcPr>
                <w:p w14:paraId="7FFCC48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70</w:t>
                  </w:r>
                </w:p>
              </w:tc>
              <w:tc>
                <w:tcPr>
                  <w:tcW w:w="429" w:type="dxa"/>
                  <w:shd w:val="clear" w:color="auto" w:fill="auto"/>
                  <w:vAlign w:val="center"/>
                </w:tcPr>
                <w:p w14:paraId="44C896D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791727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618C1F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7A038F6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E75CAD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61B3DF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C93597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607E34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5F9561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17F0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69B86632">
                  <w:pPr>
                    <w:jc w:val="center"/>
                    <w:rPr>
                      <w:rFonts w:ascii="Times New Roman" w:hAnsi="Times New Roman" w:eastAsia="宋体"/>
                      <w:color w:val="auto"/>
                      <w:sz w:val="21"/>
                      <w:szCs w:val="21"/>
                    </w:rPr>
                  </w:pPr>
                </w:p>
              </w:tc>
              <w:tc>
                <w:tcPr>
                  <w:tcW w:w="129" w:type="pct"/>
                  <w:vMerge w:val="continue"/>
                  <w:vAlign w:val="center"/>
                </w:tcPr>
                <w:p w14:paraId="2F35645A">
                  <w:pPr>
                    <w:jc w:val="center"/>
                    <w:rPr>
                      <w:rFonts w:ascii="Times New Roman" w:hAnsi="Times New Roman" w:eastAsia="宋体"/>
                      <w:color w:val="auto"/>
                      <w:sz w:val="21"/>
                      <w:szCs w:val="21"/>
                    </w:rPr>
                  </w:pPr>
                </w:p>
              </w:tc>
              <w:tc>
                <w:tcPr>
                  <w:tcW w:w="412" w:type="dxa"/>
                  <w:shd w:val="clear" w:color="auto" w:fill="auto"/>
                  <w:vAlign w:val="center"/>
                </w:tcPr>
                <w:p w14:paraId="42B4CC51">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0C1645D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1144</w:t>
                  </w:r>
                </w:p>
              </w:tc>
              <w:tc>
                <w:tcPr>
                  <w:tcW w:w="297" w:type="dxa"/>
                  <w:shd w:val="clear" w:color="auto" w:fill="auto"/>
                  <w:vAlign w:val="center"/>
                </w:tcPr>
                <w:p w14:paraId="56E900D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7774832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0.114</w:t>
                  </w:r>
                </w:p>
              </w:tc>
              <w:tc>
                <w:tcPr>
                  <w:tcW w:w="522" w:type="dxa"/>
                  <w:shd w:val="clear" w:color="auto" w:fill="auto"/>
                  <w:vAlign w:val="center"/>
                </w:tcPr>
                <w:p w14:paraId="4980746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7BE63B2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16AFFA7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4E6B73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0.017</w:t>
                  </w:r>
                </w:p>
              </w:tc>
              <w:tc>
                <w:tcPr>
                  <w:tcW w:w="615" w:type="dxa"/>
                  <w:shd w:val="clear" w:color="auto" w:fill="auto"/>
                  <w:vAlign w:val="center"/>
                </w:tcPr>
                <w:p w14:paraId="069BC5F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0.080</w:t>
                  </w:r>
                </w:p>
              </w:tc>
              <w:tc>
                <w:tcPr>
                  <w:tcW w:w="429" w:type="dxa"/>
                  <w:shd w:val="clear" w:color="auto" w:fill="auto"/>
                  <w:vAlign w:val="center"/>
                </w:tcPr>
                <w:p w14:paraId="6794FDA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E56E94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F4A277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43F3308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821244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77BA69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52D9E5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AEC808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A5B25B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4CA1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3701656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W16</w:t>
                  </w:r>
                </w:p>
              </w:tc>
              <w:tc>
                <w:tcPr>
                  <w:tcW w:w="129" w:type="pct"/>
                  <w:vMerge w:val="restart"/>
                  <w:shd w:val="clear" w:color="auto" w:fill="auto"/>
                  <w:vAlign w:val="center"/>
                </w:tcPr>
                <w:p w14:paraId="5B0AE590">
                  <w:pPr>
                    <w:jc w:val="center"/>
                    <w:rPr>
                      <w:rFonts w:ascii="Times New Roman" w:hAnsi="Times New Roman" w:eastAsia="宋体"/>
                      <w:color w:val="auto"/>
                      <w:sz w:val="21"/>
                      <w:szCs w:val="21"/>
                    </w:rPr>
                  </w:pPr>
                  <w:r>
                    <w:rPr>
                      <w:rFonts w:ascii="Times New Roman" w:hAnsi="Times New Roman" w:eastAsia="宋体"/>
                      <w:color w:val="auto"/>
                      <w:sz w:val="21"/>
                      <w:szCs w:val="21"/>
                    </w:rPr>
                    <w:t>热水锅</w:t>
                  </w:r>
                </w:p>
                <w:p w14:paraId="19A02695">
                  <w:pPr>
                    <w:jc w:val="center"/>
                    <w:rPr>
                      <w:rFonts w:ascii="Times New Roman" w:hAnsi="Times New Roman" w:eastAsia="宋体"/>
                      <w:color w:val="auto"/>
                      <w:sz w:val="21"/>
                      <w:szCs w:val="21"/>
                    </w:rPr>
                  </w:pPr>
                  <w:r>
                    <w:rPr>
                      <w:rFonts w:ascii="Times New Roman" w:hAnsi="Times New Roman" w:eastAsia="宋体"/>
                      <w:color w:val="auto"/>
                      <w:sz w:val="21"/>
                      <w:szCs w:val="21"/>
                    </w:rPr>
                    <w:t>炉定排</w:t>
                  </w:r>
                </w:p>
                <w:p w14:paraId="51112FB5">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水</w:t>
                  </w:r>
                </w:p>
              </w:tc>
              <w:tc>
                <w:tcPr>
                  <w:tcW w:w="412" w:type="dxa"/>
                  <w:shd w:val="clear" w:color="auto" w:fill="auto"/>
                  <w:vAlign w:val="center"/>
                </w:tcPr>
                <w:p w14:paraId="5FB49BF3">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3029BC6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50E5C16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460AF6A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100</w:t>
                  </w:r>
                </w:p>
              </w:tc>
              <w:tc>
                <w:tcPr>
                  <w:tcW w:w="522" w:type="dxa"/>
                  <w:shd w:val="clear" w:color="auto" w:fill="auto"/>
                  <w:vAlign w:val="center"/>
                </w:tcPr>
                <w:p w14:paraId="2ED36D0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0A0915D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095D910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866244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w:t>
                  </w:r>
                </w:p>
              </w:tc>
              <w:tc>
                <w:tcPr>
                  <w:tcW w:w="615" w:type="dxa"/>
                  <w:shd w:val="clear" w:color="auto" w:fill="auto"/>
                  <w:vAlign w:val="center"/>
                </w:tcPr>
                <w:p w14:paraId="1B9DC1C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70</w:t>
                  </w:r>
                </w:p>
              </w:tc>
              <w:tc>
                <w:tcPr>
                  <w:tcW w:w="429" w:type="dxa"/>
                  <w:shd w:val="clear" w:color="auto" w:fill="auto"/>
                  <w:vAlign w:val="center"/>
                </w:tcPr>
                <w:p w14:paraId="61E5D06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049910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718138E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5017BF0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169314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39B3EE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61641D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CCCA79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A4187E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1D27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537EC6CF">
                  <w:pPr>
                    <w:jc w:val="center"/>
                    <w:rPr>
                      <w:rFonts w:ascii="Times New Roman" w:hAnsi="Times New Roman" w:eastAsia="宋体"/>
                      <w:color w:val="auto"/>
                      <w:sz w:val="21"/>
                      <w:szCs w:val="21"/>
                    </w:rPr>
                  </w:pPr>
                </w:p>
              </w:tc>
              <w:tc>
                <w:tcPr>
                  <w:tcW w:w="129" w:type="pct"/>
                  <w:vMerge w:val="continue"/>
                  <w:vAlign w:val="center"/>
                </w:tcPr>
                <w:p w14:paraId="3B10673F">
                  <w:pPr>
                    <w:jc w:val="center"/>
                    <w:rPr>
                      <w:rFonts w:ascii="Times New Roman" w:hAnsi="Times New Roman" w:eastAsia="宋体"/>
                      <w:color w:val="auto"/>
                      <w:sz w:val="21"/>
                      <w:szCs w:val="21"/>
                    </w:rPr>
                  </w:pPr>
                </w:p>
              </w:tc>
              <w:tc>
                <w:tcPr>
                  <w:tcW w:w="412" w:type="dxa"/>
                  <w:shd w:val="clear" w:color="auto" w:fill="auto"/>
                  <w:vAlign w:val="center"/>
                </w:tcPr>
                <w:p w14:paraId="59CF6E99">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3573B8E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8282</w:t>
                  </w:r>
                </w:p>
              </w:tc>
              <w:tc>
                <w:tcPr>
                  <w:tcW w:w="297" w:type="dxa"/>
                  <w:shd w:val="clear" w:color="auto" w:fill="auto"/>
                  <w:vAlign w:val="center"/>
                </w:tcPr>
                <w:p w14:paraId="6EB9E28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40D3DDC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0.828</w:t>
                  </w:r>
                </w:p>
              </w:tc>
              <w:tc>
                <w:tcPr>
                  <w:tcW w:w="522" w:type="dxa"/>
                  <w:shd w:val="clear" w:color="auto" w:fill="auto"/>
                  <w:vAlign w:val="center"/>
                </w:tcPr>
                <w:p w14:paraId="7A5C79A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19CB4AB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3A46E2C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8EF733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0.124</w:t>
                  </w:r>
                </w:p>
              </w:tc>
              <w:tc>
                <w:tcPr>
                  <w:tcW w:w="615" w:type="dxa"/>
                  <w:shd w:val="clear" w:color="auto" w:fill="auto"/>
                  <w:vAlign w:val="center"/>
                </w:tcPr>
                <w:p w14:paraId="6D8A024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0.580</w:t>
                  </w:r>
                </w:p>
              </w:tc>
              <w:tc>
                <w:tcPr>
                  <w:tcW w:w="429" w:type="dxa"/>
                  <w:shd w:val="clear" w:color="auto" w:fill="auto"/>
                  <w:vAlign w:val="center"/>
                </w:tcPr>
                <w:p w14:paraId="063BB79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54995E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52839D0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78F65F6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E40321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119D72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782644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71DB8F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A8A254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4FBE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4055F92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W17</w:t>
                  </w:r>
                </w:p>
              </w:tc>
              <w:tc>
                <w:tcPr>
                  <w:tcW w:w="129" w:type="pct"/>
                  <w:vMerge w:val="restart"/>
                  <w:shd w:val="clear" w:color="auto" w:fill="auto"/>
                  <w:vAlign w:val="center"/>
                </w:tcPr>
                <w:p w14:paraId="40C4163B">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纯水制备浓水</w:t>
                  </w:r>
                </w:p>
              </w:tc>
              <w:tc>
                <w:tcPr>
                  <w:tcW w:w="412" w:type="dxa"/>
                  <w:shd w:val="clear" w:color="auto" w:fill="auto"/>
                  <w:vAlign w:val="center"/>
                </w:tcPr>
                <w:p w14:paraId="46B609A0">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2D510B9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052CD1B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3859E1A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100</w:t>
                  </w:r>
                </w:p>
              </w:tc>
              <w:tc>
                <w:tcPr>
                  <w:tcW w:w="522" w:type="dxa"/>
                  <w:shd w:val="clear" w:color="auto" w:fill="auto"/>
                  <w:vAlign w:val="center"/>
                </w:tcPr>
                <w:p w14:paraId="4FC84157">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6ECEE5B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2E059BB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E1D651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w:t>
                  </w:r>
                </w:p>
              </w:tc>
              <w:tc>
                <w:tcPr>
                  <w:tcW w:w="615" w:type="dxa"/>
                  <w:shd w:val="clear" w:color="auto" w:fill="auto"/>
                  <w:vAlign w:val="center"/>
                </w:tcPr>
                <w:p w14:paraId="3515987F">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70</w:t>
                  </w:r>
                </w:p>
              </w:tc>
              <w:tc>
                <w:tcPr>
                  <w:tcW w:w="429" w:type="dxa"/>
                  <w:shd w:val="clear" w:color="auto" w:fill="auto"/>
                  <w:vAlign w:val="center"/>
                </w:tcPr>
                <w:p w14:paraId="1BDFF68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EEEA5E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5E88204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29F49F0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54871D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FCFD36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5403D9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7A04E6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26D1DA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698C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vAlign w:val="center"/>
                </w:tcPr>
                <w:p w14:paraId="57F90572">
                  <w:pPr>
                    <w:jc w:val="center"/>
                    <w:rPr>
                      <w:rFonts w:ascii="Times New Roman" w:hAnsi="Times New Roman" w:eastAsia="宋体"/>
                      <w:color w:val="auto"/>
                      <w:sz w:val="21"/>
                      <w:szCs w:val="21"/>
                    </w:rPr>
                  </w:pPr>
                </w:p>
              </w:tc>
              <w:tc>
                <w:tcPr>
                  <w:tcW w:w="129" w:type="pct"/>
                  <w:vMerge w:val="continue"/>
                  <w:vAlign w:val="center"/>
                </w:tcPr>
                <w:p w14:paraId="46F09109">
                  <w:pPr>
                    <w:jc w:val="center"/>
                    <w:rPr>
                      <w:rFonts w:ascii="Times New Roman" w:hAnsi="Times New Roman" w:eastAsia="宋体"/>
                      <w:color w:val="auto"/>
                      <w:sz w:val="21"/>
                      <w:szCs w:val="21"/>
                    </w:rPr>
                  </w:pPr>
                </w:p>
              </w:tc>
              <w:tc>
                <w:tcPr>
                  <w:tcW w:w="412" w:type="dxa"/>
                  <w:shd w:val="clear" w:color="auto" w:fill="auto"/>
                  <w:vAlign w:val="center"/>
                </w:tcPr>
                <w:p w14:paraId="3B50D1E8">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6FD7EBC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174031</w:t>
                  </w:r>
                </w:p>
              </w:tc>
              <w:tc>
                <w:tcPr>
                  <w:tcW w:w="297" w:type="dxa"/>
                  <w:shd w:val="clear" w:color="auto" w:fill="auto"/>
                  <w:vAlign w:val="center"/>
                </w:tcPr>
                <w:p w14:paraId="0CE5026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296F3F0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17.403</w:t>
                  </w:r>
                </w:p>
              </w:tc>
              <w:tc>
                <w:tcPr>
                  <w:tcW w:w="522" w:type="dxa"/>
                  <w:shd w:val="clear" w:color="auto" w:fill="auto"/>
                  <w:vAlign w:val="center"/>
                </w:tcPr>
                <w:p w14:paraId="7A20355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708" w:type="dxa"/>
                  <w:shd w:val="clear" w:color="auto" w:fill="auto"/>
                  <w:vAlign w:val="center"/>
                </w:tcPr>
                <w:p w14:paraId="4907846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ECF398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17E34F6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2.610</w:t>
                  </w:r>
                </w:p>
              </w:tc>
              <w:tc>
                <w:tcPr>
                  <w:tcW w:w="615" w:type="dxa"/>
                  <w:shd w:val="clear" w:color="auto" w:fill="auto"/>
                  <w:vAlign w:val="center"/>
                </w:tcPr>
                <w:p w14:paraId="394AC39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12.182</w:t>
                  </w:r>
                </w:p>
              </w:tc>
              <w:tc>
                <w:tcPr>
                  <w:tcW w:w="429" w:type="dxa"/>
                  <w:shd w:val="clear" w:color="auto" w:fill="auto"/>
                  <w:vAlign w:val="center"/>
                </w:tcPr>
                <w:p w14:paraId="02E20D0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709BFF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4375C5A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41C7C2D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490F337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A72C04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9E435D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7FCE0EF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5CD2DF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3512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restart"/>
                  <w:shd w:val="clear" w:color="auto" w:fill="auto"/>
                  <w:vAlign w:val="center"/>
                </w:tcPr>
                <w:p w14:paraId="5EE7634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W18</w:t>
                  </w:r>
                </w:p>
              </w:tc>
              <w:tc>
                <w:tcPr>
                  <w:tcW w:w="129" w:type="pct"/>
                  <w:vMerge w:val="restart"/>
                  <w:shd w:val="clear" w:color="auto" w:fill="auto"/>
                  <w:vAlign w:val="center"/>
                </w:tcPr>
                <w:p w14:paraId="6E87908E">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生活污水</w:t>
                  </w:r>
                </w:p>
              </w:tc>
              <w:tc>
                <w:tcPr>
                  <w:tcW w:w="412" w:type="dxa"/>
                  <w:shd w:val="clear" w:color="auto" w:fill="auto"/>
                  <w:vAlign w:val="center"/>
                </w:tcPr>
                <w:p w14:paraId="01ABC5BE">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浓度mg/L</w:t>
                  </w:r>
                </w:p>
              </w:tc>
              <w:tc>
                <w:tcPr>
                  <w:tcW w:w="660" w:type="dxa"/>
                  <w:shd w:val="clear" w:color="auto" w:fill="auto"/>
                  <w:vAlign w:val="center"/>
                </w:tcPr>
                <w:p w14:paraId="40B951ED">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297" w:type="dxa"/>
                  <w:shd w:val="clear" w:color="auto" w:fill="auto"/>
                  <w:vAlign w:val="center"/>
                </w:tcPr>
                <w:p w14:paraId="68B04683">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34B07D5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250</w:t>
                  </w:r>
                </w:p>
              </w:tc>
              <w:tc>
                <w:tcPr>
                  <w:tcW w:w="522" w:type="dxa"/>
                  <w:shd w:val="clear" w:color="auto" w:fill="auto"/>
                  <w:vAlign w:val="center"/>
                </w:tcPr>
                <w:p w14:paraId="7DD2C79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150</w:t>
                  </w:r>
                </w:p>
              </w:tc>
              <w:tc>
                <w:tcPr>
                  <w:tcW w:w="708" w:type="dxa"/>
                  <w:shd w:val="clear" w:color="auto" w:fill="auto"/>
                  <w:vAlign w:val="center"/>
                </w:tcPr>
                <w:p w14:paraId="7FE6DA6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50</w:t>
                  </w:r>
                </w:p>
              </w:tc>
              <w:tc>
                <w:tcPr>
                  <w:tcW w:w="522" w:type="dxa"/>
                  <w:shd w:val="clear" w:color="auto" w:fill="auto"/>
                  <w:vAlign w:val="center"/>
                </w:tcPr>
                <w:p w14:paraId="57BBD0D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w:t>
                  </w:r>
                </w:p>
              </w:tc>
              <w:tc>
                <w:tcPr>
                  <w:tcW w:w="522" w:type="dxa"/>
                  <w:shd w:val="clear" w:color="auto" w:fill="auto"/>
                  <w:vAlign w:val="center"/>
                </w:tcPr>
                <w:p w14:paraId="17082B9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30</w:t>
                  </w:r>
                </w:p>
              </w:tc>
              <w:tc>
                <w:tcPr>
                  <w:tcW w:w="615" w:type="dxa"/>
                  <w:shd w:val="clear" w:color="auto" w:fill="auto"/>
                  <w:vAlign w:val="center"/>
                </w:tcPr>
                <w:p w14:paraId="7E639382">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200</w:t>
                  </w:r>
                </w:p>
              </w:tc>
              <w:tc>
                <w:tcPr>
                  <w:tcW w:w="429" w:type="dxa"/>
                  <w:shd w:val="clear" w:color="auto" w:fill="auto"/>
                  <w:vAlign w:val="center"/>
                </w:tcPr>
                <w:p w14:paraId="481480CE">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66E10AA">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1A9349E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09072FB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2A161A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736250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96F022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3D17DA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2316227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6A53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3" w:type="pct"/>
                  <w:vMerge w:val="continue"/>
                  <w:shd w:val="clear" w:color="auto" w:fill="auto"/>
                  <w:vAlign w:val="center"/>
                </w:tcPr>
                <w:p w14:paraId="5CA308FD">
                  <w:pPr>
                    <w:jc w:val="center"/>
                    <w:rPr>
                      <w:rFonts w:ascii="Times New Roman" w:hAnsi="Times New Roman" w:eastAsia="宋体"/>
                      <w:color w:val="auto"/>
                      <w:sz w:val="21"/>
                      <w:szCs w:val="21"/>
                      <w:lang w:val="en-US" w:eastAsia="zh-CN"/>
                    </w:rPr>
                  </w:pPr>
                </w:p>
              </w:tc>
              <w:tc>
                <w:tcPr>
                  <w:tcW w:w="129" w:type="pct"/>
                  <w:vMerge w:val="continue"/>
                  <w:shd w:val="clear" w:color="auto" w:fill="auto"/>
                  <w:vAlign w:val="center"/>
                </w:tcPr>
                <w:p w14:paraId="30FF8265">
                  <w:pPr>
                    <w:jc w:val="center"/>
                    <w:rPr>
                      <w:rFonts w:ascii="Times New Roman" w:hAnsi="Times New Roman" w:eastAsia="宋体"/>
                      <w:color w:val="auto"/>
                      <w:sz w:val="21"/>
                      <w:szCs w:val="21"/>
                      <w:lang w:val="en-US" w:eastAsia="zh-CN"/>
                    </w:rPr>
                  </w:pPr>
                </w:p>
              </w:tc>
              <w:tc>
                <w:tcPr>
                  <w:tcW w:w="412" w:type="dxa"/>
                  <w:shd w:val="clear" w:color="auto" w:fill="auto"/>
                  <w:vAlign w:val="center"/>
                </w:tcPr>
                <w:p w14:paraId="5F53B33E">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产生量t/a</w:t>
                  </w:r>
                </w:p>
              </w:tc>
              <w:tc>
                <w:tcPr>
                  <w:tcW w:w="660" w:type="dxa"/>
                  <w:shd w:val="clear" w:color="auto" w:fill="auto"/>
                  <w:vAlign w:val="center"/>
                </w:tcPr>
                <w:p w14:paraId="2E3AEAA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30303</w:t>
                  </w:r>
                </w:p>
              </w:tc>
              <w:tc>
                <w:tcPr>
                  <w:tcW w:w="297" w:type="dxa"/>
                  <w:shd w:val="clear" w:color="auto" w:fill="auto"/>
                  <w:vAlign w:val="center"/>
                </w:tcPr>
                <w:p w14:paraId="20ECEDB8">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615" w:type="dxa"/>
                  <w:shd w:val="clear" w:color="auto" w:fill="auto"/>
                  <w:vAlign w:val="center"/>
                </w:tcPr>
                <w:p w14:paraId="36E6E5A0">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7.576</w:t>
                  </w:r>
                </w:p>
              </w:tc>
              <w:tc>
                <w:tcPr>
                  <w:tcW w:w="522" w:type="dxa"/>
                  <w:shd w:val="clear" w:color="auto" w:fill="auto"/>
                  <w:vAlign w:val="center"/>
                </w:tcPr>
                <w:p w14:paraId="259BFD6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4.545</w:t>
                  </w:r>
                </w:p>
              </w:tc>
              <w:tc>
                <w:tcPr>
                  <w:tcW w:w="708" w:type="dxa"/>
                  <w:shd w:val="clear" w:color="auto" w:fill="auto"/>
                  <w:vAlign w:val="center"/>
                </w:tcPr>
                <w:p w14:paraId="763155B5">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1.515</w:t>
                  </w:r>
                </w:p>
              </w:tc>
              <w:tc>
                <w:tcPr>
                  <w:tcW w:w="522" w:type="dxa"/>
                  <w:shd w:val="clear" w:color="auto" w:fill="auto"/>
                  <w:vAlign w:val="center"/>
                </w:tcPr>
                <w:p w14:paraId="44821E9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0.091</w:t>
                  </w:r>
                </w:p>
              </w:tc>
              <w:tc>
                <w:tcPr>
                  <w:tcW w:w="522" w:type="dxa"/>
                  <w:shd w:val="clear" w:color="auto" w:fill="auto"/>
                  <w:vAlign w:val="center"/>
                </w:tcPr>
                <w:p w14:paraId="65D6CD6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0.909</w:t>
                  </w:r>
                </w:p>
              </w:tc>
              <w:tc>
                <w:tcPr>
                  <w:tcW w:w="615" w:type="dxa"/>
                  <w:shd w:val="clear" w:color="auto" w:fill="auto"/>
                  <w:vAlign w:val="center"/>
                </w:tcPr>
                <w:p w14:paraId="08A8761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6.061</w:t>
                  </w:r>
                </w:p>
              </w:tc>
              <w:tc>
                <w:tcPr>
                  <w:tcW w:w="429" w:type="dxa"/>
                  <w:shd w:val="clear" w:color="auto" w:fill="auto"/>
                  <w:vAlign w:val="center"/>
                </w:tcPr>
                <w:p w14:paraId="6C1A3794">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086665F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522" w:type="dxa"/>
                  <w:shd w:val="clear" w:color="auto" w:fill="auto"/>
                  <w:vAlign w:val="center"/>
                </w:tcPr>
                <w:p w14:paraId="36C093D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336" w:type="dxa"/>
                  <w:shd w:val="clear" w:color="auto" w:fill="auto"/>
                  <w:vAlign w:val="center"/>
                </w:tcPr>
                <w:p w14:paraId="3F7FDAAC">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1BBC192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A4087A1">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610E9286">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30E22449">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c>
                <w:tcPr>
                  <w:tcW w:w="429" w:type="dxa"/>
                  <w:shd w:val="clear" w:color="auto" w:fill="auto"/>
                  <w:vAlign w:val="center"/>
                </w:tcPr>
                <w:p w14:paraId="5DCACCFB">
                  <w:pPr>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rPr>
                    <w:t>/</w:t>
                  </w:r>
                </w:p>
              </w:tc>
            </w:tr>
            <w:tr w14:paraId="0C72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42" w:type="pct"/>
                  <w:gridSpan w:val="2"/>
                  <w:shd w:val="clear" w:color="auto" w:fill="auto"/>
                  <w:vAlign w:val="center"/>
                </w:tcPr>
                <w:p w14:paraId="4459954E">
                  <w:pPr>
                    <w:jc w:val="center"/>
                    <w:rPr>
                      <w:rFonts w:ascii="Times New Roman" w:hAnsi="Times New Roman" w:eastAsia="宋体"/>
                      <w:color w:val="auto"/>
                      <w:sz w:val="21"/>
                      <w:szCs w:val="21"/>
                      <w:lang w:val="en-US" w:eastAsia="en-US"/>
                    </w:rPr>
                  </w:pPr>
                  <w:r>
                    <w:rPr>
                      <w:rFonts w:ascii="Times New Roman" w:hAnsi="Times New Roman" w:eastAsia="宋体"/>
                      <w:color w:val="auto"/>
                      <w:sz w:val="21"/>
                      <w:szCs w:val="21"/>
                    </w:rPr>
                    <w:t>合计</w:t>
                  </w:r>
                </w:p>
              </w:tc>
              <w:tc>
                <w:tcPr>
                  <w:tcW w:w="412" w:type="dxa"/>
                  <w:shd w:val="clear" w:color="auto" w:fill="auto"/>
                  <w:vAlign w:val="center"/>
                </w:tcPr>
                <w:p w14:paraId="192BA9CD">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产生量t/a</w:t>
                  </w:r>
                </w:p>
              </w:tc>
              <w:tc>
                <w:tcPr>
                  <w:tcW w:w="660" w:type="dxa"/>
                  <w:shd w:val="clear" w:color="auto" w:fill="auto"/>
                  <w:vAlign w:val="center"/>
                </w:tcPr>
                <w:p w14:paraId="58554EEE">
                  <w:pPr>
                    <w:jc w:val="center"/>
                    <w:rPr>
                      <w:rFonts w:ascii="Times New Roman" w:hAnsi="Times New Roman" w:eastAsia="宋体" w:cs="Times New Roman"/>
                      <w:color w:val="auto"/>
                      <w:kern w:val="2"/>
                      <w:sz w:val="21"/>
                      <w:szCs w:val="21"/>
                      <w:lang w:val="en-US" w:eastAsia="en-US" w:bidi="ar-SA"/>
                    </w:rPr>
                  </w:pPr>
                  <w:r>
                    <w:rPr>
                      <w:rFonts w:ascii="Times New Roman" w:hAnsi="Times New Roman" w:eastAsia="宋体"/>
                      <w:color w:val="auto"/>
                      <w:sz w:val="21"/>
                      <w:szCs w:val="21"/>
                    </w:rPr>
                    <w:t>1023679</w:t>
                  </w:r>
                </w:p>
              </w:tc>
              <w:tc>
                <w:tcPr>
                  <w:tcW w:w="297" w:type="dxa"/>
                  <w:shd w:val="clear" w:color="auto" w:fill="auto"/>
                  <w:vAlign w:val="center"/>
                </w:tcPr>
                <w:p w14:paraId="2B094A9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w:t>
                  </w:r>
                </w:p>
              </w:tc>
              <w:tc>
                <w:tcPr>
                  <w:tcW w:w="615" w:type="dxa"/>
                  <w:shd w:val="clear" w:color="auto" w:fill="auto"/>
                  <w:vAlign w:val="center"/>
                </w:tcPr>
                <w:p w14:paraId="0C801C72">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560.263</w:t>
                  </w:r>
                </w:p>
              </w:tc>
              <w:tc>
                <w:tcPr>
                  <w:tcW w:w="522" w:type="dxa"/>
                  <w:shd w:val="clear" w:color="auto" w:fill="auto"/>
                  <w:vAlign w:val="center"/>
                </w:tcPr>
                <w:p w14:paraId="19959FC2">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82.266</w:t>
                  </w:r>
                </w:p>
              </w:tc>
              <w:tc>
                <w:tcPr>
                  <w:tcW w:w="708" w:type="dxa"/>
                  <w:shd w:val="clear" w:color="auto" w:fill="auto"/>
                  <w:vAlign w:val="center"/>
                </w:tcPr>
                <w:p w14:paraId="4ED2E57E">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2518.248</w:t>
                  </w:r>
                </w:p>
              </w:tc>
              <w:tc>
                <w:tcPr>
                  <w:tcW w:w="522" w:type="dxa"/>
                  <w:shd w:val="clear" w:color="auto" w:fill="auto"/>
                  <w:vAlign w:val="center"/>
                </w:tcPr>
                <w:p w14:paraId="7FED149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88.879</w:t>
                  </w:r>
                </w:p>
              </w:tc>
              <w:tc>
                <w:tcPr>
                  <w:tcW w:w="522" w:type="dxa"/>
                  <w:shd w:val="clear" w:color="auto" w:fill="auto"/>
                  <w:vAlign w:val="center"/>
                </w:tcPr>
                <w:p w14:paraId="7646708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26.963</w:t>
                  </w:r>
                </w:p>
              </w:tc>
              <w:tc>
                <w:tcPr>
                  <w:tcW w:w="615" w:type="dxa"/>
                  <w:shd w:val="clear" w:color="auto" w:fill="auto"/>
                  <w:vAlign w:val="center"/>
                </w:tcPr>
                <w:p w14:paraId="06D5930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186.197</w:t>
                  </w:r>
                </w:p>
              </w:tc>
              <w:tc>
                <w:tcPr>
                  <w:tcW w:w="429" w:type="dxa"/>
                  <w:shd w:val="clear" w:color="auto" w:fill="auto"/>
                  <w:vAlign w:val="center"/>
                </w:tcPr>
                <w:p w14:paraId="0F9EEACD">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12.05</w:t>
                  </w:r>
                </w:p>
              </w:tc>
              <w:tc>
                <w:tcPr>
                  <w:tcW w:w="429" w:type="dxa"/>
                  <w:shd w:val="clear" w:color="auto" w:fill="auto"/>
                  <w:vAlign w:val="center"/>
                </w:tcPr>
                <w:p w14:paraId="5A70FDE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9.399</w:t>
                  </w:r>
                </w:p>
              </w:tc>
              <w:tc>
                <w:tcPr>
                  <w:tcW w:w="522" w:type="dxa"/>
                  <w:shd w:val="clear" w:color="auto" w:fill="auto"/>
                  <w:vAlign w:val="center"/>
                </w:tcPr>
                <w:p w14:paraId="1C4E955C">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16.327</w:t>
                  </w:r>
                </w:p>
              </w:tc>
              <w:tc>
                <w:tcPr>
                  <w:tcW w:w="336" w:type="dxa"/>
                  <w:shd w:val="clear" w:color="auto" w:fill="auto"/>
                  <w:vAlign w:val="center"/>
                </w:tcPr>
                <w:p w14:paraId="5CDFF93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4.57</w:t>
                  </w:r>
                </w:p>
              </w:tc>
              <w:tc>
                <w:tcPr>
                  <w:tcW w:w="429" w:type="dxa"/>
                  <w:shd w:val="clear" w:color="auto" w:fill="auto"/>
                  <w:vAlign w:val="center"/>
                </w:tcPr>
                <w:p w14:paraId="357821D5">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2.872</w:t>
                  </w:r>
                </w:p>
              </w:tc>
              <w:tc>
                <w:tcPr>
                  <w:tcW w:w="429" w:type="dxa"/>
                  <w:shd w:val="clear" w:color="auto" w:fill="auto"/>
                  <w:vAlign w:val="center"/>
                </w:tcPr>
                <w:p w14:paraId="3C23308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6.025</w:t>
                  </w:r>
                </w:p>
              </w:tc>
              <w:tc>
                <w:tcPr>
                  <w:tcW w:w="429" w:type="dxa"/>
                  <w:shd w:val="clear" w:color="auto" w:fill="auto"/>
                  <w:vAlign w:val="center"/>
                </w:tcPr>
                <w:p w14:paraId="7F4870DA">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1.985</w:t>
                  </w:r>
                </w:p>
              </w:tc>
              <w:tc>
                <w:tcPr>
                  <w:tcW w:w="429" w:type="dxa"/>
                  <w:shd w:val="clear" w:color="auto" w:fill="auto"/>
                  <w:vAlign w:val="center"/>
                </w:tcPr>
                <w:p w14:paraId="262346A0">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4.371</w:t>
                  </w:r>
                </w:p>
              </w:tc>
              <w:tc>
                <w:tcPr>
                  <w:tcW w:w="429" w:type="dxa"/>
                  <w:shd w:val="clear" w:color="auto" w:fill="auto"/>
                  <w:vAlign w:val="center"/>
                </w:tcPr>
                <w:p w14:paraId="39C0935B">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17.92</w:t>
                  </w:r>
                </w:p>
              </w:tc>
            </w:tr>
          </w:tbl>
          <w:p w14:paraId="14952C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lang w:val="en-US" w:eastAsia="zh-CN"/>
              </w:rPr>
              <w:t>固体废物产生情况</w:t>
            </w:r>
          </w:p>
          <w:p w14:paraId="1F7E52BC">
            <w:pPr>
              <w:jc w:val="center"/>
              <w:rPr>
                <w:rFonts w:hint="eastAsia" w:eastAsia="宋体"/>
                <w:b/>
                <w:bCs/>
                <w:color w:val="auto"/>
                <w:sz w:val="24"/>
                <w:szCs w:val="24"/>
                <w:lang w:val="en-US" w:eastAsia="zh-CN"/>
              </w:rPr>
            </w:pPr>
            <w:r>
              <w:rPr>
                <w:b/>
                <w:bCs/>
                <w:color w:val="auto"/>
                <w:sz w:val="24"/>
                <w:szCs w:val="24"/>
              </w:rPr>
              <w:t>表</w:t>
            </w:r>
            <w:r>
              <w:rPr>
                <w:rFonts w:hint="eastAsia"/>
                <w:b/>
                <w:bCs/>
                <w:color w:val="auto"/>
                <w:sz w:val="24"/>
                <w:szCs w:val="24"/>
                <w:lang w:val="en-US" w:eastAsia="zh-CN"/>
              </w:rPr>
              <w:t>2-19现有工程固废产生情况</w:t>
            </w:r>
          </w:p>
          <w:tbl>
            <w:tblPr>
              <w:tblStyle w:val="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2"/>
              <w:gridCol w:w="1636"/>
              <w:gridCol w:w="1456"/>
              <w:gridCol w:w="2518"/>
              <w:gridCol w:w="3072"/>
            </w:tblGrid>
            <w:tr w14:paraId="633B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329" w:type="pct"/>
                  <w:shd w:val="clear" w:color="auto" w:fill="auto"/>
                  <w:vAlign w:val="center"/>
                </w:tcPr>
                <w:p w14:paraId="34D871E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2"/>
                      <w:sz w:val="21"/>
                      <w:szCs w:val="21"/>
                    </w:rPr>
                    <w:t>序号</w:t>
                  </w:r>
                </w:p>
              </w:tc>
              <w:tc>
                <w:tcPr>
                  <w:tcW w:w="879" w:type="pct"/>
                  <w:shd w:val="clear" w:color="auto" w:fill="auto"/>
                  <w:vAlign w:val="center"/>
                </w:tcPr>
                <w:p w14:paraId="18AFF83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名称</w:t>
                  </w:r>
                </w:p>
              </w:tc>
              <w:tc>
                <w:tcPr>
                  <w:tcW w:w="783" w:type="pct"/>
                  <w:shd w:val="clear" w:color="auto" w:fill="auto"/>
                  <w:vAlign w:val="center"/>
                </w:tcPr>
                <w:p w14:paraId="3EAFBE31">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z w:val="21"/>
                      <w:szCs w:val="21"/>
                      <w:lang w:eastAsia="zh-CN"/>
                    </w:rPr>
                  </w:pPr>
                  <w:r>
                    <w:rPr>
                      <w:b/>
                      <w:bCs/>
                      <w:color w:val="auto"/>
                      <w:spacing w:val="-10"/>
                      <w:sz w:val="21"/>
                      <w:szCs w:val="21"/>
                    </w:rPr>
                    <w:t>产生量（</w:t>
                  </w:r>
                  <w:r>
                    <w:rPr>
                      <w:rFonts w:ascii="Times New Roman" w:hAnsi="Times New Roman" w:eastAsia="Times New Roman" w:cs="Times New Roman"/>
                      <w:b/>
                      <w:bCs/>
                      <w:color w:val="auto"/>
                      <w:spacing w:val="-10"/>
                      <w:sz w:val="21"/>
                      <w:szCs w:val="21"/>
                    </w:rPr>
                    <w:t>t/a</w:t>
                  </w:r>
                  <w:r>
                    <w:rPr>
                      <w:rFonts w:hint="eastAsia" w:ascii="Times New Roman" w:hAnsi="Times New Roman" w:eastAsia="宋体" w:cs="Times New Roman"/>
                      <w:b/>
                      <w:bCs/>
                      <w:color w:val="auto"/>
                      <w:spacing w:val="-10"/>
                      <w:sz w:val="21"/>
                      <w:szCs w:val="21"/>
                      <w:lang w:eastAsia="zh-CN"/>
                    </w:rPr>
                    <w:t>）</w:t>
                  </w:r>
                </w:p>
              </w:tc>
              <w:tc>
                <w:tcPr>
                  <w:tcW w:w="1354" w:type="pct"/>
                  <w:shd w:val="clear" w:color="auto" w:fill="auto"/>
                  <w:vAlign w:val="center"/>
                </w:tcPr>
                <w:p w14:paraId="2D34053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2"/>
                      <w:sz w:val="21"/>
                      <w:szCs w:val="21"/>
                    </w:rPr>
                    <w:t>类别</w:t>
                  </w:r>
                </w:p>
              </w:tc>
              <w:tc>
                <w:tcPr>
                  <w:tcW w:w="1652" w:type="pct"/>
                  <w:shd w:val="clear" w:color="auto" w:fill="auto"/>
                  <w:vAlign w:val="center"/>
                </w:tcPr>
                <w:p w14:paraId="1AA203A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处置措施</w:t>
                  </w:r>
                </w:p>
              </w:tc>
            </w:tr>
            <w:tr w14:paraId="4003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329" w:type="pct"/>
                  <w:vAlign w:val="center"/>
                </w:tcPr>
                <w:p w14:paraId="0DD860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879" w:type="pct"/>
                  <w:vAlign w:val="center"/>
                </w:tcPr>
                <w:p w14:paraId="544D49E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熔融滤渣</w:t>
                  </w:r>
                </w:p>
              </w:tc>
              <w:tc>
                <w:tcPr>
                  <w:tcW w:w="783" w:type="pct"/>
                  <w:vAlign w:val="center"/>
                </w:tcPr>
                <w:p w14:paraId="183BFD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1.016</w:t>
                  </w:r>
                </w:p>
              </w:tc>
              <w:tc>
                <w:tcPr>
                  <w:tcW w:w="1354" w:type="pct"/>
                  <w:vAlign w:val="center"/>
                </w:tcPr>
                <w:p w14:paraId="0F9B53E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第</w:t>
                  </w:r>
                  <w:r>
                    <w:rPr>
                      <w:rFonts w:ascii="Times New Roman" w:hAnsi="Times New Roman" w:eastAsia="Times New Roman" w:cs="Times New Roman"/>
                      <w:color w:val="auto"/>
                      <w:spacing w:val="-1"/>
                      <w:sz w:val="21"/>
                      <w:szCs w:val="21"/>
                    </w:rPr>
                    <w:t>Ⅰ</w:t>
                  </w:r>
                  <w:r>
                    <w:rPr>
                      <w:color w:val="auto"/>
                      <w:spacing w:val="-1"/>
                      <w:sz w:val="21"/>
                      <w:szCs w:val="21"/>
                    </w:rPr>
                    <w:t>类一般工业固体废物</w:t>
                  </w:r>
                </w:p>
                <w:p w14:paraId="00CF068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w:t>
                  </w:r>
                  <w:r>
                    <w:rPr>
                      <w:rFonts w:ascii="Times New Roman" w:hAnsi="Times New Roman" w:eastAsia="Times New Roman" w:cs="Times New Roman"/>
                      <w:color w:val="auto"/>
                      <w:spacing w:val="-2"/>
                      <w:sz w:val="21"/>
                      <w:szCs w:val="21"/>
                    </w:rPr>
                    <w:t>398-005-99</w:t>
                  </w:r>
                  <w:r>
                    <w:rPr>
                      <w:color w:val="auto"/>
                      <w:spacing w:val="-2"/>
                      <w:sz w:val="21"/>
                      <w:szCs w:val="21"/>
                    </w:rPr>
                    <w:t>）</w:t>
                  </w:r>
                </w:p>
              </w:tc>
              <w:tc>
                <w:tcPr>
                  <w:tcW w:w="1652" w:type="pct"/>
                  <w:vAlign w:val="center"/>
                </w:tcPr>
                <w:p w14:paraId="27D1F0B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外售给废旧物资回收公司。</w:t>
                  </w:r>
                </w:p>
              </w:tc>
            </w:tr>
            <w:tr w14:paraId="3E95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40F0003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879" w:type="pct"/>
                  <w:vAlign w:val="center"/>
                </w:tcPr>
                <w:p w14:paraId="2941BD5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废滤网</w:t>
                  </w:r>
                </w:p>
              </w:tc>
              <w:tc>
                <w:tcPr>
                  <w:tcW w:w="783" w:type="pct"/>
                  <w:vAlign w:val="center"/>
                </w:tcPr>
                <w:p w14:paraId="63A392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0.2</w:t>
                  </w:r>
                </w:p>
              </w:tc>
              <w:tc>
                <w:tcPr>
                  <w:tcW w:w="1354" w:type="pct"/>
                  <w:vAlign w:val="center"/>
                </w:tcPr>
                <w:p w14:paraId="7EECACE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第</w:t>
                  </w:r>
                  <w:r>
                    <w:rPr>
                      <w:rFonts w:ascii="Times New Roman" w:hAnsi="Times New Roman" w:eastAsia="Times New Roman" w:cs="Times New Roman"/>
                      <w:color w:val="auto"/>
                      <w:spacing w:val="-1"/>
                      <w:sz w:val="21"/>
                      <w:szCs w:val="21"/>
                    </w:rPr>
                    <w:t>Ⅰ</w:t>
                  </w:r>
                  <w:r>
                    <w:rPr>
                      <w:color w:val="auto"/>
                      <w:spacing w:val="-1"/>
                      <w:sz w:val="21"/>
                      <w:szCs w:val="21"/>
                    </w:rPr>
                    <w:t>类一般工业固体废物</w:t>
                  </w:r>
                </w:p>
                <w:p w14:paraId="362A1BD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w:t>
                  </w:r>
                  <w:r>
                    <w:rPr>
                      <w:rFonts w:ascii="Times New Roman" w:hAnsi="Times New Roman" w:eastAsia="Times New Roman" w:cs="Times New Roman"/>
                      <w:color w:val="auto"/>
                      <w:spacing w:val="-2"/>
                      <w:sz w:val="21"/>
                      <w:szCs w:val="21"/>
                    </w:rPr>
                    <w:t>398-005-99</w:t>
                  </w:r>
                  <w:r>
                    <w:rPr>
                      <w:color w:val="auto"/>
                      <w:spacing w:val="-2"/>
                      <w:sz w:val="21"/>
                      <w:szCs w:val="21"/>
                    </w:rPr>
                    <w:t>）</w:t>
                  </w:r>
                </w:p>
              </w:tc>
              <w:tc>
                <w:tcPr>
                  <w:tcW w:w="1652" w:type="pct"/>
                  <w:vAlign w:val="center"/>
                </w:tcPr>
                <w:p w14:paraId="2A8D5E9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外售给废旧物资回收公司。</w:t>
                  </w:r>
                </w:p>
              </w:tc>
            </w:tr>
            <w:tr w14:paraId="6F2D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049E0B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879" w:type="pct"/>
                  <w:vAlign w:val="center"/>
                </w:tcPr>
                <w:p w14:paraId="173102C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碎屑</w:t>
                  </w:r>
                </w:p>
              </w:tc>
              <w:tc>
                <w:tcPr>
                  <w:tcW w:w="783" w:type="pct"/>
                  <w:vAlign w:val="center"/>
                </w:tcPr>
                <w:p w14:paraId="6F4394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1.02</w:t>
                  </w:r>
                </w:p>
              </w:tc>
              <w:tc>
                <w:tcPr>
                  <w:tcW w:w="1354" w:type="pct"/>
                  <w:vAlign w:val="center"/>
                </w:tcPr>
                <w:p w14:paraId="31745A8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第</w:t>
                  </w:r>
                  <w:r>
                    <w:rPr>
                      <w:rFonts w:ascii="Times New Roman" w:hAnsi="Times New Roman" w:eastAsia="Times New Roman" w:cs="Times New Roman"/>
                      <w:color w:val="auto"/>
                      <w:spacing w:val="-1"/>
                      <w:sz w:val="21"/>
                      <w:szCs w:val="21"/>
                    </w:rPr>
                    <w:t>Ⅰ</w:t>
                  </w:r>
                  <w:r>
                    <w:rPr>
                      <w:color w:val="auto"/>
                      <w:spacing w:val="-1"/>
                      <w:sz w:val="21"/>
                      <w:szCs w:val="21"/>
                    </w:rPr>
                    <w:t>类一般工业固体废物</w:t>
                  </w:r>
                </w:p>
                <w:p w14:paraId="190A24F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w:t>
                  </w:r>
                  <w:r>
                    <w:rPr>
                      <w:rFonts w:ascii="Times New Roman" w:hAnsi="Times New Roman" w:eastAsia="Times New Roman" w:cs="Times New Roman"/>
                      <w:color w:val="auto"/>
                      <w:spacing w:val="-2"/>
                      <w:sz w:val="21"/>
                      <w:szCs w:val="21"/>
                    </w:rPr>
                    <w:t>398-005-10</w:t>
                  </w:r>
                  <w:r>
                    <w:rPr>
                      <w:color w:val="auto"/>
                      <w:spacing w:val="-2"/>
                      <w:sz w:val="21"/>
                      <w:szCs w:val="21"/>
                    </w:rPr>
                    <w:t>）</w:t>
                  </w:r>
                </w:p>
              </w:tc>
              <w:tc>
                <w:tcPr>
                  <w:tcW w:w="1652" w:type="pct"/>
                  <w:vAlign w:val="center"/>
                </w:tcPr>
                <w:p w14:paraId="3011B76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7"/>
                      <w:sz w:val="21"/>
                      <w:szCs w:val="21"/>
                    </w:rPr>
                    <w:t>交由相关稀土回收公司进行回收利用。</w:t>
                  </w:r>
                </w:p>
              </w:tc>
            </w:tr>
            <w:tr w14:paraId="1A6F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024996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879" w:type="pct"/>
                  <w:vAlign w:val="center"/>
                </w:tcPr>
                <w:p w14:paraId="677ADE4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废模具</w:t>
                  </w:r>
                </w:p>
              </w:tc>
              <w:tc>
                <w:tcPr>
                  <w:tcW w:w="783" w:type="pct"/>
                  <w:vAlign w:val="center"/>
                </w:tcPr>
                <w:p w14:paraId="72C394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0.5</w:t>
                  </w:r>
                </w:p>
              </w:tc>
              <w:tc>
                <w:tcPr>
                  <w:tcW w:w="1354" w:type="pct"/>
                  <w:vAlign w:val="center"/>
                </w:tcPr>
                <w:p w14:paraId="7CFE6684">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第</w:t>
                  </w:r>
                  <w:r>
                    <w:rPr>
                      <w:rFonts w:ascii="Times New Roman" w:hAnsi="Times New Roman" w:eastAsia="Times New Roman" w:cs="Times New Roman"/>
                      <w:color w:val="auto"/>
                      <w:spacing w:val="-1"/>
                      <w:sz w:val="21"/>
                      <w:szCs w:val="21"/>
                    </w:rPr>
                    <w:t>Ⅰ</w:t>
                  </w:r>
                  <w:r>
                    <w:rPr>
                      <w:color w:val="auto"/>
                      <w:spacing w:val="-1"/>
                      <w:sz w:val="21"/>
                      <w:szCs w:val="21"/>
                    </w:rPr>
                    <w:t>类一般工业固体废物</w:t>
                  </w:r>
                </w:p>
                <w:p w14:paraId="7920A75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w:t>
                  </w:r>
                  <w:r>
                    <w:rPr>
                      <w:rFonts w:ascii="Times New Roman" w:hAnsi="Times New Roman" w:eastAsia="Times New Roman" w:cs="Times New Roman"/>
                      <w:color w:val="auto"/>
                      <w:spacing w:val="-2"/>
                      <w:sz w:val="21"/>
                      <w:szCs w:val="21"/>
                    </w:rPr>
                    <w:t>398-005-10</w:t>
                  </w:r>
                  <w:r>
                    <w:rPr>
                      <w:color w:val="auto"/>
                      <w:spacing w:val="-2"/>
                      <w:sz w:val="21"/>
                      <w:szCs w:val="21"/>
                    </w:rPr>
                    <w:t>）</w:t>
                  </w:r>
                </w:p>
              </w:tc>
              <w:tc>
                <w:tcPr>
                  <w:tcW w:w="1652" w:type="pct"/>
                  <w:vAlign w:val="center"/>
                </w:tcPr>
                <w:p w14:paraId="425BDE4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外售给废旧物资回收公司。</w:t>
                  </w:r>
                </w:p>
              </w:tc>
            </w:tr>
            <w:tr w14:paraId="676D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4ABCD9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879" w:type="pct"/>
                  <w:vAlign w:val="center"/>
                </w:tcPr>
                <w:p w14:paraId="0E3D126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镀槽槽渣</w:t>
                  </w:r>
                </w:p>
              </w:tc>
              <w:tc>
                <w:tcPr>
                  <w:tcW w:w="783" w:type="pct"/>
                  <w:vAlign w:val="center"/>
                </w:tcPr>
                <w:p w14:paraId="69D76C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4.5</w:t>
                  </w:r>
                </w:p>
              </w:tc>
              <w:tc>
                <w:tcPr>
                  <w:tcW w:w="1354" w:type="pct"/>
                  <w:vAlign w:val="center"/>
                </w:tcPr>
                <w:p w14:paraId="23ACCE6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66970E0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7E5D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2FFAF6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879" w:type="pct"/>
                  <w:vAlign w:val="center"/>
                </w:tcPr>
                <w:p w14:paraId="614B86D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废化学镀槽槽液</w:t>
                  </w:r>
                </w:p>
              </w:tc>
              <w:tc>
                <w:tcPr>
                  <w:tcW w:w="783" w:type="pct"/>
                  <w:vAlign w:val="center"/>
                </w:tcPr>
                <w:p w14:paraId="6E13E3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192</w:t>
                  </w:r>
                </w:p>
              </w:tc>
              <w:tc>
                <w:tcPr>
                  <w:tcW w:w="1354" w:type="pct"/>
                  <w:vAlign w:val="center"/>
                </w:tcPr>
                <w:p w14:paraId="13EC169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2AD0601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392D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329" w:type="pct"/>
                  <w:vAlign w:val="center"/>
                </w:tcPr>
                <w:p w14:paraId="08A0DD9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879" w:type="pct"/>
                  <w:vAlign w:val="center"/>
                </w:tcPr>
                <w:p w14:paraId="180CA73F">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钝化槽渣</w:t>
                  </w:r>
                </w:p>
              </w:tc>
              <w:tc>
                <w:tcPr>
                  <w:tcW w:w="783" w:type="pct"/>
                  <w:vAlign w:val="center"/>
                </w:tcPr>
                <w:p w14:paraId="4A9276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0.2</w:t>
                  </w:r>
                </w:p>
              </w:tc>
              <w:tc>
                <w:tcPr>
                  <w:tcW w:w="1354" w:type="pct"/>
                  <w:vAlign w:val="center"/>
                </w:tcPr>
                <w:p w14:paraId="4AC0290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0FE6B24E">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05E1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17CFAE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879" w:type="pct"/>
                  <w:vAlign w:val="center"/>
                </w:tcPr>
                <w:p w14:paraId="77B1806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废镀锌槽液</w:t>
                  </w:r>
                </w:p>
              </w:tc>
              <w:tc>
                <w:tcPr>
                  <w:tcW w:w="783" w:type="pct"/>
                  <w:vAlign w:val="center"/>
                </w:tcPr>
                <w:p w14:paraId="2745DE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112</w:t>
                  </w:r>
                </w:p>
              </w:tc>
              <w:tc>
                <w:tcPr>
                  <w:tcW w:w="1354" w:type="pct"/>
                  <w:vAlign w:val="center"/>
                </w:tcPr>
                <w:p w14:paraId="321FB0D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7F84160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0E05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57DB2D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879" w:type="pct"/>
                  <w:vAlign w:val="center"/>
                </w:tcPr>
                <w:p w14:paraId="5BEBD46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磷化槽渣</w:t>
                  </w:r>
                </w:p>
              </w:tc>
              <w:tc>
                <w:tcPr>
                  <w:tcW w:w="783" w:type="pct"/>
                  <w:vAlign w:val="center"/>
                </w:tcPr>
                <w:p w14:paraId="171B17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0.3</w:t>
                  </w:r>
                </w:p>
              </w:tc>
              <w:tc>
                <w:tcPr>
                  <w:tcW w:w="1354" w:type="pct"/>
                  <w:vAlign w:val="center"/>
                </w:tcPr>
                <w:p w14:paraId="661778A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73514F0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3C6B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149843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c>
                <w:tcPr>
                  <w:tcW w:w="879" w:type="pct"/>
                  <w:vAlign w:val="center"/>
                </w:tcPr>
                <w:p w14:paraId="6968B68F">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漆渣</w:t>
                  </w:r>
                </w:p>
              </w:tc>
              <w:tc>
                <w:tcPr>
                  <w:tcW w:w="783" w:type="pct"/>
                  <w:vAlign w:val="center"/>
                </w:tcPr>
                <w:p w14:paraId="542EDC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19</w:t>
                  </w:r>
                </w:p>
              </w:tc>
              <w:tc>
                <w:tcPr>
                  <w:tcW w:w="1354" w:type="pct"/>
                  <w:vAlign w:val="center"/>
                </w:tcPr>
                <w:p w14:paraId="64F329F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HW12</w:t>
                  </w:r>
                  <w:r>
                    <w:rPr>
                      <w:color w:val="auto"/>
                      <w:spacing w:val="-1"/>
                      <w:sz w:val="21"/>
                      <w:szCs w:val="21"/>
                    </w:rPr>
                    <w:t>）</w:t>
                  </w:r>
                </w:p>
              </w:tc>
              <w:tc>
                <w:tcPr>
                  <w:tcW w:w="1652" w:type="pct"/>
                  <w:vAlign w:val="center"/>
                </w:tcPr>
                <w:p w14:paraId="23E0BA8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5AF3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241A80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c>
                <w:tcPr>
                  <w:tcW w:w="879" w:type="pct"/>
                  <w:vAlign w:val="center"/>
                </w:tcPr>
                <w:p w14:paraId="54E7BC1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6"/>
                      <w:sz w:val="21"/>
                      <w:szCs w:val="21"/>
                    </w:rPr>
                    <w:t>阳极残料</w:t>
                  </w:r>
                </w:p>
              </w:tc>
              <w:tc>
                <w:tcPr>
                  <w:tcW w:w="783" w:type="pct"/>
                  <w:vAlign w:val="center"/>
                </w:tcPr>
                <w:p w14:paraId="4580AD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354" w:type="pct"/>
                  <w:vAlign w:val="center"/>
                </w:tcPr>
                <w:p w14:paraId="4F16BFFF">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HW17</w:t>
                  </w:r>
                  <w:r>
                    <w:rPr>
                      <w:color w:val="auto"/>
                      <w:spacing w:val="-1"/>
                      <w:sz w:val="21"/>
                      <w:szCs w:val="21"/>
                    </w:rPr>
                    <w:t>）</w:t>
                  </w:r>
                </w:p>
              </w:tc>
              <w:tc>
                <w:tcPr>
                  <w:tcW w:w="1652" w:type="pct"/>
                  <w:vAlign w:val="center"/>
                </w:tcPr>
                <w:p w14:paraId="1539C6A9">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329A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29" w:type="pct"/>
                  <w:vAlign w:val="center"/>
                </w:tcPr>
                <w:p w14:paraId="3EBACF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c>
                <w:tcPr>
                  <w:tcW w:w="879" w:type="pct"/>
                  <w:vAlign w:val="center"/>
                </w:tcPr>
                <w:p w14:paraId="06D220D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槽液滤芯（膜）</w:t>
                  </w:r>
                </w:p>
              </w:tc>
              <w:tc>
                <w:tcPr>
                  <w:tcW w:w="783" w:type="pct"/>
                  <w:vAlign w:val="center"/>
                </w:tcPr>
                <w:p w14:paraId="25F6B8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354" w:type="pct"/>
                  <w:vAlign w:val="center"/>
                </w:tcPr>
                <w:p w14:paraId="6149A676">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HW49</w:t>
                  </w:r>
                  <w:r>
                    <w:rPr>
                      <w:color w:val="auto"/>
                      <w:spacing w:val="-1"/>
                      <w:sz w:val="21"/>
                      <w:szCs w:val="21"/>
                    </w:rPr>
                    <w:t>）</w:t>
                  </w:r>
                </w:p>
              </w:tc>
              <w:tc>
                <w:tcPr>
                  <w:tcW w:w="1652" w:type="pct"/>
                  <w:vAlign w:val="center"/>
                </w:tcPr>
                <w:p w14:paraId="7C536F4A">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5BA5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329" w:type="pct"/>
                  <w:vAlign w:val="center"/>
                </w:tcPr>
                <w:p w14:paraId="299720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13</w:t>
                  </w:r>
                </w:p>
              </w:tc>
              <w:tc>
                <w:tcPr>
                  <w:tcW w:w="879" w:type="pct"/>
                  <w:vAlign w:val="center"/>
                </w:tcPr>
                <w:p w14:paraId="41E4D8C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一般原材料废包</w:t>
                  </w:r>
                  <w:r>
                    <w:rPr>
                      <w:color w:val="auto"/>
                      <w:sz w:val="21"/>
                      <w:szCs w:val="21"/>
                    </w:rPr>
                    <w:t>装</w:t>
                  </w:r>
                </w:p>
              </w:tc>
              <w:tc>
                <w:tcPr>
                  <w:tcW w:w="783" w:type="pct"/>
                  <w:vAlign w:val="center"/>
                </w:tcPr>
                <w:p w14:paraId="3F5DC3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354" w:type="pct"/>
                  <w:vAlign w:val="center"/>
                </w:tcPr>
                <w:p w14:paraId="2A80942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第</w:t>
                  </w:r>
                  <w:r>
                    <w:rPr>
                      <w:rFonts w:ascii="Times New Roman" w:hAnsi="Times New Roman" w:eastAsia="Times New Roman" w:cs="Times New Roman"/>
                      <w:color w:val="auto"/>
                      <w:spacing w:val="-1"/>
                      <w:sz w:val="21"/>
                      <w:szCs w:val="21"/>
                    </w:rPr>
                    <w:t>Ⅰ</w:t>
                  </w:r>
                  <w:r>
                    <w:rPr>
                      <w:color w:val="auto"/>
                      <w:spacing w:val="-1"/>
                      <w:sz w:val="21"/>
                      <w:szCs w:val="21"/>
                    </w:rPr>
                    <w:t>类一般工业固体废物</w:t>
                  </w:r>
                </w:p>
                <w:p w14:paraId="49AAC3F2">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w:t>
                  </w:r>
                  <w:r>
                    <w:rPr>
                      <w:rFonts w:ascii="Times New Roman" w:hAnsi="Times New Roman" w:eastAsia="Times New Roman" w:cs="Times New Roman"/>
                      <w:color w:val="auto"/>
                      <w:spacing w:val="-2"/>
                      <w:sz w:val="21"/>
                      <w:szCs w:val="21"/>
                    </w:rPr>
                    <w:t>398-005-07</w:t>
                  </w:r>
                  <w:r>
                    <w:rPr>
                      <w:color w:val="auto"/>
                      <w:spacing w:val="-2"/>
                      <w:sz w:val="21"/>
                      <w:szCs w:val="21"/>
                    </w:rPr>
                    <w:t>）</w:t>
                  </w:r>
                </w:p>
              </w:tc>
              <w:tc>
                <w:tcPr>
                  <w:tcW w:w="1652" w:type="pct"/>
                  <w:vAlign w:val="center"/>
                </w:tcPr>
                <w:p w14:paraId="002EF5E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外售给废旧物资回收公司。</w:t>
                  </w:r>
                </w:p>
              </w:tc>
            </w:tr>
            <w:tr w14:paraId="2595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329" w:type="pct"/>
                  <w:vAlign w:val="center"/>
                </w:tcPr>
                <w:p w14:paraId="30E2238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14</w:t>
                  </w:r>
                </w:p>
              </w:tc>
              <w:tc>
                <w:tcPr>
                  <w:tcW w:w="879" w:type="pct"/>
                  <w:vAlign w:val="center"/>
                </w:tcPr>
                <w:p w14:paraId="7E77D64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2"/>
                      <w:sz w:val="21"/>
                      <w:szCs w:val="21"/>
                    </w:rPr>
                    <w:t>危险化学品废包</w:t>
                  </w:r>
                  <w:r>
                    <w:rPr>
                      <w:color w:val="auto"/>
                      <w:sz w:val="21"/>
                      <w:szCs w:val="21"/>
                    </w:rPr>
                    <w:t>装</w:t>
                  </w:r>
                </w:p>
              </w:tc>
              <w:tc>
                <w:tcPr>
                  <w:tcW w:w="783" w:type="pct"/>
                  <w:vAlign w:val="center"/>
                </w:tcPr>
                <w:p w14:paraId="64DE2A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20</w:t>
                  </w:r>
                </w:p>
              </w:tc>
              <w:tc>
                <w:tcPr>
                  <w:tcW w:w="1354" w:type="pct"/>
                  <w:vAlign w:val="center"/>
                </w:tcPr>
                <w:p w14:paraId="4E4658F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1"/>
                      <w:sz w:val="21"/>
                      <w:szCs w:val="21"/>
                    </w:rPr>
                    <w:t>危险废物（</w:t>
                  </w:r>
                  <w:r>
                    <w:rPr>
                      <w:rFonts w:ascii="Times New Roman" w:hAnsi="Times New Roman" w:eastAsia="Times New Roman" w:cs="Times New Roman"/>
                      <w:color w:val="auto"/>
                      <w:spacing w:val="-1"/>
                      <w:sz w:val="21"/>
                      <w:szCs w:val="21"/>
                    </w:rPr>
                    <w:t>HW49</w:t>
                  </w:r>
                  <w:r>
                    <w:rPr>
                      <w:color w:val="auto"/>
                      <w:spacing w:val="-1"/>
                      <w:sz w:val="21"/>
                      <w:szCs w:val="21"/>
                    </w:rPr>
                    <w:t>）</w:t>
                  </w:r>
                </w:p>
              </w:tc>
              <w:tc>
                <w:tcPr>
                  <w:tcW w:w="1652" w:type="pct"/>
                  <w:vAlign w:val="center"/>
                </w:tcPr>
                <w:p w14:paraId="23570FB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定期交由具有相应危险废物处理资质</w:t>
                  </w:r>
                  <w:r>
                    <w:rPr>
                      <w:color w:val="auto"/>
                      <w:spacing w:val="-5"/>
                      <w:sz w:val="21"/>
                      <w:szCs w:val="21"/>
                    </w:rPr>
                    <w:t>的单位进行处置。</w:t>
                  </w:r>
                </w:p>
              </w:tc>
            </w:tr>
            <w:tr w14:paraId="7F4F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329" w:type="pct"/>
                  <w:shd w:val="clear" w:color="auto" w:fill="auto"/>
                  <w:vAlign w:val="center"/>
                </w:tcPr>
                <w:p w14:paraId="1A250610">
                  <w:pPr>
                    <w:jc w:val="center"/>
                    <w:rPr>
                      <w:color w:val="auto"/>
                      <w:lang w:val="en-US" w:eastAsia="zh-CN"/>
                    </w:rPr>
                  </w:pPr>
                  <w:r>
                    <w:rPr>
                      <w:color w:val="auto"/>
                    </w:rPr>
                    <w:t>15</w:t>
                  </w:r>
                </w:p>
              </w:tc>
              <w:tc>
                <w:tcPr>
                  <w:tcW w:w="879" w:type="pct"/>
                  <w:shd w:val="clear" w:color="auto" w:fill="auto"/>
                  <w:vAlign w:val="center"/>
                </w:tcPr>
                <w:p w14:paraId="3472C908">
                  <w:pPr>
                    <w:jc w:val="center"/>
                    <w:rPr>
                      <w:color w:val="auto"/>
                      <w:lang w:val="en-US" w:eastAsia="en-US"/>
                    </w:rPr>
                  </w:pPr>
                  <w:r>
                    <w:rPr>
                      <w:color w:val="auto"/>
                    </w:rPr>
                    <w:t>重金属废水预处理污泥</w:t>
                  </w:r>
                </w:p>
              </w:tc>
              <w:tc>
                <w:tcPr>
                  <w:tcW w:w="783" w:type="pct"/>
                  <w:shd w:val="clear" w:color="auto" w:fill="auto"/>
                  <w:vAlign w:val="center"/>
                </w:tcPr>
                <w:p w14:paraId="20C9297C">
                  <w:pPr>
                    <w:jc w:val="center"/>
                    <w:rPr>
                      <w:color w:val="auto"/>
                      <w:lang w:val="en-US" w:eastAsia="zh-CN"/>
                    </w:rPr>
                  </w:pPr>
                  <w:r>
                    <w:rPr>
                      <w:color w:val="auto"/>
                    </w:rPr>
                    <w:t>66</w:t>
                  </w:r>
                </w:p>
              </w:tc>
              <w:tc>
                <w:tcPr>
                  <w:tcW w:w="1354" w:type="pct"/>
                  <w:shd w:val="clear" w:color="auto" w:fill="auto"/>
                  <w:vAlign w:val="center"/>
                </w:tcPr>
                <w:p w14:paraId="4D386342">
                  <w:pPr>
                    <w:jc w:val="center"/>
                    <w:rPr>
                      <w:color w:val="auto"/>
                      <w:lang w:val="en-US" w:eastAsia="en-US"/>
                    </w:rPr>
                  </w:pPr>
                  <w:r>
                    <w:rPr>
                      <w:color w:val="auto"/>
                    </w:rPr>
                    <w:t>危险废物（HW17）</w:t>
                  </w:r>
                </w:p>
              </w:tc>
              <w:tc>
                <w:tcPr>
                  <w:tcW w:w="1652" w:type="pct"/>
                  <w:shd w:val="clear" w:color="auto" w:fill="auto"/>
                  <w:vAlign w:val="center"/>
                </w:tcPr>
                <w:p w14:paraId="1D1B755C">
                  <w:pPr>
                    <w:jc w:val="center"/>
                    <w:rPr>
                      <w:color w:val="auto"/>
                      <w:lang w:val="en-US" w:eastAsia="en-US"/>
                    </w:rPr>
                  </w:pPr>
                  <w:r>
                    <w:rPr>
                      <w:color w:val="auto"/>
                    </w:rPr>
                    <w:t>定期交由具有相应危险废物处理资质的单位进行处置。</w:t>
                  </w:r>
                </w:p>
              </w:tc>
            </w:tr>
            <w:tr w14:paraId="35A5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2638D7E6">
                  <w:pPr>
                    <w:jc w:val="center"/>
                    <w:rPr>
                      <w:color w:val="auto"/>
                      <w:lang w:val="en-US" w:eastAsia="zh-CN"/>
                    </w:rPr>
                  </w:pPr>
                  <w:r>
                    <w:rPr>
                      <w:color w:val="auto"/>
                    </w:rPr>
                    <w:t>16</w:t>
                  </w:r>
                </w:p>
              </w:tc>
              <w:tc>
                <w:tcPr>
                  <w:tcW w:w="1636" w:type="dxa"/>
                  <w:shd w:val="clear" w:color="auto" w:fill="auto"/>
                  <w:vAlign w:val="center"/>
                </w:tcPr>
                <w:p w14:paraId="67D9CA86">
                  <w:pPr>
                    <w:jc w:val="center"/>
                    <w:rPr>
                      <w:color w:val="auto"/>
                      <w:lang w:val="en-US" w:eastAsia="en-US"/>
                    </w:rPr>
                  </w:pPr>
                  <w:r>
                    <w:rPr>
                      <w:color w:val="auto"/>
                    </w:rPr>
                    <w:t>磷化废水预处理污泥</w:t>
                  </w:r>
                </w:p>
              </w:tc>
              <w:tc>
                <w:tcPr>
                  <w:tcW w:w="1456" w:type="dxa"/>
                  <w:shd w:val="clear" w:color="auto" w:fill="auto"/>
                  <w:vAlign w:val="center"/>
                </w:tcPr>
                <w:p w14:paraId="30E57823">
                  <w:pPr>
                    <w:jc w:val="center"/>
                    <w:rPr>
                      <w:color w:val="auto"/>
                      <w:lang w:val="en-US" w:eastAsia="zh-CN"/>
                    </w:rPr>
                  </w:pPr>
                  <w:r>
                    <w:rPr>
                      <w:color w:val="auto"/>
                    </w:rPr>
                    <w:t>70</w:t>
                  </w:r>
                </w:p>
              </w:tc>
              <w:tc>
                <w:tcPr>
                  <w:tcW w:w="2518" w:type="dxa"/>
                  <w:shd w:val="clear" w:color="auto" w:fill="auto"/>
                  <w:vAlign w:val="center"/>
                </w:tcPr>
                <w:p w14:paraId="36C460F6">
                  <w:pPr>
                    <w:jc w:val="center"/>
                    <w:rPr>
                      <w:color w:val="auto"/>
                      <w:lang w:val="en-US" w:eastAsia="en-US"/>
                    </w:rPr>
                  </w:pPr>
                  <w:r>
                    <w:rPr>
                      <w:color w:val="auto"/>
                    </w:rPr>
                    <w:t>危险废物（HW17）</w:t>
                  </w:r>
                </w:p>
              </w:tc>
              <w:tc>
                <w:tcPr>
                  <w:tcW w:w="3072" w:type="dxa"/>
                  <w:shd w:val="clear" w:color="auto" w:fill="auto"/>
                  <w:vAlign w:val="center"/>
                </w:tcPr>
                <w:p w14:paraId="7C25E870">
                  <w:pPr>
                    <w:jc w:val="center"/>
                    <w:rPr>
                      <w:color w:val="auto"/>
                      <w:lang w:val="en-US" w:eastAsia="en-US"/>
                    </w:rPr>
                  </w:pPr>
                  <w:r>
                    <w:rPr>
                      <w:color w:val="auto"/>
                    </w:rPr>
                    <w:t>定期交由具有相应危险废物处理资质的单位进行处置。</w:t>
                  </w:r>
                </w:p>
              </w:tc>
            </w:tr>
            <w:tr w14:paraId="6F3C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379C498B">
                  <w:pPr>
                    <w:jc w:val="center"/>
                    <w:rPr>
                      <w:color w:val="auto"/>
                      <w:lang w:val="en-US" w:eastAsia="zh-CN"/>
                    </w:rPr>
                  </w:pPr>
                  <w:r>
                    <w:rPr>
                      <w:color w:val="auto"/>
                    </w:rPr>
                    <w:t>17</w:t>
                  </w:r>
                </w:p>
              </w:tc>
              <w:tc>
                <w:tcPr>
                  <w:tcW w:w="1636" w:type="dxa"/>
                  <w:shd w:val="clear" w:color="auto" w:fill="auto"/>
                  <w:vAlign w:val="center"/>
                </w:tcPr>
                <w:p w14:paraId="0DA50359">
                  <w:pPr>
                    <w:jc w:val="center"/>
                    <w:rPr>
                      <w:color w:val="auto"/>
                      <w:lang w:val="en-US" w:eastAsia="en-US"/>
                    </w:rPr>
                  </w:pPr>
                  <w:r>
                    <w:rPr>
                      <w:color w:val="auto"/>
                    </w:rPr>
                    <w:t>前处理废水预处理污泥</w:t>
                  </w:r>
                </w:p>
              </w:tc>
              <w:tc>
                <w:tcPr>
                  <w:tcW w:w="1456" w:type="dxa"/>
                  <w:shd w:val="clear" w:color="auto" w:fill="auto"/>
                  <w:vAlign w:val="center"/>
                </w:tcPr>
                <w:p w14:paraId="1F531A63">
                  <w:pPr>
                    <w:jc w:val="center"/>
                    <w:rPr>
                      <w:color w:val="auto"/>
                      <w:lang w:val="en-US" w:eastAsia="zh-CN"/>
                    </w:rPr>
                  </w:pPr>
                  <w:r>
                    <w:rPr>
                      <w:color w:val="auto"/>
                    </w:rPr>
                    <w:t>371</w:t>
                  </w:r>
                </w:p>
              </w:tc>
              <w:tc>
                <w:tcPr>
                  <w:tcW w:w="2518" w:type="dxa"/>
                  <w:shd w:val="clear" w:color="auto" w:fill="auto"/>
                  <w:vAlign w:val="center"/>
                </w:tcPr>
                <w:p w14:paraId="06827AD1">
                  <w:pPr>
                    <w:jc w:val="center"/>
                    <w:rPr>
                      <w:color w:val="auto"/>
                      <w:lang w:val="en-US" w:eastAsia="en-US"/>
                    </w:rPr>
                  </w:pPr>
                  <w:r>
                    <w:rPr>
                      <w:color w:val="auto"/>
                    </w:rPr>
                    <w:t>危险废物（HW17）</w:t>
                  </w:r>
                </w:p>
              </w:tc>
              <w:tc>
                <w:tcPr>
                  <w:tcW w:w="3072" w:type="dxa"/>
                  <w:shd w:val="clear" w:color="auto" w:fill="auto"/>
                  <w:vAlign w:val="center"/>
                </w:tcPr>
                <w:p w14:paraId="29462D27">
                  <w:pPr>
                    <w:jc w:val="center"/>
                    <w:rPr>
                      <w:color w:val="auto"/>
                      <w:lang w:val="en-US" w:eastAsia="en-US"/>
                    </w:rPr>
                  </w:pPr>
                  <w:r>
                    <w:rPr>
                      <w:color w:val="auto"/>
                    </w:rPr>
                    <w:t>定期交由具有相应危险废物处理资质的单位进行处置。</w:t>
                  </w:r>
                </w:p>
              </w:tc>
            </w:tr>
            <w:tr w14:paraId="5B4C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5FA4E0EE">
                  <w:pPr>
                    <w:jc w:val="center"/>
                    <w:rPr>
                      <w:color w:val="auto"/>
                      <w:lang w:val="en-US" w:eastAsia="zh-CN"/>
                    </w:rPr>
                  </w:pPr>
                  <w:r>
                    <w:rPr>
                      <w:color w:val="auto"/>
                    </w:rPr>
                    <w:t>18</w:t>
                  </w:r>
                </w:p>
              </w:tc>
              <w:tc>
                <w:tcPr>
                  <w:tcW w:w="1636" w:type="dxa"/>
                  <w:shd w:val="clear" w:color="auto" w:fill="auto"/>
                  <w:vAlign w:val="center"/>
                </w:tcPr>
                <w:p w14:paraId="64851EB0">
                  <w:pPr>
                    <w:jc w:val="center"/>
                    <w:rPr>
                      <w:color w:val="auto"/>
                      <w:lang w:val="en-US" w:eastAsia="en-US"/>
                    </w:rPr>
                  </w:pPr>
                  <w:r>
                    <w:rPr>
                      <w:color w:val="auto"/>
                    </w:rPr>
                    <w:t>电泳废水预处理污泥</w:t>
                  </w:r>
                </w:p>
              </w:tc>
              <w:tc>
                <w:tcPr>
                  <w:tcW w:w="1456" w:type="dxa"/>
                  <w:shd w:val="clear" w:color="auto" w:fill="auto"/>
                  <w:vAlign w:val="center"/>
                </w:tcPr>
                <w:p w14:paraId="561927CB">
                  <w:pPr>
                    <w:jc w:val="center"/>
                    <w:rPr>
                      <w:color w:val="auto"/>
                      <w:lang w:val="en-US" w:eastAsia="zh-CN"/>
                    </w:rPr>
                  </w:pPr>
                  <w:r>
                    <w:rPr>
                      <w:color w:val="auto"/>
                    </w:rPr>
                    <w:t>352</w:t>
                  </w:r>
                </w:p>
              </w:tc>
              <w:tc>
                <w:tcPr>
                  <w:tcW w:w="2518" w:type="dxa"/>
                  <w:shd w:val="clear" w:color="auto" w:fill="auto"/>
                  <w:vAlign w:val="center"/>
                </w:tcPr>
                <w:p w14:paraId="7601CDA0">
                  <w:pPr>
                    <w:jc w:val="center"/>
                    <w:rPr>
                      <w:color w:val="auto"/>
                      <w:lang w:val="en-US" w:eastAsia="en-US"/>
                    </w:rPr>
                  </w:pPr>
                  <w:r>
                    <w:rPr>
                      <w:color w:val="auto"/>
                    </w:rPr>
                    <w:t>危险废物（HW12）</w:t>
                  </w:r>
                </w:p>
              </w:tc>
              <w:tc>
                <w:tcPr>
                  <w:tcW w:w="3072" w:type="dxa"/>
                  <w:shd w:val="clear" w:color="auto" w:fill="auto"/>
                  <w:vAlign w:val="center"/>
                </w:tcPr>
                <w:p w14:paraId="5D7EC88C">
                  <w:pPr>
                    <w:jc w:val="center"/>
                    <w:rPr>
                      <w:color w:val="auto"/>
                      <w:lang w:val="en-US" w:eastAsia="en-US"/>
                    </w:rPr>
                  </w:pPr>
                  <w:r>
                    <w:rPr>
                      <w:color w:val="auto"/>
                    </w:rPr>
                    <w:t>定期交由具有相应危险废物处理资质的单位进行处置。</w:t>
                  </w:r>
                </w:p>
              </w:tc>
            </w:tr>
            <w:tr w14:paraId="4388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5C10EA88">
                  <w:pPr>
                    <w:jc w:val="center"/>
                    <w:rPr>
                      <w:color w:val="auto"/>
                      <w:lang w:val="en-US" w:eastAsia="zh-CN"/>
                    </w:rPr>
                  </w:pPr>
                  <w:r>
                    <w:rPr>
                      <w:color w:val="auto"/>
                    </w:rPr>
                    <w:t>19</w:t>
                  </w:r>
                </w:p>
              </w:tc>
              <w:tc>
                <w:tcPr>
                  <w:tcW w:w="1636" w:type="dxa"/>
                  <w:shd w:val="clear" w:color="auto" w:fill="auto"/>
                  <w:vAlign w:val="center"/>
                </w:tcPr>
                <w:p w14:paraId="165D61E4">
                  <w:pPr>
                    <w:jc w:val="center"/>
                    <w:rPr>
                      <w:color w:val="auto"/>
                      <w:lang w:val="en-US" w:eastAsia="en-US"/>
                    </w:rPr>
                  </w:pPr>
                  <w:r>
                    <w:rPr>
                      <w:color w:val="auto"/>
                    </w:rPr>
                    <w:t>硝酸酸洗废水预处理污泥</w:t>
                  </w:r>
                </w:p>
              </w:tc>
              <w:tc>
                <w:tcPr>
                  <w:tcW w:w="1456" w:type="dxa"/>
                  <w:shd w:val="clear" w:color="auto" w:fill="auto"/>
                  <w:vAlign w:val="center"/>
                </w:tcPr>
                <w:p w14:paraId="7757F245">
                  <w:pPr>
                    <w:jc w:val="center"/>
                    <w:rPr>
                      <w:color w:val="auto"/>
                      <w:lang w:val="en-US" w:eastAsia="zh-CN"/>
                    </w:rPr>
                  </w:pPr>
                  <w:r>
                    <w:rPr>
                      <w:color w:val="auto"/>
                    </w:rPr>
                    <w:t>27</w:t>
                  </w:r>
                </w:p>
              </w:tc>
              <w:tc>
                <w:tcPr>
                  <w:tcW w:w="2518" w:type="dxa"/>
                  <w:shd w:val="clear" w:color="auto" w:fill="auto"/>
                  <w:vAlign w:val="center"/>
                </w:tcPr>
                <w:p w14:paraId="4AC78852">
                  <w:pPr>
                    <w:jc w:val="center"/>
                    <w:rPr>
                      <w:color w:val="auto"/>
                      <w:lang w:val="en-US" w:eastAsia="en-US"/>
                    </w:rPr>
                  </w:pPr>
                  <w:r>
                    <w:rPr>
                      <w:color w:val="auto"/>
                    </w:rPr>
                    <w:t>危险废物（HW17）</w:t>
                  </w:r>
                </w:p>
              </w:tc>
              <w:tc>
                <w:tcPr>
                  <w:tcW w:w="3072" w:type="dxa"/>
                  <w:shd w:val="clear" w:color="auto" w:fill="auto"/>
                  <w:vAlign w:val="center"/>
                </w:tcPr>
                <w:p w14:paraId="124EA827">
                  <w:pPr>
                    <w:jc w:val="center"/>
                    <w:rPr>
                      <w:color w:val="auto"/>
                      <w:lang w:val="en-US" w:eastAsia="en-US"/>
                    </w:rPr>
                  </w:pPr>
                  <w:r>
                    <w:rPr>
                      <w:color w:val="auto"/>
                    </w:rPr>
                    <w:t>定期交由具有相应危险废物处理资质的单位进行处置。</w:t>
                  </w:r>
                </w:p>
              </w:tc>
            </w:tr>
            <w:tr w14:paraId="171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4CA3BD4F">
                  <w:pPr>
                    <w:jc w:val="center"/>
                    <w:rPr>
                      <w:color w:val="auto"/>
                      <w:lang w:val="en-US" w:eastAsia="zh-CN"/>
                    </w:rPr>
                  </w:pPr>
                  <w:r>
                    <w:rPr>
                      <w:color w:val="auto"/>
                    </w:rPr>
                    <w:t>20</w:t>
                  </w:r>
                </w:p>
              </w:tc>
              <w:tc>
                <w:tcPr>
                  <w:tcW w:w="1636" w:type="dxa"/>
                  <w:shd w:val="clear" w:color="auto" w:fill="auto"/>
                  <w:vAlign w:val="center"/>
                </w:tcPr>
                <w:p w14:paraId="17691880">
                  <w:pPr>
                    <w:jc w:val="center"/>
                    <w:rPr>
                      <w:color w:val="auto"/>
                      <w:lang w:val="en-US" w:eastAsia="en-US"/>
                    </w:rPr>
                  </w:pPr>
                  <w:r>
                    <w:rPr>
                      <w:color w:val="auto"/>
                    </w:rPr>
                    <w:t>混合废水处理污泥</w:t>
                  </w:r>
                </w:p>
              </w:tc>
              <w:tc>
                <w:tcPr>
                  <w:tcW w:w="1456" w:type="dxa"/>
                  <w:shd w:val="clear" w:color="auto" w:fill="auto"/>
                  <w:vAlign w:val="center"/>
                </w:tcPr>
                <w:p w14:paraId="267FEC94">
                  <w:pPr>
                    <w:jc w:val="center"/>
                    <w:rPr>
                      <w:color w:val="auto"/>
                      <w:lang w:val="en-US" w:eastAsia="zh-CN"/>
                    </w:rPr>
                  </w:pPr>
                  <w:r>
                    <w:rPr>
                      <w:color w:val="auto"/>
                    </w:rPr>
                    <w:t>136</w:t>
                  </w:r>
                </w:p>
              </w:tc>
              <w:tc>
                <w:tcPr>
                  <w:tcW w:w="2518" w:type="dxa"/>
                  <w:shd w:val="clear" w:color="auto" w:fill="auto"/>
                  <w:vAlign w:val="center"/>
                </w:tcPr>
                <w:p w14:paraId="32BCC570">
                  <w:pPr>
                    <w:jc w:val="center"/>
                    <w:rPr>
                      <w:color w:val="auto"/>
                    </w:rPr>
                  </w:pPr>
                  <w:r>
                    <w:rPr>
                      <w:color w:val="auto"/>
                    </w:rPr>
                    <w:t>第Ⅰ类一般工业固体废物</w:t>
                  </w:r>
                </w:p>
                <w:p w14:paraId="4A64A9F3">
                  <w:pPr>
                    <w:jc w:val="center"/>
                    <w:rPr>
                      <w:color w:val="auto"/>
                      <w:lang w:val="en-US" w:eastAsia="en-US"/>
                    </w:rPr>
                  </w:pPr>
                  <w:r>
                    <w:rPr>
                      <w:color w:val="auto"/>
                    </w:rPr>
                    <w:t>（398-005-61）</w:t>
                  </w:r>
                </w:p>
              </w:tc>
              <w:tc>
                <w:tcPr>
                  <w:tcW w:w="3072" w:type="dxa"/>
                  <w:shd w:val="clear" w:color="auto" w:fill="auto"/>
                  <w:vAlign w:val="center"/>
                </w:tcPr>
                <w:p w14:paraId="26479AE0">
                  <w:pPr>
                    <w:jc w:val="center"/>
                    <w:rPr>
                      <w:color w:val="auto"/>
                      <w:lang w:val="en-US" w:eastAsia="en-US"/>
                    </w:rPr>
                  </w:pPr>
                  <w:r>
                    <w:rPr>
                      <w:color w:val="auto"/>
                    </w:rPr>
                    <w:t>定期外运一般固废填埋场填埋或具有一般固废焚烧协同单位处置。</w:t>
                  </w:r>
                </w:p>
              </w:tc>
            </w:tr>
            <w:tr w14:paraId="274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32EFEF24">
                  <w:pPr>
                    <w:jc w:val="center"/>
                    <w:rPr>
                      <w:color w:val="auto"/>
                      <w:lang w:val="en-US" w:eastAsia="zh-CN"/>
                    </w:rPr>
                  </w:pPr>
                  <w:r>
                    <w:rPr>
                      <w:color w:val="auto"/>
                    </w:rPr>
                    <w:t>21</w:t>
                  </w:r>
                </w:p>
              </w:tc>
              <w:tc>
                <w:tcPr>
                  <w:tcW w:w="1636" w:type="dxa"/>
                  <w:shd w:val="clear" w:color="auto" w:fill="auto"/>
                  <w:vAlign w:val="center"/>
                </w:tcPr>
                <w:p w14:paraId="0C332B12">
                  <w:pPr>
                    <w:jc w:val="center"/>
                    <w:rPr>
                      <w:color w:val="auto"/>
                      <w:lang w:val="en-US" w:eastAsia="en-US"/>
                    </w:rPr>
                  </w:pPr>
                  <w:r>
                    <w:rPr>
                      <w:color w:val="auto"/>
                    </w:rPr>
                    <w:t>磁泥</w:t>
                  </w:r>
                </w:p>
              </w:tc>
              <w:tc>
                <w:tcPr>
                  <w:tcW w:w="1456" w:type="dxa"/>
                  <w:shd w:val="clear" w:color="auto" w:fill="auto"/>
                  <w:vAlign w:val="center"/>
                </w:tcPr>
                <w:p w14:paraId="00380FDE">
                  <w:pPr>
                    <w:jc w:val="center"/>
                    <w:rPr>
                      <w:color w:val="auto"/>
                      <w:lang w:val="en-US" w:eastAsia="zh-CN"/>
                    </w:rPr>
                  </w:pPr>
                  <w:r>
                    <w:rPr>
                      <w:color w:val="auto"/>
                    </w:rPr>
                    <w:t>15</w:t>
                  </w:r>
                </w:p>
              </w:tc>
              <w:tc>
                <w:tcPr>
                  <w:tcW w:w="2518" w:type="dxa"/>
                  <w:shd w:val="clear" w:color="auto" w:fill="auto"/>
                  <w:vAlign w:val="center"/>
                </w:tcPr>
                <w:p w14:paraId="4C584499">
                  <w:pPr>
                    <w:jc w:val="center"/>
                    <w:rPr>
                      <w:color w:val="auto"/>
                    </w:rPr>
                  </w:pPr>
                  <w:r>
                    <w:rPr>
                      <w:color w:val="auto"/>
                    </w:rPr>
                    <w:t>第Ⅰ类一般工业固体废物</w:t>
                  </w:r>
                </w:p>
                <w:p w14:paraId="23F96179">
                  <w:pPr>
                    <w:jc w:val="center"/>
                    <w:rPr>
                      <w:color w:val="auto"/>
                      <w:lang w:val="en-US" w:eastAsia="en-US"/>
                    </w:rPr>
                  </w:pPr>
                  <w:r>
                    <w:rPr>
                      <w:color w:val="auto"/>
                    </w:rPr>
                    <w:t>（398-005-10）</w:t>
                  </w:r>
                </w:p>
              </w:tc>
              <w:tc>
                <w:tcPr>
                  <w:tcW w:w="3072" w:type="dxa"/>
                  <w:shd w:val="clear" w:color="auto" w:fill="auto"/>
                  <w:vAlign w:val="center"/>
                </w:tcPr>
                <w:p w14:paraId="2C4D301B">
                  <w:pPr>
                    <w:jc w:val="center"/>
                    <w:rPr>
                      <w:color w:val="auto"/>
                      <w:lang w:val="en-US" w:eastAsia="en-US"/>
                    </w:rPr>
                  </w:pPr>
                  <w:r>
                    <w:rPr>
                      <w:color w:val="auto"/>
                    </w:rPr>
                    <w:t>交由相关稀土回收公司进行回收利用。</w:t>
                  </w:r>
                </w:p>
              </w:tc>
            </w:tr>
            <w:tr w14:paraId="4BBB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03DE4692">
                  <w:pPr>
                    <w:jc w:val="center"/>
                    <w:rPr>
                      <w:color w:val="auto"/>
                      <w:lang w:val="en-US" w:eastAsia="zh-CN"/>
                    </w:rPr>
                  </w:pPr>
                  <w:r>
                    <w:rPr>
                      <w:color w:val="auto"/>
                    </w:rPr>
                    <w:t>22</w:t>
                  </w:r>
                </w:p>
              </w:tc>
              <w:tc>
                <w:tcPr>
                  <w:tcW w:w="1636" w:type="dxa"/>
                  <w:shd w:val="clear" w:color="auto" w:fill="auto"/>
                  <w:vAlign w:val="center"/>
                </w:tcPr>
                <w:p w14:paraId="1F6F46AF">
                  <w:pPr>
                    <w:jc w:val="center"/>
                    <w:rPr>
                      <w:color w:val="auto"/>
                      <w:lang w:val="en-US" w:eastAsia="en-US"/>
                    </w:rPr>
                  </w:pPr>
                  <w:r>
                    <w:rPr>
                      <w:color w:val="auto"/>
                    </w:rPr>
                    <w:t>废活性炭</w:t>
                  </w:r>
                </w:p>
              </w:tc>
              <w:tc>
                <w:tcPr>
                  <w:tcW w:w="1456" w:type="dxa"/>
                  <w:shd w:val="clear" w:color="auto" w:fill="auto"/>
                  <w:vAlign w:val="center"/>
                </w:tcPr>
                <w:p w14:paraId="20B85432">
                  <w:pPr>
                    <w:jc w:val="center"/>
                    <w:rPr>
                      <w:color w:val="auto"/>
                      <w:lang w:val="en-US" w:eastAsia="zh-CN"/>
                    </w:rPr>
                  </w:pPr>
                  <w:r>
                    <w:rPr>
                      <w:color w:val="auto"/>
                    </w:rPr>
                    <w:t>30.8</w:t>
                  </w:r>
                </w:p>
              </w:tc>
              <w:tc>
                <w:tcPr>
                  <w:tcW w:w="2518" w:type="dxa"/>
                  <w:shd w:val="clear" w:color="auto" w:fill="auto"/>
                  <w:vAlign w:val="center"/>
                </w:tcPr>
                <w:p w14:paraId="14E8343C">
                  <w:pPr>
                    <w:jc w:val="center"/>
                    <w:rPr>
                      <w:color w:val="auto"/>
                      <w:lang w:val="en-US" w:eastAsia="en-US"/>
                    </w:rPr>
                  </w:pPr>
                  <w:r>
                    <w:rPr>
                      <w:color w:val="auto"/>
                    </w:rPr>
                    <w:t>危险废物（HW49）</w:t>
                  </w:r>
                </w:p>
              </w:tc>
              <w:tc>
                <w:tcPr>
                  <w:tcW w:w="3072" w:type="dxa"/>
                  <w:shd w:val="clear" w:color="auto" w:fill="auto"/>
                  <w:vAlign w:val="center"/>
                </w:tcPr>
                <w:p w14:paraId="40C01C3E">
                  <w:pPr>
                    <w:jc w:val="center"/>
                    <w:rPr>
                      <w:color w:val="auto"/>
                      <w:lang w:val="en-US" w:eastAsia="en-US"/>
                    </w:rPr>
                  </w:pPr>
                  <w:r>
                    <w:rPr>
                      <w:color w:val="auto"/>
                    </w:rPr>
                    <w:t>定期交由具有相应危险废物处理资质的单位进行处置。</w:t>
                  </w:r>
                </w:p>
              </w:tc>
            </w:tr>
            <w:tr w14:paraId="067A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05F16953">
                  <w:pPr>
                    <w:jc w:val="center"/>
                    <w:rPr>
                      <w:color w:val="auto"/>
                      <w:lang w:val="en-US" w:eastAsia="zh-CN"/>
                    </w:rPr>
                  </w:pPr>
                  <w:r>
                    <w:rPr>
                      <w:color w:val="auto"/>
                    </w:rPr>
                    <w:t>23</w:t>
                  </w:r>
                </w:p>
              </w:tc>
              <w:tc>
                <w:tcPr>
                  <w:tcW w:w="1636" w:type="dxa"/>
                  <w:shd w:val="clear" w:color="auto" w:fill="auto"/>
                  <w:vAlign w:val="center"/>
                </w:tcPr>
                <w:p w14:paraId="2818A208">
                  <w:pPr>
                    <w:jc w:val="center"/>
                    <w:rPr>
                      <w:color w:val="auto"/>
                      <w:lang w:val="en-US" w:eastAsia="en-US"/>
                    </w:rPr>
                  </w:pPr>
                  <w:r>
                    <w:rPr>
                      <w:color w:val="auto"/>
                    </w:rPr>
                    <w:t>废催化剂</w:t>
                  </w:r>
                </w:p>
              </w:tc>
              <w:tc>
                <w:tcPr>
                  <w:tcW w:w="1456" w:type="dxa"/>
                  <w:shd w:val="clear" w:color="auto" w:fill="auto"/>
                  <w:vAlign w:val="center"/>
                </w:tcPr>
                <w:p w14:paraId="7746D0D6">
                  <w:pPr>
                    <w:jc w:val="center"/>
                    <w:rPr>
                      <w:color w:val="auto"/>
                      <w:lang w:val="en-US" w:eastAsia="zh-CN"/>
                    </w:rPr>
                  </w:pPr>
                  <w:r>
                    <w:rPr>
                      <w:color w:val="auto"/>
                    </w:rPr>
                    <w:t>0.8</w:t>
                  </w:r>
                </w:p>
              </w:tc>
              <w:tc>
                <w:tcPr>
                  <w:tcW w:w="2518" w:type="dxa"/>
                  <w:shd w:val="clear" w:color="auto" w:fill="auto"/>
                  <w:vAlign w:val="center"/>
                </w:tcPr>
                <w:p w14:paraId="2D118681">
                  <w:pPr>
                    <w:jc w:val="center"/>
                    <w:rPr>
                      <w:color w:val="auto"/>
                      <w:lang w:val="en-US" w:eastAsia="en-US"/>
                    </w:rPr>
                  </w:pPr>
                  <w:r>
                    <w:rPr>
                      <w:color w:val="auto"/>
                    </w:rPr>
                    <w:t>危险废物（HW49）</w:t>
                  </w:r>
                </w:p>
              </w:tc>
              <w:tc>
                <w:tcPr>
                  <w:tcW w:w="3072" w:type="dxa"/>
                  <w:shd w:val="clear" w:color="auto" w:fill="auto"/>
                  <w:vAlign w:val="center"/>
                </w:tcPr>
                <w:p w14:paraId="454C295E">
                  <w:pPr>
                    <w:jc w:val="center"/>
                    <w:rPr>
                      <w:color w:val="auto"/>
                      <w:lang w:val="en-US" w:eastAsia="en-US"/>
                    </w:rPr>
                  </w:pPr>
                  <w:r>
                    <w:rPr>
                      <w:color w:val="auto"/>
                    </w:rPr>
                    <w:t>定期交由具有相应危险废物处理资质的单位进行处置。</w:t>
                  </w:r>
                </w:p>
              </w:tc>
            </w:tr>
            <w:tr w14:paraId="5C28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7CAEB84A">
                  <w:pPr>
                    <w:jc w:val="center"/>
                    <w:rPr>
                      <w:color w:val="auto"/>
                      <w:lang w:val="en-US" w:eastAsia="zh-CN"/>
                    </w:rPr>
                  </w:pPr>
                  <w:r>
                    <w:rPr>
                      <w:color w:val="auto"/>
                    </w:rPr>
                    <w:t>24</w:t>
                  </w:r>
                </w:p>
              </w:tc>
              <w:tc>
                <w:tcPr>
                  <w:tcW w:w="1636" w:type="dxa"/>
                  <w:shd w:val="clear" w:color="auto" w:fill="auto"/>
                  <w:vAlign w:val="center"/>
                </w:tcPr>
                <w:p w14:paraId="5CDBC327">
                  <w:pPr>
                    <w:jc w:val="center"/>
                    <w:rPr>
                      <w:color w:val="auto"/>
                    </w:rPr>
                  </w:pPr>
                  <w:r>
                    <w:rPr>
                      <w:color w:val="auto"/>
                    </w:rPr>
                    <w:t>纯水制备过程产</w:t>
                  </w:r>
                </w:p>
                <w:p w14:paraId="7D9CDC67">
                  <w:pPr>
                    <w:jc w:val="center"/>
                    <w:rPr>
                      <w:color w:val="auto"/>
                    </w:rPr>
                  </w:pPr>
                  <w:r>
                    <w:rPr>
                      <w:color w:val="auto"/>
                    </w:rPr>
                    <w:t>生的废活性炭和</w:t>
                  </w:r>
                </w:p>
                <w:p w14:paraId="2A099CD1">
                  <w:pPr>
                    <w:jc w:val="center"/>
                    <w:rPr>
                      <w:color w:val="auto"/>
                      <w:lang w:val="en-US" w:eastAsia="en-US"/>
                    </w:rPr>
                  </w:pPr>
                  <w:r>
                    <w:rPr>
                      <w:color w:val="auto"/>
                    </w:rPr>
                    <w:t>废RO膜</w:t>
                  </w:r>
                </w:p>
              </w:tc>
              <w:tc>
                <w:tcPr>
                  <w:tcW w:w="1456" w:type="dxa"/>
                  <w:shd w:val="clear" w:color="auto" w:fill="auto"/>
                  <w:vAlign w:val="center"/>
                </w:tcPr>
                <w:p w14:paraId="23D7AAF3">
                  <w:pPr>
                    <w:jc w:val="center"/>
                    <w:rPr>
                      <w:color w:val="auto"/>
                      <w:lang w:val="en-US" w:eastAsia="zh-CN"/>
                    </w:rPr>
                  </w:pPr>
                  <w:r>
                    <w:rPr>
                      <w:color w:val="auto"/>
                    </w:rPr>
                    <w:t>2</w:t>
                  </w:r>
                </w:p>
              </w:tc>
              <w:tc>
                <w:tcPr>
                  <w:tcW w:w="2518" w:type="dxa"/>
                  <w:shd w:val="clear" w:color="auto" w:fill="auto"/>
                  <w:vAlign w:val="center"/>
                </w:tcPr>
                <w:p w14:paraId="3764F406">
                  <w:pPr>
                    <w:jc w:val="center"/>
                    <w:rPr>
                      <w:color w:val="auto"/>
                    </w:rPr>
                  </w:pPr>
                  <w:r>
                    <w:rPr>
                      <w:color w:val="auto"/>
                    </w:rPr>
                    <w:t>第Ⅰ类一般工业固体废物</w:t>
                  </w:r>
                </w:p>
                <w:p w14:paraId="133DA5B4">
                  <w:pPr>
                    <w:jc w:val="center"/>
                    <w:rPr>
                      <w:color w:val="auto"/>
                      <w:lang w:val="en-US" w:eastAsia="en-US"/>
                    </w:rPr>
                  </w:pPr>
                  <w:r>
                    <w:rPr>
                      <w:color w:val="auto"/>
                    </w:rPr>
                    <w:t>（398-005-99）</w:t>
                  </w:r>
                </w:p>
              </w:tc>
              <w:tc>
                <w:tcPr>
                  <w:tcW w:w="3072" w:type="dxa"/>
                  <w:shd w:val="clear" w:color="auto" w:fill="auto"/>
                  <w:vAlign w:val="center"/>
                </w:tcPr>
                <w:p w14:paraId="65897EFC">
                  <w:pPr>
                    <w:jc w:val="center"/>
                    <w:rPr>
                      <w:color w:val="auto"/>
                      <w:lang w:val="en-US" w:eastAsia="en-US"/>
                    </w:rPr>
                  </w:pPr>
                  <w:r>
                    <w:rPr>
                      <w:color w:val="auto"/>
                    </w:rPr>
                    <w:t>定期外运一般工业固体废物填埋场填埋处置。</w:t>
                  </w:r>
                </w:p>
              </w:tc>
            </w:tr>
            <w:tr w14:paraId="593F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668633E7">
                  <w:pPr>
                    <w:jc w:val="center"/>
                    <w:rPr>
                      <w:color w:val="auto"/>
                      <w:lang w:val="en-US" w:eastAsia="zh-CN"/>
                    </w:rPr>
                  </w:pPr>
                  <w:r>
                    <w:rPr>
                      <w:color w:val="auto"/>
                    </w:rPr>
                    <w:t>25</w:t>
                  </w:r>
                </w:p>
              </w:tc>
              <w:tc>
                <w:tcPr>
                  <w:tcW w:w="1636" w:type="dxa"/>
                  <w:shd w:val="clear" w:color="auto" w:fill="auto"/>
                  <w:vAlign w:val="center"/>
                </w:tcPr>
                <w:p w14:paraId="62DBB42F">
                  <w:pPr>
                    <w:jc w:val="center"/>
                    <w:rPr>
                      <w:color w:val="auto"/>
                      <w:lang w:val="en-US" w:eastAsia="en-US"/>
                    </w:rPr>
                  </w:pPr>
                  <w:r>
                    <w:rPr>
                      <w:color w:val="auto"/>
                    </w:rPr>
                    <w:t>废退镀液（含渣）</w:t>
                  </w:r>
                </w:p>
              </w:tc>
              <w:tc>
                <w:tcPr>
                  <w:tcW w:w="1456" w:type="dxa"/>
                  <w:shd w:val="clear" w:color="auto" w:fill="auto"/>
                  <w:vAlign w:val="center"/>
                </w:tcPr>
                <w:p w14:paraId="0C2AE841">
                  <w:pPr>
                    <w:jc w:val="center"/>
                    <w:rPr>
                      <w:color w:val="auto"/>
                      <w:lang w:val="en-US" w:eastAsia="zh-CN"/>
                    </w:rPr>
                  </w:pPr>
                  <w:r>
                    <w:rPr>
                      <w:color w:val="auto"/>
                    </w:rPr>
                    <w:t>138.732</w:t>
                  </w:r>
                </w:p>
              </w:tc>
              <w:tc>
                <w:tcPr>
                  <w:tcW w:w="2518" w:type="dxa"/>
                  <w:shd w:val="clear" w:color="auto" w:fill="auto"/>
                  <w:vAlign w:val="center"/>
                </w:tcPr>
                <w:p w14:paraId="5269BBDB">
                  <w:pPr>
                    <w:jc w:val="center"/>
                    <w:rPr>
                      <w:color w:val="auto"/>
                      <w:lang w:val="en-US" w:eastAsia="en-US"/>
                    </w:rPr>
                  </w:pPr>
                  <w:r>
                    <w:rPr>
                      <w:color w:val="auto"/>
                    </w:rPr>
                    <w:t>危险废物（HW17）</w:t>
                  </w:r>
                </w:p>
              </w:tc>
              <w:tc>
                <w:tcPr>
                  <w:tcW w:w="3072" w:type="dxa"/>
                  <w:shd w:val="clear" w:color="auto" w:fill="auto"/>
                  <w:vAlign w:val="center"/>
                </w:tcPr>
                <w:p w14:paraId="1DBE809C">
                  <w:pPr>
                    <w:jc w:val="center"/>
                    <w:rPr>
                      <w:color w:val="auto"/>
                      <w:lang w:val="en-US" w:eastAsia="en-US"/>
                    </w:rPr>
                  </w:pPr>
                  <w:r>
                    <w:rPr>
                      <w:color w:val="auto"/>
                    </w:rPr>
                    <w:t>定期交由具有相应危险废物处理资质的单位进行处置。</w:t>
                  </w:r>
                </w:p>
              </w:tc>
            </w:tr>
            <w:tr w14:paraId="35A3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2D5EBA2B">
                  <w:pPr>
                    <w:jc w:val="center"/>
                    <w:rPr>
                      <w:color w:val="auto"/>
                      <w:lang w:val="en-US" w:eastAsia="zh-CN"/>
                    </w:rPr>
                  </w:pPr>
                  <w:r>
                    <w:rPr>
                      <w:color w:val="auto"/>
                    </w:rPr>
                    <w:t>26</w:t>
                  </w:r>
                </w:p>
              </w:tc>
              <w:tc>
                <w:tcPr>
                  <w:tcW w:w="1636" w:type="dxa"/>
                  <w:shd w:val="clear" w:color="auto" w:fill="auto"/>
                  <w:vAlign w:val="center"/>
                </w:tcPr>
                <w:p w14:paraId="76AE5C1A">
                  <w:pPr>
                    <w:jc w:val="center"/>
                    <w:rPr>
                      <w:color w:val="auto"/>
                      <w:lang w:val="en-US" w:eastAsia="en-US"/>
                    </w:rPr>
                  </w:pPr>
                  <w:r>
                    <w:rPr>
                      <w:color w:val="auto"/>
                    </w:rPr>
                    <w:t>废水处理过程产生的废膜</w:t>
                  </w:r>
                </w:p>
              </w:tc>
              <w:tc>
                <w:tcPr>
                  <w:tcW w:w="1456" w:type="dxa"/>
                  <w:shd w:val="clear" w:color="auto" w:fill="auto"/>
                  <w:vAlign w:val="center"/>
                </w:tcPr>
                <w:p w14:paraId="26484B21">
                  <w:pPr>
                    <w:jc w:val="center"/>
                    <w:rPr>
                      <w:color w:val="auto"/>
                      <w:lang w:val="en-US" w:eastAsia="zh-CN"/>
                    </w:rPr>
                  </w:pPr>
                  <w:r>
                    <w:rPr>
                      <w:color w:val="auto"/>
                    </w:rPr>
                    <w:t>3</w:t>
                  </w:r>
                </w:p>
              </w:tc>
              <w:tc>
                <w:tcPr>
                  <w:tcW w:w="2518" w:type="dxa"/>
                  <w:shd w:val="clear" w:color="auto" w:fill="auto"/>
                  <w:vAlign w:val="center"/>
                </w:tcPr>
                <w:p w14:paraId="026BEF2A">
                  <w:pPr>
                    <w:jc w:val="center"/>
                    <w:rPr>
                      <w:color w:val="auto"/>
                      <w:lang w:val="en-US" w:eastAsia="en-US"/>
                    </w:rPr>
                  </w:pPr>
                  <w:r>
                    <w:rPr>
                      <w:color w:val="auto"/>
                    </w:rPr>
                    <w:t>危险废物（HW49）</w:t>
                  </w:r>
                </w:p>
              </w:tc>
              <w:tc>
                <w:tcPr>
                  <w:tcW w:w="3072" w:type="dxa"/>
                  <w:shd w:val="clear" w:color="auto" w:fill="auto"/>
                  <w:vAlign w:val="center"/>
                </w:tcPr>
                <w:p w14:paraId="4DF6C81E">
                  <w:pPr>
                    <w:jc w:val="center"/>
                    <w:rPr>
                      <w:color w:val="auto"/>
                      <w:lang w:val="en-US" w:eastAsia="en-US"/>
                    </w:rPr>
                  </w:pPr>
                  <w:r>
                    <w:rPr>
                      <w:color w:val="auto"/>
                    </w:rPr>
                    <w:t>定期交由具有相应危险废物处理资质的单位进行处置。</w:t>
                  </w:r>
                </w:p>
              </w:tc>
            </w:tr>
            <w:tr w14:paraId="6ABC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072D5045">
                  <w:pPr>
                    <w:jc w:val="center"/>
                    <w:rPr>
                      <w:color w:val="auto"/>
                      <w:lang w:val="en-US" w:eastAsia="zh-CN"/>
                    </w:rPr>
                  </w:pPr>
                  <w:r>
                    <w:rPr>
                      <w:color w:val="auto"/>
                    </w:rPr>
                    <w:t>27</w:t>
                  </w:r>
                </w:p>
              </w:tc>
              <w:tc>
                <w:tcPr>
                  <w:tcW w:w="1636" w:type="dxa"/>
                  <w:shd w:val="clear" w:color="auto" w:fill="auto"/>
                  <w:vAlign w:val="center"/>
                </w:tcPr>
                <w:p w14:paraId="608C3214">
                  <w:pPr>
                    <w:jc w:val="center"/>
                    <w:rPr>
                      <w:color w:val="auto"/>
                      <w:lang w:val="en-US" w:eastAsia="en-US"/>
                    </w:rPr>
                  </w:pPr>
                  <w:r>
                    <w:rPr>
                      <w:color w:val="auto"/>
                    </w:rPr>
                    <w:t>油性漆水帘柜废液</w:t>
                  </w:r>
                </w:p>
              </w:tc>
              <w:tc>
                <w:tcPr>
                  <w:tcW w:w="1456" w:type="dxa"/>
                  <w:shd w:val="clear" w:color="auto" w:fill="auto"/>
                  <w:vAlign w:val="center"/>
                </w:tcPr>
                <w:p w14:paraId="596CB3E1">
                  <w:pPr>
                    <w:jc w:val="center"/>
                    <w:rPr>
                      <w:color w:val="auto"/>
                      <w:lang w:val="en-US" w:eastAsia="zh-CN"/>
                    </w:rPr>
                  </w:pPr>
                  <w:r>
                    <w:rPr>
                      <w:color w:val="auto"/>
                    </w:rPr>
                    <w:t>46.08</w:t>
                  </w:r>
                </w:p>
              </w:tc>
              <w:tc>
                <w:tcPr>
                  <w:tcW w:w="2518" w:type="dxa"/>
                  <w:shd w:val="clear" w:color="auto" w:fill="auto"/>
                  <w:vAlign w:val="center"/>
                </w:tcPr>
                <w:p w14:paraId="13C9416F">
                  <w:pPr>
                    <w:jc w:val="center"/>
                    <w:rPr>
                      <w:color w:val="auto"/>
                      <w:lang w:val="en-US" w:eastAsia="en-US"/>
                    </w:rPr>
                  </w:pPr>
                  <w:r>
                    <w:rPr>
                      <w:color w:val="auto"/>
                    </w:rPr>
                    <w:t>危险废物（HW12）</w:t>
                  </w:r>
                </w:p>
              </w:tc>
              <w:tc>
                <w:tcPr>
                  <w:tcW w:w="3072" w:type="dxa"/>
                  <w:shd w:val="clear" w:color="auto" w:fill="auto"/>
                  <w:vAlign w:val="center"/>
                </w:tcPr>
                <w:p w14:paraId="525CFDE6">
                  <w:pPr>
                    <w:jc w:val="center"/>
                    <w:rPr>
                      <w:color w:val="auto"/>
                      <w:lang w:val="en-US" w:eastAsia="en-US"/>
                    </w:rPr>
                  </w:pPr>
                  <w:r>
                    <w:rPr>
                      <w:color w:val="auto"/>
                    </w:rPr>
                    <w:t>定期交由具有相应危险废物处理资质的单位进行处置。</w:t>
                  </w:r>
                </w:p>
              </w:tc>
            </w:tr>
            <w:tr w14:paraId="7CED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441F1635">
                  <w:pPr>
                    <w:jc w:val="center"/>
                    <w:rPr>
                      <w:color w:val="auto"/>
                      <w:lang w:val="en-US" w:eastAsia="zh-CN"/>
                    </w:rPr>
                  </w:pPr>
                  <w:r>
                    <w:rPr>
                      <w:color w:val="auto"/>
                    </w:rPr>
                    <w:t>28</w:t>
                  </w:r>
                </w:p>
              </w:tc>
              <w:tc>
                <w:tcPr>
                  <w:tcW w:w="1636" w:type="dxa"/>
                  <w:shd w:val="clear" w:color="auto" w:fill="auto"/>
                  <w:vAlign w:val="center"/>
                </w:tcPr>
                <w:p w14:paraId="493160BC">
                  <w:pPr>
                    <w:jc w:val="center"/>
                    <w:rPr>
                      <w:color w:val="auto"/>
                      <w:lang w:val="en-US" w:eastAsia="en-US"/>
                    </w:rPr>
                  </w:pPr>
                  <w:r>
                    <w:rPr>
                      <w:color w:val="auto"/>
                    </w:rPr>
                    <w:t>废润滑油</w:t>
                  </w:r>
                </w:p>
              </w:tc>
              <w:tc>
                <w:tcPr>
                  <w:tcW w:w="1456" w:type="dxa"/>
                  <w:shd w:val="clear" w:color="auto" w:fill="auto"/>
                  <w:vAlign w:val="center"/>
                </w:tcPr>
                <w:p w14:paraId="3899C6E5">
                  <w:pPr>
                    <w:jc w:val="center"/>
                    <w:rPr>
                      <w:color w:val="auto"/>
                      <w:lang w:val="en-US" w:eastAsia="zh-CN"/>
                    </w:rPr>
                  </w:pPr>
                  <w:r>
                    <w:rPr>
                      <w:color w:val="auto"/>
                    </w:rPr>
                    <w:t>0.02</w:t>
                  </w:r>
                </w:p>
              </w:tc>
              <w:tc>
                <w:tcPr>
                  <w:tcW w:w="2518" w:type="dxa"/>
                  <w:shd w:val="clear" w:color="auto" w:fill="auto"/>
                  <w:vAlign w:val="center"/>
                </w:tcPr>
                <w:p w14:paraId="6BE894B0">
                  <w:pPr>
                    <w:jc w:val="center"/>
                    <w:rPr>
                      <w:color w:val="auto"/>
                      <w:lang w:val="en-US" w:eastAsia="en-US"/>
                    </w:rPr>
                  </w:pPr>
                  <w:r>
                    <w:rPr>
                      <w:color w:val="auto"/>
                    </w:rPr>
                    <w:t>危险废物（HW08）</w:t>
                  </w:r>
                </w:p>
              </w:tc>
              <w:tc>
                <w:tcPr>
                  <w:tcW w:w="3072" w:type="dxa"/>
                  <w:shd w:val="clear" w:color="auto" w:fill="auto"/>
                  <w:vAlign w:val="center"/>
                </w:tcPr>
                <w:p w14:paraId="45C17C12">
                  <w:pPr>
                    <w:jc w:val="center"/>
                    <w:rPr>
                      <w:color w:val="auto"/>
                      <w:lang w:val="en-US" w:eastAsia="en-US"/>
                    </w:rPr>
                  </w:pPr>
                  <w:r>
                    <w:rPr>
                      <w:color w:val="auto"/>
                    </w:rPr>
                    <w:t>定期交由具有相应危险废物处理资质的单位进行处置。</w:t>
                  </w:r>
                </w:p>
              </w:tc>
            </w:tr>
            <w:tr w14:paraId="35BE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071D8893">
                  <w:pPr>
                    <w:jc w:val="center"/>
                    <w:rPr>
                      <w:color w:val="auto"/>
                      <w:lang w:val="en-US" w:eastAsia="zh-CN"/>
                    </w:rPr>
                  </w:pPr>
                  <w:r>
                    <w:rPr>
                      <w:color w:val="auto"/>
                    </w:rPr>
                    <w:t>29</w:t>
                  </w:r>
                </w:p>
              </w:tc>
              <w:tc>
                <w:tcPr>
                  <w:tcW w:w="1636" w:type="dxa"/>
                  <w:shd w:val="clear" w:color="auto" w:fill="auto"/>
                  <w:vAlign w:val="center"/>
                </w:tcPr>
                <w:p w14:paraId="61DD6A7A">
                  <w:pPr>
                    <w:jc w:val="center"/>
                    <w:rPr>
                      <w:color w:val="auto"/>
                      <w:lang w:val="en-US" w:eastAsia="en-US"/>
                    </w:rPr>
                  </w:pPr>
                  <w:r>
                    <w:rPr>
                      <w:color w:val="auto"/>
                    </w:rPr>
                    <w:t>废含油抹布</w:t>
                  </w:r>
                </w:p>
              </w:tc>
              <w:tc>
                <w:tcPr>
                  <w:tcW w:w="1456" w:type="dxa"/>
                  <w:shd w:val="clear" w:color="auto" w:fill="auto"/>
                  <w:vAlign w:val="center"/>
                </w:tcPr>
                <w:p w14:paraId="627E244D">
                  <w:pPr>
                    <w:jc w:val="center"/>
                    <w:rPr>
                      <w:color w:val="auto"/>
                      <w:lang w:val="en-US" w:eastAsia="zh-CN"/>
                    </w:rPr>
                  </w:pPr>
                  <w:r>
                    <w:rPr>
                      <w:color w:val="auto"/>
                    </w:rPr>
                    <w:t>0.01</w:t>
                  </w:r>
                </w:p>
              </w:tc>
              <w:tc>
                <w:tcPr>
                  <w:tcW w:w="2518" w:type="dxa"/>
                  <w:shd w:val="clear" w:color="auto" w:fill="auto"/>
                  <w:vAlign w:val="center"/>
                </w:tcPr>
                <w:p w14:paraId="6083005A">
                  <w:pPr>
                    <w:jc w:val="center"/>
                    <w:rPr>
                      <w:color w:val="auto"/>
                      <w:lang w:val="en-US" w:eastAsia="en-US"/>
                    </w:rPr>
                  </w:pPr>
                  <w:r>
                    <w:rPr>
                      <w:color w:val="auto"/>
                    </w:rPr>
                    <w:t>危险废物（HW49）</w:t>
                  </w:r>
                </w:p>
              </w:tc>
              <w:tc>
                <w:tcPr>
                  <w:tcW w:w="3072" w:type="dxa"/>
                  <w:shd w:val="clear" w:color="auto" w:fill="auto"/>
                  <w:vAlign w:val="center"/>
                </w:tcPr>
                <w:p w14:paraId="56FAEE54">
                  <w:pPr>
                    <w:jc w:val="center"/>
                    <w:rPr>
                      <w:color w:val="auto"/>
                      <w:lang w:val="en-US" w:eastAsia="en-US"/>
                    </w:rPr>
                  </w:pPr>
                  <w:r>
                    <w:rPr>
                      <w:color w:val="auto"/>
                    </w:rPr>
                    <w:t>定期交由具有相应危险废物处理资质的单位进行处置。</w:t>
                  </w:r>
                </w:p>
              </w:tc>
            </w:tr>
            <w:tr w14:paraId="1EDE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775C16E6">
                  <w:pPr>
                    <w:jc w:val="center"/>
                    <w:rPr>
                      <w:color w:val="auto"/>
                      <w:lang w:val="en-US" w:eastAsia="zh-CN"/>
                    </w:rPr>
                  </w:pPr>
                  <w:r>
                    <w:rPr>
                      <w:color w:val="auto"/>
                    </w:rPr>
                    <w:t>30</w:t>
                  </w:r>
                </w:p>
              </w:tc>
              <w:tc>
                <w:tcPr>
                  <w:tcW w:w="1636" w:type="dxa"/>
                  <w:shd w:val="clear" w:color="auto" w:fill="auto"/>
                  <w:vAlign w:val="center"/>
                </w:tcPr>
                <w:p w14:paraId="6BFB69E2">
                  <w:pPr>
                    <w:jc w:val="center"/>
                    <w:rPr>
                      <w:color w:val="auto"/>
                      <w:lang w:val="en-US" w:eastAsia="en-US"/>
                    </w:rPr>
                  </w:pPr>
                  <w:r>
                    <w:rPr>
                      <w:color w:val="auto"/>
                    </w:rPr>
                    <w:t>废倒角磨料</w:t>
                  </w:r>
                </w:p>
              </w:tc>
              <w:tc>
                <w:tcPr>
                  <w:tcW w:w="1456" w:type="dxa"/>
                  <w:shd w:val="clear" w:color="auto" w:fill="auto"/>
                  <w:vAlign w:val="center"/>
                </w:tcPr>
                <w:p w14:paraId="0B4E5A01">
                  <w:pPr>
                    <w:jc w:val="center"/>
                    <w:rPr>
                      <w:color w:val="auto"/>
                      <w:lang w:val="en-US" w:eastAsia="zh-CN"/>
                    </w:rPr>
                  </w:pPr>
                  <w:r>
                    <w:rPr>
                      <w:color w:val="auto"/>
                    </w:rPr>
                    <w:t>250</w:t>
                  </w:r>
                </w:p>
              </w:tc>
              <w:tc>
                <w:tcPr>
                  <w:tcW w:w="2518" w:type="dxa"/>
                  <w:shd w:val="clear" w:color="auto" w:fill="auto"/>
                  <w:vAlign w:val="center"/>
                </w:tcPr>
                <w:p w14:paraId="3F7F9323">
                  <w:pPr>
                    <w:jc w:val="center"/>
                    <w:rPr>
                      <w:color w:val="auto"/>
                    </w:rPr>
                  </w:pPr>
                  <w:r>
                    <w:rPr>
                      <w:color w:val="auto"/>
                    </w:rPr>
                    <w:t>第Ⅰ类一般工业固体废物</w:t>
                  </w:r>
                </w:p>
                <w:p w14:paraId="624D3474">
                  <w:pPr>
                    <w:jc w:val="center"/>
                    <w:rPr>
                      <w:color w:val="auto"/>
                      <w:lang w:val="en-US" w:eastAsia="en-US"/>
                    </w:rPr>
                  </w:pPr>
                  <w:r>
                    <w:rPr>
                      <w:color w:val="auto"/>
                    </w:rPr>
                    <w:t>（398-005-99）</w:t>
                  </w:r>
                </w:p>
              </w:tc>
              <w:tc>
                <w:tcPr>
                  <w:tcW w:w="3072" w:type="dxa"/>
                  <w:shd w:val="clear" w:color="auto" w:fill="auto"/>
                  <w:vAlign w:val="center"/>
                </w:tcPr>
                <w:p w14:paraId="6DFD1689">
                  <w:pPr>
                    <w:jc w:val="center"/>
                    <w:rPr>
                      <w:color w:val="auto"/>
                      <w:lang w:val="en-US" w:eastAsia="en-US"/>
                    </w:rPr>
                  </w:pPr>
                  <w:r>
                    <w:rPr>
                      <w:color w:val="auto"/>
                    </w:rPr>
                    <w:t>外售给废旧物资回收公司。</w:t>
                  </w:r>
                </w:p>
              </w:tc>
            </w:tr>
            <w:tr w14:paraId="5E26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6541C9EA">
                  <w:pPr>
                    <w:jc w:val="center"/>
                    <w:rPr>
                      <w:color w:val="auto"/>
                      <w:lang w:val="en-US" w:eastAsia="zh-CN"/>
                    </w:rPr>
                  </w:pPr>
                  <w:r>
                    <w:rPr>
                      <w:color w:val="auto"/>
                    </w:rPr>
                    <w:t>31</w:t>
                  </w:r>
                </w:p>
              </w:tc>
              <w:tc>
                <w:tcPr>
                  <w:tcW w:w="1636" w:type="dxa"/>
                  <w:shd w:val="clear" w:color="auto" w:fill="auto"/>
                  <w:vAlign w:val="center"/>
                </w:tcPr>
                <w:p w14:paraId="6771CC18">
                  <w:pPr>
                    <w:jc w:val="center"/>
                    <w:rPr>
                      <w:color w:val="auto"/>
                      <w:lang w:val="en-US" w:eastAsia="en-US"/>
                    </w:rPr>
                  </w:pPr>
                  <w:r>
                    <w:rPr>
                      <w:color w:val="auto"/>
                    </w:rPr>
                    <w:t>喷枪清洗废液</w:t>
                  </w:r>
                </w:p>
              </w:tc>
              <w:tc>
                <w:tcPr>
                  <w:tcW w:w="1456" w:type="dxa"/>
                  <w:shd w:val="clear" w:color="auto" w:fill="auto"/>
                  <w:vAlign w:val="center"/>
                </w:tcPr>
                <w:p w14:paraId="547AA142">
                  <w:pPr>
                    <w:jc w:val="center"/>
                    <w:rPr>
                      <w:color w:val="auto"/>
                      <w:lang w:val="en-US" w:eastAsia="zh-CN"/>
                    </w:rPr>
                  </w:pPr>
                  <w:r>
                    <w:rPr>
                      <w:color w:val="auto"/>
                    </w:rPr>
                    <w:t>0.4</w:t>
                  </w:r>
                </w:p>
              </w:tc>
              <w:tc>
                <w:tcPr>
                  <w:tcW w:w="2518" w:type="dxa"/>
                  <w:shd w:val="clear" w:color="auto" w:fill="auto"/>
                  <w:vAlign w:val="center"/>
                </w:tcPr>
                <w:p w14:paraId="2398A214">
                  <w:pPr>
                    <w:jc w:val="center"/>
                    <w:rPr>
                      <w:color w:val="auto"/>
                      <w:lang w:val="en-US" w:eastAsia="en-US"/>
                    </w:rPr>
                  </w:pPr>
                  <w:r>
                    <w:rPr>
                      <w:color w:val="auto"/>
                    </w:rPr>
                    <w:t>危险废物（HW12）</w:t>
                  </w:r>
                </w:p>
              </w:tc>
              <w:tc>
                <w:tcPr>
                  <w:tcW w:w="3072" w:type="dxa"/>
                  <w:shd w:val="clear" w:color="auto" w:fill="auto"/>
                  <w:vAlign w:val="center"/>
                </w:tcPr>
                <w:p w14:paraId="553F860B">
                  <w:pPr>
                    <w:jc w:val="center"/>
                    <w:rPr>
                      <w:color w:val="auto"/>
                      <w:lang w:val="en-US" w:eastAsia="en-US"/>
                    </w:rPr>
                  </w:pPr>
                  <w:r>
                    <w:rPr>
                      <w:color w:val="auto"/>
                    </w:rPr>
                    <w:t>定期交由具有相应危险废物处理资质的单位进行处置。</w:t>
                  </w:r>
                </w:p>
              </w:tc>
            </w:tr>
            <w:tr w14:paraId="2C4A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73BFDF2A">
                  <w:pPr>
                    <w:jc w:val="center"/>
                    <w:rPr>
                      <w:color w:val="auto"/>
                      <w:lang w:val="en-US" w:eastAsia="zh-CN"/>
                    </w:rPr>
                  </w:pPr>
                  <w:r>
                    <w:rPr>
                      <w:color w:val="auto"/>
                    </w:rPr>
                    <w:t>32</w:t>
                  </w:r>
                </w:p>
              </w:tc>
              <w:tc>
                <w:tcPr>
                  <w:tcW w:w="1636" w:type="dxa"/>
                  <w:shd w:val="clear" w:color="auto" w:fill="auto"/>
                  <w:vAlign w:val="center"/>
                </w:tcPr>
                <w:p w14:paraId="3C7CA09C">
                  <w:pPr>
                    <w:jc w:val="center"/>
                    <w:rPr>
                      <w:color w:val="auto"/>
                      <w:lang w:val="en-US" w:eastAsia="en-US"/>
                    </w:rPr>
                  </w:pPr>
                  <w:r>
                    <w:rPr>
                      <w:color w:val="auto"/>
                    </w:rPr>
                    <w:t>废过滤滤材</w:t>
                  </w:r>
                </w:p>
              </w:tc>
              <w:tc>
                <w:tcPr>
                  <w:tcW w:w="1456" w:type="dxa"/>
                  <w:shd w:val="clear" w:color="auto" w:fill="auto"/>
                  <w:vAlign w:val="center"/>
                </w:tcPr>
                <w:p w14:paraId="00A967F6">
                  <w:pPr>
                    <w:jc w:val="center"/>
                    <w:rPr>
                      <w:color w:val="auto"/>
                      <w:lang w:val="en-US" w:eastAsia="zh-CN"/>
                    </w:rPr>
                  </w:pPr>
                  <w:r>
                    <w:rPr>
                      <w:color w:val="auto"/>
                    </w:rPr>
                    <w:t>0.05</w:t>
                  </w:r>
                </w:p>
              </w:tc>
              <w:tc>
                <w:tcPr>
                  <w:tcW w:w="2518" w:type="dxa"/>
                  <w:shd w:val="clear" w:color="auto" w:fill="auto"/>
                  <w:vAlign w:val="center"/>
                </w:tcPr>
                <w:p w14:paraId="33E3CF18">
                  <w:pPr>
                    <w:jc w:val="center"/>
                    <w:rPr>
                      <w:color w:val="auto"/>
                      <w:lang w:val="en-US" w:eastAsia="en-US"/>
                    </w:rPr>
                  </w:pPr>
                  <w:r>
                    <w:rPr>
                      <w:color w:val="auto"/>
                    </w:rPr>
                    <w:t>危险废物（HW49）</w:t>
                  </w:r>
                </w:p>
              </w:tc>
              <w:tc>
                <w:tcPr>
                  <w:tcW w:w="3072" w:type="dxa"/>
                  <w:shd w:val="clear" w:color="auto" w:fill="auto"/>
                  <w:vAlign w:val="center"/>
                </w:tcPr>
                <w:p w14:paraId="79E663A8">
                  <w:pPr>
                    <w:jc w:val="center"/>
                    <w:rPr>
                      <w:color w:val="auto"/>
                      <w:lang w:val="en-US" w:eastAsia="en-US"/>
                    </w:rPr>
                  </w:pPr>
                  <w:r>
                    <w:rPr>
                      <w:color w:val="auto"/>
                    </w:rPr>
                    <w:t>定期交由具有相应危险废物处理资质的单位进行处置。</w:t>
                  </w:r>
                </w:p>
              </w:tc>
            </w:tr>
            <w:tr w14:paraId="5BA8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0A34EFD1">
                  <w:pPr>
                    <w:jc w:val="center"/>
                    <w:rPr>
                      <w:color w:val="auto"/>
                      <w:lang w:val="en-US" w:eastAsia="zh-CN"/>
                    </w:rPr>
                  </w:pPr>
                  <w:r>
                    <w:rPr>
                      <w:color w:val="auto"/>
                    </w:rPr>
                    <w:t>33</w:t>
                  </w:r>
                </w:p>
              </w:tc>
              <w:tc>
                <w:tcPr>
                  <w:tcW w:w="1636" w:type="dxa"/>
                  <w:shd w:val="clear" w:color="auto" w:fill="auto"/>
                  <w:vAlign w:val="center"/>
                </w:tcPr>
                <w:p w14:paraId="3AF70EBC">
                  <w:pPr>
                    <w:jc w:val="center"/>
                    <w:rPr>
                      <w:color w:val="auto"/>
                      <w:lang w:val="en-US" w:eastAsia="en-US"/>
                    </w:rPr>
                  </w:pPr>
                  <w:r>
                    <w:rPr>
                      <w:color w:val="auto"/>
                    </w:rPr>
                    <w:t>不合格品</w:t>
                  </w:r>
                </w:p>
              </w:tc>
              <w:tc>
                <w:tcPr>
                  <w:tcW w:w="1456" w:type="dxa"/>
                  <w:shd w:val="clear" w:color="auto" w:fill="auto"/>
                  <w:vAlign w:val="center"/>
                </w:tcPr>
                <w:p w14:paraId="141A57D3">
                  <w:pPr>
                    <w:jc w:val="center"/>
                    <w:rPr>
                      <w:color w:val="auto"/>
                      <w:lang w:val="en-US" w:eastAsia="zh-CN"/>
                    </w:rPr>
                  </w:pPr>
                  <w:r>
                    <w:rPr>
                      <w:color w:val="auto"/>
                    </w:rPr>
                    <w:t>1525</w:t>
                  </w:r>
                </w:p>
              </w:tc>
              <w:tc>
                <w:tcPr>
                  <w:tcW w:w="2518" w:type="dxa"/>
                  <w:shd w:val="clear" w:color="auto" w:fill="auto"/>
                  <w:vAlign w:val="center"/>
                </w:tcPr>
                <w:p w14:paraId="4A691914">
                  <w:pPr>
                    <w:jc w:val="center"/>
                    <w:rPr>
                      <w:color w:val="auto"/>
                    </w:rPr>
                  </w:pPr>
                  <w:r>
                    <w:rPr>
                      <w:color w:val="auto"/>
                    </w:rPr>
                    <w:t>第Ⅰ类一般工业固体废物</w:t>
                  </w:r>
                </w:p>
                <w:p w14:paraId="31ED0A3E">
                  <w:pPr>
                    <w:jc w:val="center"/>
                    <w:rPr>
                      <w:color w:val="auto"/>
                      <w:lang w:val="en-US" w:eastAsia="en-US"/>
                    </w:rPr>
                  </w:pPr>
                  <w:r>
                    <w:rPr>
                      <w:color w:val="auto"/>
                    </w:rPr>
                    <w:t>（398-005-10）</w:t>
                  </w:r>
                </w:p>
              </w:tc>
              <w:tc>
                <w:tcPr>
                  <w:tcW w:w="3072" w:type="dxa"/>
                  <w:shd w:val="clear" w:color="auto" w:fill="auto"/>
                  <w:vAlign w:val="center"/>
                </w:tcPr>
                <w:p w14:paraId="7A1350CB">
                  <w:pPr>
                    <w:jc w:val="center"/>
                    <w:rPr>
                      <w:color w:val="auto"/>
                      <w:lang w:val="en-US" w:eastAsia="en-US"/>
                    </w:rPr>
                  </w:pPr>
                  <w:r>
                    <w:rPr>
                      <w:color w:val="auto"/>
                    </w:rPr>
                    <w:t>退镀后返回相应的表面处理线。</w:t>
                  </w:r>
                </w:p>
              </w:tc>
            </w:tr>
            <w:tr w14:paraId="21D6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12" w:type="dxa"/>
                  <w:shd w:val="clear" w:color="auto" w:fill="auto"/>
                  <w:vAlign w:val="center"/>
                </w:tcPr>
                <w:p w14:paraId="6B268BE1">
                  <w:pPr>
                    <w:jc w:val="center"/>
                    <w:rPr>
                      <w:color w:val="auto"/>
                      <w:lang w:val="en-US" w:eastAsia="zh-CN"/>
                    </w:rPr>
                  </w:pPr>
                  <w:r>
                    <w:rPr>
                      <w:color w:val="auto"/>
                    </w:rPr>
                    <w:t>34</w:t>
                  </w:r>
                </w:p>
              </w:tc>
              <w:tc>
                <w:tcPr>
                  <w:tcW w:w="1636" w:type="dxa"/>
                  <w:shd w:val="clear" w:color="auto" w:fill="auto"/>
                  <w:vAlign w:val="center"/>
                </w:tcPr>
                <w:p w14:paraId="3BB67080">
                  <w:pPr>
                    <w:jc w:val="center"/>
                    <w:rPr>
                      <w:color w:val="auto"/>
                      <w:lang w:val="en-US" w:eastAsia="en-US"/>
                    </w:rPr>
                  </w:pPr>
                  <w:r>
                    <w:rPr>
                      <w:color w:val="auto"/>
                    </w:rPr>
                    <w:t>生活垃圾</w:t>
                  </w:r>
                </w:p>
              </w:tc>
              <w:tc>
                <w:tcPr>
                  <w:tcW w:w="1456" w:type="dxa"/>
                  <w:shd w:val="clear" w:color="auto" w:fill="auto"/>
                  <w:vAlign w:val="center"/>
                </w:tcPr>
                <w:p w14:paraId="66EAFE53">
                  <w:pPr>
                    <w:jc w:val="center"/>
                    <w:rPr>
                      <w:color w:val="auto"/>
                      <w:lang w:val="en-US" w:eastAsia="zh-CN"/>
                    </w:rPr>
                  </w:pPr>
                  <w:r>
                    <w:rPr>
                      <w:color w:val="auto"/>
                    </w:rPr>
                    <w:t>276.5</w:t>
                  </w:r>
                </w:p>
              </w:tc>
              <w:tc>
                <w:tcPr>
                  <w:tcW w:w="2518" w:type="dxa"/>
                  <w:shd w:val="clear" w:color="auto" w:fill="auto"/>
                  <w:vAlign w:val="center"/>
                </w:tcPr>
                <w:p w14:paraId="20E15D8F">
                  <w:pPr>
                    <w:jc w:val="center"/>
                    <w:rPr>
                      <w:color w:val="auto"/>
                      <w:lang w:val="en-US" w:eastAsia="zh-CN"/>
                    </w:rPr>
                  </w:pPr>
                  <w:r>
                    <w:rPr>
                      <w:color w:val="auto"/>
                    </w:rPr>
                    <w:t>/</w:t>
                  </w:r>
                </w:p>
              </w:tc>
              <w:tc>
                <w:tcPr>
                  <w:tcW w:w="3072" w:type="dxa"/>
                  <w:shd w:val="clear" w:color="auto" w:fill="auto"/>
                  <w:vAlign w:val="center"/>
                </w:tcPr>
                <w:p w14:paraId="2EF68893">
                  <w:pPr>
                    <w:jc w:val="center"/>
                    <w:rPr>
                      <w:color w:val="auto"/>
                      <w:lang w:val="en-US" w:eastAsia="en-US"/>
                    </w:rPr>
                  </w:pPr>
                  <w:r>
                    <w:rPr>
                      <w:color w:val="auto"/>
                    </w:rPr>
                    <w:t>由当地环卫部门统一处理。</w:t>
                  </w:r>
                </w:p>
              </w:tc>
            </w:tr>
            <w:tr w14:paraId="0C0B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1209" w:type="pct"/>
                  <w:gridSpan w:val="2"/>
                  <w:shd w:val="clear" w:color="auto" w:fill="auto"/>
                  <w:vAlign w:val="center"/>
                </w:tcPr>
                <w:p w14:paraId="39409A73">
                  <w:pPr>
                    <w:jc w:val="center"/>
                    <w:rPr>
                      <w:color w:val="auto"/>
                      <w:lang w:val="en-US" w:eastAsia="zh-CN"/>
                    </w:rPr>
                  </w:pPr>
                  <w:r>
                    <w:rPr>
                      <w:color w:val="auto"/>
                    </w:rPr>
                    <w:t>合计</w:t>
                  </w:r>
                </w:p>
              </w:tc>
              <w:tc>
                <w:tcPr>
                  <w:tcW w:w="1456" w:type="dxa"/>
                  <w:shd w:val="clear" w:color="auto" w:fill="auto"/>
                  <w:vAlign w:val="center"/>
                </w:tcPr>
                <w:p w14:paraId="2AB579D1">
                  <w:pPr>
                    <w:jc w:val="center"/>
                    <w:rPr>
                      <w:color w:val="auto"/>
                      <w:lang w:val="en-US" w:eastAsia="zh-CN"/>
                    </w:rPr>
                  </w:pPr>
                  <w:r>
                    <w:rPr>
                      <w:color w:val="auto"/>
                    </w:rPr>
                    <w:t>3691.128</w:t>
                  </w:r>
                </w:p>
              </w:tc>
              <w:tc>
                <w:tcPr>
                  <w:tcW w:w="2518" w:type="dxa"/>
                  <w:shd w:val="clear" w:color="auto" w:fill="auto"/>
                  <w:vAlign w:val="center"/>
                </w:tcPr>
                <w:p w14:paraId="18BF44C4">
                  <w:pPr>
                    <w:jc w:val="center"/>
                    <w:rPr>
                      <w:color w:val="auto"/>
                      <w:lang w:val="en-US" w:eastAsia="zh-CN"/>
                    </w:rPr>
                  </w:pPr>
                  <w:r>
                    <w:rPr>
                      <w:color w:val="auto"/>
                    </w:rPr>
                    <w:t>/</w:t>
                  </w:r>
                </w:p>
              </w:tc>
              <w:tc>
                <w:tcPr>
                  <w:tcW w:w="3072" w:type="dxa"/>
                  <w:vAlign w:val="center"/>
                </w:tcPr>
                <w:p w14:paraId="4F26448C">
                  <w:pPr>
                    <w:jc w:val="center"/>
                    <w:rPr>
                      <w:rFonts w:hint="eastAsia" w:eastAsia="宋体"/>
                      <w:color w:val="auto"/>
                      <w:lang w:val="en-US" w:eastAsia="zh-CN"/>
                    </w:rPr>
                  </w:pPr>
                  <w:r>
                    <w:rPr>
                      <w:rFonts w:hint="eastAsia"/>
                      <w:color w:val="auto"/>
                      <w:lang w:val="en-US" w:eastAsia="zh-CN"/>
                    </w:rPr>
                    <w:t>/</w:t>
                  </w:r>
                </w:p>
              </w:tc>
            </w:tr>
          </w:tbl>
          <w:p w14:paraId="554B0CF2">
            <w:pPr>
              <w:autoSpaceDE w:val="0"/>
              <w:autoSpaceDN w:val="0"/>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lang w:val="en-US" w:eastAsia="zh-CN"/>
              </w:rPr>
              <w:t>5</w:t>
            </w:r>
            <w:r>
              <w:rPr>
                <w:rFonts w:hint="eastAsia"/>
                <w:color w:val="auto"/>
                <w:sz w:val="24"/>
                <w:szCs w:val="24"/>
                <w:lang w:eastAsia="zh-CN"/>
              </w:rPr>
              <w:t>）现有工程</w:t>
            </w:r>
            <w:r>
              <w:rPr>
                <w:rFonts w:hint="eastAsia"/>
                <w:color w:val="auto"/>
                <w:sz w:val="24"/>
                <w:szCs w:val="24"/>
                <w:lang w:val="en-US" w:eastAsia="zh-CN"/>
              </w:rPr>
              <w:t>总量</w:t>
            </w:r>
            <w:r>
              <w:rPr>
                <w:rFonts w:hint="eastAsia"/>
                <w:color w:val="auto"/>
                <w:sz w:val="24"/>
                <w:szCs w:val="24"/>
              </w:rPr>
              <w:t>情况</w:t>
            </w:r>
          </w:p>
          <w:p w14:paraId="0EB59716">
            <w:pPr>
              <w:autoSpaceDE w:val="0"/>
              <w:autoSpaceDN w:val="0"/>
              <w:adjustRightInd w:val="0"/>
              <w:snapToGrid w:val="0"/>
              <w:spacing w:line="360" w:lineRule="auto"/>
              <w:ind w:firstLine="480" w:firstLineChars="200"/>
              <w:rPr>
                <w:rFonts w:hint="eastAsia"/>
                <w:color w:val="auto"/>
                <w:sz w:val="24"/>
                <w:szCs w:val="24"/>
              </w:rPr>
            </w:pPr>
            <w:r>
              <w:rPr>
                <w:rFonts w:hint="eastAsia"/>
                <w:color w:val="auto"/>
                <w:sz w:val="24"/>
                <w:szCs w:val="24"/>
              </w:rPr>
              <w:t>现有工程污染物排放</w:t>
            </w:r>
            <w:r>
              <w:rPr>
                <w:rFonts w:hint="eastAsia"/>
                <w:color w:val="auto"/>
                <w:sz w:val="24"/>
                <w:szCs w:val="24"/>
                <w:lang w:val="en-US" w:eastAsia="zh-CN"/>
              </w:rPr>
              <w:t>总量</w:t>
            </w:r>
            <w:r>
              <w:rPr>
                <w:rFonts w:hint="eastAsia"/>
                <w:color w:val="auto"/>
                <w:sz w:val="24"/>
                <w:szCs w:val="24"/>
              </w:rPr>
              <w:t>情况见表</w:t>
            </w:r>
            <w:r>
              <w:rPr>
                <w:rFonts w:hint="eastAsia"/>
                <w:color w:val="auto"/>
                <w:sz w:val="24"/>
                <w:szCs w:val="24"/>
                <w:lang w:val="en-US" w:eastAsia="zh-CN"/>
              </w:rPr>
              <w:t>2-20</w:t>
            </w:r>
            <w:r>
              <w:rPr>
                <w:rFonts w:hint="eastAsia"/>
                <w:color w:val="auto"/>
                <w:sz w:val="24"/>
                <w:szCs w:val="24"/>
              </w:rPr>
              <w:t>。</w:t>
            </w:r>
          </w:p>
          <w:p w14:paraId="0CFF3FC0">
            <w:pPr>
              <w:autoSpaceDE w:val="0"/>
              <w:autoSpaceDN w:val="0"/>
              <w:adjustRightInd w:val="0"/>
              <w:snapToGrid w:val="0"/>
              <w:ind w:firstLine="482" w:firstLineChars="200"/>
              <w:jc w:val="center"/>
              <w:rPr>
                <w:b/>
                <w:bCs/>
                <w:color w:val="auto"/>
                <w:sz w:val="24"/>
                <w:szCs w:val="24"/>
              </w:rPr>
            </w:pPr>
            <w:r>
              <w:rPr>
                <w:rFonts w:hint="eastAsia"/>
                <w:b/>
                <w:bCs/>
                <w:color w:val="auto"/>
                <w:sz w:val="24"/>
                <w:szCs w:val="24"/>
              </w:rPr>
              <w:t>表2-</w:t>
            </w:r>
            <w:r>
              <w:rPr>
                <w:rFonts w:hint="eastAsia"/>
                <w:b/>
                <w:bCs/>
                <w:color w:val="auto"/>
                <w:sz w:val="24"/>
                <w:szCs w:val="24"/>
                <w:lang w:val="en-US" w:eastAsia="zh-CN"/>
              </w:rPr>
              <w:t>20</w:t>
            </w:r>
            <w:r>
              <w:rPr>
                <w:rFonts w:hint="eastAsia"/>
                <w:b/>
                <w:bCs/>
                <w:color w:val="auto"/>
                <w:sz w:val="24"/>
                <w:szCs w:val="24"/>
              </w:rPr>
              <w:t>现有工程污染物排放</w:t>
            </w:r>
            <w:r>
              <w:rPr>
                <w:rFonts w:hint="eastAsia"/>
                <w:b/>
                <w:bCs/>
                <w:color w:val="auto"/>
                <w:sz w:val="24"/>
                <w:szCs w:val="24"/>
                <w:lang w:val="en-US" w:eastAsia="zh-CN"/>
              </w:rPr>
              <w:t>总量</w:t>
            </w:r>
            <w:r>
              <w:rPr>
                <w:b/>
                <w:bCs/>
                <w:color w:val="auto"/>
                <w:sz w:val="24"/>
                <w:szCs w:val="24"/>
              </w:rPr>
              <w:t>一览表</w:t>
            </w:r>
          </w:p>
          <w:tbl>
            <w:tblPr>
              <w:tblStyle w:val="24"/>
              <w:tblW w:w="49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51"/>
              <w:gridCol w:w="2159"/>
              <w:gridCol w:w="2457"/>
              <w:gridCol w:w="2848"/>
            </w:tblGrid>
            <w:tr w14:paraId="746A8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50" w:type="pct"/>
                  <w:tcBorders>
                    <w:tl2br w:val="single" w:color="auto" w:sz="4" w:space="0"/>
                  </w:tcBorders>
                  <w:noWrap w:val="0"/>
                  <w:vAlign w:val="center"/>
                </w:tcPr>
                <w:p w14:paraId="267B7F4C">
                  <w:pPr>
                    <w:jc w:val="center"/>
                    <w:rPr>
                      <w:b/>
                      <w:bCs/>
                      <w:color w:val="auto"/>
                      <w:sz w:val="21"/>
                      <w:szCs w:val="21"/>
                    </w:rPr>
                  </w:pPr>
                  <w:r>
                    <w:rPr>
                      <w:b/>
                      <w:bCs/>
                      <w:color w:val="auto"/>
                      <w:sz w:val="21"/>
                      <w:szCs w:val="21"/>
                    </w:rPr>
                    <mc:AlternateContent>
                      <mc:Choice Requires="wps">
                        <w:drawing>
                          <wp:anchor distT="0" distB="0" distL="114300" distR="114300" simplePos="0" relativeHeight="251662336" behindDoc="0" locked="0" layoutInCell="0" allowOverlap="1">
                            <wp:simplePos x="0" y="0"/>
                            <wp:positionH relativeFrom="column">
                              <wp:posOffset>-68580</wp:posOffset>
                            </wp:positionH>
                            <wp:positionV relativeFrom="paragraph">
                              <wp:posOffset>-6350</wp:posOffset>
                            </wp:positionV>
                            <wp:extent cx="635" cy="0"/>
                            <wp:effectExtent l="0" t="4445" r="0" b="5080"/>
                            <wp:wrapNone/>
                            <wp:docPr id="33" name="直接连接符 3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5pt;height:0pt;width:0.05pt;z-index:251662336;mso-width-relative:page;mso-height-relative:page;" filled="f" stroked="t" coordsize="21600,21600" o:allowincell="f" o:gfxdata="UEsDBAoAAAAAAIdO4kAAAAAAAAAAAAAAAAAEAAAAZHJzL1BLAwQUAAAACACHTuJAg33XktQAAAAJ&#10;AQAADwAAAGRycy9kb3ducmV2LnhtbE2PT0/DMAzF70h8h8hIXKYt6SYBKk132OiNCwPE1WtMW9E4&#10;XZP9gU8/Awe42e89Pf9cLE++VwcaYxfYQjYzoIjr4DpuLLw8V9M7UDEhO+wDk4VPirAsLy8KzF04&#10;8hMdNqlRUsIxRwttSkOudaxb8hhnYSAW7z2MHpOsY6PdiEcp972eG3OjPXYsF1ocaNVS/bHZewux&#10;eqVd9TWpJ+Zt0QSa79aPD2jt9VVm7kElOqW/MHzjCzqUwrQNe3ZR9RammRH09DOAkoAIt6C2v4Iu&#10;C/3/g/IMUEsDBBQAAAAIAIdO4kDeWkp88gEAAOIDAAAOAAAAZHJzL2Uyb0RvYy54bWytU0uOEzEQ&#10;3SNxB8t70vloRtBKZxYThg2CkYADVGx3tyX/5HLSySW4ABI7WLFkz20YjkHZncnAsMmCXrjLVeVX&#10;9Z7Ly6u9NWynImrvGj6bTDlTTnipXdfwD+9vnj3nDBM4CcY71fCDQn61evpkOYRazX3vjVSREYjD&#10;eggN71MKdVWh6JUFnPigHAVbHy0k2saukhEGQremmk+nl9XgowzRC4VI3vUY5EfEeA6gb1st1NqL&#10;rVUujahRGUhECXsdkK9Kt22rRHrbtqgSMw0npqmsVITsTV6r1RLqLkLotTi2AOe08IiTBe2o6Alq&#10;DQnYNup/oKwW0aNv00R4W41EiiLEYjZ9pM27HoIqXEhqDCfR8f/Bije728i0bPhiwZkDSzd+9+n7&#10;z49ffv34TOvdt6+MIiTTELCm7Gt3G487DLcxc9630eY/sWH7Iu3hJK3aJybIebm44Ezc+6uHQyFi&#10;eqW8ZdlouNEuM4Yadq8xUSFKvU/JbuPY0PAXF/MMBzR+LV07mTYQBXRdOYveaHmjjcknMHabaxPZ&#10;DvIIlC/TIdy/0nKRNWA/5pXQOBy9AvnSSZYOgbRx9CZ4bsEqyZlR9ISyRYBQJ9DmnEwqbRx1kBUd&#10;NczWxssDXcU2RN31pMSsdJkjdPWl3+OY5tn6c1+QHp7m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fdeS1AAAAAkBAAAPAAAAAAAAAAEAIAAAACIAAABkcnMvZG93bnJldi54bWxQSwECFAAUAAAA&#10;CACHTuJA3lpKfPIBAADiAwAADgAAAAAAAAABACAAAAAjAQAAZHJzL2Uyb0RvYy54bWxQSwUGAAAA&#10;AAYABgBZAQAAhwUAAAAA&#10;">
                            <v:fill on="f" focussize="0,0"/>
                            <v:stroke color="#000000" joinstyle="round"/>
                            <v:imagedata o:title=""/>
                            <o:lock v:ext="edit" aspectratio="f"/>
                          </v:line>
                        </w:pict>
                      </mc:Fallback>
                    </mc:AlternateContent>
                  </w:r>
                  <w:r>
                    <w:rPr>
                      <w:b/>
                      <w:bCs/>
                      <w:color w:val="auto"/>
                      <w:sz w:val="21"/>
                      <w:szCs w:val="21"/>
                    </w:rPr>
                    <w:t>内容</w:t>
                  </w:r>
                </w:p>
                <w:p w14:paraId="73318B95">
                  <w:pPr>
                    <w:rPr>
                      <w:b/>
                      <w:bCs/>
                      <w:color w:val="auto"/>
                      <w:sz w:val="21"/>
                      <w:szCs w:val="21"/>
                    </w:rPr>
                  </w:pPr>
                  <w:r>
                    <w:rPr>
                      <w:b/>
                      <w:bCs/>
                      <w:color w:val="auto"/>
                      <w:sz w:val="21"/>
                      <w:szCs w:val="21"/>
                    </w:rPr>
                    <w:t>类型</w:t>
                  </w:r>
                </w:p>
              </w:tc>
              <w:tc>
                <w:tcPr>
                  <w:tcW w:w="1171" w:type="pct"/>
                  <w:noWrap w:val="0"/>
                  <w:vAlign w:val="center"/>
                </w:tcPr>
                <w:p w14:paraId="08A8F912">
                  <w:pPr>
                    <w:jc w:val="center"/>
                    <w:rPr>
                      <w:rFonts w:hint="eastAsia"/>
                      <w:b/>
                      <w:bCs/>
                      <w:color w:val="auto"/>
                      <w:sz w:val="21"/>
                      <w:szCs w:val="21"/>
                    </w:rPr>
                  </w:pPr>
                  <w:r>
                    <w:rPr>
                      <w:b/>
                      <w:bCs/>
                      <w:color w:val="auto"/>
                      <w:sz w:val="21"/>
                      <w:szCs w:val="21"/>
                    </w:rPr>
                    <w:t>排放源</w:t>
                  </w:r>
                </w:p>
              </w:tc>
              <w:tc>
                <w:tcPr>
                  <w:tcW w:w="1332" w:type="pct"/>
                  <w:noWrap w:val="0"/>
                  <w:vAlign w:val="center"/>
                </w:tcPr>
                <w:p w14:paraId="7AB1E69B">
                  <w:pPr>
                    <w:jc w:val="center"/>
                    <w:rPr>
                      <w:b/>
                      <w:bCs/>
                      <w:color w:val="auto"/>
                      <w:sz w:val="21"/>
                      <w:szCs w:val="21"/>
                    </w:rPr>
                  </w:pPr>
                  <w:r>
                    <w:rPr>
                      <w:b/>
                      <w:bCs/>
                      <w:color w:val="auto"/>
                      <w:sz w:val="21"/>
                      <w:szCs w:val="21"/>
                    </w:rPr>
                    <w:t>污染物名称</w:t>
                  </w:r>
                </w:p>
              </w:tc>
              <w:tc>
                <w:tcPr>
                  <w:tcW w:w="1545" w:type="pct"/>
                  <w:noWrap w:val="0"/>
                  <w:vAlign w:val="center"/>
                </w:tcPr>
                <w:p w14:paraId="6D4CA4AC">
                  <w:pPr>
                    <w:jc w:val="center"/>
                    <w:rPr>
                      <w:b/>
                      <w:bCs/>
                      <w:color w:val="auto"/>
                      <w:sz w:val="21"/>
                      <w:szCs w:val="21"/>
                    </w:rPr>
                  </w:pPr>
                  <w:r>
                    <w:rPr>
                      <w:b/>
                      <w:bCs/>
                      <w:color w:val="auto"/>
                      <w:sz w:val="21"/>
                      <w:szCs w:val="21"/>
                    </w:rPr>
                    <w:t>排放量</w:t>
                  </w:r>
                  <w:r>
                    <w:rPr>
                      <w:rFonts w:hint="eastAsia"/>
                      <w:b/>
                      <w:bCs/>
                      <w:color w:val="auto"/>
                      <w:sz w:val="21"/>
                      <w:szCs w:val="21"/>
                    </w:rPr>
                    <w:t>（t/a）</w:t>
                  </w:r>
                </w:p>
              </w:tc>
            </w:tr>
            <w:tr w14:paraId="06DFC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restart"/>
                  <w:noWrap w:val="0"/>
                  <w:vAlign w:val="center"/>
                </w:tcPr>
                <w:p w14:paraId="18EFE7DE">
                  <w:pPr>
                    <w:jc w:val="center"/>
                    <w:rPr>
                      <w:color w:val="auto"/>
                      <w:sz w:val="21"/>
                      <w:szCs w:val="21"/>
                    </w:rPr>
                  </w:pPr>
                  <w:r>
                    <w:rPr>
                      <w:color w:val="auto"/>
                      <w:sz w:val="21"/>
                      <w:szCs w:val="21"/>
                    </w:rPr>
                    <w:t>大气污染物</w:t>
                  </w:r>
                </w:p>
              </w:tc>
              <w:tc>
                <w:tcPr>
                  <w:tcW w:w="1171" w:type="pct"/>
                  <w:vMerge w:val="restart"/>
                  <w:noWrap w:val="0"/>
                  <w:vAlign w:val="center"/>
                </w:tcPr>
                <w:p w14:paraId="524BB591">
                  <w:pPr>
                    <w:jc w:val="center"/>
                    <w:rPr>
                      <w:rFonts w:hint="default" w:eastAsia="宋体"/>
                      <w:color w:val="auto"/>
                      <w:sz w:val="21"/>
                      <w:szCs w:val="21"/>
                      <w:lang w:val="en-US" w:eastAsia="zh-CN"/>
                    </w:rPr>
                  </w:pPr>
                  <w:r>
                    <w:rPr>
                      <w:rFonts w:hint="eastAsia"/>
                      <w:color w:val="auto"/>
                      <w:sz w:val="21"/>
                      <w:szCs w:val="21"/>
                      <w:lang w:val="en-US" w:eastAsia="zh-CN"/>
                    </w:rPr>
                    <w:t>有组织+无组织</w:t>
                  </w:r>
                </w:p>
              </w:tc>
              <w:tc>
                <w:tcPr>
                  <w:tcW w:w="1332" w:type="pct"/>
                  <w:shd w:val="clear" w:color="auto" w:fill="auto"/>
                  <w:noWrap w:val="0"/>
                  <w:vAlign w:val="top"/>
                </w:tcPr>
                <w:p w14:paraId="58069D88">
                  <w:pPr>
                    <w:jc w:val="center"/>
                    <w:rPr>
                      <w:color w:val="auto"/>
                      <w:lang w:val="en-US" w:eastAsia="en-US"/>
                    </w:rPr>
                  </w:pPr>
                  <w:r>
                    <w:rPr>
                      <w:color w:val="auto"/>
                    </w:rPr>
                    <w:t>氮氧化物</w:t>
                  </w:r>
                </w:p>
              </w:tc>
              <w:tc>
                <w:tcPr>
                  <w:tcW w:w="1545" w:type="pct"/>
                  <w:shd w:val="clear" w:color="auto" w:fill="auto"/>
                  <w:noWrap w:val="0"/>
                  <w:vAlign w:val="top"/>
                </w:tcPr>
                <w:p w14:paraId="795158C6">
                  <w:pPr>
                    <w:jc w:val="center"/>
                    <w:rPr>
                      <w:rFonts w:hint="default" w:eastAsia="宋体"/>
                      <w:color w:val="auto"/>
                      <w:lang w:val="en-US" w:eastAsia="zh-CN"/>
                    </w:rPr>
                  </w:pPr>
                  <w:r>
                    <w:rPr>
                      <w:rFonts w:hint="eastAsia"/>
                      <w:color w:val="auto"/>
                      <w:lang w:val="en-US" w:eastAsia="zh-CN"/>
                    </w:rPr>
                    <w:t>12.484</w:t>
                  </w:r>
                </w:p>
              </w:tc>
            </w:tr>
            <w:tr w14:paraId="5BED7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60569323">
                  <w:pPr>
                    <w:jc w:val="center"/>
                    <w:rPr>
                      <w:color w:val="auto"/>
                      <w:sz w:val="21"/>
                      <w:szCs w:val="21"/>
                    </w:rPr>
                  </w:pPr>
                </w:p>
              </w:tc>
              <w:tc>
                <w:tcPr>
                  <w:tcW w:w="1171" w:type="pct"/>
                  <w:vMerge w:val="continue"/>
                  <w:noWrap w:val="0"/>
                  <w:vAlign w:val="center"/>
                </w:tcPr>
                <w:p w14:paraId="4B7C48AD">
                  <w:pPr>
                    <w:jc w:val="center"/>
                    <w:rPr>
                      <w:rFonts w:hint="eastAsia"/>
                      <w:color w:val="auto"/>
                      <w:sz w:val="21"/>
                      <w:szCs w:val="21"/>
                      <w:lang w:val="en-US" w:eastAsia="zh-CN"/>
                    </w:rPr>
                  </w:pPr>
                </w:p>
              </w:tc>
              <w:tc>
                <w:tcPr>
                  <w:tcW w:w="1332" w:type="pct"/>
                  <w:shd w:val="clear" w:color="auto" w:fill="auto"/>
                  <w:noWrap w:val="0"/>
                  <w:vAlign w:val="top"/>
                </w:tcPr>
                <w:p w14:paraId="7BC6B61B">
                  <w:pPr>
                    <w:jc w:val="center"/>
                    <w:rPr>
                      <w:rFonts w:hint="eastAsia"/>
                      <w:color w:val="auto"/>
                      <w:lang w:val="en-US" w:eastAsia="en-US"/>
                    </w:rPr>
                  </w:pPr>
                  <w:r>
                    <w:rPr>
                      <w:color w:val="auto"/>
                    </w:rPr>
                    <w:t>氯化氢</w:t>
                  </w:r>
                </w:p>
              </w:tc>
              <w:tc>
                <w:tcPr>
                  <w:tcW w:w="1545" w:type="pct"/>
                  <w:shd w:val="clear" w:color="auto" w:fill="auto"/>
                  <w:noWrap w:val="0"/>
                  <w:vAlign w:val="top"/>
                </w:tcPr>
                <w:p w14:paraId="1BF77328">
                  <w:pPr>
                    <w:jc w:val="center"/>
                    <w:rPr>
                      <w:rFonts w:hint="eastAsia"/>
                      <w:color w:val="auto"/>
                      <w:lang w:val="en-US" w:eastAsia="zh-CN"/>
                    </w:rPr>
                  </w:pPr>
                  <w:r>
                    <w:rPr>
                      <w:color w:val="auto"/>
                    </w:rPr>
                    <w:t>0.0054</w:t>
                  </w:r>
                </w:p>
              </w:tc>
            </w:tr>
            <w:tr w14:paraId="3B3E2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1A1FD84D">
                  <w:pPr>
                    <w:jc w:val="center"/>
                    <w:rPr>
                      <w:color w:val="auto"/>
                      <w:sz w:val="21"/>
                      <w:szCs w:val="21"/>
                    </w:rPr>
                  </w:pPr>
                </w:p>
              </w:tc>
              <w:tc>
                <w:tcPr>
                  <w:tcW w:w="1171" w:type="pct"/>
                  <w:vMerge w:val="continue"/>
                  <w:noWrap w:val="0"/>
                  <w:vAlign w:val="center"/>
                </w:tcPr>
                <w:p w14:paraId="64BD3446">
                  <w:pPr>
                    <w:jc w:val="center"/>
                    <w:rPr>
                      <w:rFonts w:hint="eastAsia"/>
                      <w:color w:val="auto"/>
                      <w:sz w:val="21"/>
                      <w:szCs w:val="21"/>
                      <w:lang w:val="en-US" w:eastAsia="zh-CN"/>
                    </w:rPr>
                  </w:pPr>
                </w:p>
              </w:tc>
              <w:tc>
                <w:tcPr>
                  <w:tcW w:w="1332" w:type="pct"/>
                  <w:shd w:val="clear" w:color="auto" w:fill="auto"/>
                  <w:noWrap w:val="0"/>
                  <w:vAlign w:val="top"/>
                </w:tcPr>
                <w:p w14:paraId="38BFDA0F">
                  <w:pPr>
                    <w:jc w:val="center"/>
                    <w:rPr>
                      <w:rFonts w:hint="eastAsia"/>
                      <w:color w:val="auto"/>
                      <w:lang w:val="en-US" w:eastAsia="zh-CN"/>
                    </w:rPr>
                  </w:pPr>
                  <w:r>
                    <w:rPr>
                      <w:color w:val="auto"/>
                    </w:rPr>
                    <w:t>VOCs</w:t>
                  </w:r>
                </w:p>
              </w:tc>
              <w:tc>
                <w:tcPr>
                  <w:tcW w:w="1545" w:type="pct"/>
                  <w:shd w:val="clear" w:color="auto" w:fill="auto"/>
                  <w:noWrap w:val="0"/>
                  <w:vAlign w:val="top"/>
                </w:tcPr>
                <w:p w14:paraId="63D042DB">
                  <w:pPr>
                    <w:jc w:val="center"/>
                    <w:rPr>
                      <w:rFonts w:hint="eastAsia"/>
                      <w:color w:val="auto"/>
                      <w:lang w:val="en-US" w:eastAsia="zh-CN"/>
                    </w:rPr>
                  </w:pPr>
                  <w:r>
                    <w:rPr>
                      <w:color w:val="auto"/>
                    </w:rPr>
                    <w:t>5.503</w:t>
                  </w:r>
                </w:p>
              </w:tc>
            </w:tr>
            <w:tr w14:paraId="2CCC9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66114B9C">
                  <w:pPr>
                    <w:jc w:val="center"/>
                    <w:rPr>
                      <w:color w:val="auto"/>
                      <w:sz w:val="21"/>
                      <w:szCs w:val="21"/>
                    </w:rPr>
                  </w:pPr>
                </w:p>
              </w:tc>
              <w:tc>
                <w:tcPr>
                  <w:tcW w:w="1171" w:type="pct"/>
                  <w:vMerge w:val="continue"/>
                  <w:noWrap w:val="0"/>
                  <w:vAlign w:val="center"/>
                </w:tcPr>
                <w:p w14:paraId="5969BAC2">
                  <w:pPr>
                    <w:jc w:val="center"/>
                    <w:rPr>
                      <w:rFonts w:hint="eastAsia"/>
                      <w:color w:val="auto"/>
                      <w:sz w:val="21"/>
                      <w:szCs w:val="21"/>
                      <w:lang w:val="en-US" w:eastAsia="zh-CN"/>
                    </w:rPr>
                  </w:pPr>
                </w:p>
              </w:tc>
              <w:tc>
                <w:tcPr>
                  <w:tcW w:w="1332" w:type="pct"/>
                  <w:shd w:val="clear" w:color="auto" w:fill="auto"/>
                  <w:noWrap w:val="0"/>
                  <w:vAlign w:val="top"/>
                </w:tcPr>
                <w:p w14:paraId="2FE0DC88">
                  <w:pPr>
                    <w:jc w:val="center"/>
                    <w:rPr>
                      <w:rFonts w:hint="eastAsia"/>
                      <w:color w:val="auto"/>
                      <w:lang w:val="en-US" w:eastAsia="en-US"/>
                    </w:rPr>
                  </w:pPr>
                  <w:r>
                    <w:rPr>
                      <w:color w:val="auto"/>
                    </w:rPr>
                    <w:t>非甲烷总烃</w:t>
                  </w:r>
                </w:p>
              </w:tc>
              <w:tc>
                <w:tcPr>
                  <w:tcW w:w="1545" w:type="pct"/>
                  <w:shd w:val="clear" w:color="auto" w:fill="auto"/>
                  <w:noWrap w:val="0"/>
                  <w:vAlign w:val="top"/>
                </w:tcPr>
                <w:p w14:paraId="7B5893C9">
                  <w:pPr>
                    <w:jc w:val="center"/>
                    <w:rPr>
                      <w:rFonts w:hint="eastAsia"/>
                      <w:color w:val="auto"/>
                      <w:lang w:val="en-US" w:eastAsia="zh-CN"/>
                    </w:rPr>
                  </w:pPr>
                  <w:r>
                    <w:rPr>
                      <w:color w:val="auto"/>
                    </w:rPr>
                    <w:t>0.97</w:t>
                  </w:r>
                </w:p>
              </w:tc>
            </w:tr>
            <w:tr w14:paraId="2CA26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024ED886">
                  <w:pPr>
                    <w:jc w:val="center"/>
                    <w:rPr>
                      <w:color w:val="auto"/>
                      <w:sz w:val="21"/>
                      <w:szCs w:val="21"/>
                    </w:rPr>
                  </w:pPr>
                </w:p>
              </w:tc>
              <w:tc>
                <w:tcPr>
                  <w:tcW w:w="1171" w:type="pct"/>
                  <w:vMerge w:val="continue"/>
                  <w:noWrap w:val="0"/>
                  <w:vAlign w:val="center"/>
                </w:tcPr>
                <w:p w14:paraId="7A9A5BAD">
                  <w:pPr>
                    <w:jc w:val="center"/>
                    <w:rPr>
                      <w:rFonts w:hint="eastAsia"/>
                      <w:color w:val="auto"/>
                      <w:sz w:val="21"/>
                      <w:szCs w:val="21"/>
                      <w:lang w:val="en-US" w:eastAsia="zh-CN"/>
                    </w:rPr>
                  </w:pPr>
                </w:p>
              </w:tc>
              <w:tc>
                <w:tcPr>
                  <w:tcW w:w="1332" w:type="pct"/>
                  <w:shd w:val="clear" w:color="auto" w:fill="auto"/>
                  <w:noWrap w:val="0"/>
                  <w:vAlign w:val="top"/>
                </w:tcPr>
                <w:p w14:paraId="1250C0E4">
                  <w:pPr>
                    <w:jc w:val="center"/>
                    <w:rPr>
                      <w:rFonts w:hint="eastAsia"/>
                      <w:color w:val="auto"/>
                      <w:lang w:val="en-US" w:eastAsia="en-US"/>
                    </w:rPr>
                  </w:pPr>
                  <w:r>
                    <w:rPr>
                      <w:color w:val="auto"/>
                    </w:rPr>
                    <w:t>丙酮</w:t>
                  </w:r>
                </w:p>
              </w:tc>
              <w:tc>
                <w:tcPr>
                  <w:tcW w:w="1545" w:type="pct"/>
                  <w:shd w:val="clear" w:color="auto" w:fill="auto"/>
                  <w:noWrap w:val="0"/>
                  <w:vAlign w:val="top"/>
                </w:tcPr>
                <w:p w14:paraId="05E508B3">
                  <w:pPr>
                    <w:jc w:val="center"/>
                    <w:rPr>
                      <w:rFonts w:hint="eastAsia"/>
                      <w:color w:val="auto"/>
                      <w:lang w:val="en-US" w:eastAsia="zh-CN"/>
                    </w:rPr>
                  </w:pPr>
                  <w:r>
                    <w:rPr>
                      <w:color w:val="auto"/>
                    </w:rPr>
                    <w:t>0.74</w:t>
                  </w:r>
                </w:p>
              </w:tc>
            </w:tr>
            <w:tr w14:paraId="52496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2A375B2A">
                  <w:pPr>
                    <w:jc w:val="center"/>
                    <w:rPr>
                      <w:color w:val="auto"/>
                      <w:sz w:val="21"/>
                      <w:szCs w:val="21"/>
                    </w:rPr>
                  </w:pPr>
                </w:p>
              </w:tc>
              <w:tc>
                <w:tcPr>
                  <w:tcW w:w="1171" w:type="pct"/>
                  <w:vMerge w:val="continue"/>
                  <w:noWrap w:val="0"/>
                  <w:vAlign w:val="center"/>
                </w:tcPr>
                <w:p w14:paraId="6E605AF6">
                  <w:pPr>
                    <w:jc w:val="center"/>
                    <w:rPr>
                      <w:rFonts w:hint="eastAsia"/>
                      <w:color w:val="auto"/>
                      <w:sz w:val="21"/>
                      <w:szCs w:val="21"/>
                      <w:lang w:val="en-US" w:eastAsia="zh-CN"/>
                    </w:rPr>
                  </w:pPr>
                </w:p>
              </w:tc>
              <w:tc>
                <w:tcPr>
                  <w:tcW w:w="1332" w:type="pct"/>
                  <w:shd w:val="clear" w:color="auto" w:fill="auto"/>
                  <w:noWrap w:val="0"/>
                  <w:vAlign w:val="top"/>
                </w:tcPr>
                <w:p w14:paraId="367E34F9">
                  <w:pPr>
                    <w:jc w:val="center"/>
                    <w:rPr>
                      <w:rFonts w:hint="eastAsia"/>
                      <w:color w:val="auto"/>
                      <w:lang w:val="en-US" w:eastAsia="en-US"/>
                    </w:rPr>
                  </w:pPr>
                  <w:r>
                    <w:rPr>
                      <w:color w:val="auto"/>
                    </w:rPr>
                    <w:t>颗粒物</w:t>
                  </w:r>
                </w:p>
              </w:tc>
              <w:tc>
                <w:tcPr>
                  <w:tcW w:w="1545" w:type="pct"/>
                  <w:shd w:val="clear" w:color="auto" w:fill="auto"/>
                  <w:noWrap w:val="0"/>
                  <w:vAlign w:val="top"/>
                </w:tcPr>
                <w:p w14:paraId="2C962D34">
                  <w:pPr>
                    <w:jc w:val="center"/>
                    <w:rPr>
                      <w:rFonts w:hint="eastAsia"/>
                      <w:color w:val="auto"/>
                      <w:lang w:val="en-US" w:eastAsia="zh-CN"/>
                    </w:rPr>
                  </w:pPr>
                  <w:r>
                    <w:rPr>
                      <w:color w:val="auto"/>
                    </w:rPr>
                    <w:t>9.7408</w:t>
                  </w:r>
                </w:p>
              </w:tc>
            </w:tr>
            <w:tr w14:paraId="0E2A8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FE28894">
                  <w:pPr>
                    <w:jc w:val="center"/>
                    <w:rPr>
                      <w:color w:val="auto"/>
                      <w:sz w:val="21"/>
                      <w:szCs w:val="21"/>
                    </w:rPr>
                  </w:pPr>
                </w:p>
              </w:tc>
              <w:tc>
                <w:tcPr>
                  <w:tcW w:w="1171" w:type="pct"/>
                  <w:vMerge w:val="continue"/>
                  <w:noWrap w:val="0"/>
                  <w:vAlign w:val="center"/>
                </w:tcPr>
                <w:p w14:paraId="15DB66F9">
                  <w:pPr>
                    <w:jc w:val="center"/>
                    <w:rPr>
                      <w:rFonts w:hint="eastAsia"/>
                      <w:color w:val="auto"/>
                      <w:sz w:val="21"/>
                      <w:szCs w:val="21"/>
                      <w:lang w:val="en-US" w:eastAsia="zh-CN"/>
                    </w:rPr>
                  </w:pPr>
                </w:p>
              </w:tc>
              <w:tc>
                <w:tcPr>
                  <w:tcW w:w="1332" w:type="pct"/>
                  <w:shd w:val="clear" w:color="auto" w:fill="auto"/>
                  <w:noWrap w:val="0"/>
                  <w:vAlign w:val="top"/>
                </w:tcPr>
                <w:p w14:paraId="17624460">
                  <w:pPr>
                    <w:jc w:val="center"/>
                    <w:rPr>
                      <w:rFonts w:hint="eastAsia"/>
                      <w:color w:val="auto"/>
                      <w:lang w:val="en-US" w:eastAsia="en-US"/>
                    </w:rPr>
                  </w:pPr>
                  <w:r>
                    <w:rPr>
                      <w:color w:val="auto"/>
                    </w:rPr>
                    <w:t>二氧化硫</w:t>
                  </w:r>
                </w:p>
              </w:tc>
              <w:tc>
                <w:tcPr>
                  <w:tcW w:w="1545" w:type="pct"/>
                  <w:shd w:val="clear" w:color="auto" w:fill="auto"/>
                  <w:noWrap w:val="0"/>
                  <w:vAlign w:val="top"/>
                </w:tcPr>
                <w:p w14:paraId="5A5BD66B">
                  <w:pPr>
                    <w:jc w:val="center"/>
                    <w:rPr>
                      <w:rFonts w:hint="eastAsia"/>
                      <w:color w:val="auto"/>
                      <w:lang w:val="en-US" w:eastAsia="zh-CN"/>
                    </w:rPr>
                  </w:pPr>
                  <w:r>
                    <w:rPr>
                      <w:color w:val="auto"/>
                    </w:rPr>
                    <w:t>2.9</w:t>
                  </w:r>
                </w:p>
              </w:tc>
            </w:tr>
            <w:tr w14:paraId="47300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FE88413">
                  <w:pPr>
                    <w:jc w:val="center"/>
                    <w:rPr>
                      <w:color w:val="auto"/>
                      <w:sz w:val="21"/>
                      <w:szCs w:val="21"/>
                    </w:rPr>
                  </w:pPr>
                </w:p>
              </w:tc>
              <w:tc>
                <w:tcPr>
                  <w:tcW w:w="1171" w:type="pct"/>
                  <w:vMerge w:val="continue"/>
                  <w:noWrap w:val="0"/>
                  <w:vAlign w:val="center"/>
                </w:tcPr>
                <w:p w14:paraId="260869A3">
                  <w:pPr>
                    <w:jc w:val="center"/>
                    <w:rPr>
                      <w:rFonts w:hint="eastAsia"/>
                      <w:color w:val="auto"/>
                      <w:sz w:val="21"/>
                      <w:szCs w:val="21"/>
                      <w:lang w:val="en-US" w:eastAsia="zh-CN"/>
                    </w:rPr>
                  </w:pPr>
                </w:p>
              </w:tc>
              <w:tc>
                <w:tcPr>
                  <w:tcW w:w="1332" w:type="pct"/>
                  <w:shd w:val="clear" w:color="auto" w:fill="auto"/>
                  <w:noWrap w:val="0"/>
                  <w:vAlign w:val="top"/>
                </w:tcPr>
                <w:p w14:paraId="432F09B4">
                  <w:pPr>
                    <w:jc w:val="center"/>
                    <w:rPr>
                      <w:rFonts w:hint="eastAsia"/>
                      <w:color w:val="auto"/>
                      <w:lang w:val="en-US" w:eastAsia="en-US"/>
                    </w:rPr>
                  </w:pPr>
                  <w:r>
                    <w:rPr>
                      <w:color w:val="auto"/>
                    </w:rPr>
                    <w:t>二甲苯</w:t>
                  </w:r>
                </w:p>
              </w:tc>
              <w:tc>
                <w:tcPr>
                  <w:tcW w:w="1545" w:type="pct"/>
                  <w:shd w:val="clear" w:color="auto" w:fill="auto"/>
                  <w:noWrap w:val="0"/>
                  <w:vAlign w:val="top"/>
                </w:tcPr>
                <w:p w14:paraId="1942EE3E">
                  <w:pPr>
                    <w:jc w:val="center"/>
                    <w:rPr>
                      <w:rFonts w:hint="eastAsia"/>
                      <w:color w:val="auto"/>
                      <w:lang w:val="en-US" w:eastAsia="zh-CN"/>
                    </w:rPr>
                  </w:pPr>
                  <w:r>
                    <w:rPr>
                      <w:color w:val="auto"/>
                    </w:rPr>
                    <w:t>0.43</w:t>
                  </w:r>
                </w:p>
              </w:tc>
            </w:tr>
            <w:tr w14:paraId="01A86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62D2133C">
                  <w:pPr>
                    <w:jc w:val="center"/>
                    <w:rPr>
                      <w:color w:val="auto"/>
                      <w:sz w:val="21"/>
                      <w:szCs w:val="21"/>
                    </w:rPr>
                  </w:pPr>
                </w:p>
              </w:tc>
              <w:tc>
                <w:tcPr>
                  <w:tcW w:w="1171" w:type="pct"/>
                  <w:vMerge w:val="continue"/>
                  <w:noWrap w:val="0"/>
                  <w:vAlign w:val="center"/>
                </w:tcPr>
                <w:p w14:paraId="33C739B8">
                  <w:pPr>
                    <w:jc w:val="center"/>
                    <w:rPr>
                      <w:color w:val="auto"/>
                      <w:sz w:val="21"/>
                      <w:szCs w:val="21"/>
                    </w:rPr>
                  </w:pPr>
                </w:p>
              </w:tc>
              <w:tc>
                <w:tcPr>
                  <w:tcW w:w="1332" w:type="pct"/>
                  <w:shd w:val="clear" w:color="auto" w:fill="auto"/>
                  <w:noWrap w:val="0"/>
                  <w:vAlign w:val="top"/>
                </w:tcPr>
                <w:p w14:paraId="66B4E905">
                  <w:pPr>
                    <w:jc w:val="center"/>
                    <w:rPr>
                      <w:rFonts w:hint="eastAsia"/>
                      <w:color w:val="auto"/>
                      <w:lang w:val="en-US" w:eastAsia="en-US"/>
                    </w:rPr>
                  </w:pPr>
                  <w:r>
                    <w:rPr>
                      <w:color w:val="auto"/>
                    </w:rPr>
                    <w:t>甲醛</w:t>
                  </w:r>
                </w:p>
              </w:tc>
              <w:tc>
                <w:tcPr>
                  <w:tcW w:w="1545" w:type="pct"/>
                  <w:shd w:val="clear" w:color="auto" w:fill="auto"/>
                  <w:noWrap w:val="0"/>
                  <w:vAlign w:val="top"/>
                </w:tcPr>
                <w:p w14:paraId="6FFC9891">
                  <w:pPr>
                    <w:jc w:val="center"/>
                    <w:rPr>
                      <w:rFonts w:hint="eastAsia"/>
                      <w:color w:val="auto"/>
                      <w:lang w:val="en-US" w:eastAsia="zh-CN"/>
                    </w:rPr>
                  </w:pPr>
                  <w:r>
                    <w:rPr>
                      <w:color w:val="auto"/>
                    </w:rPr>
                    <w:t>0.0221</w:t>
                  </w:r>
                </w:p>
              </w:tc>
            </w:tr>
            <w:tr w14:paraId="35019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376523E4">
                  <w:pPr>
                    <w:jc w:val="center"/>
                    <w:rPr>
                      <w:color w:val="auto"/>
                      <w:sz w:val="21"/>
                      <w:szCs w:val="21"/>
                    </w:rPr>
                  </w:pPr>
                </w:p>
              </w:tc>
              <w:tc>
                <w:tcPr>
                  <w:tcW w:w="1171" w:type="pct"/>
                  <w:vMerge w:val="continue"/>
                  <w:noWrap w:val="0"/>
                  <w:vAlign w:val="center"/>
                </w:tcPr>
                <w:p w14:paraId="7046219B">
                  <w:pPr>
                    <w:jc w:val="center"/>
                    <w:rPr>
                      <w:color w:val="auto"/>
                      <w:sz w:val="21"/>
                      <w:szCs w:val="21"/>
                    </w:rPr>
                  </w:pPr>
                </w:p>
              </w:tc>
              <w:tc>
                <w:tcPr>
                  <w:tcW w:w="1332" w:type="pct"/>
                  <w:shd w:val="clear" w:color="auto" w:fill="auto"/>
                  <w:noWrap w:val="0"/>
                  <w:vAlign w:val="top"/>
                </w:tcPr>
                <w:p w14:paraId="19F4EA91">
                  <w:pPr>
                    <w:jc w:val="center"/>
                    <w:rPr>
                      <w:rFonts w:hint="eastAsia"/>
                      <w:color w:val="auto"/>
                      <w:lang w:val="en-US" w:eastAsia="en-US"/>
                    </w:rPr>
                  </w:pPr>
                  <w:r>
                    <w:rPr>
                      <w:color w:val="auto"/>
                    </w:rPr>
                    <w:t>甲苯</w:t>
                  </w:r>
                </w:p>
              </w:tc>
              <w:tc>
                <w:tcPr>
                  <w:tcW w:w="1545" w:type="pct"/>
                  <w:shd w:val="clear" w:color="auto" w:fill="auto"/>
                  <w:noWrap w:val="0"/>
                  <w:vAlign w:val="top"/>
                </w:tcPr>
                <w:p w14:paraId="5247FBE7">
                  <w:pPr>
                    <w:jc w:val="center"/>
                    <w:rPr>
                      <w:color w:val="auto"/>
                      <w:lang w:val="en-US" w:eastAsia="zh-CN"/>
                    </w:rPr>
                  </w:pPr>
                  <w:r>
                    <w:rPr>
                      <w:color w:val="auto"/>
                    </w:rPr>
                    <w:t>0.17</w:t>
                  </w:r>
                </w:p>
              </w:tc>
            </w:tr>
            <w:tr w14:paraId="4D553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restart"/>
                  <w:noWrap w:val="0"/>
                  <w:vAlign w:val="center"/>
                </w:tcPr>
                <w:p w14:paraId="55111600">
                  <w:pPr>
                    <w:jc w:val="center"/>
                    <w:rPr>
                      <w:color w:val="auto"/>
                      <w:sz w:val="21"/>
                      <w:szCs w:val="21"/>
                    </w:rPr>
                  </w:pPr>
                  <w:r>
                    <w:rPr>
                      <w:color w:val="auto"/>
                      <w:sz w:val="21"/>
                      <w:szCs w:val="21"/>
                    </w:rPr>
                    <w:t>水污染物</w:t>
                  </w:r>
                </w:p>
              </w:tc>
              <w:tc>
                <w:tcPr>
                  <w:tcW w:w="1171" w:type="pct"/>
                  <w:vMerge w:val="restart"/>
                  <w:noWrap w:val="0"/>
                  <w:vAlign w:val="center"/>
                </w:tcPr>
                <w:p w14:paraId="6961F162">
                  <w:pPr>
                    <w:jc w:val="center"/>
                    <w:rPr>
                      <w:rFonts w:hint="default" w:eastAsia="宋体"/>
                      <w:color w:val="auto"/>
                      <w:sz w:val="21"/>
                      <w:szCs w:val="21"/>
                      <w:lang w:val="en-US" w:eastAsia="zh-CN"/>
                    </w:rPr>
                  </w:pPr>
                  <w:r>
                    <w:rPr>
                      <w:rFonts w:hint="eastAsia" w:eastAsia="宋体"/>
                      <w:color w:val="auto"/>
                      <w:sz w:val="21"/>
                      <w:szCs w:val="21"/>
                      <w:lang w:val="en-US" w:eastAsia="zh-CN"/>
                    </w:rPr>
                    <w:t>综合废水</w:t>
                  </w:r>
                </w:p>
              </w:tc>
              <w:tc>
                <w:tcPr>
                  <w:tcW w:w="1332" w:type="pct"/>
                  <w:shd w:val="clear" w:color="auto" w:fill="auto"/>
                  <w:noWrap w:val="0"/>
                  <w:vAlign w:val="top"/>
                </w:tcPr>
                <w:p w14:paraId="45DDABFB">
                  <w:pPr>
                    <w:jc w:val="center"/>
                    <w:rPr>
                      <w:color w:val="auto"/>
                      <w:lang w:val="en-US" w:eastAsia="en-US"/>
                    </w:rPr>
                  </w:pPr>
                  <w:r>
                    <w:rPr>
                      <w:color w:val="auto"/>
                    </w:rPr>
                    <w:t>废水量</w:t>
                  </w:r>
                </w:p>
              </w:tc>
              <w:tc>
                <w:tcPr>
                  <w:tcW w:w="1545" w:type="pct"/>
                  <w:shd w:val="clear" w:color="auto" w:fill="auto"/>
                  <w:noWrap w:val="0"/>
                  <w:vAlign w:val="top"/>
                </w:tcPr>
                <w:p w14:paraId="4F68D73C">
                  <w:pPr>
                    <w:jc w:val="center"/>
                    <w:rPr>
                      <w:color w:val="auto"/>
                      <w:lang w:val="en-US" w:eastAsia="zh-CN"/>
                    </w:rPr>
                  </w:pPr>
                  <w:r>
                    <w:rPr>
                      <w:color w:val="auto"/>
                    </w:rPr>
                    <w:t>574120</w:t>
                  </w:r>
                </w:p>
              </w:tc>
            </w:tr>
            <w:tr w14:paraId="5418A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50" w:type="pct"/>
                  <w:vMerge w:val="continue"/>
                  <w:noWrap w:val="0"/>
                  <w:vAlign w:val="center"/>
                </w:tcPr>
                <w:p w14:paraId="26721599">
                  <w:pPr>
                    <w:jc w:val="center"/>
                    <w:rPr>
                      <w:color w:val="auto"/>
                      <w:sz w:val="21"/>
                      <w:szCs w:val="21"/>
                    </w:rPr>
                  </w:pPr>
                </w:p>
              </w:tc>
              <w:tc>
                <w:tcPr>
                  <w:tcW w:w="1171" w:type="pct"/>
                  <w:vMerge w:val="continue"/>
                  <w:noWrap w:val="0"/>
                  <w:vAlign w:val="center"/>
                </w:tcPr>
                <w:p w14:paraId="583F2D9E">
                  <w:pPr>
                    <w:jc w:val="center"/>
                    <w:rPr>
                      <w:color w:val="auto"/>
                      <w:sz w:val="21"/>
                      <w:szCs w:val="21"/>
                    </w:rPr>
                  </w:pPr>
                </w:p>
              </w:tc>
              <w:tc>
                <w:tcPr>
                  <w:tcW w:w="1332" w:type="pct"/>
                  <w:shd w:val="clear" w:color="auto" w:fill="auto"/>
                  <w:noWrap w:val="0"/>
                  <w:vAlign w:val="top"/>
                </w:tcPr>
                <w:p w14:paraId="0DCC2AA4">
                  <w:pPr>
                    <w:jc w:val="center"/>
                    <w:rPr>
                      <w:color w:val="auto"/>
                      <w:lang w:val="en-US" w:eastAsia="zh-CN"/>
                    </w:rPr>
                  </w:pPr>
                  <w:r>
                    <w:rPr>
                      <w:color w:val="auto"/>
                    </w:rPr>
                    <w:t>CODcr</w:t>
                  </w:r>
                </w:p>
              </w:tc>
              <w:tc>
                <w:tcPr>
                  <w:tcW w:w="1545" w:type="pct"/>
                  <w:shd w:val="clear" w:color="auto" w:fill="auto"/>
                  <w:noWrap w:val="0"/>
                  <w:vAlign w:val="top"/>
                </w:tcPr>
                <w:p w14:paraId="32E477A3">
                  <w:pPr>
                    <w:jc w:val="center"/>
                    <w:rPr>
                      <w:color w:val="auto"/>
                      <w:lang w:val="en-US" w:eastAsia="zh-CN"/>
                    </w:rPr>
                  </w:pPr>
                  <w:r>
                    <w:rPr>
                      <w:color w:val="auto"/>
                    </w:rPr>
                    <w:t>275.617</w:t>
                  </w:r>
                </w:p>
              </w:tc>
            </w:tr>
            <w:tr w14:paraId="3986D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5754ECDD">
                  <w:pPr>
                    <w:jc w:val="center"/>
                    <w:rPr>
                      <w:color w:val="auto"/>
                      <w:sz w:val="21"/>
                      <w:szCs w:val="21"/>
                    </w:rPr>
                  </w:pPr>
                </w:p>
              </w:tc>
              <w:tc>
                <w:tcPr>
                  <w:tcW w:w="1171" w:type="pct"/>
                  <w:vMerge w:val="continue"/>
                  <w:noWrap w:val="0"/>
                  <w:vAlign w:val="center"/>
                </w:tcPr>
                <w:p w14:paraId="5AACF561">
                  <w:pPr>
                    <w:jc w:val="center"/>
                    <w:rPr>
                      <w:color w:val="auto"/>
                      <w:sz w:val="21"/>
                      <w:szCs w:val="21"/>
                    </w:rPr>
                  </w:pPr>
                </w:p>
              </w:tc>
              <w:tc>
                <w:tcPr>
                  <w:tcW w:w="1332" w:type="pct"/>
                  <w:shd w:val="clear" w:color="auto" w:fill="auto"/>
                  <w:noWrap w:val="0"/>
                  <w:vAlign w:val="top"/>
                </w:tcPr>
                <w:p w14:paraId="53614833">
                  <w:pPr>
                    <w:jc w:val="center"/>
                    <w:rPr>
                      <w:color w:val="auto"/>
                      <w:lang w:val="en-US" w:eastAsia="zh-CN"/>
                    </w:rPr>
                  </w:pPr>
                  <w:r>
                    <w:rPr>
                      <w:color w:val="auto"/>
                    </w:rPr>
                    <w:t>BOD</w:t>
                  </w:r>
                  <w:r>
                    <w:rPr>
                      <w:color w:val="auto"/>
                      <w:vertAlign w:val="subscript"/>
                    </w:rPr>
                    <w:t>5</w:t>
                  </w:r>
                </w:p>
              </w:tc>
              <w:tc>
                <w:tcPr>
                  <w:tcW w:w="1545" w:type="pct"/>
                  <w:shd w:val="clear" w:color="auto" w:fill="auto"/>
                  <w:noWrap w:val="0"/>
                  <w:vAlign w:val="top"/>
                </w:tcPr>
                <w:p w14:paraId="2A0F5521">
                  <w:pPr>
                    <w:jc w:val="center"/>
                    <w:rPr>
                      <w:color w:val="auto"/>
                      <w:lang w:val="en-US" w:eastAsia="zh-CN"/>
                    </w:rPr>
                  </w:pPr>
                  <w:r>
                    <w:rPr>
                      <w:color w:val="auto"/>
                    </w:rPr>
                    <w:t>69.927</w:t>
                  </w:r>
                </w:p>
              </w:tc>
            </w:tr>
            <w:tr w14:paraId="7F84F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50C6E86">
                  <w:pPr>
                    <w:jc w:val="center"/>
                    <w:rPr>
                      <w:color w:val="auto"/>
                      <w:sz w:val="21"/>
                      <w:szCs w:val="21"/>
                    </w:rPr>
                  </w:pPr>
                </w:p>
              </w:tc>
              <w:tc>
                <w:tcPr>
                  <w:tcW w:w="1171" w:type="pct"/>
                  <w:vMerge w:val="continue"/>
                  <w:noWrap w:val="0"/>
                  <w:vAlign w:val="center"/>
                </w:tcPr>
                <w:p w14:paraId="73413C6D">
                  <w:pPr>
                    <w:jc w:val="center"/>
                    <w:rPr>
                      <w:color w:val="auto"/>
                      <w:sz w:val="21"/>
                      <w:szCs w:val="21"/>
                    </w:rPr>
                  </w:pPr>
                </w:p>
              </w:tc>
              <w:tc>
                <w:tcPr>
                  <w:tcW w:w="1332" w:type="pct"/>
                  <w:shd w:val="clear" w:color="auto" w:fill="auto"/>
                  <w:noWrap w:val="0"/>
                  <w:vAlign w:val="top"/>
                </w:tcPr>
                <w:p w14:paraId="51114114">
                  <w:pPr>
                    <w:jc w:val="center"/>
                    <w:rPr>
                      <w:color w:val="auto"/>
                      <w:lang w:val="en-US" w:eastAsia="en-US"/>
                    </w:rPr>
                  </w:pPr>
                  <w:r>
                    <w:rPr>
                      <w:color w:val="auto"/>
                    </w:rPr>
                    <w:t>总氮</w:t>
                  </w:r>
                </w:p>
              </w:tc>
              <w:tc>
                <w:tcPr>
                  <w:tcW w:w="1545" w:type="pct"/>
                  <w:shd w:val="clear" w:color="auto" w:fill="auto"/>
                  <w:noWrap w:val="0"/>
                  <w:vAlign w:val="top"/>
                </w:tcPr>
                <w:p w14:paraId="2FCCE97B">
                  <w:pPr>
                    <w:jc w:val="center"/>
                    <w:rPr>
                      <w:color w:val="auto"/>
                      <w:lang w:val="en-US" w:eastAsia="zh-CN"/>
                    </w:rPr>
                  </w:pPr>
                  <w:r>
                    <w:rPr>
                      <w:color w:val="auto"/>
                    </w:rPr>
                    <w:t>36.486</w:t>
                  </w:r>
                </w:p>
              </w:tc>
            </w:tr>
            <w:tr w14:paraId="0DFD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20EEED8E">
                  <w:pPr>
                    <w:jc w:val="center"/>
                    <w:rPr>
                      <w:color w:val="auto"/>
                      <w:sz w:val="21"/>
                      <w:szCs w:val="21"/>
                    </w:rPr>
                  </w:pPr>
                </w:p>
              </w:tc>
              <w:tc>
                <w:tcPr>
                  <w:tcW w:w="1171" w:type="pct"/>
                  <w:vMerge w:val="continue"/>
                  <w:noWrap w:val="0"/>
                  <w:vAlign w:val="center"/>
                </w:tcPr>
                <w:p w14:paraId="570FBAEC">
                  <w:pPr>
                    <w:jc w:val="center"/>
                    <w:rPr>
                      <w:color w:val="auto"/>
                      <w:sz w:val="21"/>
                      <w:szCs w:val="21"/>
                    </w:rPr>
                  </w:pPr>
                </w:p>
              </w:tc>
              <w:tc>
                <w:tcPr>
                  <w:tcW w:w="1332" w:type="pct"/>
                  <w:shd w:val="clear" w:color="auto" w:fill="auto"/>
                  <w:noWrap w:val="0"/>
                  <w:vAlign w:val="top"/>
                </w:tcPr>
                <w:p w14:paraId="313834BB">
                  <w:pPr>
                    <w:jc w:val="center"/>
                    <w:rPr>
                      <w:color w:val="auto"/>
                      <w:lang w:val="en-US" w:eastAsia="en-US"/>
                    </w:rPr>
                  </w:pPr>
                  <w:r>
                    <w:rPr>
                      <w:color w:val="auto"/>
                    </w:rPr>
                    <w:t>总磷</w:t>
                  </w:r>
                </w:p>
              </w:tc>
              <w:tc>
                <w:tcPr>
                  <w:tcW w:w="1545" w:type="pct"/>
                  <w:shd w:val="clear" w:color="auto" w:fill="auto"/>
                  <w:noWrap w:val="0"/>
                  <w:vAlign w:val="top"/>
                </w:tcPr>
                <w:p w14:paraId="368D953E">
                  <w:pPr>
                    <w:jc w:val="center"/>
                    <w:rPr>
                      <w:color w:val="auto"/>
                      <w:lang w:val="en-US" w:eastAsia="zh-CN"/>
                    </w:rPr>
                  </w:pPr>
                  <w:r>
                    <w:rPr>
                      <w:color w:val="auto"/>
                    </w:rPr>
                    <w:t>2.365</w:t>
                  </w:r>
                </w:p>
              </w:tc>
            </w:tr>
            <w:tr w14:paraId="5D14C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45D2C916">
                  <w:pPr>
                    <w:jc w:val="center"/>
                    <w:rPr>
                      <w:color w:val="auto"/>
                      <w:sz w:val="21"/>
                      <w:szCs w:val="21"/>
                    </w:rPr>
                  </w:pPr>
                </w:p>
              </w:tc>
              <w:tc>
                <w:tcPr>
                  <w:tcW w:w="1171" w:type="pct"/>
                  <w:vMerge w:val="continue"/>
                  <w:noWrap w:val="0"/>
                  <w:vAlign w:val="center"/>
                </w:tcPr>
                <w:p w14:paraId="668DA161">
                  <w:pPr>
                    <w:jc w:val="center"/>
                    <w:rPr>
                      <w:color w:val="auto"/>
                      <w:sz w:val="21"/>
                      <w:szCs w:val="21"/>
                    </w:rPr>
                  </w:pPr>
                </w:p>
              </w:tc>
              <w:tc>
                <w:tcPr>
                  <w:tcW w:w="1332" w:type="pct"/>
                  <w:shd w:val="clear" w:color="auto" w:fill="auto"/>
                  <w:noWrap w:val="0"/>
                  <w:vAlign w:val="top"/>
                </w:tcPr>
                <w:p w14:paraId="1FDB48D0">
                  <w:pPr>
                    <w:jc w:val="center"/>
                    <w:rPr>
                      <w:color w:val="auto"/>
                      <w:lang w:val="en-US" w:eastAsia="en-US"/>
                    </w:rPr>
                  </w:pPr>
                  <w:r>
                    <w:rPr>
                      <w:color w:val="auto"/>
                    </w:rPr>
                    <w:t>氨氮</w:t>
                  </w:r>
                </w:p>
              </w:tc>
              <w:tc>
                <w:tcPr>
                  <w:tcW w:w="1545" w:type="pct"/>
                  <w:shd w:val="clear" w:color="auto" w:fill="auto"/>
                  <w:noWrap w:val="0"/>
                  <w:vAlign w:val="top"/>
                </w:tcPr>
                <w:p w14:paraId="5C8ECD66">
                  <w:pPr>
                    <w:jc w:val="center"/>
                    <w:rPr>
                      <w:rFonts w:hint="default"/>
                      <w:color w:val="auto"/>
                      <w:lang w:val="en-US" w:eastAsia="zh-CN"/>
                    </w:rPr>
                  </w:pPr>
                  <w:r>
                    <w:rPr>
                      <w:color w:val="auto"/>
                    </w:rPr>
                    <w:t>24.541</w:t>
                  </w:r>
                </w:p>
              </w:tc>
            </w:tr>
            <w:tr w14:paraId="7861B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21BE37A1">
                  <w:pPr>
                    <w:jc w:val="center"/>
                    <w:rPr>
                      <w:color w:val="auto"/>
                      <w:sz w:val="21"/>
                      <w:szCs w:val="21"/>
                    </w:rPr>
                  </w:pPr>
                </w:p>
              </w:tc>
              <w:tc>
                <w:tcPr>
                  <w:tcW w:w="1171" w:type="pct"/>
                  <w:vMerge w:val="continue"/>
                  <w:noWrap w:val="0"/>
                  <w:vAlign w:val="center"/>
                </w:tcPr>
                <w:p w14:paraId="57449517">
                  <w:pPr>
                    <w:jc w:val="center"/>
                    <w:rPr>
                      <w:color w:val="auto"/>
                      <w:sz w:val="21"/>
                      <w:szCs w:val="21"/>
                    </w:rPr>
                  </w:pPr>
                </w:p>
              </w:tc>
              <w:tc>
                <w:tcPr>
                  <w:tcW w:w="1332" w:type="pct"/>
                  <w:shd w:val="clear" w:color="auto" w:fill="auto"/>
                  <w:noWrap w:val="0"/>
                  <w:vAlign w:val="top"/>
                </w:tcPr>
                <w:p w14:paraId="76BFDCF7">
                  <w:pPr>
                    <w:jc w:val="center"/>
                    <w:rPr>
                      <w:color w:val="auto"/>
                      <w:lang w:val="en-US" w:eastAsia="zh-CN"/>
                    </w:rPr>
                  </w:pPr>
                  <w:r>
                    <w:rPr>
                      <w:color w:val="auto"/>
                    </w:rPr>
                    <w:t>SS</w:t>
                  </w:r>
                </w:p>
              </w:tc>
              <w:tc>
                <w:tcPr>
                  <w:tcW w:w="1545" w:type="pct"/>
                  <w:shd w:val="clear" w:color="auto" w:fill="auto"/>
                  <w:noWrap w:val="0"/>
                  <w:vAlign w:val="top"/>
                </w:tcPr>
                <w:p w14:paraId="604D1ABB">
                  <w:pPr>
                    <w:jc w:val="center"/>
                    <w:rPr>
                      <w:rFonts w:hint="default"/>
                      <w:color w:val="auto"/>
                      <w:lang w:val="en-US" w:eastAsia="zh-CN"/>
                    </w:rPr>
                  </w:pPr>
                  <w:r>
                    <w:rPr>
                      <w:color w:val="auto"/>
                    </w:rPr>
                    <w:t>114.006</w:t>
                  </w:r>
                </w:p>
              </w:tc>
            </w:tr>
            <w:tr w14:paraId="0C8FC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1CA1022">
                  <w:pPr>
                    <w:jc w:val="center"/>
                    <w:rPr>
                      <w:color w:val="auto"/>
                      <w:sz w:val="21"/>
                      <w:szCs w:val="21"/>
                    </w:rPr>
                  </w:pPr>
                </w:p>
              </w:tc>
              <w:tc>
                <w:tcPr>
                  <w:tcW w:w="1171" w:type="pct"/>
                  <w:vMerge w:val="continue"/>
                  <w:noWrap w:val="0"/>
                  <w:vAlign w:val="center"/>
                </w:tcPr>
                <w:p w14:paraId="2148D9B2">
                  <w:pPr>
                    <w:jc w:val="center"/>
                    <w:rPr>
                      <w:color w:val="auto"/>
                      <w:sz w:val="21"/>
                      <w:szCs w:val="21"/>
                    </w:rPr>
                  </w:pPr>
                </w:p>
              </w:tc>
              <w:tc>
                <w:tcPr>
                  <w:tcW w:w="1332" w:type="pct"/>
                  <w:shd w:val="clear" w:color="auto" w:fill="auto"/>
                  <w:noWrap w:val="0"/>
                  <w:vAlign w:val="top"/>
                </w:tcPr>
                <w:p w14:paraId="1511CE6C">
                  <w:pPr>
                    <w:jc w:val="center"/>
                    <w:rPr>
                      <w:color w:val="auto"/>
                      <w:lang w:val="en-US" w:eastAsia="en-US"/>
                    </w:rPr>
                  </w:pPr>
                  <w:r>
                    <w:rPr>
                      <w:color w:val="auto"/>
                    </w:rPr>
                    <w:t>石油类</w:t>
                  </w:r>
                </w:p>
              </w:tc>
              <w:tc>
                <w:tcPr>
                  <w:tcW w:w="1545" w:type="pct"/>
                  <w:shd w:val="clear" w:color="auto" w:fill="auto"/>
                  <w:noWrap w:val="0"/>
                  <w:vAlign w:val="top"/>
                </w:tcPr>
                <w:p w14:paraId="19BA0A01">
                  <w:pPr>
                    <w:jc w:val="center"/>
                    <w:rPr>
                      <w:rFonts w:hint="default"/>
                      <w:color w:val="auto"/>
                      <w:lang w:val="en-US" w:eastAsia="zh-CN"/>
                    </w:rPr>
                  </w:pPr>
                  <w:r>
                    <w:rPr>
                      <w:color w:val="auto"/>
                    </w:rPr>
                    <w:t>1.538</w:t>
                  </w:r>
                </w:p>
              </w:tc>
            </w:tr>
            <w:tr w14:paraId="3627F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3EF70076">
                  <w:pPr>
                    <w:jc w:val="center"/>
                    <w:rPr>
                      <w:color w:val="auto"/>
                      <w:sz w:val="21"/>
                      <w:szCs w:val="21"/>
                    </w:rPr>
                  </w:pPr>
                </w:p>
              </w:tc>
              <w:tc>
                <w:tcPr>
                  <w:tcW w:w="1171" w:type="pct"/>
                  <w:vMerge w:val="continue"/>
                  <w:noWrap w:val="0"/>
                  <w:vAlign w:val="center"/>
                </w:tcPr>
                <w:p w14:paraId="0FC9A23C">
                  <w:pPr>
                    <w:jc w:val="center"/>
                    <w:rPr>
                      <w:color w:val="auto"/>
                      <w:sz w:val="21"/>
                      <w:szCs w:val="21"/>
                    </w:rPr>
                  </w:pPr>
                </w:p>
              </w:tc>
              <w:tc>
                <w:tcPr>
                  <w:tcW w:w="1332" w:type="pct"/>
                  <w:shd w:val="clear" w:color="auto" w:fill="auto"/>
                  <w:noWrap w:val="0"/>
                  <w:vAlign w:val="top"/>
                </w:tcPr>
                <w:p w14:paraId="4DA544F6">
                  <w:pPr>
                    <w:jc w:val="center"/>
                    <w:rPr>
                      <w:color w:val="auto"/>
                      <w:lang w:val="en-US" w:eastAsia="en-US"/>
                    </w:rPr>
                  </w:pPr>
                  <w:r>
                    <w:rPr>
                      <w:color w:val="auto"/>
                    </w:rPr>
                    <w:t>总锌</w:t>
                  </w:r>
                </w:p>
              </w:tc>
              <w:tc>
                <w:tcPr>
                  <w:tcW w:w="1545" w:type="pct"/>
                  <w:shd w:val="clear" w:color="auto" w:fill="auto"/>
                  <w:noWrap w:val="0"/>
                  <w:vAlign w:val="top"/>
                </w:tcPr>
                <w:p w14:paraId="2C1FF342">
                  <w:pPr>
                    <w:jc w:val="center"/>
                    <w:rPr>
                      <w:rFonts w:hint="default"/>
                      <w:color w:val="auto"/>
                      <w:lang w:val="en-US" w:eastAsia="zh-CN"/>
                    </w:rPr>
                  </w:pPr>
                  <w:r>
                    <w:rPr>
                      <w:color w:val="auto"/>
                    </w:rPr>
                    <w:t>0.752</w:t>
                  </w:r>
                </w:p>
              </w:tc>
            </w:tr>
            <w:tr w14:paraId="3E7C5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A4C453B">
                  <w:pPr>
                    <w:jc w:val="center"/>
                    <w:rPr>
                      <w:color w:val="auto"/>
                      <w:sz w:val="21"/>
                      <w:szCs w:val="21"/>
                    </w:rPr>
                  </w:pPr>
                </w:p>
              </w:tc>
              <w:tc>
                <w:tcPr>
                  <w:tcW w:w="1171" w:type="pct"/>
                  <w:vMerge w:val="continue"/>
                  <w:noWrap w:val="0"/>
                  <w:vAlign w:val="center"/>
                </w:tcPr>
                <w:p w14:paraId="7F0AED51">
                  <w:pPr>
                    <w:jc w:val="center"/>
                    <w:rPr>
                      <w:color w:val="auto"/>
                      <w:sz w:val="21"/>
                      <w:szCs w:val="21"/>
                    </w:rPr>
                  </w:pPr>
                </w:p>
              </w:tc>
              <w:tc>
                <w:tcPr>
                  <w:tcW w:w="1332" w:type="pct"/>
                  <w:shd w:val="clear" w:color="auto" w:fill="auto"/>
                  <w:noWrap w:val="0"/>
                  <w:vAlign w:val="top"/>
                </w:tcPr>
                <w:p w14:paraId="31C227C8">
                  <w:pPr>
                    <w:jc w:val="center"/>
                    <w:rPr>
                      <w:color w:val="auto"/>
                      <w:lang w:val="en-US" w:eastAsia="en-US"/>
                    </w:rPr>
                  </w:pPr>
                  <w:r>
                    <w:rPr>
                      <w:color w:val="auto"/>
                    </w:rPr>
                    <w:t>总镍</w:t>
                  </w:r>
                </w:p>
              </w:tc>
              <w:tc>
                <w:tcPr>
                  <w:tcW w:w="1545" w:type="pct"/>
                  <w:shd w:val="clear" w:color="auto" w:fill="auto"/>
                  <w:noWrap w:val="0"/>
                  <w:vAlign w:val="top"/>
                </w:tcPr>
                <w:p w14:paraId="0A3D40A0">
                  <w:pPr>
                    <w:jc w:val="center"/>
                    <w:rPr>
                      <w:rFonts w:hint="default"/>
                      <w:color w:val="auto"/>
                      <w:lang w:val="en-US" w:eastAsia="zh-CN"/>
                    </w:rPr>
                  </w:pPr>
                  <w:r>
                    <w:rPr>
                      <w:color w:val="auto"/>
                    </w:rPr>
                    <w:t>0.028</w:t>
                  </w:r>
                </w:p>
              </w:tc>
            </w:tr>
            <w:tr w14:paraId="68E10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3A23E70">
                  <w:pPr>
                    <w:jc w:val="center"/>
                    <w:rPr>
                      <w:color w:val="auto"/>
                      <w:sz w:val="21"/>
                      <w:szCs w:val="21"/>
                    </w:rPr>
                  </w:pPr>
                </w:p>
              </w:tc>
              <w:tc>
                <w:tcPr>
                  <w:tcW w:w="1171" w:type="pct"/>
                  <w:vMerge w:val="continue"/>
                  <w:noWrap w:val="0"/>
                  <w:vAlign w:val="center"/>
                </w:tcPr>
                <w:p w14:paraId="22D495C9">
                  <w:pPr>
                    <w:jc w:val="center"/>
                    <w:rPr>
                      <w:color w:val="auto"/>
                      <w:sz w:val="21"/>
                      <w:szCs w:val="21"/>
                    </w:rPr>
                  </w:pPr>
                </w:p>
              </w:tc>
              <w:tc>
                <w:tcPr>
                  <w:tcW w:w="1332" w:type="pct"/>
                  <w:shd w:val="clear" w:color="auto" w:fill="auto"/>
                  <w:noWrap w:val="0"/>
                  <w:vAlign w:val="top"/>
                </w:tcPr>
                <w:p w14:paraId="1F5FDCDF">
                  <w:pPr>
                    <w:jc w:val="center"/>
                    <w:rPr>
                      <w:color w:val="auto"/>
                      <w:lang w:val="en-US" w:eastAsia="en-US"/>
                    </w:rPr>
                  </w:pPr>
                  <w:r>
                    <w:rPr>
                      <w:color w:val="auto"/>
                    </w:rPr>
                    <w:t>总铜</w:t>
                  </w:r>
                </w:p>
              </w:tc>
              <w:tc>
                <w:tcPr>
                  <w:tcW w:w="1545" w:type="pct"/>
                  <w:shd w:val="clear" w:color="auto" w:fill="auto"/>
                  <w:noWrap w:val="0"/>
                  <w:vAlign w:val="top"/>
                </w:tcPr>
                <w:p w14:paraId="64620D6C">
                  <w:pPr>
                    <w:jc w:val="center"/>
                    <w:rPr>
                      <w:rFonts w:hint="default"/>
                      <w:color w:val="auto"/>
                      <w:lang w:val="en-US" w:eastAsia="zh-CN"/>
                    </w:rPr>
                  </w:pPr>
                  <w:r>
                    <w:rPr>
                      <w:color w:val="auto"/>
                    </w:rPr>
                    <w:t>0.28</w:t>
                  </w:r>
                </w:p>
              </w:tc>
            </w:tr>
            <w:tr w14:paraId="6A11A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1F326CD2">
                  <w:pPr>
                    <w:jc w:val="center"/>
                    <w:rPr>
                      <w:color w:val="auto"/>
                      <w:sz w:val="21"/>
                      <w:szCs w:val="21"/>
                    </w:rPr>
                  </w:pPr>
                </w:p>
              </w:tc>
              <w:tc>
                <w:tcPr>
                  <w:tcW w:w="1171" w:type="pct"/>
                  <w:vMerge w:val="continue"/>
                  <w:noWrap w:val="0"/>
                  <w:vAlign w:val="center"/>
                </w:tcPr>
                <w:p w14:paraId="2066E224">
                  <w:pPr>
                    <w:jc w:val="center"/>
                    <w:rPr>
                      <w:color w:val="auto"/>
                      <w:sz w:val="21"/>
                      <w:szCs w:val="21"/>
                    </w:rPr>
                  </w:pPr>
                </w:p>
              </w:tc>
              <w:tc>
                <w:tcPr>
                  <w:tcW w:w="1332" w:type="pct"/>
                  <w:shd w:val="clear" w:color="auto" w:fill="auto"/>
                  <w:noWrap w:val="0"/>
                  <w:vAlign w:val="top"/>
                </w:tcPr>
                <w:p w14:paraId="5CAF8349">
                  <w:pPr>
                    <w:jc w:val="center"/>
                    <w:rPr>
                      <w:color w:val="auto"/>
                      <w:lang w:val="en-US" w:eastAsia="en-US"/>
                    </w:rPr>
                  </w:pPr>
                  <w:r>
                    <w:rPr>
                      <w:color w:val="auto"/>
                    </w:rPr>
                    <w:t>总铬</w:t>
                  </w:r>
                </w:p>
              </w:tc>
              <w:tc>
                <w:tcPr>
                  <w:tcW w:w="1545" w:type="pct"/>
                  <w:shd w:val="clear" w:color="auto" w:fill="auto"/>
                  <w:noWrap w:val="0"/>
                  <w:vAlign w:val="top"/>
                </w:tcPr>
                <w:p w14:paraId="6B9488BB">
                  <w:pPr>
                    <w:jc w:val="center"/>
                    <w:rPr>
                      <w:rFonts w:hint="default"/>
                      <w:color w:val="auto"/>
                      <w:lang w:val="en-US" w:eastAsia="zh-CN"/>
                    </w:rPr>
                  </w:pPr>
                  <w:r>
                    <w:rPr>
                      <w:color w:val="auto"/>
                    </w:rPr>
                    <w:t>0.0201</w:t>
                  </w:r>
                </w:p>
              </w:tc>
            </w:tr>
            <w:tr w14:paraId="14EB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4A6BD0A0">
                  <w:pPr>
                    <w:jc w:val="center"/>
                    <w:rPr>
                      <w:color w:val="auto"/>
                      <w:sz w:val="21"/>
                      <w:szCs w:val="21"/>
                    </w:rPr>
                  </w:pPr>
                </w:p>
              </w:tc>
              <w:tc>
                <w:tcPr>
                  <w:tcW w:w="1171" w:type="pct"/>
                  <w:vMerge w:val="continue"/>
                  <w:noWrap w:val="0"/>
                  <w:vAlign w:val="center"/>
                </w:tcPr>
                <w:p w14:paraId="3A4F59A2">
                  <w:pPr>
                    <w:jc w:val="center"/>
                    <w:rPr>
                      <w:color w:val="auto"/>
                      <w:sz w:val="21"/>
                      <w:szCs w:val="21"/>
                    </w:rPr>
                  </w:pPr>
                </w:p>
              </w:tc>
              <w:tc>
                <w:tcPr>
                  <w:tcW w:w="1332" w:type="pct"/>
                  <w:shd w:val="clear" w:color="auto" w:fill="auto"/>
                  <w:noWrap w:val="0"/>
                  <w:vAlign w:val="top"/>
                </w:tcPr>
                <w:p w14:paraId="466B8F66">
                  <w:pPr>
                    <w:jc w:val="center"/>
                    <w:rPr>
                      <w:color w:val="auto"/>
                      <w:lang w:val="en-US" w:eastAsia="zh-CN"/>
                    </w:rPr>
                  </w:pPr>
                  <w:r>
                    <w:rPr>
                      <w:color w:val="auto"/>
                    </w:rPr>
                    <w:t>LAS</w:t>
                  </w:r>
                </w:p>
              </w:tc>
              <w:tc>
                <w:tcPr>
                  <w:tcW w:w="1545" w:type="pct"/>
                  <w:shd w:val="clear" w:color="auto" w:fill="auto"/>
                  <w:noWrap w:val="0"/>
                  <w:vAlign w:val="top"/>
                </w:tcPr>
                <w:p w14:paraId="360A840C">
                  <w:pPr>
                    <w:jc w:val="center"/>
                    <w:rPr>
                      <w:rFonts w:hint="default"/>
                      <w:color w:val="auto"/>
                      <w:lang w:val="en-US" w:eastAsia="zh-CN"/>
                    </w:rPr>
                  </w:pPr>
                  <w:r>
                    <w:rPr>
                      <w:color w:val="auto"/>
                    </w:rPr>
                    <w:t>6.025</w:t>
                  </w:r>
                </w:p>
              </w:tc>
            </w:tr>
            <w:tr w14:paraId="08A6E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2883E1FD">
                  <w:pPr>
                    <w:jc w:val="center"/>
                    <w:rPr>
                      <w:color w:val="auto"/>
                      <w:sz w:val="21"/>
                      <w:szCs w:val="21"/>
                    </w:rPr>
                  </w:pPr>
                </w:p>
              </w:tc>
              <w:tc>
                <w:tcPr>
                  <w:tcW w:w="1171" w:type="pct"/>
                  <w:vMerge w:val="continue"/>
                  <w:noWrap w:val="0"/>
                  <w:vAlign w:val="center"/>
                </w:tcPr>
                <w:p w14:paraId="3A94C4C5">
                  <w:pPr>
                    <w:jc w:val="center"/>
                    <w:rPr>
                      <w:color w:val="auto"/>
                      <w:sz w:val="21"/>
                      <w:szCs w:val="21"/>
                    </w:rPr>
                  </w:pPr>
                </w:p>
              </w:tc>
              <w:tc>
                <w:tcPr>
                  <w:tcW w:w="1332" w:type="pct"/>
                  <w:shd w:val="clear" w:color="auto" w:fill="auto"/>
                  <w:noWrap w:val="0"/>
                  <w:vAlign w:val="top"/>
                </w:tcPr>
                <w:p w14:paraId="2827669B">
                  <w:pPr>
                    <w:jc w:val="center"/>
                    <w:rPr>
                      <w:color w:val="auto"/>
                      <w:lang w:val="en-US" w:eastAsia="en-US"/>
                    </w:rPr>
                  </w:pPr>
                  <w:r>
                    <w:rPr>
                      <w:color w:val="auto"/>
                    </w:rPr>
                    <w:t>总锡</w:t>
                  </w:r>
                </w:p>
              </w:tc>
              <w:tc>
                <w:tcPr>
                  <w:tcW w:w="1545" w:type="pct"/>
                  <w:shd w:val="clear" w:color="auto" w:fill="auto"/>
                  <w:noWrap w:val="0"/>
                  <w:vAlign w:val="top"/>
                </w:tcPr>
                <w:p w14:paraId="37693BE0">
                  <w:pPr>
                    <w:jc w:val="center"/>
                    <w:rPr>
                      <w:rFonts w:hint="default"/>
                      <w:color w:val="auto"/>
                      <w:lang w:val="en-US" w:eastAsia="zh-CN"/>
                    </w:rPr>
                  </w:pPr>
                  <w:r>
                    <w:rPr>
                      <w:color w:val="auto"/>
                    </w:rPr>
                    <w:t>0.198</w:t>
                  </w:r>
                </w:p>
              </w:tc>
            </w:tr>
            <w:tr w14:paraId="217D9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0E8949DB">
                  <w:pPr>
                    <w:jc w:val="center"/>
                    <w:rPr>
                      <w:color w:val="auto"/>
                      <w:sz w:val="21"/>
                      <w:szCs w:val="21"/>
                    </w:rPr>
                  </w:pPr>
                </w:p>
              </w:tc>
              <w:tc>
                <w:tcPr>
                  <w:tcW w:w="1171" w:type="pct"/>
                  <w:vMerge w:val="continue"/>
                  <w:noWrap w:val="0"/>
                  <w:vAlign w:val="center"/>
                </w:tcPr>
                <w:p w14:paraId="55EC17C6">
                  <w:pPr>
                    <w:jc w:val="center"/>
                    <w:rPr>
                      <w:color w:val="auto"/>
                      <w:sz w:val="21"/>
                      <w:szCs w:val="21"/>
                    </w:rPr>
                  </w:pPr>
                </w:p>
              </w:tc>
              <w:tc>
                <w:tcPr>
                  <w:tcW w:w="1332" w:type="pct"/>
                  <w:shd w:val="clear" w:color="auto" w:fill="auto"/>
                  <w:noWrap w:val="0"/>
                  <w:vAlign w:val="top"/>
                </w:tcPr>
                <w:p w14:paraId="10FE536E">
                  <w:pPr>
                    <w:jc w:val="center"/>
                    <w:rPr>
                      <w:color w:val="auto"/>
                      <w:lang w:val="en-US" w:eastAsia="en-US"/>
                    </w:rPr>
                  </w:pPr>
                  <w:r>
                    <w:rPr>
                      <w:color w:val="auto"/>
                    </w:rPr>
                    <w:t>色度</w:t>
                  </w:r>
                </w:p>
              </w:tc>
              <w:tc>
                <w:tcPr>
                  <w:tcW w:w="1545" w:type="pct"/>
                  <w:shd w:val="clear" w:color="auto" w:fill="auto"/>
                  <w:noWrap w:val="0"/>
                  <w:vAlign w:val="top"/>
                </w:tcPr>
                <w:p w14:paraId="7FA80A92">
                  <w:pPr>
                    <w:jc w:val="center"/>
                    <w:rPr>
                      <w:rFonts w:hint="default"/>
                      <w:color w:val="auto"/>
                      <w:lang w:val="en-US" w:eastAsia="zh-CN"/>
                    </w:rPr>
                  </w:pPr>
                  <w:r>
                    <w:rPr>
                      <w:color w:val="auto"/>
                    </w:rPr>
                    <w:t>4.371</w:t>
                  </w:r>
                </w:p>
              </w:tc>
            </w:tr>
            <w:tr w14:paraId="50BFA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7D9D970F">
                  <w:pPr>
                    <w:jc w:val="center"/>
                    <w:rPr>
                      <w:color w:val="auto"/>
                      <w:sz w:val="21"/>
                      <w:szCs w:val="21"/>
                    </w:rPr>
                  </w:pPr>
                </w:p>
              </w:tc>
              <w:tc>
                <w:tcPr>
                  <w:tcW w:w="1171" w:type="pct"/>
                  <w:vMerge w:val="continue"/>
                  <w:noWrap w:val="0"/>
                  <w:vAlign w:val="center"/>
                </w:tcPr>
                <w:p w14:paraId="14470CC2">
                  <w:pPr>
                    <w:jc w:val="center"/>
                    <w:rPr>
                      <w:color w:val="auto"/>
                      <w:sz w:val="21"/>
                      <w:szCs w:val="21"/>
                    </w:rPr>
                  </w:pPr>
                </w:p>
              </w:tc>
              <w:tc>
                <w:tcPr>
                  <w:tcW w:w="1332" w:type="pct"/>
                  <w:shd w:val="clear" w:color="auto" w:fill="auto"/>
                  <w:noWrap w:val="0"/>
                  <w:vAlign w:val="top"/>
                </w:tcPr>
                <w:p w14:paraId="13FBB0EC">
                  <w:pPr>
                    <w:jc w:val="center"/>
                    <w:rPr>
                      <w:color w:val="auto"/>
                      <w:lang w:val="en-US" w:eastAsia="en-US"/>
                    </w:rPr>
                  </w:pPr>
                  <w:r>
                    <w:rPr>
                      <w:color w:val="auto"/>
                    </w:rPr>
                    <w:t>总硼</w:t>
                  </w:r>
                </w:p>
              </w:tc>
              <w:tc>
                <w:tcPr>
                  <w:tcW w:w="1545" w:type="pct"/>
                  <w:shd w:val="clear" w:color="auto" w:fill="auto"/>
                  <w:noWrap w:val="0"/>
                  <w:vAlign w:val="top"/>
                </w:tcPr>
                <w:p w14:paraId="31098134">
                  <w:pPr>
                    <w:jc w:val="center"/>
                    <w:rPr>
                      <w:rFonts w:hint="default"/>
                      <w:color w:val="auto"/>
                      <w:lang w:val="en-US" w:eastAsia="zh-CN"/>
                    </w:rPr>
                  </w:pPr>
                  <w:r>
                    <w:rPr>
                      <w:color w:val="auto"/>
                    </w:rPr>
                    <w:t>1.66</w:t>
                  </w:r>
                </w:p>
              </w:tc>
            </w:tr>
            <w:tr w14:paraId="2E497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restart"/>
                  <w:noWrap w:val="0"/>
                  <w:vAlign w:val="center"/>
                </w:tcPr>
                <w:p w14:paraId="5595463F">
                  <w:pPr>
                    <w:jc w:val="center"/>
                    <w:rPr>
                      <w:color w:val="auto"/>
                      <w:sz w:val="21"/>
                      <w:szCs w:val="21"/>
                    </w:rPr>
                  </w:pPr>
                  <w:r>
                    <w:rPr>
                      <w:color w:val="auto"/>
                      <w:sz w:val="21"/>
                      <w:szCs w:val="21"/>
                    </w:rPr>
                    <w:t>固体废物</w:t>
                  </w:r>
                </w:p>
              </w:tc>
              <w:tc>
                <w:tcPr>
                  <w:tcW w:w="2504" w:type="pct"/>
                  <w:gridSpan w:val="2"/>
                  <w:noWrap w:val="0"/>
                  <w:vAlign w:val="center"/>
                </w:tcPr>
                <w:p w14:paraId="61ED68E8">
                  <w:pPr>
                    <w:jc w:val="center"/>
                    <w:rPr>
                      <w:color w:val="auto"/>
                      <w:sz w:val="21"/>
                      <w:szCs w:val="21"/>
                    </w:rPr>
                  </w:pPr>
                  <w:r>
                    <w:rPr>
                      <w:rFonts w:hint="eastAsia"/>
                      <w:color w:val="auto"/>
                      <w:sz w:val="21"/>
                      <w:szCs w:val="21"/>
                    </w:rPr>
                    <w:t>一般工业固体废物</w:t>
                  </w:r>
                </w:p>
              </w:tc>
              <w:tc>
                <w:tcPr>
                  <w:tcW w:w="1545" w:type="pct"/>
                  <w:noWrap w:val="0"/>
                  <w:vAlign w:val="center"/>
                </w:tcPr>
                <w:p w14:paraId="20B37998">
                  <w:pPr>
                    <w:jc w:val="center"/>
                    <w:rPr>
                      <w:color w:val="auto"/>
                      <w:sz w:val="21"/>
                      <w:szCs w:val="21"/>
                    </w:rPr>
                  </w:pPr>
                  <w:r>
                    <w:rPr>
                      <w:rFonts w:ascii="Times New Roman" w:hAnsi="Times New Roman" w:eastAsia="Times New Roman" w:cs="Times New Roman"/>
                      <w:color w:val="auto"/>
                      <w:spacing w:val="-3"/>
                      <w:sz w:val="21"/>
                      <w:szCs w:val="21"/>
                    </w:rPr>
                    <w:t>1935.736</w:t>
                  </w:r>
                </w:p>
              </w:tc>
            </w:tr>
            <w:tr w14:paraId="3F9F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177F5269">
                  <w:pPr>
                    <w:jc w:val="center"/>
                    <w:rPr>
                      <w:color w:val="auto"/>
                      <w:sz w:val="21"/>
                      <w:szCs w:val="21"/>
                    </w:rPr>
                  </w:pPr>
                </w:p>
              </w:tc>
              <w:tc>
                <w:tcPr>
                  <w:tcW w:w="2504" w:type="pct"/>
                  <w:gridSpan w:val="2"/>
                  <w:noWrap w:val="0"/>
                  <w:vAlign w:val="center"/>
                </w:tcPr>
                <w:p w14:paraId="26477C51">
                  <w:pPr>
                    <w:jc w:val="center"/>
                    <w:rPr>
                      <w:color w:val="auto"/>
                      <w:sz w:val="21"/>
                      <w:szCs w:val="21"/>
                    </w:rPr>
                  </w:pPr>
                  <w:r>
                    <w:rPr>
                      <w:rFonts w:hint="eastAsia"/>
                      <w:color w:val="auto"/>
                      <w:sz w:val="21"/>
                      <w:szCs w:val="21"/>
                    </w:rPr>
                    <w:t>危险废物</w:t>
                  </w:r>
                </w:p>
              </w:tc>
              <w:tc>
                <w:tcPr>
                  <w:tcW w:w="1545" w:type="pct"/>
                  <w:noWrap w:val="0"/>
                  <w:vAlign w:val="center"/>
                </w:tcPr>
                <w:p w14:paraId="51C6F4D9">
                  <w:pPr>
                    <w:jc w:val="center"/>
                    <w:rPr>
                      <w:color w:val="auto"/>
                      <w:sz w:val="21"/>
                      <w:szCs w:val="21"/>
                    </w:rPr>
                  </w:pPr>
                  <w:r>
                    <w:rPr>
                      <w:rFonts w:hint="eastAsia"/>
                      <w:color w:val="auto"/>
                      <w:sz w:val="21"/>
                      <w:szCs w:val="21"/>
                    </w:rPr>
                    <w:t>1478.892</w:t>
                  </w:r>
                </w:p>
              </w:tc>
            </w:tr>
            <w:tr w14:paraId="1CDA9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0" w:type="pct"/>
                  <w:vMerge w:val="continue"/>
                  <w:noWrap w:val="0"/>
                  <w:vAlign w:val="center"/>
                </w:tcPr>
                <w:p w14:paraId="3A4C91E5">
                  <w:pPr>
                    <w:jc w:val="center"/>
                    <w:rPr>
                      <w:color w:val="auto"/>
                      <w:sz w:val="21"/>
                      <w:szCs w:val="21"/>
                    </w:rPr>
                  </w:pPr>
                </w:p>
              </w:tc>
              <w:tc>
                <w:tcPr>
                  <w:tcW w:w="1171" w:type="pct"/>
                  <w:noWrap w:val="0"/>
                  <w:vAlign w:val="center"/>
                </w:tcPr>
                <w:p w14:paraId="043C92E5">
                  <w:pPr>
                    <w:jc w:val="center"/>
                    <w:rPr>
                      <w:color w:val="auto"/>
                      <w:sz w:val="21"/>
                      <w:szCs w:val="21"/>
                    </w:rPr>
                  </w:pPr>
                  <w:r>
                    <w:rPr>
                      <w:color w:val="auto"/>
                      <w:sz w:val="21"/>
                      <w:szCs w:val="21"/>
                    </w:rPr>
                    <w:t>职工生活</w:t>
                  </w:r>
                </w:p>
              </w:tc>
              <w:tc>
                <w:tcPr>
                  <w:tcW w:w="1332" w:type="pct"/>
                  <w:noWrap w:val="0"/>
                  <w:vAlign w:val="center"/>
                </w:tcPr>
                <w:p w14:paraId="047AA9A4">
                  <w:pPr>
                    <w:jc w:val="center"/>
                    <w:rPr>
                      <w:color w:val="auto"/>
                      <w:sz w:val="21"/>
                      <w:szCs w:val="21"/>
                    </w:rPr>
                  </w:pPr>
                  <w:r>
                    <w:rPr>
                      <w:color w:val="auto"/>
                      <w:sz w:val="21"/>
                      <w:szCs w:val="21"/>
                    </w:rPr>
                    <w:t>生活垃圾</w:t>
                  </w:r>
                </w:p>
              </w:tc>
              <w:tc>
                <w:tcPr>
                  <w:tcW w:w="1545" w:type="pct"/>
                  <w:noWrap w:val="0"/>
                  <w:vAlign w:val="center"/>
                </w:tcPr>
                <w:p w14:paraId="170A661F">
                  <w:pPr>
                    <w:jc w:val="center"/>
                    <w:rPr>
                      <w:color w:val="auto"/>
                      <w:sz w:val="21"/>
                      <w:szCs w:val="21"/>
                    </w:rPr>
                  </w:pPr>
                  <w:r>
                    <w:rPr>
                      <w:rFonts w:hint="eastAsia"/>
                      <w:color w:val="auto"/>
                      <w:sz w:val="21"/>
                      <w:szCs w:val="21"/>
                    </w:rPr>
                    <w:t>276.5</w:t>
                  </w:r>
                </w:p>
              </w:tc>
            </w:tr>
          </w:tbl>
          <w:p w14:paraId="22D6BC75">
            <w:pPr>
              <w:pStyle w:val="60"/>
              <w:adjustRightInd/>
              <w:spacing w:before="0" w:after="0" w:line="360" w:lineRule="auto"/>
              <w:ind w:firstLine="482" w:firstLineChars="200"/>
              <w:rPr>
                <w:b/>
                <w:bCs/>
                <w:color w:val="auto"/>
              </w:rPr>
            </w:pPr>
            <w:r>
              <w:rPr>
                <w:rFonts w:hint="eastAsia"/>
                <w:b/>
                <w:bCs/>
                <w:color w:val="auto"/>
                <w:lang w:val="en-US" w:eastAsia="zh-CN"/>
              </w:rPr>
              <w:t>十四</w:t>
            </w:r>
            <w:r>
              <w:rPr>
                <w:b/>
                <w:bCs/>
                <w:color w:val="auto"/>
              </w:rPr>
              <w:t>、现有工程环境问题</w:t>
            </w:r>
          </w:p>
          <w:p w14:paraId="36A14F03">
            <w:pPr>
              <w:pStyle w:val="60"/>
              <w:adjustRightInd/>
              <w:spacing w:before="0" w:after="0" w:line="360" w:lineRule="auto"/>
              <w:ind w:firstLine="480" w:firstLineChars="200"/>
              <w:rPr>
                <w:color w:val="auto"/>
              </w:rPr>
            </w:pPr>
            <w:r>
              <w:rPr>
                <w:rFonts w:hint="eastAsia" w:ascii="Times New Roman" w:hAnsi="Times New Roman"/>
                <w:color w:val="auto"/>
              </w:rPr>
              <w:t>现有工程</w:t>
            </w:r>
            <w:r>
              <w:rPr>
                <w:rFonts w:hint="eastAsia" w:ascii="Times New Roman" w:hAnsi="Times New Roman"/>
                <w:color w:val="auto"/>
                <w:lang w:val="en-US" w:eastAsia="zh-CN"/>
              </w:rPr>
              <w:t>仅2#电镀车间部分工序投产，配套7套碱液喷淋塔已按环评建设，污水措施、一般固废间、危废暂存间已按环评建设</w:t>
            </w:r>
            <w:r>
              <w:rPr>
                <w:rFonts w:hint="eastAsia" w:ascii="Times New Roman" w:hAnsi="Times New Roman"/>
                <w:color w:val="auto"/>
              </w:rPr>
              <w:t>，</w:t>
            </w:r>
            <w:r>
              <w:rPr>
                <w:rFonts w:hint="eastAsia" w:ascii="Times New Roman" w:hAnsi="Times New Roman"/>
                <w:color w:val="auto"/>
                <w:lang w:val="en-US" w:eastAsia="zh-CN"/>
              </w:rPr>
              <w:t>剩余工艺未投产，项目目前不存在主要环境问题</w:t>
            </w:r>
            <w:r>
              <w:rPr>
                <w:rFonts w:hint="eastAsia" w:ascii="Times New Roman" w:hAnsi="Times New Roman"/>
                <w:color w:val="auto"/>
              </w:rPr>
              <w:t>，待项目完全投产后进行验收，实际建设情况和各项环保措施以</w:t>
            </w:r>
            <w:r>
              <w:rPr>
                <w:rStyle w:val="31"/>
                <w:rFonts w:hint="eastAsia" w:ascii="Times New Roman" w:hAnsi="Times New Roman"/>
                <w:color w:val="auto"/>
                <w:sz w:val="24"/>
              </w:rPr>
              <w:t>《江西劲诚永磁新材料有限公司高效节能电机用磁材基地项目》（赣环审〔2024〕6号）竣工环境保护验收为准。</w:t>
            </w:r>
          </w:p>
        </w:tc>
      </w:tr>
    </w:tbl>
    <w:p w14:paraId="54E857D9">
      <w:pPr>
        <w:pStyle w:val="20"/>
        <w:jc w:val="center"/>
        <w:rPr>
          <w:rFonts w:ascii="黑体" w:hAnsi="黑体" w:eastAsia="黑体"/>
          <w:snapToGrid w:val="0"/>
          <w:color w:val="auto"/>
          <w:sz w:val="36"/>
          <w:szCs w:val="36"/>
        </w:rPr>
        <w:sectPr>
          <w:pgSz w:w="11906" w:h="16838"/>
          <w:pgMar w:top="1701" w:right="1083" w:bottom="2126" w:left="1083" w:header="851" w:footer="850" w:gutter="0"/>
          <w:pgBorders>
            <w:top w:val="none" w:sz="0" w:space="0"/>
            <w:left w:val="none" w:sz="0" w:space="0"/>
            <w:bottom w:val="none" w:sz="0" w:space="0"/>
            <w:right w:val="none" w:sz="0" w:space="0"/>
          </w:pgBorders>
          <w:pgNumType w:fmt="decimal"/>
          <w:cols w:space="720" w:num="1"/>
          <w:docGrid w:linePitch="312" w:charSpace="0"/>
        </w:sectPr>
      </w:pPr>
    </w:p>
    <w:p w14:paraId="02225319">
      <w:pPr>
        <w:pStyle w:val="20"/>
        <w:snapToGrid w:val="0"/>
        <w:spacing w:before="0" w:beforeAutospacing="0" w:after="0" w:afterAutospacing="0"/>
        <w:jc w:val="center"/>
        <w:outlineLvl w:val="0"/>
        <w:rPr>
          <w:rFonts w:ascii="黑体" w:hAnsi="黑体" w:eastAsia="黑体"/>
          <w:snapToGrid w:val="0"/>
          <w:color w:val="auto"/>
          <w:sz w:val="30"/>
          <w:szCs w:val="30"/>
        </w:rPr>
      </w:pPr>
      <w:bookmarkStart w:id="16" w:name="_Toc25740"/>
      <w:bookmarkStart w:id="17" w:name="_Toc2506"/>
      <w:r>
        <w:rPr>
          <w:rFonts w:hint="eastAsia" w:ascii="黑体" w:hAnsi="黑体" w:eastAsia="黑体"/>
          <w:snapToGrid w:val="0"/>
          <w:color w:val="auto"/>
          <w:sz w:val="30"/>
          <w:szCs w:val="30"/>
        </w:rPr>
        <w:t>三、区域环境质量现状、环境保护目标及评价标准</w:t>
      </w:r>
      <w:bookmarkEnd w:id="16"/>
      <w:bookmarkEnd w:id="17"/>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9"/>
      </w:tblGrid>
      <w:tr w14:paraId="5AAEB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452" w:type="dxa"/>
            <w:vAlign w:val="center"/>
          </w:tcPr>
          <w:p w14:paraId="3592AD19">
            <w:pPr>
              <w:adjustRightInd w:val="0"/>
              <w:snapToGrid w:val="0"/>
              <w:jc w:val="center"/>
              <w:rPr>
                <w:rFonts w:cs="宋体"/>
                <w:color w:val="auto"/>
                <w:kern w:val="0"/>
                <w:sz w:val="24"/>
              </w:rPr>
            </w:pPr>
            <w:r>
              <w:rPr>
                <w:rFonts w:hint="eastAsia" w:cs="宋体"/>
                <w:color w:val="auto"/>
                <w:kern w:val="0"/>
                <w:sz w:val="24"/>
              </w:rPr>
              <w:t>区域</w:t>
            </w:r>
          </w:p>
          <w:p w14:paraId="729DA8EF">
            <w:pPr>
              <w:adjustRightInd w:val="0"/>
              <w:snapToGrid w:val="0"/>
              <w:jc w:val="center"/>
              <w:rPr>
                <w:rFonts w:cs="宋体"/>
                <w:color w:val="auto"/>
                <w:kern w:val="0"/>
                <w:sz w:val="24"/>
              </w:rPr>
            </w:pPr>
            <w:r>
              <w:rPr>
                <w:rFonts w:hint="eastAsia" w:cs="宋体"/>
                <w:color w:val="auto"/>
                <w:kern w:val="0"/>
                <w:sz w:val="24"/>
              </w:rPr>
              <w:t>环境</w:t>
            </w:r>
          </w:p>
          <w:p w14:paraId="32540CF7">
            <w:pPr>
              <w:adjustRightInd w:val="0"/>
              <w:snapToGrid w:val="0"/>
              <w:jc w:val="center"/>
              <w:rPr>
                <w:rFonts w:cs="宋体"/>
                <w:color w:val="auto"/>
                <w:kern w:val="0"/>
                <w:sz w:val="24"/>
              </w:rPr>
            </w:pPr>
            <w:r>
              <w:rPr>
                <w:rFonts w:hint="eastAsia" w:cs="宋体"/>
                <w:color w:val="auto"/>
                <w:kern w:val="0"/>
                <w:sz w:val="24"/>
              </w:rPr>
              <w:t>质量</w:t>
            </w:r>
          </w:p>
          <w:p w14:paraId="59D47CB8">
            <w:pPr>
              <w:adjustRightInd w:val="0"/>
              <w:snapToGrid w:val="0"/>
              <w:jc w:val="center"/>
              <w:rPr>
                <w:rFonts w:cs="宋体"/>
                <w:color w:val="auto"/>
                <w:kern w:val="0"/>
                <w:szCs w:val="21"/>
              </w:rPr>
            </w:pPr>
            <w:r>
              <w:rPr>
                <w:rFonts w:hint="eastAsia" w:cs="宋体"/>
                <w:color w:val="auto"/>
                <w:kern w:val="0"/>
                <w:sz w:val="24"/>
              </w:rPr>
              <w:t>现状</w:t>
            </w:r>
          </w:p>
        </w:tc>
        <w:tc>
          <w:tcPr>
            <w:tcW w:w="8609" w:type="dxa"/>
            <w:vAlign w:val="center"/>
          </w:tcPr>
          <w:p w14:paraId="1A2A86B9">
            <w:pPr>
              <w:spacing w:line="360" w:lineRule="auto"/>
              <w:ind w:firstLine="482" w:firstLineChars="200"/>
              <w:rPr>
                <w:b/>
                <w:bCs/>
                <w:color w:val="auto"/>
                <w:kern w:val="0"/>
                <w:sz w:val="24"/>
              </w:rPr>
            </w:pPr>
            <w:r>
              <w:rPr>
                <w:rFonts w:hint="eastAsia"/>
                <w:b/>
                <w:bCs/>
                <w:color w:val="auto"/>
                <w:kern w:val="0"/>
                <w:sz w:val="24"/>
              </w:rPr>
              <w:t>1</w:t>
            </w:r>
            <w:r>
              <w:rPr>
                <w:b/>
                <w:bCs/>
                <w:color w:val="auto"/>
                <w:kern w:val="0"/>
                <w:sz w:val="24"/>
              </w:rPr>
              <w:t>、环境空气质量</w:t>
            </w:r>
          </w:p>
          <w:p w14:paraId="56FFE476">
            <w:pPr>
              <w:spacing w:line="360" w:lineRule="auto"/>
              <w:ind w:firstLine="480" w:firstLineChars="200"/>
              <w:rPr>
                <w:color w:val="auto"/>
                <w:sz w:val="24"/>
                <w:lang w:val="zh-CN"/>
              </w:rPr>
            </w:pPr>
            <w:r>
              <w:rPr>
                <w:rFonts w:hint="eastAsia"/>
                <w:color w:val="auto"/>
                <w:sz w:val="24"/>
              </w:rPr>
              <w:t>（1）达标区判定</w:t>
            </w:r>
          </w:p>
          <w:p w14:paraId="0150119D">
            <w:pPr>
              <w:spacing w:line="360" w:lineRule="auto"/>
              <w:ind w:firstLine="480" w:firstLineChars="200"/>
              <w:rPr>
                <w:color w:val="auto"/>
                <w:sz w:val="24"/>
              </w:rPr>
            </w:pPr>
            <w:r>
              <w:rPr>
                <w:rFonts w:hint="eastAsia"/>
                <w:color w:val="auto"/>
                <w:sz w:val="24"/>
              </w:rPr>
              <w:t>根据江西省生态环境厅发布的</w:t>
            </w:r>
            <w:r>
              <w:rPr>
                <w:rFonts w:hint="eastAsia" w:cs="宋体"/>
                <w:color w:val="auto"/>
                <w:sz w:val="24"/>
              </w:rPr>
              <w:t>《2023年江西省各县（市、区）六项污染物浓度年均值》</w:t>
            </w:r>
            <w:r>
              <w:rPr>
                <w:rFonts w:hint="eastAsia"/>
                <w:color w:val="auto"/>
                <w:sz w:val="24"/>
              </w:rPr>
              <w:t>中赣州经开区的监测数据，对本项目所在区域环境空气现状进行判断。环境空气质量监测数据详见表3-1。</w:t>
            </w:r>
          </w:p>
          <w:p w14:paraId="2604852A">
            <w:pPr>
              <w:pStyle w:val="60"/>
              <w:topLinePunct/>
              <w:autoSpaceDE/>
              <w:autoSpaceDN/>
              <w:adjustRightInd/>
              <w:spacing w:before="0" w:after="0"/>
              <w:jc w:val="center"/>
              <w:rPr>
                <w:rFonts w:ascii="Times New Roman" w:hAnsi="Times New Roman" w:cs="Times New Roman"/>
                <w:b/>
                <w:bCs/>
                <w:color w:val="auto"/>
              </w:rPr>
            </w:pPr>
            <w:r>
              <w:rPr>
                <w:rFonts w:ascii="Times New Roman" w:hAnsi="Times New Roman" w:cs="Times New Roman"/>
                <w:b/>
                <w:bCs/>
                <w:color w:val="auto"/>
              </w:rPr>
              <w:t>表3-</w:t>
            </w:r>
            <w:r>
              <w:rPr>
                <w:rFonts w:hint="eastAsia" w:ascii="Times New Roman" w:hAnsi="Times New Roman" w:cs="Times New Roman"/>
                <w:b/>
                <w:bCs/>
                <w:color w:val="auto"/>
              </w:rPr>
              <w:t>1《2023年江西省各县（市、区）六项污染物浓度年均值》中赣州经开区</w:t>
            </w:r>
            <w:r>
              <w:rPr>
                <w:rFonts w:ascii="Times New Roman" w:hAnsi="Times New Roman" w:cs="Times New Roman"/>
                <w:b/>
                <w:color w:val="auto"/>
              </w:rPr>
              <w:t>环境质量现状评价表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7"/>
              <w:gridCol w:w="1798"/>
              <w:gridCol w:w="1810"/>
              <w:gridCol w:w="1608"/>
              <w:gridCol w:w="1028"/>
              <w:gridCol w:w="969"/>
            </w:tblGrid>
            <w:tr w14:paraId="15D8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977" w:type="dxa"/>
                  <w:vMerge w:val="restart"/>
                  <w:vAlign w:val="center"/>
                </w:tcPr>
                <w:p w14:paraId="20BAB996">
                  <w:pPr>
                    <w:pStyle w:val="50"/>
                    <w:spacing w:before="24" w:after="24"/>
                    <w:rPr>
                      <w:rFonts w:ascii="Times New Roman"/>
                      <w:b/>
                      <w:color w:val="auto"/>
                      <w:szCs w:val="21"/>
                    </w:rPr>
                  </w:pPr>
                  <w:r>
                    <w:rPr>
                      <w:rFonts w:ascii="Times New Roman"/>
                      <w:b/>
                      <w:color w:val="auto"/>
                      <w:szCs w:val="21"/>
                    </w:rPr>
                    <w:t>污染物</w:t>
                  </w:r>
                </w:p>
              </w:tc>
              <w:tc>
                <w:tcPr>
                  <w:tcW w:w="1798" w:type="dxa"/>
                  <w:vMerge w:val="restart"/>
                  <w:vAlign w:val="center"/>
                </w:tcPr>
                <w:p w14:paraId="4DF7D163">
                  <w:pPr>
                    <w:pStyle w:val="50"/>
                    <w:spacing w:before="24" w:after="24"/>
                    <w:rPr>
                      <w:rFonts w:ascii="Times New Roman"/>
                      <w:b/>
                      <w:color w:val="auto"/>
                      <w:szCs w:val="21"/>
                    </w:rPr>
                  </w:pPr>
                  <w:r>
                    <w:rPr>
                      <w:rFonts w:ascii="Times New Roman"/>
                      <w:b/>
                      <w:color w:val="auto"/>
                      <w:szCs w:val="21"/>
                    </w:rPr>
                    <w:t>年评价指标</w:t>
                  </w:r>
                </w:p>
              </w:tc>
              <w:tc>
                <w:tcPr>
                  <w:tcW w:w="1810" w:type="dxa"/>
                  <w:vMerge w:val="restart"/>
                  <w:vAlign w:val="center"/>
                </w:tcPr>
                <w:p w14:paraId="695248FD">
                  <w:pPr>
                    <w:pStyle w:val="50"/>
                    <w:spacing w:before="24" w:after="24"/>
                    <w:rPr>
                      <w:rFonts w:ascii="Times New Roman"/>
                      <w:b/>
                      <w:color w:val="auto"/>
                      <w:szCs w:val="21"/>
                    </w:rPr>
                  </w:pPr>
                  <w:r>
                    <w:rPr>
                      <w:rFonts w:ascii="Times New Roman"/>
                      <w:b/>
                      <w:color w:val="auto"/>
                      <w:szCs w:val="21"/>
                    </w:rPr>
                    <w:t>现状浓度（μg/m</w:t>
                  </w:r>
                  <w:r>
                    <w:rPr>
                      <w:rFonts w:ascii="Times New Roman"/>
                      <w:b/>
                      <w:color w:val="auto"/>
                      <w:szCs w:val="21"/>
                      <w:vertAlign w:val="superscript"/>
                    </w:rPr>
                    <w:t>3</w:t>
                  </w:r>
                  <w:r>
                    <w:rPr>
                      <w:rFonts w:ascii="Times New Roman"/>
                      <w:b/>
                      <w:color w:val="auto"/>
                      <w:szCs w:val="21"/>
                    </w:rPr>
                    <w:t>）</w:t>
                  </w:r>
                </w:p>
              </w:tc>
              <w:tc>
                <w:tcPr>
                  <w:tcW w:w="1608" w:type="dxa"/>
                  <w:vMerge w:val="restart"/>
                  <w:vAlign w:val="center"/>
                </w:tcPr>
                <w:p w14:paraId="6D484F45">
                  <w:pPr>
                    <w:pStyle w:val="50"/>
                    <w:spacing w:before="24" w:after="24"/>
                    <w:rPr>
                      <w:rFonts w:ascii="Times New Roman"/>
                      <w:b/>
                      <w:color w:val="auto"/>
                      <w:szCs w:val="21"/>
                    </w:rPr>
                  </w:pPr>
                  <w:r>
                    <w:rPr>
                      <w:rFonts w:ascii="Times New Roman"/>
                      <w:b/>
                      <w:color w:val="auto"/>
                      <w:szCs w:val="21"/>
                    </w:rPr>
                    <w:t>标准值/（μg/m</w:t>
                  </w:r>
                  <w:r>
                    <w:rPr>
                      <w:rFonts w:ascii="Times New Roman"/>
                      <w:b/>
                      <w:color w:val="auto"/>
                      <w:szCs w:val="21"/>
                      <w:vertAlign w:val="superscript"/>
                    </w:rPr>
                    <w:t>3</w:t>
                  </w:r>
                  <w:r>
                    <w:rPr>
                      <w:rFonts w:ascii="Times New Roman"/>
                      <w:b/>
                      <w:color w:val="auto"/>
                      <w:szCs w:val="21"/>
                    </w:rPr>
                    <w:t>）</w:t>
                  </w:r>
                </w:p>
              </w:tc>
              <w:tc>
                <w:tcPr>
                  <w:tcW w:w="1028" w:type="dxa"/>
                  <w:vMerge w:val="restart"/>
                  <w:vAlign w:val="center"/>
                </w:tcPr>
                <w:p w14:paraId="6CF23EE0">
                  <w:pPr>
                    <w:pStyle w:val="50"/>
                    <w:spacing w:before="24" w:after="24"/>
                    <w:rPr>
                      <w:rFonts w:ascii="Times New Roman"/>
                      <w:b/>
                      <w:color w:val="auto"/>
                      <w:szCs w:val="21"/>
                    </w:rPr>
                  </w:pPr>
                  <w:r>
                    <w:rPr>
                      <w:rFonts w:ascii="Times New Roman"/>
                      <w:b/>
                      <w:color w:val="auto"/>
                      <w:szCs w:val="21"/>
                    </w:rPr>
                    <w:t>占标率</w:t>
                  </w:r>
                </w:p>
              </w:tc>
              <w:tc>
                <w:tcPr>
                  <w:tcW w:w="969" w:type="dxa"/>
                  <w:vMerge w:val="restart"/>
                  <w:vAlign w:val="center"/>
                </w:tcPr>
                <w:p w14:paraId="4AF1C129">
                  <w:pPr>
                    <w:pStyle w:val="50"/>
                    <w:spacing w:before="24" w:after="24"/>
                    <w:rPr>
                      <w:rFonts w:ascii="Times New Roman"/>
                      <w:b/>
                      <w:color w:val="auto"/>
                      <w:szCs w:val="21"/>
                    </w:rPr>
                  </w:pPr>
                  <w:r>
                    <w:rPr>
                      <w:rFonts w:ascii="Times New Roman"/>
                      <w:b/>
                      <w:color w:val="auto"/>
                      <w:szCs w:val="21"/>
                    </w:rPr>
                    <w:t>达标情况</w:t>
                  </w:r>
                </w:p>
              </w:tc>
            </w:tr>
            <w:tr w14:paraId="76C7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977" w:type="dxa"/>
                  <w:vMerge w:val="continue"/>
                  <w:vAlign w:val="center"/>
                </w:tcPr>
                <w:p w14:paraId="345EE55D">
                  <w:pPr>
                    <w:pStyle w:val="50"/>
                    <w:spacing w:before="24" w:after="24"/>
                    <w:rPr>
                      <w:rFonts w:ascii="Times New Roman"/>
                      <w:b/>
                      <w:color w:val="auto"/>
                      <w:szCs w:val="21"/>
                    </w:rPr>
                  </w:pPr>
                </w:p>
              </w:tc>
              <w:tc>
                <w:tcPr>
                  <w:tcW w:w="1798" w:type="dxa"/>
                  <w:vMerge w:val="continue"/>
                  <w:vAlign w:val="center"/>
                </w:tcPr>
                <w:p w14:paraId="2937BF46">
                  <w:pPr>
                    <w:pStyle w:val="50"/>
                    <w:spacing w:before="24" w:after="24"/>
                    <w:rPr>
                      <w:rFonts w:ascii="Times New Roman"/>
                      <w:b/>
                      <w:color w:val="auto"/>
                      <w:szCs w:val="21"/>
                    </w:rPr>
                  </w:pPr>
                </w:p>
              </w:tc>
              <w:tc>
                <w:tcPr>
                  <w:tcW w:w="1810" w:type="dxa"/>
                  <w:vMerge w:val="continue"/>
                  <w:vAlign w:val="center"/>
                </w:tcPr>
                <w:p w14:paraId="571C173D">
                  <w:pPr>
                    <w:pStyle w:val="50"/>
                    <w:spacing w:before="24" w:after="24"/>
                    <w:rPr>
                      <w:rFonts w:ascii="Times New Roman"/>
                      <w:b/>
                      <w:color w:val="auto"/>
                      <w:szCs w:val="21"/>
                    </w:rPr>
                  </w:pPr>
                </w:p>
              </w:tc>
              <w:tc>
                <w:tcPr>
                  <w:tcW w:w="1608" w:type="dxa"/>
                  <w:vMerge w:val="continue"/>
                  <w:vAlign w:val="center"/>
                </w:tcPr>
                <w:p w14:paraId="722CEB91">
                  <w:pPr>
                    <w:pStyle w:val="50"/>
                    <w:spacing w:before="24" w:after="24"/>
                    <w:rPr>
                      <w:rFonts w:ascii="Times New Roman"/>
                      <w:b/>
                      <w:color w:val="auto"/>
                      <w:szCs w:val="21"/>
                    </w:rPr>
                  </w:pPr>
                </w:p>
              </w:tc>
              <w:tc>
                <w:tcPr>
                  <w:tcW w:w="1028" w:type="dxa"/>
                  <w:vMerge w:val="continue"/>
                  <w:vAlign w:val="center"/>
                </w:tcPr>
                <w:p w14:paraId="77EF3838">
                  <w:pPr>
                    <w:pStyle w:val="50"/>
                    <w:spacing w:before="24" w:after="24"/>
                    <w:rPr>
                      <w:rFonts w:ascii="Times New Roman"/>
                      <w:b/>
                      <w:color w:val="auto"/>
                      <w:szCs w:val="21"/>
                    </w:rPr>
                  </w:pPr>
                </w:p>
              </w:tc>
              <w:tc>
                <w:tcPr>
                  <w:tcW w:w="969" w:type="dxa"/>
                  <w:vMerge w:val="continue"/>
                  <w:vAlign w:val="center"/>
                </w:tcPr>
                <w:p w14:paraId="79878703">
                  <w:pPr>
                    <w:pStyle w:val="50"/>
                    <w:spacing w:before="24" w:after="24"/>
                    <w:rPr>
                      <w:rFonts w:ascii="Times New Roman"/>
                      <w:b/>
                      <w:color w:val="auto"/>
                      <w:szCs w:val="21"/>
                    </w:rPr>
                  </w:pPr>
                </w:p>
              </w:tc>
            </w:tr>
            <w:tr w14:paraId="452D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77" w:type="dxa"/>
                  <w:vAlign w:val="center"/>
                </w:tcPr>
                <w:p w14:paraId="3E3EE796">
                  <w:pPr>
                    <w:pStyle w:val="50"/>
                    <w:spacing w:before="24" w:after="24"/>
                    <w:rPr>
                      <w:rFonts w:ascii="Times New Roman"/>
                      <w:color w:val="auto"/>
                      <w:szCs w:val="21"/>
                    </w:rPr>
                  </w:pPr>
                  <w:r>
                    <w:rPr>
                      <w:rFonts w:ascii="Times New Roman"/>
                      <w:b/>
                      <w:bCs/>
                      <w:color w:val="auto"/>
                      <w:szCs w:val="21"/>
                    </w:rPr>
                    <w:t>SO</w:t>
                  </w:r>
                  <w:r>
                    <w:rPr>
                      <w:rFonts w:ascii="Times New Roman"/>
                      <w:b/>
                      <w:bCs/>
                      <w:color w:val="auto"/>
                      <w:szCs w:val="21"/>
                      <w:vertAlign w:val="subscript"/>
                    </w:rPr>
                    <w:t>2</w:t>
                  </w:r>
                </w:p>
              </w:tc>
              <w:tc>
                <w:tcPr>
                  <w:tcW w:w="1798" w:type="dxa"/>
                  <w:vAlign w:val="center"/>
                </w:tcPr>
                <w:p w14:paraId="45F75CEE">
                  <w:pPr>
                    <w:pStyle w:val="50"/>
                    <w:spacing w:before="24" w:after="24"/>
                    <w:rPr>
                      <w:rFonts w:ascii="Times New Roman"/>
                      <w:color w:val="auto"/>
                      <w:szCs w:val="21"/>
                    </w:rPr>
                  </w:pPr>
                  <w:r>
                    <w:rPr>
                      <w:rFonts w:ascii="Times New Roman"/>
                      <w:color w:val="auto"/>
                      <w:szCs w:val="21"/>
                    </w:rPr>
                    <w:t>年平均质量浓度</w:t>
                  </w:r>
                </w:p>
              </w:tc>
              <w:tc>
                <w:tcPr>
                  <w:tcW w:w="1810" w:type="dxa"/>
                  <w:vAlign w:val="center"/>
                </w:tcPr>
                <w:p w14:paraId="3D04D06B">
                  <w:pPr>
                    <w:jc w:val="center"/>
                    <w:rPr>
                      <w:color w:val="auto"/>
                    </w:rPr>
                  </w:pPr>
                  <w:r>
                    <w:rPr>
                      <w:color w:val="auto"/>
                    </w:rPr>
                    <w:t>10</w:t>
                  </w:r>
                </w:p>
              </w:tc>
              <w:tc>
                <w:tcPr>
                  <w:tcW w:w="1608" w:type="dxa"/>
                  <w:vAlign w:val="center"/>
                </w:tcPr>
                <w:p w14:paraId="2F371E4C">
                  <w:pPr>
                    <w:pStyle w:val="50"/>
                    <w:spacing w:before="24" w:after="24"/>
                    <w:rPr>
                      <w:rFonts w:ascii="Times New Roman"/>
                      <w:color w:val="auto"/>
                      <w:szCs w:val="21"/>
                    </w:rPr>
                  </w:pPr>
                  <w:r>
                    <w:rPr>
                      <w:rFonts w:ascii="Times New Roman"/>
                      <w:color w:val="auto"/>
                      <w:szCs w:val="21"/>
                    </w:rPr>
                    <w:t>60</w:t>
                  </w:r>
                </w:p>
              </w:tc>
              <w:tc>
                <w:tcPr>
                  <w:tcW w:w="1028" w:type="dxa"/>
                  <w:vAlign w:val="center"/>
                </w:tcPr>
                <w:p w14:paraId="09C3CB5D">
                  <w:pPr>
                    <w:jc w:val="center"/>
                    <w:rPr>
                      <w:color w:val="auto"/>
                    </w:rPr>
                  </w:pPr>
                  <w:r>
                    <w:rPr>
                      <w:color w:val="auto"/>
                    </w:rPr>
                    <w:t>16.67%</w:t>
                  </w:r>
                </w:p>
              </w:tc>
              <w:tc>
                <w:tcPr>
                  <w:tcW w:w="969" w:type="dxa"/>
                  <w:vAlign w:val="center"/>
                </w:tcPr>
                <w:p w14:paraId="4513424F">
                  <w:pPr>
                    <w:pStyle w:val="50"/>
                    <w:spacing w:before="24" w:after="24"/>
                    <w:rPr>
                      <w:rFonts w:ascii="Times New Roman"/>
                      <w:color w:val="auto"/>
                      <w:szCs w:val="21"/>
                    </w:rPr>
                  </w:pPr>
                  <w:r>
                    <w:rPr>
                      <w:rFonts w:ascii="Times New Roman" w:hAnsi="宋体"/>
                      <w:color w:val="auto"/>
                      <w:szCs w:val="21"/>
                    </w:rPr>
                    <w:t>达标</w:t>
                  </w:r>
                </w:p>
              </w:tc>
            </w:tr>
            <w:tr w14:paraId="2722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77" w:type="dxa"/>
                  <w:vAlign w:val="center"/>
                </w:tcPr>
                <w:p w14:paraId="506CA3F7">
                  <w:pPr>
                    <w:pStyle w:val="50"/>
                    <w:spacing w:before="24" w:after="24"/>
                    <w:rPr>
                      <w:rFonts w:ascii="Times New Roman"/>
                      <w:color w:val="auto"/>
                      <w:szCs w:val="21"/>
                      <w:vertAlign w:val="subscript"/>
                    </w:rPr>
                  </w:pPr>
                  <w:r>
                    <w:rPr>
                      <w:rFonts w:ascii="Times New Roman"/>
                      <w:b/>
                      <w:bCs/>
                      <w:color w:val="auto"/>
                      <w:szCs w:val="21"/>
                    </w:rPr>
                    <w:t>NO</w:t>
                  </w:r>
                  <w:r>
                    <w:rPr>
                      <w:rFonts w:ascii="Times New Roman"/>
                      <w:b/>
                      <w:bCs/>
                      <w:color w:val="auto"/>
                      <w:szCs w:val="21"/>
                      <w:vertAlign w:val="subscript"/>
                    </w:rPr>
                    <w:t>2</w:t>
                  </w:r>
                </w:p>
              </w:tc>
              <w:tc>
                <w:tcPr>
                  <w:tcW w:w="1798" w:type="dxa"/>
                  <w:vAlign w:val="center"/>
                </w:tcPr>
                <w:p w14:paraId="032D416B">
                  <w:pPr>
                    <w:pStyle w:val="50"/>
                    <w:spacing w:before="24" w:after="24"/>
                    <w:rPr>
                      <w:rFonts w:ascii="Times New Roman"/>
                      <w:color w:val="auto"/>
                      <w:szCs w:val="21"/>
                    </w:rPr>
                  </w:pPr>
                  <w:r>
                    <w:rPr>
                      <w:rFonts w:ascii="Times New Roman"/>
                      <w:color w:val="auto"/>
                      <w:szCs w:val="21"/>
                    </w:rPr>
                    <w:t>年平均质量浓度</w:t>
                  </w:r>
                </w:p>
              </w:tc>
              <w:tc>
                <w:tcPr>
                  <w:tcW w:w="1810" w:type="dxa"/>
                  <w:vAlign w:val="center"/>
                </w:tcPr>
                <w:p w14:paraId="195F851E">
                  <w:pPr>
                    <w:jc w:val="center"/>
                    <w:rPr>
                      <w:color w:val="auto"/>
                    </w:rPr>
                  </w:pPr>
                  <w:r>
                    <w:rPr>
                      <w:color w:val="auto"/>
                    </w:rPr>
                    <w:t>16</w:t>
                  </w:r>
                </w:p>
              </w:tc>
              <w:tc>
                <w:tcPr>
                  <w:tcW w:w="1608" w:type="dxa"/>
                  <w:vAlign w:val="center"/>
                </w:tcPr>
                <w:p w14:paraId="63453232">
                  <w:pPr>
                    <w:pStyle w:val="50"/>
                    <w:spacing w:before="24" w:after="24"/>
                    <w:rPr>
                      <w:rFonts w:ascii="Times New Roman"/>
                      <w:color w:val="auto"/>
                      <w:szCs w:val="21"/>
                    </w:rPr>
                  </w:pPr>
                  <w:r>
                    <w:rPr>
                      <w:rFonts w:ascii="Times New Roman"/>
                      <w:color w:val="auto"/>
                      <w:szCs w:val="21"/>
                    </w:rPr>
                    <w:t>40</w:t>
                  </w:r>
                </w:p>
              </w:tc>
              <w:tc>
                <w:tcPr>
                  <w:tcW w:w="1028" w:type="dxa"/>
                  <w:vAlign w:val="center"/>
                </w:tcPr>
                <w:p w14:paraId="1F4E8D1B">
                  <w:pPr>
                    <w:jc w:val="center"/>
                    <w:rPr>
                      <w:color w:val="auto"/>
                    </w:rPr>
                  </w:pPr>
                  <w:r>
                    <w:rPr>
                      <w:color w:val="auto"/>
                    </w:rPr>
                    <w:t>40%</w:t>
                  </w:r>
                </w:p>
              </w:tc>
              <w:tc>
                <w:tcPr>
                  <w:tcW w:w="969" w:type="dxa"/>
                  <w:vAlign w:val="center"/>
                </w:tcPr>
                <w:p w14:paraId="5E42D60D">
                  <w:pPr>
                    <w:pStyle w:val="50"/>
                    <w:spacing w:before="24" w:after="24"/>
                    <w:rPr>
                      <w:rFonts w:ascii="Times New Roman"/>
                      <w:color w:val="auto"/>
                      <w:szCs w:val="21"/>
                    </w:rPr>
                  </w:pPr>
                  <w:r>
                    <w:rPr>
                      <w:rFonts w:ascii="Times New Roman" w:hAnsi="宋体"/>
                      <w:color w:val="auto"/>
                      <w:szCs w:val="21"/>
                    </w:rPr>
                    <w:t>达标</w:t>
                  </w:r>
                </w:p>
              </w:tc>
            </w:tr>
            <w:tr w14:paraId="56EF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77" w:type="dxa"/>
                  <w:vAlign w:val="center"/>
                </w:tcPr>
                <w:p w14:paraId="5DCE6371">
                  <w:pPr>
                    <w:pStyle w:val="50"/>
                    <w:spacing w:before="24" w:after="24"/>
                    <w:rPr>
                      <w:rFonts w:ascii="Times New Roman"/>
                      <w:color w:val="auto"/>
                      <w:szCs w:val="21"/>
                    </w:rPr>
                  </w:pPr>
                  <w:r>
                    <w:rPr>
                      <w:rFonts w:ascii="Times New Roman"/>
                      <w:b/>
                      <w:bCs/>
                      <w:color w:val="auto"/>
                      <w:szCs w:val="21"/>
                    </w:rPr>
                    <w:t>PM</w:t>
                  </w:r>
                  <w:r>
                    <w:rPr>
                      <w:rFonts w:ascii="Times New Roman"/>
                      <w:b/>
                      <w:bCs/>
                      <w:color w:val="auto"/>
                      <w:szCs w:val="21"/>
                      <w:vertAlign w:val="subscript"/>
                    </w:rPr>
                    <w:t>10</w:t>
                  </w:r>
                </w:p>
              </w:tc>
              <w:tc>
                <w:tcPr>
                  <w:tcW w:w="1798" w:type="dxa"/>
                  <w:vAlign w:val="center"/>
                </w:tcPr>
                <w:p w14:paraId="483107F2">
                  <w:pPr>
                    <w:pStyle w:val="50"/>
                    <w:spacing w:before="24" w:after="24"/>
                    <w:rPr>
                      <w:rFonts w:ascii="Times New Roman"/>
                      <w:color w:val="auto"/>
                      <w:szCs w:val="21"/>
                    </w:rPr>
                  </w:pPr>
                  <w:r>
                    <w:rPr>
                      <w:rFonts w:ascii="Times New Roman"/>
                      <w:color w:val="auto"/>
                      <w:szCs w:val="21"/>
                    </w:rPr>
                    <w:t>年平均质量浓度</w:t>
                  </w:r>
                </w:p>
              </w:tc>
              <w:tc>
                <w:tcPr>
                  <w:tcW w:w="1810" w:type="dxa"/>
                  <w:vAlign w:val="center"/>
                </w:tcPr>
                <w:p w14:paraId="682EE5BE">
                  <w:pPr>
                    <w:jc w:val="center"/>
                    <w:rPr>
                      <w:color w:val="auto"/>
                    </w:rPr>
                  </w:pPr>
                  <w:r>
                    <w:rPr>
                      <w:color w:val="auto"/>
                    </w:rPr>
                    <w:t>49</w:t>
                  </w:r>
                </w:p>
              </w:tc>
              <w:tc>
                <w:tcPr>
                  <w:tcW w:w="1608" w:type="dxa"/>
                  <w:vAlign w:val="center"/>
                </w:tcPr>
                <w:p w14:paraId="3203AA76">
                  <w:pPr>
                    <w:pStyle w:val="50"/>
                    <w:spacing w:before="24" w:after="24"/>
                    <w:rPr>
                      <w:rFonts w:ascii="Times New Roman"/>
                      <w:color w:val="auto"/>
                      <w:szCs w:val="21"/>
                    </w:rPr>
                  </w:pPr>
                  <w:r>
                    <w:rPr>
                      <w:rFonts w:ascii="Times New Roman"/>
                      <w:color w:val="auto"/>
                      <w:szCs w:val="21"/>
                    </w:rPr>
                    <w:t>70</w:t>
                  </w:r>
                </w:p>
              </w:tc>
              <w:tc>
                <w:tcPr>
                  <w:tcW w:w="1028" w:type="dxa"/>
                  <w:vAlign w:val="center"/>
                </w:tcPr>
                <w:p w14:paraId="5AB58515">
                  <w:pPr>
                    <w:jc w:val="center"/>
                    <w:rPr>
                      <w:color w:val="auto"/>
                    </w:rPr>
                  </w:pPr>
                  <w:r>
                    <w:rPr>
                      <w:color w:val="auto"/>
                    </w:rPr>
                    <w:t>70%</w:t>
                  </w:r>
                </w:p>
              </w:tc>
              <w:tc>
                <w:tcPr>
                  <w:tcW w:w="969" w:type="dxa"/>
                  <w:vAlign w:val="center"/>
                </w:tcPr>
                <w:p w14:paraId="4E2E092A">
                  <w:pPr>
                    <w:pStyle w:val="50"/>
                    <w:spacing w:before="24" w:after="24"/>
                    <w:rPr>
                      <w:rFonts w:ascii="Times New Roman"/>
                      <w:color w:val="auto"/>
                      <w:szCs w:val="21"/>
                    </w:rPr>
                  </w:pPr>
                  <w:r>
                    <w:rPr>
                      <w:rFonts w:ascii="Times New Roman" w:hAnsi="宋体"/>
                      <w:color w:val="auto"/>
                      <w:szCs w:val="21"/>
                    </w:rPr>
                    <w:t>达标</w:t>
                  </w:r>
                </w:p>
              </w:tc>
            </w:tr>
            <w:tr w14:paraId="3388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7" w:type="dxa"/>
                  <w:vAlign w:val="center"/>
                </w:tcPr>
                <w:p w14:paraId="49F41365">
                  <w:pPr>
                    <w:pStyle w:val="50"/>
                    <w:spacing w:before="24" w:after="24"/>
                    <w:rPr>
                      <w:rFonts w:ascii="Times New Roman"/>
                      <w:color w:val="auto"/>
                      <w:szCs w:val="21"/>
                    </w:rPr>
                  </w:pPr>
                  <w:r>
                    <w:rPr>
                      <w:rFonts w:ascii="Times New Roman"/>
                      <w:b/>
                      <w:bCs/>
                      <w:color w:val="auto"/>
                      <w:szCs w:val="21"/>
                    </w:rPr>
                    <w:t>PM</w:t>
                  </w:r>
                  <w:r>
                    <w:rPr>
                      <w:rFonts w:ascii="Times New Roman"/>
                      <w:b/>
                      <w:bCs/>
                      <w:color w:val="auto"/>
                      <w:szCs w:val="21"/>
                      <w:vertAlign w:val="subscript"/>
                    </w:rPr>
                    <w:t>2.5</w:t>
                  </w:r>
                </w:p>
              </w:tc>
              <w:tc>
                <w:tcPr>
                  <w:tcW w:w="1798" w:type="dxa"/>
                  <w:vAlign w:val="center"/>
                </w:tcPr>
                <w:p w14:paraId="79E423D9">
                  <w:pPr>
                    <w:pStyle w:val="50"/>
                    <w:spacing w:before="24" w:after="24"/>
                    <w:rPr>
                      <w:rFonts w:ascii="Times New Roman"/>
                      <w:color w:val="auto"/>
                      <w:szCs w:val="21"/>
                    </w:rPr>
                  </w:pPr>
                  <w:r>
                    <w:rPr>
                      <w:rFonts w:ascii="Times New Roman"/>
                      <w:color w:val="auto"/>
                      <w:szCs w:val="21"/>
                    </w:rPr>
                    <w:t>年平均质量浓度</w:t>
                  </w:r>
                </w:p>
              </w:tc>
              <w:tc>
                <w:tcPr>
                  <w:tcW w:w="1810" w:type="dxa"/>
                  <w:vAlign w:val="center"/>
                </w:tcPr>
                <w:p w14:paraId="3A3F70B2">
                  <w:pPr>
                    <w:jc w:val="center"/>
                    <w:rPr>
                      <w:color w:val="auto"/>
                    </w:rPr>
                  </w:pPr>
                  <w:r>
                    <w:rPr>
                      <w:color w:val="auto"/>
                    </w:rPr>
                    <w:t>25</w:t>
                  </w:r>
                </w:p>
              </w:tc>
              <w:tc>
                <w:tcPr>
                  <w:tcW w:w="1608" w:type="dxa"/>
                  <w:vAlign w:val="center"/>
                </w:tcPr>
                <w:p w14:paraId="56BC49FF">
                  <w:pPr>
                    <w:pStyle w:val="50"/>
                    <w:spacing w:before="24" w:after="24"/>
                    <w:rPr>
                      <w:rFonts w:ascii="Times New Roman"/>
                      <w:color w:val="auto"/>
                      <w:szCs w:val="21"/>
                    </w:rPr>
                  </w:pPr>
                  <w:r>
                    <w:rPr>
                      <w:rFonts w:ascii="Times New Roman"/>
                      <w:color w:val="auto"/>
                      <w:szCs w:val="21"/>
                    </w:rPr>
                    <w:t>35</w:t>
                  </w:r>
                </w:p>
              </w:tc>
              <w:tc>
                <w:tcPr>
                  <w:tcW w:w="1028" w:type="dxa"/>
                  <w:vAlign w:val="center"/>
                </w:tcPr>
                <w:p w14:paraId="79FE5F6A">
                  <w:pPr>
                    <w:jc w:val="center"/>
                    <w:rPr>
                      <w:color w:val="auto"/>
                    </w:rPr>
                  </w:pPr>
                  <w:r>
                    <w:rPr>
                      <w:color w:val="auto"/>
                    </w:rPr>
                    <w:t>71.43%</w:t>
                  </w:r>
                </w:p>
              </w:tc>
              <w:tc>
                <w:tcPr>
                  <w:tcW w:w="969" w:type="dxa"/>
                  <w:vAlign w:val="center"/>
                </w:tcPr>
                <w:p w14:paraId="0CD468D9">
                  <w:pPr>
                    <w:pStyle w:val="50"/>
                    <w:spacing w:before="24" w:after="24"/>
                    <w:rPr>
                      <w:rFonts w:ascii="Times New Roman"/>
                      <w:color w:val="auto"/>
                      <w:szCs w:val="21"/>
                    </w:rPr>
                  </w:pPr>
                  <w:r>
                    <w:rPr>
                      <w:rFonts w:ascii="Times New Roman" w:hAnsi="宋体"/>
                      <w:color w:val="auto"/>
                      <w:szCs w:val="21"/>
                    </w:rPr>
                    <w:t>达标</w:t>
                  </w:r>
                </w:p>
              </w:tc>
            </w:tr>
            <w:tr w14:paraId="1651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77" w:type="dxa"/>
                  <w:vAlign w:val="center"/>
                </w:tcPr>
                <w:p w14:paraId="30239FCF">
                  <w:pPr>
                    <w:pStyle w:val="50"/>
                    <w:spacing w:before="24" w:after="24"/>
                    <w:rPr>
                      <w:rFonts w:ascii="Times New Roman"/>
                      <w:color w:val="auto"/>
                      <w:szCs w:val="21"/>
                    </w:rPr>
                  </w:pPr>
                  <w:r>
                    <w:rPr>
                      <w:rFonts w:ascii="Times New Roman"/>
                      <w:b/>
                      <w:bCs/>
                      <w:color w:val="auto"/>
                      <w:szCs w:val="21"/>
                    </w:rPr>
                    <w:t>CO</w:t>
                  </w:r>
                </w:p>
              </w:tc>
              <w:tc>
                <w:tcPr>
                  <w:tcW w:w="1798" w:type="dxa"/>
                  <w:vAlign w:val="center"/>
                </w:tcPr>
                <w:p w14:paraId="67A11777">
                  <w:pPr>
                    <w:pStyle w:val="50"/>
                    <w:spacing w:before="24" w:after="24"/>
                    <w:rPr>
                      <w:rFonts w:ascii="Times New Roman"/>
                      <w:color w:val="auto"/>
                      <w:szCs w:val="21"/>
                    </w:rPr>
                  </w:pPr>
                  <w:r>
                    <w:rPr>
                      <w:rFonts w:ascii="Times New Roman"/>
                      <w:color w:val="auto"/>
                      <w:szCs w:val="21"/>
                    </w:rPr>
                    <w:t>日均值95%位数值</w:t>
                  </w:r>
                </w:p>
              </w:tc>
              <w:tc>
                <w:tcPr>
                  <w:tcW w:w="1810" w:type="dxa"/>
                  <w:vAlign w:val="center"/>
                </w:tcPr>
                <w:p w14:paraId="4F3C57D2">
                  <w:pPr>
                    <w:jc w:val="center"/>
                    <w:rPr>
                      <w:color w:val="auto"/>
                    </w:rPr>
                  </w:pPr>
                  <w:r>
                    <w:rPr>
                      <w:color w:val="auto"/>
                    </w:rPr>
                    <w:t>1.3</w:t>
                  </w:r>
                  <w:r>
                    <w:rPr>
                      <w:color w:val="auto"/>
                      <w:szCs w:val="21"/>
                    </w:rPr>
                    <w:t>m</w:t>
                  </w:r>
                  <w:r>
                    <w:rPr>
                      <w:color w:val="auto"/>
                      <w:szCs w:val="21"/>
                      <w:shd w:val="clear" w:color="auto" w:fill="FFFFFF"/>
                    </w:rPr>
                    <w:t>g</w:t>
                  </w:r>
                  <w:r>
                    <w:rPr>
                      <w:color w:val="auto"/>
                      <w:szCs w:val="21"/>
                    </w:rPr>
                    <w:t>/m</w:t>
                  </w:r>
                  <w:r>
                    <w:rPr>
                      <w:color w:val="auto"/>
                      <w:szCs w:val="21"/>
                      <w:vertAlign w:val="superscript"/>
                    </w:rPr>
                    <w:t>3</w:t>
                  </w:r>
                </w:p>
              </w:tc>
              <w:tc>
                <w:tcPr>
                  <w:tcW w:w="1608" w:type="dxa"/>
                  <w:vAlign w:val="center"/>
                </w:tcPr>
                <w:p w14:paraId="1511C68A">
                  <w:pPr>
                    <w:pStyle w:val="50"/>
                    <w:spacing w:before="24" w:after="24"/>
                    <w:rPr>
                      <w:rFonts w:ascii="Times New Roman"/>
                      <w:color w:val="auto"/>
                      <w:szCs w:val="21"/>
                    </w:rPr>
                  </w:pPr>
                  <w:r>
                    <w:rPr>
                      <w:rFonts w:ascii="Times New Roman"/>
                      <w:color w:val="auto"/>
                      <w:szCs w:val="21"/>
                    </w:rPr>
                    <w:t>4m</w:t>
                  </w:r>
                  <w:r>
                    <w:rPr>
                      <w:rFonts w:ascii="Times New Roman"/>
                      <w:color w:val="auto"/>
                      <w:szCs w:val="21"/>
                      <w:shd w:val="clear" w:color="auto" w:fill="FFFFFF"/>
                    </w:rPr>
                    <w:t>g</w:t>
                  </w:r>
                  <w:r>
                    <w:rPr>
                      <w:rFonts w:ascii="Times New Roman"/>
                      <w:color w:val="auto"/>
                      <w:szCs w:val="21"/>
                    </w:rPr>
                    <w:t>/m</w:t>
                  </w:r>
                  <w:r>
                    <w:rPr>
                      <w:rFonts w:ascii="Times New Roman"/>
                      <w:color w:val="auto"/>
                      <w:szCs w:val="21"/>
                      <w:vertAlign w:val="superscript"/>
                    </w:rPr>
                    <w:t>3</w:t>
                  </w:r>
                </w:p>
              </w:tc>
              <w:tc>
                <w:tcPr>
                  <w:tcW w:w="1028" w:type="dxa"/>
                  <w:vAlign w:val="center"/>
                </w:tcPr>
                <w:p w14:paraId="2EAA3A37">
                  <w:pPr>
                    <w:jc w:val="center"/>
                    <w:rPr>
                      <w:color w:val="auto"/>
                    </w:rPr>
                  </w:pPr>
                  <w:r>
                    <w:rPr>
                      <w:color w:val="auto"/>
                    </w:rPr>
                    <w:t>32.50%</w:t>
                  </w:r>
                </w:p>
              </w:tc>
              <w:tc>
                <w:tcPr>
                  <w:tcW w:w="969" w:type="dxa"/>
                  <w:vAlign w:val="center"/>
                </w:tcPr>
                <w:p w14:paraId="61E4E67B">
                  <w:pPr>
                    <w:pStyle w:val="50"/>
                    <w:spacing w:before="24" w:after="24"/>
                    <w:rPr>
                      <w:rFonts w:ascii="Times New Roman"/>
                      <w:color w:val="auto"/>
                      <w:szCs w:val="21"/>
                    </w:rPr>
                  </w:pPr>
                  <w:r>
                    <w:rPr>
                      <w:rFonts w:ascii="Times New Roman" w:hAnsi="宋体"/>
                      <w:color w:val="auto"/>
                      <w:szCs w:val="21"/>
                    </w:rPr>
                    <w:t>达标</w:t>
                  </w:r>
                </w:p>
              </w:tc>
            </w:tr>
            <w:tr w14:paraId="562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977" w:type="dxa"/>
                  <w:vAlign w:val="center"/>
                </w:tcPr>
                <w:p w14:paraId="12BAE670">
                  <w:pPr>
                    <w:pStyle w:val="50"/>
                    <w:spacing w:before="24" w:after="24"/>
                    <w:rPr>
                      <w:rFonts w:ascii="Times New Roman"/>
                      <w:color w:val="auto"/>
                      <w:szCs w:val="21"/>
                    </w:rPr>
                  </w:pPr>
                  <w:r>
                    <w:rPr>
                      <w:rFonts w:ascii="Times New Roman"/>
                      <w:b/>
                      <w:bCs/>
                      <w:color w:val="auto"/>
                      <w:szCs w:val="21"/>
                    </w:rPr>
                    <w:t>O</w:t>
                  </w:r>
                  <w:r>
                    <w:rPr>
                      <w:rFonts w:ascii="Times New Roman"/>
                      <w:b/>
                      <w:bCs/>
                      <w:color w:val="auto"/>
                      <w:szCs w:val="21"/>
                      <w:vertAlign w:val="subscript"/>
                    </w:rPr>
                    <w:t>3</w:t>
                  </w:r>
                </w:p>
              </w:tc>
              <w:tc>
                <w:tcPr>
                  <w:tcW w:w="1798" w:type="dxa"/>
                  <w:vAlign w:val="center"/>
                </w:tcPr>
                <w:p w14:paraId="7580AFAD">
                  <w:pPr>
                    <w:pStyle w:val="50"/>
                    <w:spacing w:before="24" w:after="24"/>
                    <w:rPr>
                      <w:rFonts w:ascii="Times New Roman"/>
                      <w:color w:val="auto"/>
                      <w:szCs w:val="21"/>
                    </w:rPr>
                  </w:pPr>
                  <w:r>
                    <w:rPr>
                      <w:rFonts w:ascii="Times New Roman"/>
                      <w:color w:val="auto"/>
                      <w:szCs w:val="21"/>
                    </w:rPr>
                    <w:t>日最大8小时90%位数值</w:t>
                  </w:r>
                </w:p>
              </w:tc>
              <w:tc>
                <w:tcPr>
                  <w:tcW w:w="1810" w:type="dxa"/>
                  <w:vAlign w:val="center"/>
                </w:tcPr>
                <w:p w14:paraId="4A0ABE15">
                  <w:pPr>
                    <w:jc w:val="center"/>
                    <w:rPr>
                      <w:color w:val="auto"/>
                    </w:rPr>
                  </w:pPr>
                  <w:r>
                    <w:rPr>
                      <w:color w:val="auto"/>
                    </w:rPr>
                    <w:t>126</w:t>
                  </w:r>
                </w:p>
              </w:tc>
              <w:tc>
                <w:tcPr>
                  <w:tcW w:w="1608" w:type="dxa"/>
                  <w:vAlign w:val="center"/>
                </w:tcPr>
                <w:p w14:paraId="2A80769F">
                  <w:pPr>
                    <w:pStyle w:val="50"/>
                    <w:spacing w:before="24" w:after="24"/>
                    <w:rPr>
                      <w:rFonts w:ascii="Times New Roman"/>
                      <w:color w:val="auto"/>
                      <w:szCs w:val="21"/>
                    </w:rPr>
                  </w:pPr>
                  <w:r>
                    <w:rPr>
                      <w:rFonts w:ascii="Times New Roman"/>
                      <w:color w:val="auto"/>
                      <w:szCs w:val="21"/>
                    </w:rPr>
                    <w:t>160</w:t>
                  </w:r>
                </w:p>
              </w:tc>
              <w:tc>
                <w:tcPr>
                  <w:tcW w:w="1028" w:type="dxa"/>
                  <w:vAlign w:val="center"/>
                </w:tcPr>
                <w:p w14:paraId="20388229">
                  <w:pPr>
                    <w:jc w:val="center"/>
                    <w:rPr>
                      <w:color w:val="auto"/>
                    </w:rPr>
                  </w:pPr>
                  <w:r>
                    <w:rPr>
                      <w:color w:val="auto"/>
                    </w:rPr>
                    <w:t>78.75%</w:t>
                  </w:r>
                </w:p>
              </w:tc>
              <w:tc>
                <w:tcPr>
                  <w:tcW w:w="969" w:type="dxa"/>
                  <w:vAlign w:val="center"/>
                </w:tcPr>
                <w:p w14:paraId="4DC56ABC">
                  <w:pPr>
                    <w:pStyle w:val="50"/>
                    <w:spacing w:before="24" w:after="24"/>
                    <w:rPr>
                      <w:rFonts w:ascii="Times New Roman"/>
                      <w:color w:val="auto"/>
                      <w:szCs w:val="21"/>
                    </w:rPr>
                  </w:pPr>
                  <w:r>
                    <w:rPr>
                      <w:rFonts w:ascii="Times New Roman" w:hAnsi="宋体"/>
                      <w:color w:val="auto"/>
                      <w:szCs w:val="21"/>
                    </w:rPr>
                    <w:t>达标</w:t>
                  </w:r>
                </w:p>
              </w:tc>
            </w:tr>
          </w:tbl>
          <w:p w14:paraId="611A65E8">
            <w:pPr>
              <w:spacing w:line="360" w:lineRule="auto"/>
              <w:ind w:firstLine="480" w:firstLineChars="200"/>
              <w:rPr>
                <w:rFonts w:eastAsia="宋体..擞.."/>
                <w:color w:val="auto"/>
                <w:sz w:val="24"/>
              </w:rPr>
            </w:pPr>
            <w:r>
              <w:rPr>
                <w:rFonts w:hint="eastAsia" w:eastAsia="宋体..擞.."/>
                <w:color w:val="auto"/>
                <w:sz w:val="24"/>
              </w:rPr>
              <w:t>综上分析，赣州经济技术开发区</w:t>
            </w:r>
            <w:r>
              <w:rPr>
                <w:rFonts w:eastAsia="宋体..擞.."/>
                <w:color w:val="auto"/>
                <w:sz w:val="24"/>
              </w:rPr>
              <w:t>202</w:t>
            </w:r>
            <w:r>
              <w:rPr>
                <w:rFonts w:hint="eastAsia" w:eastAsia="宋体..擞.."/>
                <w:color w:val="auto"/>
                <w:sz w:val="24"/>
              </w:rPr>
              <w:t>3</w:t>
            </w:r>
            <w:r>
              <w:rPr>
                <w:rFonts w:eastAsia="宋体..擞.."/>
                <w:color w:val="auto"/>
                <w:sz w:val="24"/>
              </w:rPr>
              <w:t>年的SO</w:t>
            </w:r>
            <w:r>
              <w:rPr>
                <w:rFonts w:eastAsia="宋体..擞.."/>
                <w:color w:val="auto"/>
                <w:sz w:val="24"/>
                <w:vertAlign w:val="subscript"/>
              </w:rPr>
              <w:t>2</w:t>
            </w:r>
            <w:r>
              <w:rPr>
                <w:rFonts w:eastAsia="宋体..擞.."/>
                <w:color w:val="auto"/>
                <w:sz w:val="24"/>
              </w:rPr>
              <w:t>、NO</w:t>
            </w:r>
            <w:r>
              <w:rPr>
                <w:rFonts w:eastAsia="宋体..擞.."/>
                <w:color w:val="auto"/>
                <w:sz w:val="24"/>
                <w:vertAlign w:val="subscript"/>
              </w:rPr>
              <w:t>2</w:t>
            </w:r>
            <w:r>
              <w:rPr>
                <w:rFonts w:eastAsia="宋体..擞.."/>
                <w:color w:val="auto"/>
                <w:sz w:val="24"/>
              </w:rPr>
              <w:t>、CO、O</w:t>
            </w:r>
            <w:r>
              <w:rPr>
                <w:rFonts w:eastAsia="宋体..擞.."/>
                <w:color w:val="auto"/>
                <w:sz w:val="24"/>
                <w:vertAlign w:val="subscript"/>
              </w:rPr>
              <w:t>3</w:t>
            </w:r>
            <w:r>
              <w:rPr>
                <w:rFonts w:eastAsia="宋体..擞.."/>
                <w:color w:val="auto"/>
                <w:sz w:val="24"/>
              </w:rPr>
              <w:t>、PM</w:t>
            </w:r>
            <w:r>
              <w:rPr>
                <w:rFonts w:eastAsia="宋体..擞.."/>
                <w:color w:val="auto"/>
                <w:sz w:val="24"/>
                <w:vertAlign w:val="subscript"/>
              </w:rPr>
              <w:t>10</w:t>
            </w:r>
            <w:r>
              <w:rPr>
                <w:rFonts w:eastAsia="宋体..擞.."/>
                <w:color w:val="auto"/>
                <w:sz w:val="24"/>
              </w:rPr>
              <w:t>、PM</w:t>
            </w:r>
            <w:r>
              <w:rPr>
                <w:rFonts w:eastAsia="宋体..擞.."/>
                <w:color w:val="auto"/>
                <w:sz w:val="24"/>
                <w:vertAlign w:val="subscript"/>
              </w:rPr>
              <w:t>2.5</w:t>
            </w:r>
            <w:r>
              <w:rPr>
                <w:rFonts w:eastAsia="宋体..擞.."/>
                <w:color w:val="auto"/>
                <w:sz w:val="24"/>
              </w:rPr>
              <w:t>监测数据年均值均达标，</w:t>
            </w:r>
            <w:r>
              <w:rPr>
                <w:rFonts w:hint="eastAsia" w:eastAsia="宋体..擞.."/>
                <w:color w:val="auto"/>
                <w:sz w:val="24"/>
              </w:rPr>
              <w:t>满足《环境空气质量标准》（GB3095-2012）中的二级标准，</w:t>
            </w:r>
            <w:r>
              <w:rPr>
                <w:rFonts w:eastAsia="宋体..擞.."/>
                <w:color w:val="auto"/>
                <w:sz w:val="24"/>
              </w:rPr>
              <w:t>由此可知，项目所在区域为达标区。</w:t>
            </w:r>
          </w:p>
          <w:p w14:paraId="013F8DFF">
            <w:pPr>
              <w:spacing w:line="360" w:lineRule="auto"/>
              <w:ind w:firstLine="480" w:firstLineChars="200"/>
              <w:rPr>
                <w:color w:val="auto"/>
                <w:spacing w:val="6"/>
                <w:sz w:val="24"/>
              </w:rPr>
            </w:pPr>
            <w:r>
              <w:rPr>
                <w:rFonts w:hint="eastAsia"/>
                <w:snapToGrid w:val="0"/>
                <w:color w:val="auto"/>
                <w:sz w:val="24"/>
              </w:rPr>
              <w:t>（2）其他污染物环境质量现状</w:t>
            </w:r>
          </w:p>
          <w:p w14:paraId="320CBA69">
            <w:pPr>
              <w:spacing w:line="360" w:lineRule="auto"/>
              <w:ind w:firstLine="504" w:firstLineChars="200"/>
              <w:rPr>
                <w:color w:val="auto"/>
                <w:spacing w:val="6"/>
                <w:sz w:val="24"/>
              </w:rPr>
            </w:pPr>
            <w:r>
              <w:rPr>
                <w:color w:val="auto"/>
                <w:spacing w:val="6"/>
                <w:sz w:val="24"/>
              </w:rPr>
              <w:t>本项目特征污染物为挥发性有机物</w:t>
            </w:r>
            <w:r>
              <w:rPr>
                <w:rFonts w:hint="eastAsia"/>
                <w:color w:val="auto"/>
                <w:spacing w:val="6"/>
                <w:sz w:val="24"/>
              </w:rPr>
              <w:t>、TSP</w:t>
            </w:r>
            <w:r>
              <w:rPr>
                <w:color w:val="auto"/>
                <w:spacing w:val="6"/>
                <w:sz w:val="24"/>
              </w:rPr>
              <w:t>，本项目引用《</w:t>
            </w:r>
            <w:r>
              <w:rPr>
                <w:rFonts w:hint="eastAsia"/>
                <w:color w:val="auto"/>
                <w:spacing w:val="6"/>
                <w:sz w:val="24"/>
              </w:rPr>
              <w:t>赣州经开区环境质量全要素统一监测赣州新能源汽车科技城共享环境质量监测</w:t>
            </w:r>
            <w:r>
              <w:rPr>
                <w:color w:val="auto"/>
                <w:spacing w:val="6"/>
                <w:sz w:val="24"/>
              </w:rPr>
              <w:t>》中环境质量现状章节的</w:t>
            </w:r>
            <w:r>
              <w:rPr>
                <w:rFonts w:hint="eastAsia"/>
                <w:color w:val="auto"/>
                <w:sz w:val="24"/>
              </w:rPr>
              <w:t>A4老坞塘</w:t>
            </w:r>
            <w:r>
              <w:rPr>
                <w:color w:val="auto"/>
                <w:spacing w:val="6"/>
                <w:sz w:val="24"/>
              </w:rPr>
              <w:t>挥发性有机物监测数据，监测点位距本项目厂址约</w:t>
            </w:r>
            <w:r>
              <w:rPr>
                <w:rFonts w:hint="eastAsia"/>
                <w:color w:val="auto"/>
                <w:spacing w:val="6"/>
                <w:sz w:val="24"/>
              </w:rPr>
              <w:t>3365</w:t>
            </w:r>
            <w:r>
              <w:rPr>
                <w:color w:val="auto"/>
                <w:spacing w:val="6"/>
                <w:sz w:val="24"/>
              </w:rPr>
              <w:t>米，处于5km范围内，</w:t>
            </w:r>
            <w:r>
              <w:rPr>
                <w:rFonts w:hint="eastAsia"/>
                <w:color w:val="auto"/>
                <w:sz w:val="24"/>
              </w:rPr>
              <w:t>该监测数据监测时间为20</w:t>
            </w:r>
            <w:r>
              <w:rPr>
                <w:color w:val="auto"/>
                <w:sz w:val="24"/>
              </w:rPr>
              <w:t>2</w:t>
            </w:r>
            <w:r>
              <w:rPr>
                <w:rFonts w:hint="eastAsia"/>
                <w:color w:val="auto"/>
                <w:sz w:val="24"/>
              </w:rPr>
              <w:t>2年11月13日—2022年11月19日</w:t>
            </w:r>
            <w:r>
              <w:rPr>
                <w:color w:val="auto"/>
                <w:spacing w:val="6"/>
                <w:sz w:val="24"/>
              </w:rPr>
              <w:t>，为近三年内数据。</w:t>
            </w:r>
            <w:r>
              <w:rPr>
                <w:color w:val="auto"/>
                <w:sz w:val="24"/>
              </w:rPr>
              <w:t>则引用可行。引用监测数据详见下表</w:t>
            </w:r>
            <w:r>
              <w:rPr>
                <w:color w:val="auto"/>
                <w:spacing w:val="6"/>
                <w:sz w:val="24"/>
              </w:rPr>
              <w:t>。</w:t>
            </w:r>
          </w:p>
          <w:p w14:paraId="662DF5DC">
            <w:pPr>
              <w:adjustRightInd w:val="0"/>
              <w:snapToGrid w:val="0"/>
              <w:jc w:val="center"/>
              <w:rPr>
                <w:b/>
                <w:bCs/>
                <w:color w:val="auto"/>
                <w:kern w:val="0"/>
                <w:sz w:val="24"/>
              </w:rPr>
            </w:pPr>
            <w:r>
              <w:rPr>
                <w:rFonts w:hint="eastAsia"/>
                <w:b/>
                <w:bCs/>
                <w:color w:val="auto"/>
                <w:kern w:val="0"/>
                <w:sz w:val="24"/>
              </w:rPr>
              <w:t>表3-</w:t>
            </w:r>
            <w:r>
              <w:rPr>
                <w:b/>
                <w:bCs/>
                <w:color w:val="auto"/>
                <w:kern w:val="0"/>
                <w:sz w:val="24"/>
              </w:rPr>
              <w:t>2</w:t>
            </w:r>
            <w:r>
              <w:rPr>
                <w:rFonts w:hint="eastAsia"/>
                <w:b/>
                <w:bCs/>
                <w:color w:val="auto"/>
                <w:kern w:val="0"/>
                <w:sz w:val="24"/>
              </w:rPr>
              <w:t>环境质量监测点位基本信息</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0"/>
              <w:gridCol w:w="963"/>
              <w:gridCol w:w="952"/>
              <w:gridCol w:w="1308"/>
              <w:gridCol w:w="2774"/>
              <w:gridCol w:w="754"/>
              <w:gridCol w:w="792"/>
            </w:tblGrid>
            <w:tr w14:paraId="0940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79" w:type="dxa"/>
                  <w:vMerge w:val="restart"/>
                  <w:vAlign w:val="center"/>
                </w:tcPr>
                <w:p w14:paraId="7E3256D9">
                  <w:pPr>
                    <w:adjustRightInd w:val="0"/>
                    <w:snapToGrid w:val="0"/>
                    <w:jc w:val="center"/>
                    <w:rPr>
                      <w:b/>
                      <w:bCs/>
                      <w:color w:val="auto"/>
                      <w:kern w:val="0"/>
                      <w:szCs w:val="21"/>
                    </w:rPr>
                  </w:pPr>
                  <w:r>
                    <w:rPr>
                      <w:rFonts w:hint="eastAsia"/>
                      <w:b/>
                      <w:bCs/>
                      <w:color w:val="auto"/>
                      <w:kern w:val="0"/>
                      <w:szCs w:val="21"/>
                    </w:rPr>
                    <w:t>监测点</w:t>
                  </w:r>
                </w:p>
                <w:p w14:paraId="04F11FD3">
                  <w:pPr>
                    <w:adjustRightInd w:val="0"/>
                    <w:snapToGrid w:val="0"/>
                    <w:jc w:val="center"/>
                    <w:rPr>
                      <w:b/>
                      <w:bCs/>
                      <w:color w:val="auto"/>
                      <w:kern w:val="0"/>
                      <w:szCs w:val="21"/>
                    </w:rPr>
                  </w:pPr>
                  <w:r>
                    <w:rPr>
                      <w:rFonts w:hint="eastAsia"/>
                      <w:b/>
                      <w:bCs/>
                      <w:color w:val="auto"/>
                      <w:kern w:val="0"/>
                      <w:szCs w:val="21"/>
                    </w:rPr>
                    <w:t>名称</w:t>
                  </w:r>
                </w:p>
              </w:tc>
              <w:tc>
                <w:tcPr>
                  <w:tcW w:w="1619" w:type="dxa"/>
                  <w:gridSpan w:val="2"/>
                  <w:vAlign w:val="center"/>
                </w:tcPr>
                <w:p w14:paraId="2BE9279A">
                  <w:pPr>
                    <w:adjustRightInd w:val="0"/>
                    <w:snapToGrid w:val="0"/>
                    <w:jc w:val="center"/>
                    <w:rPr>
                      <w:b/>
                      <w:bCs/>
                      <w:color w:val="auto"/>
                      <w:kern w:val="0"/>
                      <w:szCs w:val="21"/>
                    </w:rPr>
                  </w:pPr>
                  <w:r>
                    <w:rPr>
                      <w:rFonts w:hint="eastAsia"/>
                      <w:b/>
                      <w:bCs/>
                      <w:color w:val="auto"/>
                      <w:kern w:val="0"/>
                      <w:szCs w:val="21"/>
                    </w:rPr>
                    <w:t>监测点坐标</w:t>
                  </w:r>
                </w:p>
              </w:tc>
              <w:tc>
                <w:tcPr>
                  <w:tcW w:w="1522" w:type="dxa"/>
                  <w:vMerge w:val="restart"/>
                  <w:vAlign w:val="center"/>
                </w:tcPr>
                <w:p w14:paraId="04B45ADC">
                  <w:pPr>
                    <w:adjustRightInd w:val="0"/>
                    <w:snapToGrid w:val="0"/>
                    <w:jc w:val="center"/>
                    <w:rPr>
                      <w:b/>
                      <w:bCs/>
                      <w:color w:val="auto"/>
                      <w:kern w:val="0"/>
                      <w:szCs w:val="21"/>
                    </w:rPr>
                  </w:pPr>
                  <w:r>
                    <w:rPr>
                      <w:rFonts w:hint="eastAsia"/>
                      <w:b/>
                      <w:bCs/>
                      <w:color w:val="auto"/>
                      <w:kern w:val="0"/>
                      <w:szCs w:val="21"/>
                    </w:rPr>
                    <w:t>监测因子</w:t>
                  </w:r>
                </w:p>
              </w:tc>
              <w:tc>
                <w:tcPr>
                  <w:tcW w:w="3317" w:type="dxa"/>
                  <w:vMerge w:val="restart"/>
                  <w:vAlign w:val="center"/>
                </w:tcPr>
                <w:p w14:paraId="7ADD2E63">
                  <w:pPr>
                    <w:adjustRightInd w:val="0"/>
                    <w:snapToGrid w:val="0"/>
                    <w:jc w:val="center"/>
                    <w:rPr>
                      <w:b/>
                      <w:bCs/>
                      <w:color w:val="auto"/>
                      <w:kern w:val="0"/>
                      <w:szCs w:val="21"/>
                    </w:rPr>
                  </w:pPr>
                  <w:r>
                    <w:rPr>
                      <w:rFonts w:hint="eastAsia"/>
                      <w:b/>
                      <w:bCs/>
                      <w:color w:val="auto"/>
                      <w:kern w:val="0"/>
                      <w:szCs w:val="21"/>
                    </w:rPr>
                    <w:t>监测时段</w:t>
                  </w:r>
                </w:p>
              </w:tc>
              <w:tc>
                <w:tcPr>
                  <w:tcW w:w="884" w:type="dxa"/>
                  <w:vMerge w:val="restart"/>
                  <w:vAlign w:val="center"/>
                </w:tcPr>
                <w:p w14:paraId="0D88EC7E">
                  <w:pPr>
                    <w:adjustRightInd w:val="0"/>
                    <w:snapToGrid w:val="0"/>
                    <w:jc w:val="center"/>
                    <w:rPr>
                      <w:b/>
                      <w:bCs/>
                      <w:color w:val="auto"/>
                      <w:kern w:val="0"/>
                      <w:szCs w:val="21"/>
                    </w:rPr>
                  </w:pPr>
                  <w:r>
                    <w:rPr>
                      <w:rFonts w:hint="eastAsia"/>
                      <w:b/>
                      <w:bCs/>
                      <w:color w:val="auto"/>
                      <w:kern w:val="0"/>
                      <w:szCs w:val="21"/>
                    </w:rPr>
                    <w:t>相对厂址方位</w:t>
                  </w:r>
                </w:p>
              </w:tc>
              <w:tc>
                <w:tcPr>
                  <w:tcW w:w="880" w:type="dxa"/>
                  <w:vMerge w:val="restart"/>
                  <w:vAlign w:val="center"/>
                </w:tcPr>
                <w:p w14:paraId="2680B4FF">
                  <w:pPr>
                    <w:adjustRightInd w:val="0"/>
                    <w:snapToGrid w:val="0"/>
                    <w:jc w:val="center"/>
                    <w:rPr>
                      <w:b/>
                      <w:bCs/>
                      <w:color w:val="auto"/>
                      <w:kern w:val="0"/>
                      <w:szCs w:val="21"/>
                    </w:rPr>
                  </w:pPr>
                  <w:r>
                    <w:rPr>
                      <w:rFonts w:hint="eastAsia"/>
                      <w:b/>
                      <w:bCs/>
                      <w:color w:val="auto"/>
                      <w:kern w:val="0"/>
                      <w:szCs w:val="21"/>
                    </w:rPr>
                    <w:t>相对厂界距离</w:t>
                  </w:r>
                </w:p>
              </w:tc>
            </w:tr>
            <w:tr w14:paraId="234B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79" w:type="dxa"/>
                  <w:vMerge w:val="continue"/>
                  <w:vAlign w:val="center"/>
                </w:tcPr>
                <w:p w14:paraId="76BA2C11">
                  <w:pPr>
                    <w:adjustRightInd w:val="0"/>
                    <w:snapToGrid w:val="0"/>
                    <w:jc w:val="center"/>
                    <w:rPr>
                      <w:b/>
                      <w:bCs/>
                      <w:color w:val="auto"/>
                      <w:kern w:val="0"/>
                      <w:szCs w:val="21"/>
                    </w:rPr>
                  </w:pPr>
                </w:p>
              </w:tc>
              <w:tc>
                <w:tcPr>
                  <w:tcW w:w="644" w:type="dxa"/>
                  <w:vAlign w:val="center"/>
                </w:tcPr>
                <w:p w14:paraId="597DAC4B">
                  <w:pPr>
                    <w:adjustRightInd w:val="0"/>
                    <w:snapToGrid w:val="0"/>
                    <w:jc w:val="center"/>
                    <w:rPr>
                      <w:b/>
                      <w:bCs/>
                      <w:color w:val="auto"/>
                      <w:kern w:val="0"/>
                      <w:szCs w:val="21"/>
                    </w:rPr>
                  </w:pPr>
                  <w:r>
                    <w:rPr>
                      <w:rFonts w:hint="eastAsia"/>
                      <w:b/>
                      <w:bCs/>
                      <w:color w:val="auto"/>
                      <w:kern w:val="0"/>
                      <w:szCs w:val="21"/>
                    </w:rPr>
                    <w:t>E</w:t>
                  </w:r>
                </w:p>
              </w:tc>
              <w:tc>
                <w:tcPr>
                  <w:tcW w:w="975" w:type="dxa"/>
                  <w:vAlign w:val="center"/>
                </w:tcPr>
                <w:p w14:paraId="10B5F3BC">
                  <w:pPr>
                    <w:adjustRightInd w:val="0"/>
                    <w:snapToGrid w:val="0"/>
                    <w:jc w:val="center"/>
                    <w:rPr>
                      <w:b/>
                      <w:bCs/>
                      <w:color w:val="auto"/>
                      <w:kern w:val="0"/>
                      <w:szCs w:val="21"/>
                    </w:rPr>
                  </w:pPr>
                  <w:r>
                    <w:rPr>
                      <w:rFonts w:hint="eastAsia"/>
                      <w:b/>
                      <w:bCs/>
                      <w:color w:val="auto"/>
                      <w:kern w:val="0"/>
                      <w:szCs w:val="21"/>
                    </w:rPr>
                    <w:t>N</w:t>
                  </w:r>
                </w:p>
              </w:tc>
              <w:tc>
                <w:tcPr>
                  <w:tcW w:w="1522" w:type="dxa"/>
                  <w:vMerge w:val="continue"/>
                  <w:vAlign w:val="center"/>
                </w:tcPr>
                <w:p w14:paraId="59A8C968">
                  <w:pPr>
                    <w:adjustRightInd w:val="0"/>
                    <w:snapToGrid w:val="0"/>
                    <w:jc w:val="center"/>
                    <w:rPr>
                      <w:b/>
                      <w:bCs/>
                      <w:color w:val="auto"/>
                      <w:kern w:val="0"/>
                      <w:szCs w:val="21"/>
                    </w:rPr>
                  </w:pPr>
                </w:p>
              </w:tc>
              <w:tc>
                <w:tcPr>
                  <w:tcW w:w="3317" w:type="dxa"/>
                  <w:vMerge w:val="continue"/>
                  <w:vAlign w:val="center"/>
                </w:tcPr>
                <w:p w14:paraId="1DACF421">
                  <w:pPr>
                    <w:adjustRightInd w:val="0"/>
                    <w:snapToGrid w:val="0"/>
                    <w:jc w:val="center"/>
                    <w:rPr>
                      <w:b/>
                      <w:bCs/>
                      <w:color w:val="auto"/>
                      <w:kern w:val="0"/>
                      <w:szCs w:val="21"/>
                    </w:rPr>
                  </w:pPr>
                </w:p>
              </w:tc>
              <w:tc>
                <w:tcPr>
                  <w:tcW w:w="884" w:type="dxa"/>
                  <w:vMerge w:val="continue"/>
                  <w:vAlign w:val="center"/>
                </w:tcPr>
                <w:p w14:paraId="6D3290DC">
                  <w:pPr>
                    <w:adjustRightInd w:val="0"/>
                    <w:snapToGrid w:val="0"/>
                    <w:jc w:val="center"/>
                    <w:rPr>
                      <w:b/>
                      <w:bCs/>
                      <w:color w:val="auto"/>
                      <w:kern w:val="0"/>
                      <w:szCs w:val="21"/>
                    </w:rPr>
                  </w:pPr>
                </w:p>
              </w:tc>
              <w:tc>
                <w:tcPr>
                  <w:tcW w:w="880" w:type="dxa"/>
                  <w:vMerge w:val="continue"/>
                  <w:vAlign w:val="center"/>
                </w:tcPr>
                <w:p w14:paraId="1755B0B1">
                  <w:pPr>
                    <w:adjustRightInd w:val="0"/>
                    <w:snapToGrid w:val="0"/>
                    <w:jc w:val="center"/>
                    <w:rPr>
                      <w:b/>
                      <w:bCs/>
                      <w:color w:val="auto"/>
                      <w:kern w:val="0"/>
                      <w:szCs w:val="21"/>
                    </w:rPr>
                  </w:pPr>
                </w:p>
              </w:tc>
            </w:tr>
            <w:tr w14:paraId="4E82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79" w:type="dxa"/>
                  <w:vAlign w:val="center"/>
                </w:tcPr>
                <w:p w14:paraId="071273A0">
                  <w:pPr>
                    <w:adjustRightInd w:val="0"/>
                    <w:snapToGrid w:val="0"/>
                    <w:jc w:val="center"/>
                    <w:rPr>
                      <w:color w:val="auto"/>
                      <w:kern w:val="0"/>
                      <w:szCs w:val="21"/>
                    </w:rPr>
                  </w:pPr>
                  <w:r>
                    <w:rPr>
                      <w:rFonts w:hint="eastAsia"/>
                      <w:color w:val="auto"/>
                      <w:kern w:val="0"/>
                      <w:szCs w:val="21"/>
                    </w:rPr>
                    <w:t>A4老坞塘</w:t>
                  </w:r>
                </w:p>
              </w:tc>
              <w:tc>
                <w:tcPr>
                  <w:tcW w:w="644" w:type="dxa"/>
                  <w:vAlign w:val="center"/>
                </w:tcPr>
                <w:p w14:paraId="6B4ED577">
                  <w:pPr>
                    <w:adjustRightInd w:val="0"/>
                    <w:snapToGrid w:val="0"/>
                    <w:jc w:val="center"/>
                    <w:rPr>
                      <w:color w:val="auto"/>
                      <w:kern w:val="0"/>
                      <w:szCs w:val="21"/>
                    </w:rPr>
                  </w:pPr>
                  <w:r>
                    <w:rPr>
                      <w:color w:val="auto"/>
                      <w:kern w:val="0"/>
                      <w:szCs w:val="21"/>
                    </w:rPr>
                    <w:t>114°46′47″</w:t>
                  </w:r>
                </w:p>
              </w:tc>
              <w:tc>
                <w:tcPr>
                  <w:tcW w:w="975" w:type="dxa"/>
                  <w:vAlign w:val="center"/>
                </w:tcPr>
                <w:p w14:paraId="66A6343B">
                  <w:pPr>
                    <w:adjustRightInd w:val="0"/>
                    <w:snapToGrid w:val="0"/>
                    <w:jc w:val="center"/>
                    <w:rPr>
                      <w:color w:val="auto"/>
                      <w:kern w:val="0"/>
                      <w:szCs w:val="21"/>
                    </w:rPr>
                  </w:pPr>
                  <w:r>
                    <w:rPr>
                      <w:color w:val="auto"/>
                      <w:kern w:val="0"/>
                      <w:szCs w:val="21"/>
                    </w:rPr>
                    <w:t>25°47′36″</w:t>
                  </w:r>
                </w:p>
              </w:tc>
              <w:tc>
                <w:tcPr>
                  <w:tcW w:w="1522" w:type="dxa"/>
                  <w:vAlign w:val="center"/>
                </w:tcPr>
                <w:p w14:paraId="5C407A41">
                  <w:pPr>
                    <w:adjustRightInd w:val="0"/>
                    <w:snapToGrid w:val="0"/>
                    <w:jc w:val="center"/>
                    <w:rPr>
                      <w:color w:val="auto"/>
                      <w:kern w:val="0"/>
                      <w:szCs w:val="21"/>
                    </w:rPr>
                  </w:pPr>
                  <w:r>
                    <w:rPr>
                      <w:rFonts w:hint="eastAsia"/>
                      <w:color w:val="auto"/>
                      <w:kern w:val="0"/>
                      <w:szCs w:val="21"/>
                    </w:rPr>
                    <w:t>挥发性有机物、TSP</w:t>
                  </w:r>
                </w:p>
              </w:tc>
              <w:tc>
                <w:tcPr>
                  <w:tcW w:w="3317" w:type="dxa"/>
                  <w:vAlign w:val="center"/>
                </w:tcPr>
                <w:p w14:paraId="40D49544">
                  <w:pPr>
                    <w:adjustRightInd w:val="0"/>
                    <w:snapToGrid w:val="0"/>
                    <w:jc w:val="center"/>
                    <w:rPr>
                      <w:color w:val="auto"/>
                      <w:kern w:val="0"/>
                      <w:szCs w:val="21"/>
                    </w:rPr>
                  </w:pPr>
                  <w:r>
                    <w:rPr>
                      <w:color w:val="auto"/>
                      <w:kern w:val="0"/>
                      <w:szCs w:val="21"/>
                    </w:rPr>
                    <w:t>202</w:t>
                  </w:r>
                  <w:r>
                    <w:rPr>
                      <w:rFonts w:hint="eastAsia"/>
                      <w:color w:val="auto"/>
                      <w:kern w:val="0"/>
                      <w:szCs w:val="21"/>
                    </w:rPr>
                    <w:t>2</w:t>
                  </w:r>
                  <w:r>
                    <w:rPr>
                      <w:color w:val="auto"/>
                      <w:kern w:val="0"/>
                      <w:szCs w:val="21"/>
                    </w:rPr>
                    <w:t>年</w:t>
                  </w:r>
                  <w:r>
                    <w:rPr>
                      <w:rFonts w:hint="eastAsia"/>
                      <w:color w:val="auto"/>
                      <w:kern w:val="0"/>
                      <w:szCs w:val="21"/>
                    </w:rPr>
                    <w:t>11</w:t>
                  </w:r>
                  <w:r>
                    <w:rPr>
                      <w:color w:val="auto"/>
                      <w:kern w:val="0"/>
                      <w:szCs w:val="21"/>
                    </w:rPr>
                    <w:t>月</w:t>
                  </w:r>
                  <w:r>
                    <w:rPr>
                      <w:rFonts w:hint="eastAsia"/>
                      <w:color w:val="auto"/>
                      <w:kern w:val="0"/>
                      <w:szCs w:val="21"/>
                    </w:rPr>
                    <w:t>13</w:t>
                  </w:r>
                  <w:r>
                    <w:rPr>
                      <w:color w:val="auto"/>
                      <w:kern w:val="0"/>
                      <w:szCs w:val="21"/>
                    </w:rPr>
                    <w:t>~</w:t>
                  </w:r>
                  <w:r>
                    <w:rPr>
                      <w:rFonts w:hint="eastAsia"/>
                      <w:color w:val="auto"/>
                      <w:kern w:val="0"/>
                      <w:szCs w:val="21"/>
                    </w:rPr>
                    <w:t>19</w:t>
                  </w:r>
                  <w:r>
                    <w:rPr>
                      <w:color w:val="auto"/>
                      <w:kern w:val="0"/>
                      <w:szCs w:val="21"/>
                    </w:rPr>
                    <w:t>日连续7d</w:t>
                  </w:r>
                </w:p>
              </w:tc>
              <w:tc>
                <w:tcPr>
                  <w:tcW w:w="884" w:type="dxa"/>
                  <w:vAlign w:val="center"/>
                </w:tcPr>
                <w:p w14:paraId="0F553E52">
                  <w:pPr>
                    <w:adjustRightInd w:val="0"/>
                    <w:snapToGrid w:val="0"/>
                    <w:jc w:val="center"/>
                    <w:rPr>
                      <w:color w:val="auto"/>
                      <w:kern w:val="0"/>
                      <w:szCs w:val="21"/>
                    </w:rPr>
                  </w:pPr>
                  <w:r>
                    <w:rPr>
                      <w:rFonts w:hint="eastAsia"/>
                      <w:color w:val="auto"/>
                      <w:szCs w:val="21"/>
                    </w:rPr>
                    <w:t>东北侧</w:t>
                  </w:r>
                </w:p>
              </w:tc>
              <w:tc>
                <w:tcPr>
                  <w:tcW w:w="880" w:type="dxa"/>
                  <w:vAlign w:val="center"/>
                </w:tcPr>
                <w:p w14:paraId="7BEA9877">
                  <w:pPr>
                    <w:adjustRightInd w:val="0"/>
                    <w:snapToGrid w:val="0"/>
                    <w:jc w:val="center"/>
                    <w:rPr>
                      <w:color w:val="auto"/>
                      <w:kern w:val="0"/>
                      <w:szCs w:val="21"/>
                    </w:rPr>
                  </w:pPr>
                  <w:r>
                    <w:rPr>
                      <w:rFonts w:hint="eastAsia"/>
                      <w:color w:val="auto"/>
                      <w:kern w:val="0"/>
                      <w:szCs w:val="21"/>
                    </w:rPr>
                    <w:t>3365</w:t>
                  </w:r>
                </w:p>
              </w:tc>
            </w:tr>
          </w:tbl>
          <w:p w14:paraId="24CE4971">
            <w:pPr>
              <w:adjustRightInd w:val="0"/>
              <w:snapToGrid w:val="0"/>
              <w:jc w:val="center"/>
              <w:rPr>
                <w:b/>
                <w:bCs/>
                <w:color w:val="auto"/>
                <w:kern w:val="0"/>
                <w:sz w:val="24"/>
              </w:rPr>
            </w:pPr>
            <w:r>
              <w:rPr>
                <w:b/>
                <w:bCs/>
                <w:color w:val="auto"/>
                <w:kern w:val="0"/>
                <w:sz w:val="24"/>
              </w:rPr>
              <w:t>表3-3环境质量现状（监测结果）表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4"/>
              <w:gridCol w:w="695"/>
              <w:gridCol w:w="750"/>
              <w:gridCol w:w="1213"/>
              <w:gridCol w:w="1475"/>
              <w:gridCol w:w="1585"/>
              <w:gridCol w:w="999"/>
              <w:gridCol w:w="489"/>
            </w:tblGrid>
            <w:tr w14:paraId="5C06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4" w:type="dxa"/>
                  <w:vAlign w:val="center"/>
                </w:tcPr>
                <w:p w14:paraId="4AE48B2F">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监测点位</w:t>
                  </w:r>
                </w:p>
              </w:tc>
              <w:tc>
                <w:tcPr>
                  <w:tcW w:w="695" w:type="dxa"/>
                  <w:vAlign w:val="center"/>
                </w:tcPr>
                <w:p w14:paraId="1293601F">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污染物</w:t>
                  </w:r>
                </w:p>
              </w:tc>
              <w:tc>
                <w:tcPr>
                  <w:tcW w:w="750" w:type="dxa"/>
                  <w:vAlign w:val="center"/>
                </w:tcPr>
                <w:p w14:paraId="78AB8A66">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平均</w:t>
                  </w:r>
                </w:p>
                <w:p w14:paraId="4881039A">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时间</w:t>
                  </w:r>
                </w:p>
              </w:tc>
              <w:tc>
                <w:tcPr>
                  <w:tcW w:w="1213" w:type="dxa"/>
                  <w:vAlign w:val="center"/>
                </w:tcPr>
                <w:p w14:paraId="70A5287A">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评价标准</w:t>
                  </w:r>
                  <w:r>
                    <w:rPr>
                      <w:rFonts w:cs="Times New Roman"/>
                      <w:b/>
                      <w:bCs/>
                      <w:snapToGrid w:val="0"/>
                      <w:color w:val="auto"/>
                      <w:kern w:val="0"/>
                      <w:sz w:val="21"/>
                      <w:szCs w:val="21"/>
                    </w:rPr>
                    <w:t>/（mg/m</w:t>
                  </w:r>
                  <w:r>
                    <w:rPr>
                      <w:rFonts w:cs="Times New Roman"/>
                      <w:b/>
                      <w:bCs/>
                      <w:snapToGrid w:val="0"/>
                      <w:color w:val="auto"/>
                      <w:kern w:val="0"/>
                      <w:sz w:val="21"/>
                      <w:szCs w:val="21"/>
                      <w:vertAlign w:val="superscript"/>
                    </w:rPr>
                    <w:t>3</w:t>
                  </w:r>
                  <w:r>
                    <w:rPr>
                      <w:rFonts w:cs="Times New Roman"/>
                      <w:b/>
                      <w:bCs/>
                      <w:snapToGrid w:val="0"/>
                      <w:color w:val="auto"/>
                      <w:kern w:val="0"/>
                      <w:sz w:val="21"/>
                      <w:szCs w:val="21"/>
                    </w:rPr>
                    <w:t>）</w:t>
                  </w:r>
                </w:p>
              </w:tc>
              <w:tc>
                <w:tcPr>
                  <w:tcW w:w="1475" w:type="dxa"/>
                  <w:vAlign w:val="center"/>
                </w:tcPr>
                <w:p w14:paraId="3450CB94">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监测浓度范围</w:t>
                  </w:r>
                  <w:r>
                    <w:rPr>
                      <w:rFonts w:cs="Times New Roman"/>
                      <w:b/>
                      <w:bCs/>
                      <w:snapToGrid w:val="0"/>
                      <w:color w:val="auto"/>
                      <w:kern w:val="0"/>
                      <w:sz w:val="21"/>
                      <w:szCs w:val="21"/>
                    </w:rPr>
                    <w:t>/（</w:t>
                  </w:r>
                  <w:r>
                    <w:rPr>
                      <w:rFonts w:hint="eastAsia" w:cs="Times New Roman"/>
                      <w:b/>
                      <w:bCs/>
                      <w:snapToGrid w:val="0"/>
                      <w:color w:val="auto"/>
                      <w:kern w:val="0"/>
                      <w:sz w:val="21"/>
                      <w:szCs w:val="21"/>
                    </w:rPr>
                    <w:t>mg</w:t>
                  </w:r>
                  <w:r>
                    <w:rPr>
                      <w:rFonts w:cs="Times New Roman"/>
                      <w:b/>
                      <w:bCs/>
                      <w:snapToGrid w:val="0"/>
                      <w:color w:val="auto"/>
                      <w:kern w:val="0"/>
                      <w:sz w:val="21"/>
                      <w:szCs w:val="21"/>
                    </w:rPr>
                    <w:t>/m</w:t>
                  </w:r>
                  <w:r>
                    <w:rPr>
                      <w:rFonts w:cs="Times New Roman"/>
                      <w:b/>
                      <w:bCs/>
                      <w:snapToGrid w:val="0"/>
                      <w:color w:val="auto"/>
                      <w:kern w:val="0"/>
                      <w:sz w:val="21"/>
                      <w:szCs w:val="21"/>
                      <w:vertAlign w:val="superscript"/>
                    </w:rPr>
                    <w:t>3</w:t>
                  </w:r>
                  <w:r>
                    <w:rPr>
                      <w:rFonts w:cs="Times New Roman"/>
                      <w:b/>
                      <w:bCs/>
                      <w:snapToGrid w:val="0"/>
                      <w:color w:val="auto"/>
                      <w:kern w:val="0"/>
                      <w:sz w:val="21"/>
                      <w:szCs w:val="21"/>
                    </w:rPr>
                    <w:t>）</w:t>
                  </w:r>
                </w:p>
              </w:tc>
              <w:tc>
                <w:tcPr>
                  <w:tcW w:w="1585" w:type="dxa"/>
                  <w:vAlign w:val="center"/>
                </w:tcPr>
                <w:p w14:paraId="141B5560">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最大浓度占标率</w:t>
                  </w:r>
                </w:p>
              </w:tc>
              <w:tc>
                <w:tcPr>
                  <w:tcW w:w="999" w:type="dxa"/>
                  <w:vAlign w:val="center"/>
                </w:tcPr>
                <w:p w14:paraId="51F96C98">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超标率/%</w:t>
                  </w:r>
                </w:p>
              </w:tc>
              <w:tc>
                <w:tcPr>
                  <w:tcW w:w="489" w:type="dxa"/>
                  <w:vAlign w:val="center"/>
                </w:tcPr>
                <w:p w14:paraId="526F9CE2">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达标</w:t>
                  </w:r>
                </w:p>
                <w:p w14:paraId="129620DE">
                  <w:pPr>
                    <w:pStyle w:val="81"/>
                    <w:adjustRightInd w:val="0"/>
                    <w:snapToGrid w:val="0"/>
                    <w:spacing w:line="240" w:lineRule="auto"/>
                    <w:jc w:val="center"/>
                    <w:rPr>
                      <w:rFonts w:cs="Times New Roman"/>
                      <w:b/>
                      <w:bCs/>
                      <w:color w:val="auto"/>
                      <w:kern w:val="0"/>
                      <w:sz w:val="21"/>
                      <w:szCs w:val="21"/>
                    </w:rPr>
                  </w:pPr>
                  <w:r>
                    <w:rPr>
                      <w:rFonts w:cs="Times New Roman"/>
                      <w:b/>
                      <w:bCs/>
                      <w:color w:val="auto"/>
                      <w:kern w:val="0"/>
                      <w:sz w:val="21"/>
                      <w:szCs w:val="21"/>
                    </w:rPr>
                    <w:t>情况</w:t>
                  </w:r>
                </w:p>
              </w:tc>
            </w:tr>
            <w:tr w14:paraId="6DEE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4" w:type="dxa"/>
                  <w:vMerge w:val="restart"/>
                  <w:vAlign w:val="center"/>
                </w:tcPr>
                <w:p w14:paraId="28FB2A12">
                  <w:pPr>
                    <w:pStyle w:val="81"/>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A4老坞塘</w:t>
                  </w:r>
                </w:p>
              </w:tc>
              <w:tc>
                <w:tcPr>
                  <w:tcW w:w="695" w:type="dxa"/>
                  <w:vAlign w:val="center"/>
                </w:tcPr>
                <w:p w14:paraId="2B848CB3">
                  <w:pPr>
                    <w:pStyle w:val="81"/>
                    <w:adjustRightInd w:val="0"/>
                    <w:snapToGrid w:val="0"/>
                    <w:spacing w:line="240" w:lineRule="auto"/>
                    <w:jc w:val="center"/>
                    <w:rPr>
                      <w:rFonts w:cs="Times New Roman"/>
                      <w:color w:val="auto"/>
                      <w:kern w:val="0"/>
                      <w:sz w:val="21"/>
                      <w:szCs w:val="21"/>
                    </w:rPr>
                  </w:pPr>
                  <w:r>
                    <w:rPr>
                      <w:rFonts w:hint="eastAsia" w:cs="Times New Roman"/>
                      <w:color w:val="auto"/>
                      <w:sz w:val="21"/>
                      <w:szCs w:val="21"/>
                    </w:rPr>
                    <w:t>挥发性有机物</w:t>
                  </w:r>
                </w:p>
              </w:tc>
              <w:tc>
                <w:tcPr>
                  <w:tcW w:w="750" w:type="dxa"/>
                  <w:vAlign w:val="center"/>
                </w:tcPr>
                <w:p w14:paraId="636A608F">
                  <w:pPr>
                    <w:pStyle w:val="81"/>
                    <w:adjustRightInd w:val="0"/>
                    <w:snapToGrid w:val="0"/>
                    <w:spacing w:line="240" w:lineRule="auto"/>
                    <w:jc w:val="center"/>
                    <w:rPr>
                      <w:rFonts w:cs="Times New Roman"/>
                      <w:color w:val="auto"/>
                      <w:kern w:val="0"/>
                      <w:sz w:val="21"/>
                      <w:szCs w:val="21"/>
                    </w:rPr>
                  </w:pPr>
                  <w:r>
                    <w:rPr>
                      <w:rFonts w:cs="Times New Roman"/>
                      <w:color w:val="auto"/>
                      <w:kern w:val="0"/>
                      <w:sz w:val="21"/>
                      <w:szCs w:val="21"/>
                    </w:rPr>
                    <w:t>1h均值</w:t>
                  </w:r>
                </w:p>
              </w:tc>
              <w:tc>
                <w:tcPr>
                  <w:tcW w:w="1213" w:type="dxa"/>
                  <w:vAlign w:val="center"/>
                </w:tcPr>
                <w:p w14:paraId="68700DF7">
                  <w:pPr>
                    <w:adjustRightInd w:val="0"/>
                    <w:snapToGrid w:val="0"/>
                    <w:jc w:val="center"/>
                    <w:rPr>
                      <w:color w:val="auto"/>
                      <w:kern w:val="0"/>
                      <w:szCs w:val="21"/>
                    </w:rPr>
                  </w:pPr>
                  <w:r>
                    <w:rPr>
                      <w:color w:val="auto"/>
                      <w:kern w:val="0"/>
                      <w:szCs w:val="21"/>
                    </w:rPr>
                    <w:t>1.2</w:t>
                  </w:r>
                </w:p>
              </w:tc>
              <w:tc>
                <w:tcPr>
                  <w:tcW w:w="1475" w:type="dxa"/>
                  <w:vAlign w:val="center"/>
                </w:tcPr>
                <w:p w14:paraId="282730D7">
                  <w:pPr>
                    <w:pStyle w:val="81"/>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0.0212~0.155</w:t>
                  </w:r>
                </w:p>
              </w:tc>
              <w:tc>
                <w:tcPr>
                  <w:tcW w:w="1585" w:type="dxa"/>
                  <w:vAlign w:val="center"/>
                </w:tcPr>
                <w:p w14:paraId="3C2B789A">
                  <w:pPr>
                    <w:adjustRightInd w:val="0"/>
                    <w:snapToGrid w:val="0"/>
                    <w:jc w:val="center"/>
                    <w:rPr>
                      <w:snapToGrid w:val="0"/>
                      <w:color w:val="auto"/>
                      <w:kern w:val="0"/>
                      <w:szCs w:val="21"/>
                    </w:rPr>
                  </w:pPr>
                  <w:r>
                    <w:rPr>
                      <w:rFonts w:hint="eastAsia"/>
                      <w:snapToGrid w:val="0"/>
                      <w:color w:val="auto"/>
                      <w:kern w:val="0"/>
                      <w:szCs w:val="21"/>
                    </w:rPr>
                    <w:t>12.92%</w:t>
                  </w:r>
                </w:p>
              </w:tc>
              <w:tc>
                <w:tcPr>
                  <w:tcW w:w="999" w:type="dxa"/>
                  <w:vAlign w:val="center"/>
                </w:tcPr>
                <w:p w14:paraId="3EA0FBFD">
                  <w:pPr>
                    <w:pStyle w:val="81"/>
                    <w:adjustRightInd w:val="0"/>
                    <w:snapToGrid w:val="0"/>
                    <w:spacing w:line="240" w:lineRule="auto"/>
                    <w:jc w:val="center"/>
                    <w:rPr>
                      <w:rFonts w:cs="Times New Roman"/>
                      <w:color w:val="auto"/>
                      <w:kern w:val="0"/>
                      <w:sz w:val="21"/>
                      <w:szCs w:val="21"/>
                    </w:rPr>
                  </w:pPr>
                  <w:r>
                    <w:rPr>
                      <w:rFonts w:cs="Times New Roman"/>
                      <w:color w:val="auto"/>
                      <w:kern w:val="0"/>
                      <w:sz w:val="21"/>
                      <w:szCs w:val="21"/>
                    </w:rPr>
                    <w:t>0</w:t>
                  </w:r>
                </w:p>
              </w:tc>
              <w:tc>
                <w:tcPr>
                  <w:tcW w:w="489" w:type="dxa"/>
                  <w:vAlign w:val="center"/>
                </w:tcPr>
                <w:p w14:paraId="6C826558">
                  <w:pPr>
                    <w:pStyle w:val="81"/>
                    <w:adjustRightInd w:val="0"/>
                    <w:snapToGrid w:val="0"/>
                    <w:spacing w:line="240" w:lineRule="auto"/>
                    <w:jc w:val="center"/>
                    <w:rPr>
                      <w:rFonts w:cs="Times New Roman"/>
                      <w:color w:val="auto"/>
                      <w:kern w:val="0"/>
                      <w:sz w:val="21"/>
                      <w:szCs w:val="21"/>
                    </w:rPr>
                  </w:pPr>
                  <w:r>
                    <w:rPr>
                      <w:rFonts w:cs="Times New Roman"/>
                      <w:color w:val="auto"/>
                      <w:kern w:val="0"/>
                      <w:sz w:val="21"/>
                      <w:szCs w:val="21"/>
                    </w:rPr>
                    <w:t>达标</w:t>
                  </w:r>
                </w:p>
              </w:tc>
            </w:tr>
            <w:tr w14:paraId="4774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84" w:type="dxa"/>
                  <w:vMerge w:val="continue"/>
                  <w:vAlign w:val="center"/>
                </w:tcPr>
                <w:p w14:paraId="57E4BF8B">
                  <w:pPr>
                    <w:pStyle w:val="81"/>
                    <w:adjustRightInd w:val="0"/>
                    <w:snapToGrid w:val="0"/>
                    <w:spacing w:line="240" w:lineRule="auto"/>
                    <w:jc w:val="center"/>
                    <w:rPr>
                      <w:rFonts w:cs="Times New Roman"/>
                      <w:color w:val="auto"/>
                      <w:kern w:val="0"/>
                      <w:sz w:val="21"/>
                      <w:szCs w:val="21"/>
                    </w:rPr>
                  </w:pPr>
                </w:p>
              </w:tc>
              <w:tc>
                <w:tcPr>
                  <w:tcW w:w="695" w:type="dxa"/>
                  <w:vAlign w:val="center"/>
                </w:tcPr>
                <w:p w14:paraId="2F9CC15E">
                  <w:pPr>
                    <w:pStyle w:val="81"/>
                    <w:adjustRightInd w:val="0"/>
                    <w:snapToGrid w:val="0"/>
                    <w:spacing w:line="240" w:lineRule="auto"/>
                    <w:jc w:val="center"/>
                    <w:rPr>
                      <w:rFonts w:cs="Times New Roman"/>
                      <w:color w:val="auto"/>
                      <w:sz w:val="21"/>
                      <w:szCs w:val="21"/>
                    </w:rPr>
                  </w:pPr>
                  <w:r>
                    <w:rPr>
                      <w:rFonts w:hint="eastAsia" w:cs="Times New Roman"/>
                      <w:color w:val="auto"/>
                      <w:sz w:val="21"/>
                      <w:szCs w:val="21"/>
                    </w:rPr>
                    <w:t>TSP</w:t>
                  </w:r>
                </w:p>
              </w:tc>
              <w:tc>
                <w:tcPr>
                  <w:tcW w:w="750" w:type="dxa"/>
                  <w:vAlign w:val="center"/>
                </w:tcPr>
                <w:p w14:paraId="4AECCA9E">
                  <w:pPr>
                    <w:pStyle w:val="81"/>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日均值</w:t>
                  </w:r>
                </w:p>
              </w:tc>
              <w:tc>
                <w:tcPr>
                  <w:tcW w:w="1213" w:type="dxa"/>
                  <w:vAlign w:val="center"/>
                </w:tcPr>
                <w:p w14:paraId="6D50D18C">
                  <w:pPr>
                    <w:adjustRightInd w:val="0"/>
                    <w:snapToGrid w:val="0"/>
                    <w:jc w:val="center"/>
                    <w:rPr>
                      <w:color w:val="auto"/>
                      <w:kern w:val="0"/>
                      <w:szCs w:val="21"/>
                    </w:rPr>
                  </w:pPr>
                  <w:r>
                    <w:rPr>
                      <w:rFonts w:hint="eastAsia"/>
                      <w:color w:val="auto"/>
                      <w:kern w:val="0"/>
                      <w:szCs w:val="21"/>
                    </w:rPr>
                    <w:t>0.6</w:t>
                  </w:r>
                </w:p>
              </w:tc>
              <w:tc>
                <w:tcPr>
                  <w:tcW w:w="1475" w:type="dxa"/>
                  <w:vAlign w:val="center"/>
                </w:tcPr>
                <w:p w14:paraId="543448D3">
                  <w:pPr>
                    <w:pStyle w:val="81"/>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0.075~0.085</w:t>
                  </w:r>
                </w:p>
              </w:tc>
              <w:tc>
                <w:tcPr>
                  <w:tcW w:w="1585" w:type="dxa"/>
                  <w:vAlign w:val="center"/>
                </w:tcPr>
                <w:p w14:paraId="6C6728FD">
                  <w:pPr>
                    <w:adjustRightInd w:val="0"/>
                    <w:snapToGrid w:val="0"/>
                    <w:jc w:val="center"/>
                    <w:rPr>
                      <w:snapToGrid w:val="0"/>
                      <w:color w:val="auto"/>
                      <w:kern w:val="0"/>
                      <w:szCs w:val="21"/>
                    </w:rPr>
                  </w:pPr>
                  <w:r>
                    <w:rPr>
                      <w:rFonts w:hint="eastAsia"/>
                      <w:snapToGrid w:val="0"/>
                      <w:color w:val="auto"/>
                      <w:kern w:val="0"/>
                      <w:szCs w:val="21"/>
                    </w:rPr>
                    <w:t>14.17</w:t>
                  </w:r>
                </w:p>
              </w:tc>
              <w:tc>
                <w:tcPr>
                  <w:tcW w:w="999" w:type="dxa"/>
                  <w:vAlign w:val="center"/>
                </w:tcPr>
                <w:p w14:paraId="3823A994">
                  <w:pPr>
                    <w:pStyle w:val="81"/>
                    <w:adjustRightInd w:val="0"/>
                    <w:snapToGrid w:val="0"/>
                    <w:spacing w:line="240" w:lineRule="auto"/>
                    <w:jc w:val="center"/>
                    <w:rPr>
                      <w:rFonts w:cs="Times New Roman"/>
                      <w:color w:val="auto"/>
                      <w:kern w:val="0"/>
                      <w:sz w:val="21"/>
                      <w:szCs w:val="21"/>
                    </w:rPr>
                  </w:pPr>
                  <w:r>
                    <w:rPr>
                      <w:rFonts w:hint="eastAsia" w:cs="Times New Roman"/>
                      <w:color w:val="auto"/>
                      <w:kern w:val="0"/>
                      <w:sz w:val="21"/>
                      <w:szCs w:val="21"/>
                    </w:rPr>
                    <w:t>0</w:t>
                  </w:r>
                </w:p>
              </w:tc>
              <w:tc>
                <w:tcPr>
                  <w:tcW w:w="489" w:type="dxa"/>
                  <w:vAlign w:val="center"/>
                </w:tcPr>
                <w:p w14:paraId="5CC48489">
                  <w:pPr>
                    <w:pStyle w:val="81"/>
                    <w:adjustRightInd w:val="0"/>
                    <w:snapToGrid w:val="0"/>
                    <w:spacing w:line="240" w:lineRule="auto"/>
                    <w:jc w:val="center"/>
                    <w:rPr>
                      <w:rFonts w:cs="Times New Roman"/>
                      <w:color w:val="auto"/>
                      <w:kern w:val="0"/>
                      <w:sz w:val="21"/>
                      <w:szCs w:val="21"/>
                    </w:rPr>
                  </w:pPr>
                  <w:r>
                    <w:rPr>
                      <w:rFonts w:cs="Times New Roman"/>
                      <w:color w:val="auto"/>
                      <w:kern w:val="0"/>
                      <w:sz w:val="21"/>
                      <w:szCs w:val="21"/>
                    </w:rPr>
                    <w:t>达标</w:t>
                  </w:r>
                </w:p>
              </w:tc>
            </w:tr>
          </w:tbl>
          <w:p w14:paraId="44801055">
            <w:pPr>
              <w:spacing w:before="120" w:beforeLines="50" w:line="360" w:lineRule="auto"/>
              <w:ind w:firstLine="504" w:firstLineChars="200"/>
              <w:rPr>
                <w:color w:val="auto"/>
                <w:spacing w:val="6"/>
                <w:sz w:val="24"/>
              </w:rPr>
            </w:pPr>
            <w:r>
              <w:rPr>
                <w:color w:val="auto"/>
                <w:spacing w:val="6"/>
                <w:sz w:val="24"/>
              </w:rPr>
              <w:t>由上表可知，本项目区域挥发性有机物</w:t>
            </w:r>
            <w:r>
              <w:rPr>
                <w:color w:val="auto"/>
                <w:kern w:val="0"/>
                <w:sz w:val="24"/>
              </w:rPr>
              <w:t>满足《环境影响评价技术导则大气环境》（HJ2.2-2018）附录D其他污染物空气质量浓度参考限值</w:t>
            </w:r>
            <w:r>
              <w:rPr>
                <w:rFonts w:hint="eastAsia"/>
                <w:color w:val="auto"/>
                <w:kern w:val="0"/>
                <w:sz w:val="24"/>
              </w:rPr>
              <w:t>，TSP</w:t>
            </w:r>
            <w:r>
              <w:rPr>
                <w:rFonts w:hint="eastAsia"/>
                <w:snapToGrid w:val="0"/>
                <w:color w:val="auto"/>
                <w:kern w:val="0"/>
                <w:sz w:val="24"/>
              </w:rPr>
              <w:t>满足《环境空气质量标准》（GB3095-2012）中表2环境空气污染物其他项目浓度限值的二级标准值</w:t>
            </w:r>
            <w:r>
              <w:rPr>
                <w:rFonts w:hint="eastAsia"/>
                <w:color w:val="auto"/>
                <w:kern w:val="0"/>
                <w:sz w:val="24"/>
              </w:rPr>
              <w:t>，</w:t>
            </w:r>
            <w:r>
              <w:rPr>
                <w:color w:val="auto"/>
                <w:kern w:val="0"/>
                <w:sz w:val="24"/>
              </w:rPr>
              <w:t>项目所在区域环境空气质量较好</w:t>
            </w:r>
            <w:r>
              <w:rPr>
                <w:color w:val="auto"/>
                <w:spacing w:val="6"/>
                <w:sz w:val="24"/>
              </w:rPr>
              <w:t>。</w:t>
            </w:r>
          </w:p>
          <w:p w14:paraId="6A3FD982">
            <w:pPr>
              <w:pStyle w:val="7"/>
              <w:spacing w:after="0" w:line="360" w:lineRule="auto"/>
              <w:ind w:left="0" w:leftChars="0" w:firstLine="482" w:firstLineChars="200"/>
              <w:rPr>
                <w:b/>
                <w:bCs/>
                <w:color w:val="auto"/>
                <w:szCs w:val="24"/>
              </w:rPr>
            </w:pPr>
            <w:r>
              <w:rPr>
                <w:rFonts w:hint="eastAsia"/>
                <w:b/>
                <w:bCs/>
                <w:snapToGrid w:val="0"/>
                <w:color w:val="auto"/>
                <w:szCs w:val="24"/>
              </w:rPr>
              <w:t>2、地表水环境质量现状</w:t>
            </w:r>
          </w:p>
          <w:p w14:paraId="6AD22CCF">
            <w:pPr>
              <w:adjustRightInd w:val="0"/>
              <w:snapToGrid w:val="0"/>
              <w:spacing w:line="360" w:lineRule="auto"/>
              <w:ind w:firstLine="480" w:firstLineChars="200"/>
              <w:rPr>
                <w:snapToGrid w:val="0"/>
                <w:color w:val="auto"/>
                <w:kern w:val="0"/>
                <w:sz w:val="24"/>
              </w:rPr>
            </w:pPr>
            <w:r>
              <w:rPr>
                <w:rFonts w:hint="eastAsia"/>
                <w:color w:val="auto"/>
                <w:sz w:val="24"/>
              </w:rPr>
              <w:t>本项目生活污水和清洗废水拟经一期废水处理工程处理达到赣州新能源科技城污水处理厂接管标准，进入赣州新能源科技城污水处理厂集中处理后排入赣州市中心城区白塔污水处理厂处理，最终尾水排入赣江。</w:t>
            </w:r>
            <w:r>
              <w:rPr>
                <w:rFonts w:hint="eastAsia"/>
                <w:color w:val="auto"/>
                <w:sz w:val="24"/>
                <w:lang w:val="en-US" w:eastAsia="zh-CN"/>
              </w:rPr>
              <w:t>根据《赣州市2024年9月地表水监测月报》，</w:t>
            </w:r>
            <w:r>
              <w:rPr>
                <w:rFonts w:hint="eastAsia"/>
                <w:color w:val="auto"/>
                <w:sz w:val="24"/>
              </w:rPr>
              <w:t>赣江水环境质量现状监测结果详见表3-4。</w:t>
            </w:r>
          </w:p>
          <w:p w14:paraId="7C6D742F">
            <w:pPr>
              <w:widowControl/>
              <w:jc w:val="center"/>
              <w:rPr>
                <w:b/>
                <w:bCs/>
                <w:color w:val="auto"/>
                <w:kern w:val="0"/>
                <w:sz w:val="24"/>
              </w:rPr>
            </w:pPr>
            <w:r>
              <w:rPr>
                <w:rFonts w:hint="eastAsia"/>
                <w:b/>
                <w:bCs/>
                <w:color w:val="auto"/>
                <w:kern w:val="0"/>
                <w:sz w:val="24"/>
              </w:rPr>
              <w:t>表3-4</w:t>
            </w:r>
            <w:r>
              <w:rPr>
                <w:rFonts w:hint="eastAsia"/>
                <w:b/>
                <w:bCs/>
                <w:color w:val="auto"/>
                <w:kern w:val="0"/>
                <w:sz w:val="24"/>
                <w:lang w:bidi="ar"/>
              </w:rPr>
              <w:t>水环境质量现状监测结果一览表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59"/>
              <w:gridCol w:w="1261"/>
              <w:gridCol w:w="2074"/>
              <w:gridCol w:w="2091"/>
              <w:gridCol w:w="2195"/>
            </w:tblGrid>
            <w:tr w14:paraId="61AD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453" w:type="pct"/>
                  <w:vMerge w:val="restart"/>
                  <w:vAlign w:val="center"/>
                </w:tcPr>
                <w:p w14:paraId="6435939B">
                  <w:pPr>
                    <w:adjustRightInd w:val="0"/>
                    <w:snapToGrid w:val="0"/>
                    <w:jc w:val="center"/>
                    <w:rPr>
                      <w:b/>
                      <w:bCs/>
                      <w:color w:val="auto"/>
                      <w:kern w:val="0"/>
                      <w:szCs w:val="21"/>
                    </w:rPr>
                  </w:pPr>
                  <w:r>
                    <w:rPr>
                      <w:rFonts w:hint="eastAsia"/>
                      <w:b/>
                      <w:bCs/>
                      <w:color w:val="auto"/>
                      <w:kern w:val="0"/>
                      <w:szCs w:val="21"/>
                    </w:rPr>
                    <w:t>河流</w:t>
                  </w:r>
                </w:p>
                <w:p w14:paraId="7B85F998">
                  <w:pPr>
                    <w:adjustRightInd w:val="0"/>
                    <w:snapToGrid w:val="0"/>
                    <w:jc w:val="center"/>
                    <w:rPr>
                      <w:b/>
                      <w:bCs/>
                      <w:color w:val="auto"/>
                      <w:kern w:val="0"/>
                      <w:szCs w:val="21"/>
                    </w:rPr>
                  </w:pPr>
                  <w:r>
                    <w:rPr>
                      <w:rFonts w:hint="eastAsia"/>
                      <w:b/>
                      <w:bCs/>
                      <w:color w:val="auto"/>
                      <w:kern w:val="0"/>
                      <w:szCs w:val="21"/>
                    </w:rPr>
                    <w:t>名称</w:t>
                  </w:r>
                </w:p>
              </w:tc>
              <w:tc>
                <w:tcPr>
                  <w:tcW w:w="752" w:type="pct"/>
                  <w:vMerge w:val="restart"/>
                  <w:vAlign w:val="center"/>
                </w:tcPr>
                <w:p w14:paraId="10A77392">
                  <w:pPr>
                    <w:adjustRightInd w:val="0"/>
                    <w:snapToGrid w:val="0"/>
                    <w:jc w:val="center"/>
                    <w:rPr>
                      <w:b/>
                      <w:bCs/>
                      <w:color w:val="auto"/>
                      <w:kern w:val="0"/>
                      <w:szCs w:val="21"/>
                    </w:rPr>
                  </w:pPr>
                  <w:r>
                    <w:rPr>
                      <w:rFonts w:hint="eastAsia"/>
                      <w:b/>
                      <w:bCs/>
                      <w:color w:val="auto"/>
                      <w:kern w:val="0"/>
                      <w:szCs w:val="21"/>
                    </w:rPr>
                    <w:t>断面名称</w:t>
                  </w:r>
                </w:p>
              </w:tc>
              <w:tc>
                <w:tcPr>
                  <w:tcW w:w="3793" w:type="pct"/>
                  <w:gridSpan w:val="3"/>
                  <w:vAlign w:val="center"/>
                </w:tcPr>
                <w:p w14:paraId="375B5730">
                  <w:pPr>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2024</w:t>
                  </w:r>
                  <w:r>
                    <w:rPr>
                      <w:rFonts w:hint="eastAsia"/>
                      <w:b/>
                      <w:bCs/>
                      <w:color w:val="auto"/>
                      <w:kern w:val="0"/>
                      <w:szCs w:val="21"/>
                    </w:rPr>
                    <w:t>年</w:t>
                  </w:r>
                  <w:r>
                    <w:rPr>
                      <w:rFonts w:hint="eastAsia"/>
                      <w:b/>
                      <w:bCs/>
                      <w:color w:val="auto"/>
                      <w:kern w:val="0"/>
                      <w:szCs w:val="21"/>
                      <w:lang w:val="en-US" w:eastAsia="zh-CN"/>
                    </w:rPr>
                    <w:t>9月</w:t>
                  </w:r>
                </w:p>
              </w:tc>
            </w:tr>
            <w:tr w14:paraId="3B76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453" w:type="pct"/>
                  <w:vMerge w:val="continue"/>
                  <w:vAlign w:val="center"/>
                </w:tcPr>
                <w:p w14:paraId="2E9CF751">
                  <w:pPr>
                    <w:adjustRightInd w:val="0"/>
                    <w:snapToGrid w:val="0"/>
                    <w:jc w:val="center"/>
                    <w:rPr>
                      <w:color w:val="auto"/>
                      <w:kern w:val="0"/>
                      <w:szCs w:val="21"/>
                    </w:rPr>
                  </w:pPr>
                </w:p>
              </w:tc>
              <w:tc>
                <w:tcPr>
                  <w:tcW w:w="752" w:type="pct"/>
                  <w:vMerge w:val="continue"/>
                  <w:vAlign w:val="center"/>
                </w:tcPr>
                <w:p w14:paraId="543C56D5">
                  <w:pPr>
                    <w:adjustRightInd w:val="0"/>
                    <w:snapToGrid w:val="0"/>
                    <w:jc w:val="center"/>
                    <w:rPr>
                      <w:color w:val="auto"/>
                      <w:kern w:val="0"/>
                      <w:szCs w:val="21"/>
                    </w:rPr>
                  </w:pPr>
                </w:p>
              </w:tc>
              <w:tc>
                <w:tcPr>
                  <w:tcW w:w="1237" w:type="pct"/>
                  <w:vAlign w:val="center"/>
                </w:tcPr>
                <w:p w14:paraId="580B6D44">
                  <w:pPr>
                    <w:adjustRightInd w:val="0"/>
                    <w:snapToGrid w:val="0"/>
                    <w:jc w:val="center"/>
                    <w:rPr>
                      <w:b/>
                      <w:bCs/>
                      <w:color w:val="auto"/>
                      <w:kern w:val="0"/>
                      <w:szCs w:val="21"/>
                    </w:rPr>
                  </w:pPr>
                  <w:r>
                    <w:rPr>
                      <w:rFonts w:hint="eastAsia"/>
                      <w:b/>
                      <w:bCs/>
                      <w:color w:val="auto"/>
                      <w:kern w:val="0"/>
                      <w:szCs w:val="21"/>
                    </w:rPr>
                    <w:t>水质达标情况（%）</w:t>
                  </w:r>
                </w:p>
              </w:tc>
              <w:tc>
                <w:tcPr>
                  <w:tcW w:w="1247" w:type="pct"/>
                  <w:vAlign w:val="center"/>
                </w:tcPr>
                <w:p w14:paraId="198ADFE5">
                  <w:pPr>
                    <w:adjustRightInd w:val="0"/>
                    <w:snapToGrid w:val="0"/>
                    <w:jc w:val="center"/>
                    <w:rPr>
                      <w:b/>
                      <w:bCs/>
                      <w:color w:val="auto"/>
                      <w:kern w:val="0"/>
                      <w:szCs w:val="21"/>
                    </w:rPr>
                  </w:pPr>
                  <w:r>
                    <w:rPr>
                      <w:rFonts w:hint="eastAsia"/>
                      <w:b/>
                      <w:bCs/>
                      <w:color w:val="auto"/>
                      <w:kern w:val="0"/>
                      <w:szCs w:val="21"/>
                    </w:rPr>
                    <w:t>超标污染物</w:t>
                  </w:r>
                </w:p>
              </w:tc>
              <w:tc>
                <w:tcPr>
                  <w:tcW w:w="1309" w:type="pct"/>
                  <w:vAlign w:val="center"/>
                </w:tcPr>
                <w:p w14:paraId="4EC082F8">
                  <w:pPr>
                    <w:adjustRightInd w:val="0"/>
                    <w:snapToGrid w:val="0"/>
                    <w:jc w:val="center"/>
                    <w:rPr>
                      <w:rFonts w:hint="eastAsia"/>
                      <w:b/>
                      <w:bCs/>
                      <w:color w:val="auto"/>
                      <w:kern w:val="0"/>
                      <w:szCs w:val="21"/>
                    </w:rPr>
                  </w:pPr>
                  <w:r>
                    <w:rPr>
                      <w:rFonts w:hint="eastAsia"/>
                      <w:b/>
                      <w:bCs/>
                      <w:color w:val="auto"/>
                      <w:szCs w:val="21"/>
                    </w:rPr>
                    <w:t>水质评价</w:t>
                  </w:r>
                </w:p>
              </w:tc>
            </w:tr>
            <w:tr w14:paraId="77C4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453" w:type="pct"/>
                  <w:vMerge w:val="restart"/>
                  <w:vAlign w:val="center"/>
                </w:tcPr>
                <w:p w14:paraId="71D72513">
                  <w:pPr>
                    <w:adjustRightInd w:val="0"/>
                    <w:snapToGrid w:val="0"/>
                    <w:jc w:val="center"/>
                    <w:rPr>
                      <w:color w:val="auto"/>
                      <w:kern w:val="0"/>
                      <w:szCs w:val="21"/>
                    </w:rPr>
                  </w:pPr>
                  <w:r>
                    <w:rPr>
                      <w:rFonts w:hint="eastAsia"/>
                      <w:color w:val="auto"/>
                      <w:kern w:val="0"/>
                      <w:szCs w:val="21"/>
                      <w:lang w:bidi="ar"/>
                    </w:rPr>
                    <w:t>赣江</w:t>
                  </w:r>
                </w:p>
              </w:tc>
              <w:tc>
                <w:tcPr>
                  <w:tcW w:w="752" w:type="pct"/>
                  <w:vAlign w:val="center"/>
                </w:tcPr>
                <w:p w14:paraId="3746F2C1">
                  <w:pPr>
                    <w:adjustRightInd w:val="0"/>
                    <w:snapToGrid w:val="0"/>
                    <w:jc w:val="center"/>
                    <w:rPr>
                      <w:color w:val="auto"/>
                      <w:kern w:val="0"/>
                      <w:szCs w:val="21"/>
                    </w:rPr>
                  </w:pPr>
                  <w:r>
                    <w:rPr>
                      <w:rFonts w:hint="eastAsia"/>
                      <w:color w:val="auto"/>
                      <w:kern w:val="0"/>
                      <w:szCs w:val="21"/>
                    </w:rPr>
                    <w:t>储潭</w:t>
                  </w:r>
                </w:p>
              </w:tc>
              <w:tc>
                <w:tcPr>
                  <w:tcW w:w="1237" w:type="pct"/>
                  <w:vAlign w:val="center"/>
                </w:tcPr>
                <w:p w14:paraId="5673406F">
                  <w:pPr>
                    <w:adjustRightInd w:val="0"/>
                    <w:snapToGrid w:val="0"/>
                    <w:jc w:val="center"/>
                    <w:rPr>
                      <w:color w:val="auto"/>
                      <w:kern w:val="0"/>
                      <w:szCs w:val="21"/>
                    </w:rPr>
                  </w:pPr>
                  <w:r>
                    <w:rPr>
                      <w:rFonts w:hint="eastAsia"/>
                      <w:color w:val="auto"/>
                      <w:kern w:val="0"/>
                      <w:szCs w:val="21"/>
                    </w:rPr>
                    <w:t>100</w:t>
                  </w:r>
                </w:p>
              </w:tc>
              <w:tc>
                <w:tcPr>
                  <w:tcW w:w="1247" w:type="pct"/>
                  <w:vAlign w:val="center"/>
                </w:tcPr>
                <w:p w14:paraId="2818EEED">
                  <w:pPr>
                    <w:adjustRightInd w:val="0"/>
                    <w:snapToGrid w:val="0"/>
                    <w:jc w:val="center"/>
                    <w:rPr>
                      <w:color w:val="auto"/>
                      <w:kern w:val="0"/>
                      <w:szCs w:val="21"/>
                    </w:rPr>
                  </w:pPr>
                  <w:r>
                    <w:rPr>
                      <w:rFonts w:hint="eastAsia"/>
                      <w:color w:val="auto"/>
                      <w:kern w:val="0"/>
                      <w:szCs w:val="21"/>
                    </w:rPr>
                    <w:t>无</w:t>
                  </w:r>
                </w:p>
              </w:tc>
              <w:tc>
                <w:tcPr>
                  <w:tcW w:w="1309" w:type="pct"/>
                  <w:vAlign w:val="center"/>
                </w:tcPr>
                <w:p w14:paraId="477747C4">
                  <w:pPr>
                    <w:adjustRightInd w:val="0"/>
                    <w:snapToGrid w:val="0"/>
                    <w:jc w:val="center"/>
                    <w:rPr>
                      <w:rFonts w:hint="eastAsia"/>
                      <w:color w:val="auto"/>
                      <w:kern w:val="0"/>
                      <w:szCs w:val="21"/>
                    </w:rPr>
                  </w:pPr>
                  <w:r>
                    <w:rPr>
                      <w:rFonts w:hint="eastAsia"/>
                      <w:color w:val="auto"/>
                      <w:kern w:val="0"/>
                      <w:szCs w:val="21"/>
                    </w:rPr>
                    <w:t>Ⅱ类</w:t>
                  </w:r>
                </w:p>
              </w:tc>
            </w:tr>
            <w:tr w14:paraId="6A1B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453" w:type="pct"/>
                  <w:vMerge w:val="continue"/>
                  <w:vAlign w:val="center"/>
                </w:tcPr>
                <w:p w14:paraId="40BD83F3">
                  <w:pPr>
                    <w:adjustRightInd w:val="0"/>
                    <w:snapToGrid w:val="0"/>
                    <w:jc w:val="center"/>
                    <w:rPr>
                      <w:color w:val="auto"/>
                      <w:kern w:val="0"/>
                      <w:szCs w:val="21"/>
                    </w:rPr>
                  </w:pPr>
                </w:p>
              </w:tc>
              <w:tc>
                <w:tcPr>
                  <w:tcW w:w="752" w:type="pct"/>
                  <w:vAlign w:val="center"/>
                </w:tcPr>
                <w:p w14:paraId="110CA47B">
                  <w:pPr>
                    <w:adjustRightInd w:val="0"/>
                    <w:snapToGrid w:val="0"/>
                    <w:jc w:val="center"/>
                    <w:rPr>
                      <w:color w:val="auto"/>
                      <w:kern w:val="0"/>
                      <w:szCs w:val="21"/>
                    </w:rPr>
                  </w:pPr>
                  <w:r>
                    <w:rPr>
                      <w:rFonts w:hint="eastAsia"/>
                      <w:color w:val="auto"/>
                      <w:kern w:val="0"/>
                      <w:szCs w:val="21"/>
                    </w:rPr>
                    <w:t>龟角尾</w:t>
                  </w:r>
                </w:p>
              </w:tc>
              <w:tc>
                <w:tcPr>
                  <w:tcW w:w="1237" w:type="pct"/>
                  <w:vAlign w:val="center"/>
                </w:tcPr>
                <w:p w14:paraId="556195BB">
                  <w:pPr>
                    <w:adjustRightInd w:val="0"/>
                    <w:snapToGrid w:val="0"/>
                    <w:jc w:val="center"/>
                    <w:rPr>
                      <w:color w:val="auto"/>
                      <w:kern w:val="0"/>
                      <w:szCs w:val="21"/>
                    </w:rPr>
                  </w:pPr>
                  <w:r>
                    <w:rPr>
                      <w:rFonts w:hint="eastAsia"/>
                      <w:color w:val="auto"/>
                      <w:kern w:val="0"/>
                      <w:szCs w:val="21"/>
                    </w:rPr>
                    <w:t>100</w:t>
                  </w:r>
                </w:p>
              </w:tc>
              <w:tc>
                <w:tcPr>
                  <w:tcW w:w="1247" w:type="pct"/>
                  <w:vAlign w:val="center"/>
                </w:tcPr>
                <w:p w14:paraId="5124BC09">
                  <w:pPr>
                    <w:adjustRightInd w:val="0"/>
                    <w:snapToGrid w:val="0"/>
                    <w:jc w:val="center"/>
                    <w:rPr>
                      <w:color w:val="auto"/>
                      <w:kern w:val="0"/>
                      <w:szCs w:val="21"/>
                    </w:rPr>
                  </w:pPr>
                  <w:r>
                    <w:rPr>
                      <w:rFonts w:hint="eastAsia"/>
                      <w:color w:val="auto"/>
                      <w:kern w:val="0"/>
                      <w:szCs w:val="21"/>
                      <w:lang w:bidi="ar"/>
                    </w:rPr>
                    <w:t>无</w:t>
                  </w:r>
                </w:p>
              </w:tc>
              <w:tc>
                <w:tcPr>
                  <w:tcW w:w="1309" w:type="pct"/>
                  <w:vAlign w:val="center"/>
                </w:tcPr>
                <w:p w14:paraId="57F3C711">
                  <w:pPr>
                    <w:adjustRightInd w:val="0"/>
                    <w:snapToGrid w:val="0"/>
                    <w:jc w:val="center"/>
                    <w:rPr>
                      <w:rFonts w:hint="eastAsia"/>
                      <w:color w:val="auto"/>
                      <w:kern w:val="0"/>
                      <w:szCs w:val="21"/>
                      <w:lang w:bidi="ar"/>
                    </w:rPr>
                  </w:pPr>
                  <w:r>
                    <w:rPr>
                      <w:rFonts w:hint="eastAsia"/>
                      <w:color w:val="auto"/>
                      <w:kern w:val="0"/>
                      <w:szCs w:val="21"/>
                    </w:rPr>
                    <w:t>Ⅱ类</w:t>
                  </w:r>
                </w:p>
              </w:tc>
            </w:tr>
          </w:tbl>
          <w:p w14:paraId="481A3627">
            <w:pPr>
              <w:spacing w:before="120" w:beforeLines="50" w:line="360" w:lineRule="auto"/>
              <w:ind w:firstLine="480" w:firstLineChars="200"/>
              <w:rPr>
                <w:snapToGrid w:val="0"/>
                <w:color w:val="auto"/>
                <w:sz w:val="24"/>
              </w:rPr>
            </w:pPr>
            <w:r>
              <w:rPr>
                <w:rFonts w:hint="eastAsia"/>
                <w:color w:val="auto"/>
                <w:kern w:val="0"/>
                <w:sz w:val="24"/>
              </w:rPr>
              <w:t>根据《赣州市2024年9月地表水监测月报》</w:t>
            </w:r>
            <w:r>
              <w:rPr>
                <w:rFonts w:hint="eastAsia"/>
                <w:color w:val="auto"/>
                <w:kern w:val="0"/>
                <w:sz w:val="24"/>
                <w:lang w:eastAsia="zh-CN"/>
              </w:rPr>
              <w:t>，</w:t>
            </w:r>
            <w:r>
              <w:rPr>
                <w:rFonts w:hint="eastAsia"/>
                <w:color w:val="auto"/>
                <w:kern w:val="0"/>
                <w:sz w:val="24"/>
              </w:rPr>
              <w:t>赣江</w:t>
            </w:r>
            <w:r>
              <w:rPr>
                <w:rFonts w:hint="eastAsia"/>
                <w:color w:val="auto"/>
                <w:kern w:val="0"/>
                <w:sz w:val="24"/>
                <w:lang w:val="en-US" w:eastAsia="zh-CN"/>
              </w:rPr>
              <w:t>满足</w:t>
            </w:r>
            <w:r>
              <w:rPr>
                <w:rFonts w:hint="eastAsia"/>
                <w:color w:val="auto"/>
                <w:kern w:val="0"/>
                <w:sz w:val="24"/>
              </w:rPr>
              <w:t>《地表水环境质量标准》（GB3838-2002）中的Ⅲ类标准，地表水水质良好。</w:t>
            </w:r>
          </w:p>
          <w:p w14:paraId="4675A38E">
            <w:pPr>
              <w:adjustRightInd w:val="0"/>
              <w:snapToGrid w:val="0"/>
              <w:spacing w:line="360" w:lineRule="auto"/>
              <w:ind w:firstLine="482" w:firstLineChars="200"/>
              <w:jc w:val="left"/>
              <w:rPr>
                <w:b/>
                <w:bCs/>
                <w:color w:val="auto"/>
                <w:kern w:val="0"/>
                <w:sz w:val="24"/>
              </w:rPr>
            </w:pPr>
            <w:r>
              <w:rPr>
                <w:rFonts w:hint="eastAsia"/>
                <w:b/>
                <w:bCs/>
                <w:color w:val="auto"/>
                <w:kern w:val="0"/>
                <w:sz w:val="24"/>
              </w:rPr>
              <w:t>3、声环境质量</w:t>
            </w:r>
          </w:p>
          <w:p w14:paraId="27B756F1">
            <w:pPr>
              <w:adjustRightInd w:val="0"/>
              <w:snapToGrid w:val="0"/>
              <w:spacing w:line="360" w:lineRule="auto"/>
              <w:ind w:firstLine="480" w:firstLineChars="200"/>
              <w:jc w:val="left"/>
              <w:rPr>
                <w:color w:val="auto"/>
                <w:kern w:val="0"/>
                <w:sz w:val="24"/>
              </w:rPr>
            </w:pPr>
            <w:r>
              <w:rPr>
                <w:rFonts w:hint="eastAsia"/>
                <w:color w:val="auto"/>
                <w:kern w:val="0"/>
                <w:sz w:val="24"/>
              </w:rPr>
              <w:t>本项目厂界噪声满足《声环境质量标准》（GB3096-2008）3类标准。且项目厂界周边50米范围内不存在声环境保护目标，根据</w:t>
            </w:r>
            <w:r>
              <w:rPr>
                <w:rFonts w:hint="eastAsia"/>
                <w:color w:val="auto"/>
                <w:sz w:val="24"/>
              </w:rPr>
              <w:t>《建设项目环境影响报告表编制技术指南（污染影响类）</w:t>
            </w:r>
            <w:r>
              <w:rPr>
                <w:rFonts w:hint="eastAsia" w:cs="宋体"/>
                <w:color w:val="auto"/>
                <w:kern w:val="0"/>
                <w:sz w:val="24"/>
              </w:rPr>
              <w:t>（试行）</w:t>
            </w:r>
            <w:r>
              <w:rPr>
                <w:rFonts w:hint="eastAsia"/>
                <w:color w:val="auto"/>
                <w:sz w:val="24"/>
              </w:rPr>
              <w:t>》</w:t>
            </w:r>
            <w:r>
              <w:rPr>
                <w:rFonts w:hint="eastAsia"/>
                <w:color w:val="auto"/>
                <w:kern w:val="0"/>
                <w:sz w:val="24"/>
              </w:rPr>
              <w:t>中对区域环境质量现状的声环境要求，无需进行声环境质量现状监测。</w:t>
            </w:r>
          </w:p>
          <w:p w14:paraId="43EB8B63">
            <w:pPr>
              <w:adjustRightInd w:val="0"/>
              <w:snapToGrid w:val="0"/>
              <w:spacing w:line="360" w:lineRule="auto"/>
              <w:ind w:firstLine="482" w:firstLineChars="200"/>
              <w:jc w:val="left"/>
              <w:rPr>
                <w:b/>
                <w:bCs/>
                <w:color w:val="auto"/>
                <w:kern w:val="0"/>
                <w:sz w:val="24"/>
              </w:rPr>
            </w:pPr>
            <w:r>
              <w:rPr>
                <w:rFonts w:hint="eastAsia"/>
                <w:b/>
                <w:bCs/>
                <w:color w:val="auto"/>
                <w:kern w:val="0"/>
                <w:sz w:val="24"/>
              </w:rPr>
              <w:t>4、生态环境</w:t>
            </w:r>
          </w:p>
          <w:p w14:paraId="2C651B19">
            <w:pPr>
              <w:adjustRightInd w:val="0"/>
              <w:snapToGrid w:val="0"/>
              <w:spacing w:line="360" w:lineRule="auto"/>
              <w:ind w:firstLine="480" w:firstLineChars="200"/>
              <w:rPr>
                <w:color w:val="auto"/>
                <w:kern w:val="0"/>
                <w:sz w:val="24"/>
              </w:rPr>
            </w:pPr>
            <w:r>
              <w:rPr>
                <w:rFonts w:hint="eastAsia"/>
                <w:color w:val="auto"/>
                <w:kern w:val="0"/>
                <w:sz w:val="24"/>
              </w:rPr>
              <w:t>本项目位于工业园区内，用地范围内不存在生态环境保护目标，因此不开展生态现状调查。</w:t>
            </w:r>
          </w:p>
          <w:p w14:paraId="36647E20">
            <w:pPr>
              <w:adjustRightInd w:val="0"/>
              <w:snapToGrid w:val="0"/>
              <w:spacing w:line="360" w:lineRule="auto"/>
              <w:ind w:firstLine="482" w:firstLineChars="200"/>
              <w:rPr>
                <w:b/>
                <w:bCs/>
                <w:color w:val="auto"/>
                <w:kern w:val="0"/>
                <w:sz w:val="24"/>
              </w:rPr>
            </w:pPr>
            <w:r>
              <w:rPr>
                <w:b/>
                <w:bCs/>
                <w:color w:val="auto"/>
                <w:kern w:val="0"/>
                <w:sz w:val="24"/>
              </w:rPr>
              <w:t>5.</w:t>
            </w:r>
            <w:r>
              <w:rPr>
                <w:rFonts w:hint="eastAsia"/>
                <w:b/>
                <w:bCs/>
                <w:color w:val="auto"/>
                <w:kern w:val="0"/>
                <w:sz w:val="24"/>
              </w:rPr>
              <w:t>电磁辐射</w:t>
            </w:r>
          </w:p>
          <w:p w14:paraId="7EB1EF0F">
            <w:pPr>
              <w:adjustRightInd w:val="0"/>
              <w:snapToGrid w:val="0"/>
              <w:spacing w:line="360" w:lineRule="auto"/>
              <w:ind w:firstLine="480" w:firstLineChars="200"/>
              <w:jc w:val="left"/>
              <w:rPr>
                <w:color w:val="auto"/>
                <w:kern w:val="0"/>
                <w:sz w:val="24"/>
              </w:rPr>
            </w:pPr>
            <w:r>
              <w:rPr>
                <w:rFonts w:hint="eastAsia"/>
                <w:color w:val="auto"/>
                <w:kern w:val="0"/>
                <w:sz w:val="24"/>
              </w:rPr>
              <w:t>项目不属于新建或改建、扩建广播电台、差转台、电视塔台、卫星地球上行站、雷达等电磁辐射类项目，无需对电磁辐射现状开展监测与评价。</w:t>
            </w:r>
          </w:p>
          <w:p w14:paraId="50FCDDB1">
            <w:pPr>
              <w:adjustRightInd w:val="0"/>
              <w:snapToGrid w:val="0"/>
              <w:spacing w:line="360" w:lineRule="auto"/>
              <w:ind w:firstLine="482" w:firstLineChars="200"/>
              <w:jc w:val="left"/>
              <w:rPr>
                <w:b/>
                <w:bCs/>
                <w:color w:val="auto"/>
                <w:kern w:val="0"/>
                <w:sz w:val="24"/>
              </w:rPr>
            </w:pPr>
            <w:r>
              <w:rPr>
                <w:b/>
                <w:bCs/>
                <w:color w:val="auto"/>
                <w:kern w:val="0"/>
                <w:sz w:val="24"/>
              </w:rPr>
              <w:t>6.地下水、土壤环境</w:t>
            </w:r>
          </w:p>
          <w:p w14:paraId="5130F4C8">
            <w:pPr>
              <w:adjustRightInd w:val="0"/>
              <w:snapToGrid w:val="0"/>
              <w:spacing w:line="360" w:lineRule="auto"/>
              <w:ind w:firstLine="480" w:firstLineChars="200"/>
              <w:jc w:val="left"/>
              <w:rPr>
                <w:rFonts w:cs="宋体"/>
                <w:color w:val="auto"/>
                <w:kern w:val="0"/>
                <w:szCs w:val="21"/>
              </w:rPr>
            </w:pPr>
            <w:r>
              <w:rPr>
                <w:rFonts w:hint="eastAsia"/>
                <w:color w:val="auto"/>
                <w:kern w:val="0"/>
                <w:sz w:val="24"/>
              </w:rPr>
              <w:t>本项目不存在地下水和土壤污染途径，因此不开展地下水、土壤环境质量现状调查。</w:t>
            </w:r>
          </w:p>
        </w:tc>
      </w:tr>
      <w:tr w14:paraId="2115A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2" w:type="dxa"/>
            <w:vAlign w:val="center"/>
          </w:tcPr>
          <w:p w14:paraId="410BB7E0">
            <w:pPr>
              <w:adjustRightInd w:val="0"/>
              <w:snapToGrid w:val="0"/>
              <w:jc w:val="center"/>
              <w:rPr>
                <w:rFonts w:cs="宋体"/>
                <w:color w:val="auto"/>
                <w:kern w:val="0"/>
                <w:sz w:val="24"/>
              </w:rPr>
            </w:pPr>
            <w:r>
              <w:rPr>
                <w:rFonts w:hint="eastAsia" w:cs="宋体"/>
                <w:color w:val="auto"/>
                <w:kern w:val="0"/>
                <w:sz w:val="24"/>
              </w:rPr>
              <w:t>环境</w:t>
            </w:r>
          </w:p>
          <w:p w14:paraId="40CD8A62">
            <w:pPr>
              <w:adjustRightInd w:val="0"/>
              <w:snapToGrid w:val="0"/>
              <w:jc w:val="center"/>
              <w:rPr>
                <w:rFonts w:cs="宋体"/>
                <w:color w:val="auto"/>
                <w:kern w:val="0"/>
                <w:sz w:val="24"/>
              </w:rPr>
            </w:pPr>
            <w:r>
              <w:rPr>
                <w:rFonts w:hint="eastAsia" w:cs="宋体"/>
                <w:color w:val="auto"/>
                <w:kern w:val="0"/>
                <w:sz w:val="24"/>
              </w:rPr>
              <w:t>保护</w:t>
            </w:r>
          </w:p>
          <w:p w14:paraId="75A71BE2">
            <w:pPr>
              <w:adjustRightInd w:val="0"/>
              <w:snapToGrid w:val="0"/>
              <w:jc w:val="center"/>
              <w:rPr>
                <w:rFonts w:cs="宋体"/>
                <w:color w:val="auto"/>
                <w:kern w:val="0"/>
                <w:szCs w:val="21"/>
              </w:rPr>
            </w:pPr>
            <w:r>
              <w:rPr>
                <w:rFonts w:hint="eastAsia" w:cs="宋体"/>
                <w:color w:val="auto"/>
                <w:kern w:val="0"/>
                <w:sz w:val="24"/>
              </w:rPr>
              <w:t>目标</w:t>
            </w:r>
          </w:p>
        </w:tc>
        <w:tc>
          <w:tcPr>
            <w:tcW w:w="8609" w:type="dxa"/>
            <w:vAlign w:val="center"/>
          </w:tcPr>
          <w:p w14:paraId="606D29DE">
            <w:pPr>
              <w:keepNext/>
              <w:keepLines/>
              <w:spacing w:line="360" w:lineRule="auto"/>
              <w:ind w:firstLine="504" w:firstLineChars="200"/>
              <w:jc w:val="left"/>
              <w:rPr>
                <w:bCs/>
                <w:color w:val="auto"/>
                <w:spacing w:val="6"/>
                <w:sz w:val="24"/>
                <w:szCs w:val="21"/>
              </w:rPr>
            </w:pPr>
            <w:r>
              <w:rPr>
                <w:rFonts w:hint="eastAsia"/>
                <w:bCs/>
                <w:color w:val="auto"/>
                <w:spacing w:val="6"/>
                <w:sz w:val="24"/>
                <w:szCs w:val="21"/>
              </w:rPr>
              <w:t>根据对建设项目周边环境现状的踏勘，本项目选址位于</w:t>
            </w:r>
            <w:r>
              <w:rPr>
                <w:rFonts w:hint="eastAsia"/>
                <w:color w:val="auto"/>
                <w:sz w:val="24"/>
              </w:rPr>
              <w:t>江西省赣州市赣州经济技术开发区东至科技大道、南至湘江路、西至青云山路、北至旭日大道</w:t>
            </w:r>
            <w:r>
              <w:rPr>
                <w:rFonts w:hint="eastAsia"/>
                <w:bCs/>
                <w:color w:val="auto"/>
                <w:spacing w:val="6"/>
                <w:sz w:val="24"/>
                <w:szCs w:val="21"/>
              </w:rPr>
              <w:t>。项目用地厂区内及周围无国家重点保护的文物古迹、珍稀动植物及稀有矿藏、水源地和生态敏感点等环境保护目标。</w:t>
            </w:r>
          </w:p>
          <w:p w14:paraId="5DBFD920">
            <w:pPr>
              <w:spacing w:line="360" w:lineRule="auto"/>
              <w:ind w:firstLine="480" w:firstLineChars="200"/>
              <w:rPr>
                <w:color w:val="auto"/>
                <w:sz w:val="24"/>
              </w:rPr>
            </w:pPr>
            <w:r>
              <w:rPr>
                <w:rFonts w:hint="eastAsia"/>
                <w:color w:val="auto"/>
                <w:sz w:val="24"/>
              </w:rPr>
              <w:t>1、大气环境</w:t>
            </w:r>
          </w:p>
          <w:p w14:paraId="125E34DC">
            <w:pPr>
              <w:spacing w:line="360" w:lineRule="auto"/>
              <w:ind w:firstLine="480" w:firstLineChars="200"/>
              <w:rPr>
                <w:rFonts w:hint="eastAsia"/>
                <w:color w:val="auto"/>
                <w:sz w:val="24"/>
                <w:lang w:val="en-US" w:eastAsia="zh-CN"/>
              </w:rPr>
            </w:pPr>
            <w:r>
              <w:rPr>
                <w:rFonts w:hint="eastAsia"/>
                <w:color w:val="auto"/>
                <w:sz w:val="24"/>
              </w:rPr>
              <w:t>项目厂界外500米范围内无大气环境保护目标</w:t>
            </w:r>
            <w:r>
              <w:rPr>
                <w:rFonts w:hint="eastAsia"/>
                <w:color w:val="auto"/>
                <w:sz w:val="24"/>
                <w:lang w:eastAsia="zh-CN"/>
              </w:rPr>
              <w:t>，</w:t>
            </w:r>
            <w:r>
              <w:rPr>
                <w:rFonts w:hint="eastAsia"/>
                <w:color w:val="auto"/>
                <w:sz w:val="24"/>
                <w:lang w:val="en-US" w:eastAsia="zh-CN"/>
              </w:rPr>
              <w:t>附图7中原民用建筑物已拆除</w:t>
            </w:r>
            <w:r>
              <w:rPr>
                <w:rFonts w:hint="eastAsia"/>
                <w:color w:val="auto"/>
                <w:sz w:val="24"/>
              </w:rPr>
              <w:t>。</w:t>
            </w:r>
            <w:r>
              <w:rPr>
                <w:rFonts w:hint="eastAsia"/>
                <w:color w:val="auto"/>
                <w:sz w:val="24"/>
                <w:lang w:val="en-US" w:eastAsia="zh-CN"/>
              </w:rPr>
              <w:t>同时也根据</w:t>
            </w:r>
            <w:r>
              <w:rPr>
                <w:rStyle w:val="31"/>
                <w:rFonts w:hint="eastAsia" w:hAnsi="Times New Roman"/>
                <w:color w:val="auto"/>
                <w:sz w:val="24"/>
                <w:szCs w:val="24"/>
              </w:rPr>
              <w:t>《江西劲诚永磁新材料有限公司高效节能电机用磁材基地项目》（赣环审〔2024〕6号）</w:t>
            </w:r>
            <w:r>
              <w:rPr>
                <w:rStyle w:val="31"/>
                <w:rFonts w:hint="eastAsia"/>
                <w:color w:val="auto"/>
                <w:sz w:val="24"/>
                <w:szCs w:val="24"/>
                <w:lang w:eastAsia="zh-CN"/>
              </w:rPr>
              <w:t>（</w:t>
            </w:r>
            <w:r>
              <w:rPr>
                <w:rStyle w:val="31"/>
                <w:rFonts w:hint="eastAsia"/>
                <w:color w:val="auto"/>
                <w:sz w:val="24"/>
                <w:szCs w:val="24"/>
                <w:lang w:val="en-US" w:eastAsia="zh-CN"/>
              </w:rPr>
              <w:t>一期工程</w:t>
            </w:r>
            <w:r>
              <w:rPr>
                <w:rStyle w:val="31"/>
                <w:rFonts w:hint="eastAsia"/>
                <w:color w:val="auto"/>
                <w:sz w:val="24"/>
                <w:szCs w:val="24"/>
                <w:lang w:eastAsia="zh-CN"/>
              </w:rPr>
              <w:t>）</w:t>
            </w:r>
            <w:r>
              <w:rPr>
                <w:rStyle w:val="31"/>
                <w:rFonts w:hint="eastAsia"/>
                <w:color w:val="auto"/>
                <w:sz w:val="24"/>
                <w:szCs w:val="24"/>
                <w:lang w:val="en-US" w:eastAsia="zh-CN"/>
              </w:rPr>
              <w:t>环评影响报告书内容，</w:t>
            </w:r>
            <w:r>
              <w:rPr>
                <w:rFonts w:hint="eastAsia"/>
                <w:color w:val="auto"/>
                <w:sz w:val="24"/>
              </w:rPr>
              <w:t>500米范围内无大气环境保护目标</w:t>
            </w:r>
            <w:r>
              <w:rPr>
                <w:rFonts w:hint="eastAsia"/>
                <w:color w:val="auto"/>
                <w:sz w:val="24"/>
                <w:lang w:eastAsia="zh-CN"/>
              </w:rPr>
              <w:t>。</w:t>
            </w:r>
            <w:r>
              <w:rPr>
                <w:rFonts w:hint="eastAsia"/>
                <w:color w:val="auto"/>
                <w:sz w:val="24"/>
                <w:lang w:val="en-US" w:eastAsia="zh-CN"/>
              </w:rPr>
              <w:t>详见现状图3-1。</w:t>
            </w:r>
          </w:p>
          <w:p w14:paraId="471A4EE2">
            <w:pPr>
              <w:spacing w:line="360" w:lineRule="auto"/>
              <w:jc w:val="center"/>
              <w:rPr>
                <w:color w:val="auto"/>
              </w:rPr>
            </w:pPr>
            <w:r>
              <w:rPr>
                <w:color w:val="auto"/>
              </w:rPr>
              <w:drawing>
                <wp:inline distT="0" distB="0" distL="114300" distR="114300">
                  <wp:extent cx="4536440" cy="2724785"/>
                  <wp:effectExtent l="0" t="0" r="1651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4536440" cy="2724785"/>
                          </a:xfrm>
                          <a:prstGeom prst="rect">
                            <a:avLst/>
                          </a:prstGeom>
                          <a:noFill/>
                          <a:ln>
                            <a:noFill/>
                          </a:ln>
                        </pic:spPr>
                      </pic:pic>
                    </a:graphicData>
                  </a:graphic>
                </wp:inline>
              </w:drawing>
            </w:r>
          </w:p>
          <w:p w14:paraId="0BAF0041">
            <w:pPr>
              <w:spacing w:line="360" w:lineRule="auto"/>
              <w:jc w:val="center"/>
              <w:rPr>
                <w:rFonts w:hint="default"/>
                <w:color w:val="auto"/>
                <w:lang w:val="en-US" w:eastAsia="zh-CN"/>
              </w:rPr>
            </w:pPr>
            <w:r>
              <w:rPr>
                <w:rFonts w:hint="default"/>
                <w:b/>
                <w:bCs/>
                <w:color w:val="auto"/>
                <w:lang w:val="en-US" w:eastAsia="zh-CN"/>
              </w:rPr>
              <w:t>图3-1</w:t>
            </w:r>
            <w:r>
              <w:rPr>
                <w:rFonts w:hint="eastAsia"/>
                <w:b/>
                <w:bCs/>
                <w:color w:val="auto"/>
                <w:lang w:val="en-US" w:eastAsia="zh-CN"/>
              </w:rPr>
              <w:t>项目周边500米范围内</w:t>
            </w:r>
          </w:p>
          <w:p w14:paraId="205E2B67">
            <w:pPr>
              <w:spacing w:line="360" w:lineRule="auto"/>
              <w:ind w:firstLine="480" w:firstLineChars="200"/>
              <w:rPr>
                <w:color w:val="auto"/>
                <w:sz w:val="24"/>
              </w:rPr>
            </w:pPr>
            <w:r>
              <w:rPr>
                <w:rFonts w:hint="eastAsia"/>
                <w:color w:val="auto"/>
                <w:sz w:val="24"/>
              </w:rPr>
              <w:t>2、声环境</w:t>
            </w:r>
          </w:p>
          <w:p w14:paraId="0B05A229">
            <w:pPr>
              <w:spacing w:line="360" w:lineRule="auto"/>
              <w:ind w:firstLine="480" w:firstLineChars="200"/>
              <w:rPr>
                <w:color w:val="auto"/>
                <w:sz w:val="24"/>
              </w:rPr>
            </w:pPr>
            <w:r>
              <w:rPr>
                <w:rFonts w:hint="eastAsia"/>
                <w:color w:val="auto"/>
                <w:sz w:val="24"/>
              </w:rPr>
              <w:t>厂界外50米范围内无声环境保护目标。</w:t>
            </w:r>
          </w:p>
          <w:p w14:paraId="0866BE5F">
            <w:pPr>
              <w:spacing w:line="360" w:lineRule="auto"/>
              <w:ind w:firstLine="480" w:firstLineChars="200"/>
              <w:rPr>
                <w:color w:val="auto"/>
                <w:sz w:val="24"/>
              </w:rPr>
            </w:pPr>
            <w:r>
              <w:rPr>
                <w:rFonts w:hint="eastAsia"/>
                <w:color w:val="auto"/>
                <w:sz w:val="24"/>
              </w:rPr>
              <w:t>3、地下水环境</w:t>
            </w:r>
          </w:p>
          <w:p w14:paraId="7DC4A3F8">
            <w:pPr>
              <w:spacing w:line="360" w:lineRule="auto"/>
              <w:ind w:firstLine="480" w:firstLineChars="200"/>
              <w:rPr>
                <w:color w:val="auto"/>
                <w:sz w:val="24"/>
              </w:rPr>
            </w:pPr>
            <w:r>
              <w:rPr>
                <w:rFonts w:hint="eastAsia"/>
                <w:color w:val="auto"/>
                <w:sz w:val="24"/>
              </w:rPr>
              <w:t>厂界外500米范围内无地下水集中式饮用水水源和热水、矿泉水、温泉等特殊地下水资源，周边居民饮用水均使用自来水，不取用地下水作为饮用水。</w:t>
            </w:r>
          </w:p>
          <w:p w14:paraId="1C6EE385">
            <w:pPr>
              <w:spacing w:line="360" w:lineRule="auto"/>
              <w:ind w:firstLine="480" w:firstLineChars="200"/>
              <w:rPr>
                <w:color w:val="auto"/>
                <w:sz w:val="24"/>
              </w:rPr>
            </w:pPr>
            <w:r>
              <w:rPr>
                <w:rFonts w:hint="eastAsia"/>
                <w:color w:val="auto"/>
                <w:sz w:val="24"/>
              </w:rPr>
              <w:t>4、生态环境</w:t>
            </w:r>
          </w:p>
          <w:p w14:paraId="53F81B41">
            <w:pPr>
              <w:spacing w:line="360" w:lineRule="auto"/>
              <w:ind w:firstLine="480" w:firstLineChars="200"/>
              <w:rPr>
                <w:rFonts w:cs="宋体"/>
                <w:color w:val="auto"/>
                <w:kern w:val="0"/>
                <w:szCs w:val="21"/>
              </w:rPr>
            </w:pPr>
            <w:r>
              <w:rPr>
                <w:rFonts w:hint="eastAsia"/>
                <w:color w:val="auto"/>
                <w:sz w:val="24"/>
              </w:rPr>
              <w:t>本项目位于产业园区内，无生态环境保护目标。</w:t>
            </w:r>
          </w:p>
        </w:tc>
      </w:tr>
      <w:tr w14:paraId="75DB8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tcMar>
              <w:left w:w="28" w:type="dxa"/>
              <w:right w:w="28" w:type="dxa"/>
            </w:tcMar>
            <w:vAlign w:val="center"/>
          </w:tcPr>
          <w:p w14:paraId="02170B99">
            <w:pPr>
              <w:adjustRightInd w:val="0"/>
              <w:snapToGrid w:val="0"/>
              <w:jc w:val="center"/>
              <w:rPr>
                <w:rFonts w:cs="宋体"/>
                <w:color w:val="auto"/>
                <w:kern w:val="0"/>
                <w:sz w:val="24"/>
              </w:rPr>
            </w:pPr>
            <w:r>
              <w:rPr>
                <w:rFonts w:hint="eastAsia" w:cs="宋体"/>
                <w:color w:val="auto"/>
                <w:kern w:val="0"/>
                <w:sz w:val="24"/>
              </w:rPr>
              <w:t>污染</w:t>
            </w:r>
          </w:p>
          <w:p w14:paraId="38B96D07">
            <w:pPr>
              <w:adjustRightInd w:val="0"/>
              <w:snapToGrid w:val="0"/>
              <w:jc w:val="center"/>
              <w:rPr>
                <w:rFonts w:cs="宋体"/>
                <w:color w:val="auto"/>
                <w:kern w:val="0"/>
                <w:sz w:val="24"/>
              </w:rPr>
            </w:pPr>
            <w:r>
              <w:rPr>
                <w:rFonts w:hint="eastAsia" w:cs="宋体"/>
                <w:color w:val="auto"/>
                <w:kern w:val="0"/>
                <w:sz w:val="24"/>
              </w:rPr>
              <w:t>物排</w:t>
            </w:r>
          </w:p>
          <w:p w14:paraId="387EC422">
            <w:pPr>
              <w:adjustRightInd w:val="0"/>
              <w:snapToGrid w:val="0"/>
              <w:jc w:val="center"/>
              <w:rPr>
                <w:rFonts w:cs="宋体"/>
                <w:color w:val="auto"/>
                <w:kern w:val="0"/>
                <w:sz w:val="24"/>
              </w:rPr>
            </w:pPr>
            <w:r>
              <w:rPr>
                <w:rFonts w:hint="eastAsia" w:cs="宋体"/>
                <w:color w:val="auto"/>
                <w:kern w:val="0"/>
                <w:sz w:val="24"/>
              </w:rPr>
              <w:t>放控</w:t>
            </w:r>
          </w:p>
          <w:p w14:paraId="7EDE0205">
            <w:pPr>
              <w:adjustRightInd w:val="0"/>
              <w:snapToGrid w:val="0"/>
              <w:jc w:val="center"/>
              <w:rPr>
                <w:rFonts w:cs="宋体"/>
                <w:color w:val="auto"/>
                <w:kern w:val="0"/>
                <w:sz w:val="24"/>
              </w:rPr>
            </w:pPr>
            <w:r>
              <w:rPr>
                <w:rFonts w:hint="eastAsia" w:cs="宋体"/>
                <w:color w:val="auto"/>
                <w:kern w:val="0"/>
                <w:sz w:val="24"/>
              </w:rPr>
              <w:t>制标</w:t>
            </w:r>
          </w:p>
          <w:p w14:paraId="6DBD91A9">
            <w:pPr>
              <w:adjustRightInd w:val="0"/>
              <w:snapToGrid w:val="0"/>
              <w:jc w:val="center"/>
              <w:rPr>
                <w:rFonts w:cs="宋体"/>
                <w:color w:val="auto"/>
                <w:kern w:val="0"/>
                <w:szCs w:val="21"/>
              </w:rPr>
            </w:pPr>
            <w:r>
              <w:rPr>
                <w:rFonts w:hint="eastAsia" w:cs="宋体"/>
                <w:color w:val="auto"/>
                <w:kern w:val="0"/>
                <w:sz w:val="24"/>
              </w:rPr>
              <w:t>准</w:t>
            </w:r>
          </w:p>
        </w:tc>
        <w:tc>
          <w:tcPr>
            <w:tcW w:w="8609" w:type="dxa"/>
            <w:vAlign w:val="center"/>
          </w:tcPr>
          <w:p w14:paraId="20950830">
            <w:pPr>
              <w:spacing w:line="360" w:lineRule="auto"/>
              <w:ind w:firstLine="482" w:firstLineChars="200"/>
              <w:rPr>
                <w:b/>
                <w:bCs/>
                <w:color w:val="auto"/>
                <w:sz w:val="24"/>
              </w:rPr>
            </w:pPr>
            <w:r>
              <w:rPr>
                <w:rFonts w:hint="eastAsia"/>
                <w:b/>
                <w:bCs/>
                <w:color w:val="auto"/>
                <w:sz w:val="24"/>
              </w:rPr>
              <w:t>1、废气</w:t>
            </w:r>
          </w:p>
          <w:p w14:paraId="536924BC">
            <w:pPr>
              <w:spacing w:line="360" w:lineRule="auto"/>
              <w:ind w:firstLine="480" w:firstLineChars="200"/>
              <w:rPr>
                <w:color w:val="auto"/>
                <w:kern w:val="0"/>
                <w:sz w:val="24"/>
              </w:rPr>
            </w:pPr>
            <w:r>
              <w:rPr>
                <w:rFonts w:hint="eastAsia"/>
                <w:color w:val="auto"/>
                <w:sz w:val="24"/>
              </w:rPr>
              <w:t>本</w:t>
            </w:r>
            <w:r>
              <w:rPr>
                <w:color w:val="auto"/>
                <w:sz w:val="24"/>
              </w:rPr>
              <w:t>项目</w:t>
            </w:r>
            <w:r>
              <w:rPr>
                <w:rFonts w:hint="eastAsia"/>
                <w:color w:val="auto"/>
                <w:sz w:val="24"/>
              </w:rPr>
              <w:t>非甲烷总烃</w:t>
            </w:r>
            <w:r>
              <w:rPr>
                <w:color w:val="auto"/>
                <w:sz w:val="24"/>
              </w:rPr>
              <w:t>排放</w:t>
            </w:r>
            <w:r>
              <w:rPr>
                <w:rFonts w:hint="eastAsia"/>
                <w:color w:val="auto"/>
                <w:sz w:val="24"/>
              </w:rPr>
              <w:t>执行《大气污染物综合排放标准》（GB16297-1996）表2无组织排放监控浓度排放限值；颗粒物执行《大气污染物综合排放标准》（GB16297-1996）表2无组织排放监控浓度排放限值；厂区内挥发性有机物无组织排放应满足《挥发性有机物无组织排放控制标准》（GB37822-2019）中有关要求</w:t>
            </w:r>
            <w:r>
              <w:rPr>
                <w:color w:val="auto"/>
                <w:sz w:val="24"/>
              </w:rPr>
              <w:t>。标准限值见下表：</w:t>
            </w:r>
          </w:p>
          <w:p w14:paraId="679C9910">
            <w:pPr>
              <w:pStyle w:val="62"/>
              <w:rPr>
                <w:rFonts w:hint="default"/>
                <w:color w:val="auto"/>
              </w:rPr>
            </w:pPr>
            <w:r>
              <w:rPr>
                <w:rFonts w:hint="default"/>
                <w:color w:val="auto"/>
              </w:rPr>
              <w:t>表3-</w:t>
            </w:r>
            <w:r>
              <w:rPr>
                <w:color w:val="auto"/>
              </w:rPr>
              <w:t>5</w:t>
            </w:r>
            <w:r>
              <w:rPr>
                <w:rFonts w:hint="default"/>
                <w:color w:val="auto"/>
              </w:rPr>
              <w:t>大气污染物排放标准</w:t>
            </w:r>
          </w:p>
          <w:tbl>
            <w:tblPr>
              <w:tblStyle w:val="24"/>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410"/>
              <w:gridCol w:w="1577"/>
              <w:gridCol w:w="1389"/>
              <w:gridCol w:w="2690"/>
            </w:tblGrid>
            <w:tr w14:paraId="0D07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863" w:type="pct"/>
                  <w:vAlign w:val="center"/>
                </w:tcPr>
                <w:p w14:paraId="2DA2973B">
                  <w:pPr>
                    <w:pStyle w:val="63"/>
                    <w:rPr>
                      <w:b/>
                      <w:color w:val="auto"/>
                    </w:rPr>
                  </w:pPr>
                  <w:r>
                    <w:rPr>
                      <w:b/>
                      <w:color w:val="auto"/>
                    </w:rPr>
                    <w:t>污染物名称</w:t>
                  </w:r>
                </w:p>
              </w:tc>
              <w:tc>
                <w:tcPr>
                  <w:tcW w:w="825" w:type="pct"/>
                  <w:vAlign w:val="center"/>
                </w:tcPr>
                <w:p w14:paraId="5ED63DD0">
                  <w:pPr>
                    <w:pStyle w:val="63"/>
                    <w:rPr>
                      <w:b/>
                      <w:color w:val="auto"/>
                    </w:rPr>
                  </w:pPr>
                  <w:r>
                    <w:rPr>
                      <w:b/>
                      <w:color w:val="auto"/>
                    </w:rPr>
                    <w:t>最高允许排放浓度</w:t>
                  </w:r>
                </w:p>
              </w:tc>
              <w:tc>
                <w:tcPr>
                  <w:tcW w:w="923" w:type="pct"/>
                  <w:vAlign w:val="center"/>
                </w:tcPr>
                <w:p w14:paraId="48C94C6E">
                  <w:pPr>
                    <w:pStyle w:val="63"/>
                    <w:rPr>
                      <w:b/>
                      <w:color w:val="auto"/>
                    </w:rPr>
                  </w:pPr>
                  <w:r>
                    <w:rPr>
                      <w:b/>
                      <w:color w:val="auto"/>
                    </w:rPr>
                    <w:t>无组织排放监控浓度限值</w:t>
                  </w:r>
                </w:p>
              </w:tc>
              <w:tc>
                <w:tcPr>
                  <w:tcW w:w="813" w:type="pct"/>
                  <w:vAlign w:val="center"/>
                </w:tcPr>
                <w:p w14:paraId="38AFEF9A">
                  <w:pPr>
                    <w:pStyle w:val="63"/>
                    <w:rPr>
                      <w:rFonts w:hint="default" w:eastAsia="宋体"/>
                      <w:b/>
                      <w:color w:val="auto"/>
                      <w:lang w:val="en-US" w:eastAsia="zh-CN"/>
                    </w:rPr>
                  </w:pPr>
                  <w:r>
                    <w:rPr>
                      <w:rFonts w:hint="eastAsia"/>
                      <w:b/>
                      <w:color w:val="auto"/>
                      <w:lang w:val="en-US" w:eastAsia="zh-CN"/>
                    </w:rPr>
                    <w:t>监控点</w:t>
                  </w:r>
                </w:p>
              </w:tc>
              <w:tc>
                <w:tcPr>
                  <w:tcW w:w="1574" w:type="pct"/>
                  <w:shd w:val="clear" w:color="auto" w:fill="auto"/>
                  <w:vAlign w:val="center"/>
                </w:tcPr>
                <w:p w14:paraId="382EA109">
                  <w:pPr>
                    <w:pStyle w:val="63"/>
                    <w:rPr>
                      <w:rFonts w:ascii="Times New Roman" w:hAnsi="Times New Roman" w:eastAsia="宋体" w:cs="Times New Roman"/>
                      <w:b/>
                      <w:color w:val="auto"/>
                      <w:spacing w:val="6"/>
                      <w:kern w:val="2"/>
                      <w:sz w:val="21"/>
                      <w:szCs w:val="21"/>
                      <w:lang w:val="en-US" w:eastAsia="zh-CN" w:bidi="ar-SA"/>
                    </w:rPr>
                  </w:pPr>
                  <w:r>
                    <w:rPr>
                      <w:b/>
                      <w:color w:val="auto"/>
                    </w:rPr>
                    <w:t>标准来源</w:t>
                  </w:r>
                </w:p>
              </w:tc>
            </w:tr>
            <w:tr w14:paraId="24D1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63" w:type="pct"/>
                  <w:vAlign w:val="center"/>
                </w:tcPr>
                <w:p w14:paraId="17EA0B5A">
                  <w:pPr>
                    <w:pStyle w:val="63"/>
                    <w:rPr>
                      <w:color w:val="auto"/>
                    </w:rPr>
                  </w:pPr>
                  <w:r>
                    <w:rPr>
                      <w:rFonts w:hint="eastAsia"/>
                      <w:color w:val="auto"/>
                    </w:rPr>
                    <w:t>非甲烷总烃</w:t>
                  </w:r>
                </w:p>
              </w:tc>
              <w:tc>
                <w:tcPr>
                  <w:tcW w:w="825" w:type="pct"/>
                  <w:vAlign w:val="center"/>
                </w:tcPr>
                <w:p w14:paraId="3AFBBDDE">
                  <w:pPr>
                    <w:pStyle w:val="63"/>
                    <w:rPr>
                      <w:color w:val="auto"/>
                    </w:rPr>
                  </w:pPr>
                  <w:r>
                    <w:rPr>
                      <w:rFonts w:hint="eastAsia"/>
                      <w:color w:val="auto"/>
                    </w:rPr>
                    <w:t>120</w:t>
                  </w:r>
                  <w:r>
                    <w:rPr>
                      <w:color w:val="auto"/>
                    </w:rPr>
                    <w:t>mg/m</w:t>
                  </w:r>
                  <w:r>
                    <w:rPr>
                      <w:color w:val="auto"/>
                      <w:vertAlign w:val="superscript"/>
                    </w:rPr>
                    <w:t>3</w:t>
                  </w:r>
                </w:p>
              </w:tc>
              <w:tc>
                <w:tcPr>
                  <w:tcW w:w="923" w:type="pct"/>
                  <w:vAlign w:val="center"/>
                </w:tcPr>
                <w:p w14:paraId="7BA1B807">
                  <w:pPr>
                    <w:pStyle w:val="63"/>
                    <w:rPr>
                      <w:color w:val="auto"/>
                    </w:rPr>
                  </w:pPr>
                  <w:r>
                    <w:rPr>
                      <w:rFonts w:hint="eastAsia"/>
                      <w:color w:val="auto"/>
                    </w:rPr>
                    <w:t>4</w:t>
                  </w:r>
                  <w:r>
                    <w:rPr>
                      <w:color w:val="auto"/>
                    </w:rPr>
                    <w:t>.0mg/m</w:t>
                  </w:r>
                  <w:r>
                    <w:rPr>
                      <w:color w:val="auto"/>
                      <w:vertAlign w:val="superscript"/>
                    </w:rPr>
                    <w:t>3</w:t>
                  </w:r>
                </w:p>
              </w:tc>
              <w:tc>
                <w:tcPr>
                  <w:tcW w:w="813" w:type="pct"/>
                  <w:vMerge w:val="restart"/>
                  <w:vAlign w:val="center"/>
                </w:tcPr>
                <w:p w14:paraId="37D26F01">
                  <w:pPr>
                    <w:pStyle w:val="63"/>
                    <w:rPr>
                      <w:color w:val="auto"/>
                    </w:rPr>
                  </w:pPr>
                  <w:r>
                    <w:rPr>
                      <w:rFonts w:hint="eastAsia"/>
                      <w:color w:val="auto"/>
                    </w:rPr>
                    <w:t>周界外浓度最高点</w:t>
                  </w:r>
                </w:p>
              </w:tc>
              <w:tc>
                <w:tcPr>
                  <w:tcW w:w="1574" w:type="pct"/>
                  <w:shd w:val="clear" w:color="auto" w:fill="auto"/>
                  <w:vAlign w:val="center"/>
                </w:tcPr>
                <w:p w14:paraId="6A6F17F7">
                  <w:pPr>
                    <w:pStyle w:val="63"/>
                    <w:rPr>
                      <w:rFonts w:hint="eastAsia" w:ascii="Times New Roman" w:hAnsi="Times New Roman" w:eastAsia="宋体" w:cs="Times New Roman"/>
                      <w:color w:val="auto"/>
                      <w:spacing w:val="6"/>
                      <w:kern w:val="2"/>
                      <w:sz w:val="21"/>
                      <w:szCs w:val="21"/>
                      <w:lang w:val="en-US" w:eastAsia="zh-CN" w:bidi="ar-SA"/>
                    </w:rPr>
                  </w:pPr>
                  <w:r>
                    <w:rPr>
                      <w:rFonts w:hint="eastAsia"/>
                      <w:color w:val="auto"/>
                    </w:rPr>
                    <w:t>《大气污染物综合排放标准》（GB16297-1996）</w:t>
                  </w:r>
                </w:p>
              </w:tc>
            </w:tr>
            <w:tr w14:paraId="1745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63" w:type="pct"/>
                  <w:vAlign w:val="center"/>
                </w:tcPr>
                <w:p w14:paraId="4336CCC1">
                  <w:pPr>
                    <w:pStyle w:val="63"/>
                    <w:rPr>
                      <w:color w:val="auto"/>
                    </w:rPr>
                  </w:pPr>
                  <w:r>
                    <w:rPr>
                      <w:rFonts w:hint="eastAsia"/>
                      <w:color w:val="auto"/>
                    </w:rPr>
                    <w:t>颗粒物</w:t>
                  </w:r>
                </w:p>
              </w:tc>
              <w:tc>
                <w:tcPr>
                  <w:tcW w:w="825" w:type="pct"/>
                  <w:vAlign w:val="center"/>
                </w:tcPr>
                <w:p w14:paraId="036857DA">
                  <w:pPr>
                    <w:pStyle w:val="63"/>
                    <w:rPr>
                      <w:color w:val="auto"/>
                    </w:rPr>
                  </w:pPr>
                  <w:r>
                    <w:rPr>
                      <w:rFonts w:hint="eastAsia"/>
                      <w:color w:val="auto"/>
                    </w:rPr>
                    <w:t>/</w:t>
                  </w:r>
                </w:p>
              </w:tc>
              <w:tc>
                <w:tcPr>
                  <w:tcW w:w="923" w:type="pct"/>
                  <w:vAlign w:val="center"/>
                </w:tcPr>
                <w:p w14:paraId="21A447F3">
                  <w:pPr>
                    <w:pStyle w:val="63"/>
                    <w:rPr>
                      <w:color w:val="auto"/>
                    </w:rPr>
                  </w:pPr>
                  <w:r>
                    <w:rPr>
                      <w:rFonts w:hint="eastAsia"/>
                      <w:color w:val="auto"/>
                    </w:rPr>
                    <w:t>1.0</w:t>
                  </w:r>
                </w:p>
              </w:tc>
              <w:tc>
                <w:tcPr>
                  <w:tcW w:w="813" w:type="pct"/>
                  <w:vMerge w:val="continue"/>
                  <w:vAlign w:val="center"/>
                </w:tcPr>
                <w:p w14:paraId="367AB299">
                  <w:pPr>
                    <w:pStyle w:val="63"/>
                    <w:rPr>
                      <w:color w:val="auto"/>
                    </w:rPr>
                  </w:pPr>
                </w:p>
              </w:tc>
              <w:tc>
                <w:tcPr>
                  <w:tcW w:w="1574" w:type="pct"/>
                  <w:shd w:val="clear" w:color="auto" w:fill="auto"/>
                  <w:vAlign w:val="center"/>
                </w:tcPr>
                <w:p w14:paraId="2A2E6723">
                  <w:pPr>
                    <w:pStyle w:val="63"/>
                    <w:rPr>
                      <w:rFonts w:hint="eastAsia" w:ascii="Times New Roman" w:hAnsi="Times New Roman" w:eastAsia="宋体" w:cs="Times New Roman"/>
                      <w:color w:val="auto"/>
                      <w:spacing w:val="6"/>
                      <w:kern w:val="2"/>
                      <w:sz w:val="21"/>
                      <w:szCs w:val="21"/>
                      <w:lang w:val="en-US" w:eastAsia="zh-CN" w:bidi="ar-SA"/>
                    </w:rPr>
                  </w:pPr>
                  <w:r>
                    <w:rPr>
                      <w:rFonts w:hint="eastAsia"/>
                      <w:color w:val="auto"/>
                    </w:rPr>
                    <w:t>《大气污染物综合排放标准》（GB16297-1996）</w:t>
                  </w:r>
                </w:p>
              </w:tc>
            </w:tr>
          </w:tbl>
          <w:p w14:paraId="71FE04F6">
            <w:pPr>
              <w:pStyle w:val="69"/>
              <w:adjustRightInd/>
              <w:snapToGrid w:val="0"/>
              <w:spacing w:line="240" w:lineRule="auto"/>
              <w:ind w:firstLine="0"/>
              <w:jc w:val="center"/>
              <w:rPr>
                <w:rFonts w:hint="default" w:eastAsia="宋体"/>
                <w:b/>
                <w:color w:val="auto"/>
                <w:sz w:val="24"/>
                <w:lang w:val="en-US" w:eastAsia="zh-CN"/>
              </w:rPr>
            </w:pPr>
            <w:r>
              <w:rPr>
                <w:b/>
                <w:color w:val="auto"/>
                <w:sz w:val="24"/>
                <w:lang w:val="zh-CN"/>
              </w:rPr>
              <w:t>表</w:t>
            </w:r>
            <w:r>
              <w:rPr>
                <w:rFonts w:hint="eastAsia"/>
                <w:b/>
                <w:color w:val="auto"/>
                <w:sz w:val="24"/>
              </w:rPr>
              <w:t>3-6</w:t>
            </w:r>
            <w:r>
              <w:rPr>
                <w:rFonts w:hint="eastAsia"/>
                <w:b/>
                <w:color w:val="auto"/>
                <w:sz w:val="24"/>
                <w:lang w:val="zh-CN"/>
              </w:rPr>
              <w:t>厂内挥发性有机物无组织排放要求</w:t>
            </w:r>
            <w:r>
              <w:rPr>
                <w:rFonts w:hint="eastAsia"/>
                <w:b/>
                <w:color w:val="auto"/>
                <w:sz w:val="24"/>
                <w:lang w:val="en-US" w:eastAsia="zh-CN"/>
              </w:rPr>
              <w:t>单位：mg/m</w:t>
            </w:r>
            <w:r>
              <w:rPr>
                <w:rFonts w:hint="eastAsia"/>
                <w:b/>
                <w:color w:val="auto"/>
                <w:sz w:val="24"/>
                <w:vertAlign w:val="superscript"/>
                <w:lang w:val="en-US" w:eastAsia="zh-CN"/>
              </w:rPr>
              <w:t>3</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722"/>
              <w:gridCol w:w="2927"/>
              <w:gridCol w:w="2187"/>
            </w:tblGrid>
            <w:tr w14:paraId="4E4B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center"/>
                </w:tcPr>
                <w:p w14:paraId="7907B35F">
                  <w:pPr>
                    <w:pStyle w:val="82"/>
                    <w:spacing w:before="0" w:beforeAutospacing="0" w:after="0" w:afterAutospacing="0" w:line="240" w:lineRule="auto"/>
                    <w:ind w:left="0" w:right="0"/>
                    <w:rPr>
                      <w:color w:val="auto"/>
                    </w:rPr>
                  </w:pPr>
                  <w:r>
                    <w:rPr>
                      <w:rFonts w:hint="eastAsia"/>
                      <w:color w:val="auto"/>
                    </w:rPr>
                    <w:t>污染物项目</w:t>
                  </w:r>
                </w:p>
              </w:tc>
              <w:tc>
                <w:tcPr>
                  <w:tcW w:w="1027" w:type="pct"/>
                  <w:vAlign w:val="center"/>
                </w:tcPr>
                <w:p w14:paraId="742ACDCE">
                  <w:pPr>
                    <w:pStyle w:val="82"/>
                    <w:spacing w:before="0" w:beforeAutospacing="0" w:after="0" w:afterAutospacing="0" w:line="240" w:lineRule="auto"/>
                    <w:ind w:left="0" w:right="0"/>
                    <w:rPr>
                      <w:color w:val="auto"/>
                    </w:rPr>
                  </w:pPr>
                  <w:r>
                    <w:rPr>
                      <w:rFonts w:hint="eastAsia"/>
                      <w:color w:val="auto"/>
                    </w:rPr>
                    <w:t>排放限值</w:t>
                  </w:r>
                </w:p>
              </w:tc>
              <w:tc>
                <w:tcPr>
                  <w:tcW w:w="1746" w:type="pct"/>
                  <w:vAlign w:val="center"/>
                </w:tcPr>
                <w:p w14:paraId="5668835A">
                  <w:pPr>
                    <w:pStyle w:val="82"/>
                    <w:spacing w:before="0" w:beforeAutospacing="0" w:after="0" w:afterAutospacing="0" w:line="240" w:lineRule="auto"/>
                    <w:ind w:left="0" w:right="0"/>
                    <w:rPr>
                      <w:color w:val="auto"/>
                    </w:rPr>
                  </w:pPr>
                  <w:r>
                    <w:rPr>
                      <w:rFonts w:hint="eastAsia"/>
                      <w:color w:val="auto"/>
                    </w:rPr>
                    <w:t>限值含义</w:t>
                  </w:r>
                </w:p>
              </w:tc>
              <w:tc>
                <w:tcPr>
                  <w:tcW w:w="1304" w:type="pct"/>
                  <w:vAlign w:val="center"/>
                </w:tcPr>
                <w:p w14:paraId="2EEF8F90">
                  <w:pPr>
                    <w:pStyle w:val="82"/>
                    <w:spacing w:before="0" w:beforeAutospacing="0" w:after="0" w:afterAutospacing="0" w:line="240" w:lineRule="auto"/>
                    <w:ind w:left="0" w:right="0"/>
                    <w:rPr>
                      <w:color w:val="auto"/>
                    </w:rPr>
                  </w:pPr>
                  <w:r>
                    <w:rPr>
                      <w:rFonts w:hint="eastAsia"/>
                      <w:color w:val="auto"/>
                    </w:rPr>
                    <w:t>无组织排放监控位置</w:t>
                  </w:r>
                </w:p>
              </w:tc>
            </w:tr>
            <w:tr w14:paraId="36DA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Merge w:val="restart"/>
                  <w:vAlign w:val="center"/>
                </w:tcPr>
                <w:p w14:paraId="49B6DD8A">
                  <w:pPr>
                    <w:pStyle w:val="83"/>
                    <w:spacing w:before="0" w:beforeAutospacing="0" w:after="0" w:afterAutospacing="0" w:line="240" w:lineRule="auto"/>
                    <w:ind w:left="0" w:leftChars="0" w:right="0" w:rightChars="0"/>
                    <w:rPr>
                      <w:color w:val="auto"/>
                    </w:rPr>
                  </w:pPr>
                  <w:r>
                    <w:rPr>
                      <w:rFonts w:hint="eastAsia"/>
                      <w:color w:val="auto"/>
                    </w:rPr>
                    <w:t>NMHC</w:t>
                  </w:r>
                </w:p>
              </w:tc>
              <w:tc>
                <w:tcPr>
                  <w:tcW w:w="1027" w:type="pct"/>
                  <w:vAlign w:val="center"/>
                </w:tcPr>
                <w:p w14:paraId="241A3FB5">
                  <w:pPr>
                    <w:pStyle w:val="83"/>
                    <w:spacing w:before="0" w:beforeAutospacing="0" w:after="0" w:afterAutospacing="0" w:line="240" w:lineRule="auto"/>
                    <w:ind w:left="0" w:leftChars="0" w:right="0" w:rightChars="0"/>
                    <w:rPr>
                      <w:color w:val="auto"/>
                    </w:rPr>
                  </w:pPr>
                  <w:r>
                    <w:rPr>
                      <w:rFonts w:hint="eastAsia"/>
                      <w:color w:val="auto"/>
                    </w:rPr>
                    <w:t>10</w:t>
                  </w:r>
                </w:p>
              </w:tc>
              <w:tc>
                <w:tcPr>
                  <w:tcW w:w="1746" w:type="pct"/>
                  <w:vAlign w:val="center"/>
                </w:tcPr>
                <w:p w14:paraId="4A9D5406">
                  <w:pPr>
                    <w:pStyle w:val="83"/>
                    <w:spacing w:before="0" w:beforeAutospacing="0" w:after="0" w:afterAutospacing="0" w:line="240" w:lineRule="auto"/>
                    <w:ind w:left="0" w:leftChars="0" w:right="0" w:rightChars="0"/>
                    <w:rPr>
                      <w:color w:val="auto"/>
                    </w:rPr>
                  </w:pPr>
                  <w:r>
                    <w:rPr>
                      <w:rFonts w:hint="eastAsia"/>
                      <w:color w:val="auto"/>
                    </w:rPr>
                    <w:t>监控点处1h平均浓度值</w:t>
                  </w:r>
                </w:p>
              </w:tc>
              <w:tc>
                <w:tcPr>
                  <w:tcW w:w="1304" w:type="pct"/>
                  <w:vMerge w:val="restart"/>
                  <w:vAlign w:val="center"/>
                </w:tcPr>
                <w:p w14:paraId="793541C2">
                  <w:pPr>
                    <w:pStyle w:val="83"/>
                    <w:spacing w:before="0" w:beforeAutospacing="0" w:after="0" w:afterAutospacing="0" w:line="240" w:lineRule="auto"/>
                    <w:ind w:left="0" w:leftChars="0" w:right="0" w:rightChars="0"/>
                    <w:rPr>
                      <w:color w:val="auto"/>
                    </w:rPr>
                  </w:pPr>
                  <w:r>
                    <w:rPr>
                      <w:rFonts w:hint="eastAsia"/>
                      <w:color w:val="auto"/>
                    </w:rPr>
                    <w:t>在厂房外设置监控点</w:t>
                  </w:r>
                </w:p>
              </w:tc>
            </w:tr>
            <w:tr w14:paraId="018A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Merge w:val="continue"/>
                  <w:vAlign w:val="center"/>
                </w:tcPr>
                <w:p w14:paraId="2FFEB7D0">
                  <w:pPr>
                    <w:rPr>
                      <w:color w:val="auto"/>
                      <w:szCs w:val="21"/>
                    </w:rPr>
                  </w:pPr>
                </w:p>
              </w:tc>
              <w:tc>
                <w:tcPr>
                  <w:tcW w:w="1027" w:type="pct"/>
                  <w:vAlign w:val="center"/>
                </w:tcPr>
                <w:p w14:paraId="79CB1ED3">
                  <w:pPr>
                    <w:pStyle w:val="83"/>
                    <w:spacing w:before="0" w:beforeAutospacing="0" w:after="0" w:afterAutospacing="0" w:line="240" w:lineRule="auto"/>
                    <w:ind w:left="0" w:leftChars="0" w:right="0" w:rightChars="0"/>
                    <w:rPr>
                      <w:color w:val="auto"/>
                    </w:rPr>
                  </w:pPr>
                  <w:r>
                    <w:rPr>
                      <w:rFonts w:hint="eastAsia"/>
                      <w:color w:val="auto"/>
                    </w:rPr>
                    <w:t>30</w:t>
                  </w:r>
                </w:p>
              </w:tc>
              <w:tc>
                <w:tcPr>
                  <w:tcW w:w="1746" w:type="pct"/>
                  <w:vAlign w:val="center"/>
                </w:tcPr>
                <w:p w14:paraId="4CC59961">
                  <w:pPr>
                    <w:pStyle w:val="83"/>
                    <w:spacing w:before="0" w:beforeAutospacing="0" w:after="0" w:afterAutospacing="0" w:line="240" w:lineRule="auto"/>
                    <w:ind w:left="0" w:leftChars="0" w:right="0" w:rightChars="0"/>
                    <w:rPr>
                      <w:color w:val="auto"/>
                    </w:rPr>
                  </w:pPr>
                  <w:r>
                    <w:rPr>
                      <w:rFonts w:hint="eastAsia"/>
                      <w:color w:val="auto"/>
                    </w:rPr>
                    <w:t>监控点处任意一次浓度值</w:t>
                  </w:r>
                </w:p>
              </w:tc>
              <w:tc>
                <w:tcPr>
                  <w:tcW w:w="1304" w:type="pct"/>
                  <w:vMerge w:val="continue"/>
                  <w:vAlign w:val="center"/>
                </w:tcPr>
                <w:p w14:paraId="79667A02">
                  <w:pPr>
                    <w:rPr>
                      <w:color w:val="auto"/>
                      <w:szCs w:val="21"/>
                    </w:rPr>
                  </w:pPr>
                </w:p>
              </w:tc>
            </w:tr>
          </w:tbl>
          <w:p w14:paraId="7A4A9321">
            <w:pPr>
              <w:adjustRightInd w:val="0"/>
              <w:snapToGrid w:val="0"/>
              <w:spacing w:before="120" w:beforeLines="50" w:line="360" w:lineRule="auto"/>
              <w:ind w:firstLine="482" w:firstLineChars="200"/>
              <w:rPr>
                <w:rFonts w:cs="宋体"/>
                <w:b/>
                <w:bCs/>
                <w:color w:val="auto"/>
                <w:kern w:val="0"/>
                <w:sz w:val="24"/>
              </w:rPr>
            </w:pPr>
            <w:r>
              <w:rPr>
                <w:rFonts w:hint="eastAsia" w:cs="宋体"/>
                <w:b/>
                <w:bCs/>
                <w:color w:val="auto"/>
                <w:kern w:val="0"/>
                <w:sz w:val="24"/>
              </w:rPr>
              <w:t>2、废水</w:t>
            </w:r>
          </w:p>
          <w:p w14:paraId="792065CF">
            <w:pPr>
              <w:pStyle w:val="42"/>
              <w:spacing w:line="360" w:lineRule="auto"/>
              <w:ind w:firstLine="480" w:firstLineChars="200"/>
              <w:jc w:val="both"/>
              <w:rPr>
                <w:rFonts w:hint="default" w:ascii="Times New Roman" w:hAnsi="Times New Roman"/>
                <w:color w:val="auto"/>
                <w:sz w:val="24"/>
              </w:rPr>
            </w:pPr>
            <w:r>
              <w:rPr>
                <w:rFonts w:ascii="Times New Roman" w:hAnsi="Times New Roman"/>
                <w:color w:val="auto"/>
                <w:sz w:val="24"/>
              </w:rPr>
              <w:t>运营期外排废水为</w:t>
            </w:r>
            <w:r>
              <w:rPr>
                <w:rFonts w:ascii="Times New Roman" w:hAnsi="Times New Roman"/>
                <w:color w:val="auto"/>
                <w:sz w:val="24"/>
                <w:lang w:val="zh-CN"/>
              </w:rPr>
              <w:t>生活污水</w:t>
            </w:r>
            <w:r>
              <w:rPr>
                <w:rFonts w:ascii="Times New Roman" w:hAnsi="Times New Roman"/>
                <w:color w:val="auto"/>
                <w:sz w:val="24"/>
              </w:rPr>
              <w:t>和清洗废水</w:t>
            </w:r>
            <w:r>
              <w:rPr>
                <w:rFonts w:ascii="Times New Roman" w:hAnsi="Times New Roman"/>
                <w:color w:val="auto"/>
                <w:sz w:val="24"/>
                <w:lang w:val="zh-CN"/>
              </w:rPr>
              <w:t>，生活污水</w:t>
            </w:r>
            <w:r>
              <w:rPr>
                <w:rFonts w:ascii="Times New Roman" w:hAnsi="Times New Roman"/>
                <w:color w:val="auto"/>
                <w:sz w:val="24"/>
              </w:rPr>
              <w:t>和清洗废水</w:t>
            </w:r>
            <w:r>
              <w:rPr>
                <w:rFonts w:ascii="Times New Roman" w:hAnsi="Times New Roman"/>
                <w:color w:val="auto"/>
                <w:sz w:val="24"/>
                <w:lang w:val="zh-CN"/>
              </w:rPr>
              <w:t>拟经</w:t>
            </w:r>
            <w:r>
              <w:rPr>
                <w:rFonts w:ascii="Times New Roman" w:hAnsi="Times New Roman"/>
                <w:color w:val="auto"/>
                <w:sz w:val="24"/>
              </w:rPr>
              <w:t>一期工程处理措施</w:t>
            </w:r>
            <w:r>
              <w:rPr>
                <w:rFonts w:ascii="Times New Roman" w:hAnsi="Times New Roman"/>
                <w:color w:val="auto"/>
                <w:sz w:val="24"/>
                <w:lang w:val="zh-CN"/>
              </w:rPr>
              <w:t>处理达到《电子工业水污染物排放标准》（GB39731-2020）</w:t>
            </w:r>
            <w:r>
              <w:rPr>
                <w:rFonts w:ascii="Times New Roman" w:hAnsi="Times New Roman"/>
                <w:color w:val="auto"/>
                <w:sz w:val="24"/>
              </w:rPr>
              <w:t>和</w:t>
            </w:r>
            <w:r>
              <w:rPr>
                <w:rFonts w:ascii="Times New Roman" w:hAnsi="Times New Roman"/>
                <w:color w:val="auto"/>
                <w:sz w:val="24"/>
                <w:lang w:val="zh-CN"/>
              </w:rPr>
              <w:t>赣州新能源科技城污水处理厂接管标准</w:t>
            </w:r>
            <w:r>
              <w:rPr>
                <w:rFonts w:ascii="Times New Roman" w:hAnsi="Times New Roman"/>
                <w:color w:val="auto"/>
                <w:sz w:val="24"/>
              </w:rPr>
              <w:t>中较严值</w:t>
            </w:r>
            <w:r>
              <w:rPr>
                <w:rFonts w:ascii="Times New Roman" w:hAnsi="Times New Roman"/>
                <w:color w:val="auto"/>
                <w:sz w:val="24"/>
                <w:lang w:val="zh-CN"/>
              </w:rPr>
              <w:t>，进入赣州新能源科技城污水处理厂集中处理后排入赣州市中心城区白塔污水处理厂处理，最终尾水</w:t>
            </w:r>
            <w:r>
              <w:rPr>
                <w:rFonts w:ascii="Times New Roman" w:hAnsi="Times New Roman"/>
                <w:color w:val="auto"/>
                <w:sz w:val="24"/>
              </w:rPr>
              <w:t>达《城镇污水处理厂污染物排放标准》（GB18918-2002）中一级A标准</w:t>
            </w:r>
            <w:r>
              <w:rPr>
                <w:rFonts w:ascii="Times New Roman" w:hAnsi="Times New Roman"/>
                <w:color w:val="auto"/>
                <w:sz w:val="24"/>
                <w:lang w:val="zh-CN"/>
              </w:rPr>
              <w:t>排入赣江。</w:t>
            </w:r>
          </w:p>
          <w:p w14:paraId="18511701">
            <w:pPr>
              <w:jc w:val="center"/>
              <w:rPr>
                <w:b/>
                <w:bCs/>
                <w:color w:val="auto"/>
                <w:spacing w:val="6"/>
                <w:sz w:val="24"/>
              </w:rPr>
            </w:pPr>
            <w:r>
              <w:rPr>
                <w:rFonts w:hint="eastAsia"/>
                <w:b/>
                <w:bCs/>
                <w:color w:val="auto"/>
                <w:spacing w:val="6"/>
                <w:sz w:val="24"/>
              </w:rPr>
              <w:t>表3-7废水排放标准（单位：mg/L，pH无量纲）</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0"/>
              <w:gridCol w:w="922"/>
              <w:gridCol w:w="1750"/>
              <w:gridCol w:w="1428"/>
              <w:gridCol w:w="1427"/>
              <w:gridCol w:w="2303"/>
            </w:tblGrid>
            <w:tr w14:paraId="74B7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360" w:type="dxa"/>
                  <w:vAlign w:val="center"/>
                </w:tcPr>
                <w:p w14:paraId="2A6EA252">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rPr>
                  </w:pPr>
                  <w:r>
                    <w:rPr>
                      <w:rFonts w:ascii="Times New Roman"/>
                      <w:b/>
                      <w:color w:val="auto"/>
                      <w:spacing w:val="0"/>
                      <w:kern w:val="0"/>
                      <w:position w:val="0"/>
                      <w:sz w:val="21"/>
                      <w:szCs w:val="21"/>
                    </w:rPr>
                    <w:t>序号</w:t>
                  </w:r>
                </w:p>
              </w:tc>
              <w:tc>
                <w:tcPr>
                  <w:tcW w:w="922" w:type="dxa"/>
                  <w:vAlign w:val="center"/>
                </w:tcPr>
                <w:p w14:paraId="6D6AFBA0">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rPr>
                  </w:pPr>
                  <w:r>
                    <w:rPr>
                      <w:rFonts w:ascii="Times New Roman"/>
                      <w:b/>
                      <w:color w:val="auto"/>
                      <w:spacing w:val="0"/>
                      <w:kern w:val="0"/>
                      <w:position w:val="0"/>
                      <w:sz w:val="21"/>
                      <w:szCs w:val="21"/>
                    </w:rPr>
                    <w:t>污染物</w:t>
                  </w:r>
                </w:p>
              </w:tc>
              <w:tc>
                <w:tcPr>
                  <w:tcW w:w="1750" w:type="dxa"/>
                  <w:vAlign w:val="center"/>
                </w:tcPr>
                <w:p w14:paraId="56D92D47">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lang w:val="zh-CN"/>
                    </w:rPr>
                  </w:pPr>
                  <w:r>
                    <w:rPr>
                      <w:rFonts w:hint="eastAsia" w:ascii="Times New Roman"/>
                      <w:b/>
                      <w:color w:val="auto"/>
                      <w:spacing w:val="0"/>
                      <w:kern w:val="0"/>
                      <w:position w:val="0"/>
                      <w:sz w:val="21"/>
                      <w:szCs w:val="21"/>
                      <w:lang w:val="zh-CN"/>
                    </w:rPr>
                    <w:t>《电子工业水污染物排放标准》</w:t>
                  </w:r>
                </w:p>
                <w:p w14:paraId="19F12654">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lang w:val="zh-CN"/>
                    </w:rPr>
                  </w:pPr>
                  <w:r>
                    <w:rPr>
                      <w:rFonts w:hint="eastAsia" w:ascii="Times New Roman"/>
                      <w:b/>
                      <w:color w:val="auto"/>
                      <w:spacing w:val="0"/>
                      <w:kern w:val="0"/>
                      <w:position w:val="0"/>
                      <w:sz w:val="21"/>
                      <w:szCs w:val="21"/>
                      <w:lang w:val="zh-CN"/>
                    </w:rPr>
                    <w:t>（GB39731-2020）</w:t>
                  </w:r>
                </w:p>
              </w:tc>
              <w:tc>
                <w:tcPr>
                  <w:tcW w:w="1428" w:type="dxa"/>
                  <w:vAlign w:val="center"/>
                </w:tcPr>
                <w:p w14:paraId="02B651C8">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rPr>
                  </w:pPr>
                  <w:r>
                    <w:rPr>
                      <w:rFonts w:hint="eastAsia" w:ascii="Times New Roman"/>
                      <w:b/>
                      <w:color w:val="auto"/>
                      <w:spacing w:val="0"/>
                      <w:kern w:val="0"/>
                      <w:position w:val="0"/>
                      <w:sz w:val="21"/>
                      <w:szCs w:val="21"/>
                      <w:lang w:val="zh-CN"/>
                    </w:rPr>
                    <w:t>赣州新能源科技城污水处理厂</w:t>
                  </w:r>
                  <w:r>
                    <w:rPr>
                      <w:rFonts w:hint="eastAsia" w:ascii="Times New Roman"/>
                      <w:b/>
                      <w:color w:val="auto"/>
                      <w:spacing w:val="0"/>
                      <w:kern w:val="0"/>
                      <w:position w:val="0"/>
                      <w:sz w:val="21"/>
                      <w:szCs w:val="21"/>
                    </w:rPr>
                    <w:t>接管标准</w:t>
                  </w:r>
                </w:p>
              </w:tc>
              <w:tc>
                <w:tcPr>
                  <w:tcW w:w="1427" w:type="dxa"/>
                  <w:vAlign w:val="center"/>
                </w:tcPr>
                <w:p w14:paraId="58F0E177">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rPr>
                  </w:pPr>
                  <w:r>
                    <w:rPr>
                      <w:rFonts w:hint="eastAsia" w:ascii="Times New Roman"/>
                      <w:b/>
                      <w:color w:val="auto"/>
                      <w:spacing w:val="0"/>
                      <w:kern w:val="0"/>
                      <w:position w:val="0"/>
                      <w:sz w:val="21"/>
                      <w:szCs w:val="21"/>
                    </w:rPr>
                    <w:t>项目执行标准</w:t>
                  </w:r>
                </w:p>
              </w:tc>
              <w:tc>
                <w:tcPr>
                  <w:tcW w:w="2303" w:type="dxa"/>
                  <w:vAlign w:val="center"/>
                </w:tcPr>
                <w:p w14:paraId="77A5AFCA">
                  <w:pPr>
                    <w:pStyle w:val="84"/>
                    <w:widowControl w:val="0"/>
                    <w:adjustRightInd/>
                    <w:spacing w:before="0" w:beforeLines="0" w:after="0" w:afterLines="0" w:line="240" w:lineRule="auto"/>
                    <w:ind w:firstLine="0" w:firstLineChars="0"/>
                    <w:jc w:val="center"/>
                    <w:rPr>
                      <w:rFonts w:ascii="Times New Roman"/>
                      <w:b/>
                      <w:color w:val="auto"/>
                      <w:spacing w:val="0"/>
                      <w:kern w:val="0"/>
                      <w:position w:val="0"/>
                      <w:sz w:val="21"/>
                      <w:szCs w:val="21"/>
                    </w:rPr>
                  </w:pPr>
                  <w:r>
                    <w:rPr>
                      <w:rFonts w:hint="eastAsia" w:ascii="Times New Roman"/>
                      <w:b/>
                      <w:color w:val="auto"/>
                      <w:spacing w:val="0"/>
                      <w:kern w:val="0"/>
                      <w:position w:val="0"/>
                      <w:sz w:val="21"/>
                      <w:szCs w:val="21"/>
                    </w:rPr>
                    <w:t>《城镇污水处理厂污染物排放标准》（GB18918-2002）一级A标准</w:t>
                  </w:r>
                </w:p>
              </w:tc>
            </w:tr>
            <w:tr w14:paraId="6B99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0BB3AEF3">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1</w:t>
                  </w:r>
                </w:p>
              </w:tc>
              <w:tc>
                <w:tcPr>
                  <w:tcW w:w="922" w:type="dxa"/>
                  <w:vAlign w:val="center"/>
                </w:tcPr>
                <w:p w14:paraId="7B3E43F4">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pH值（无量纲）</w:t>
                  </w:r>
                </w:p>
              </w:tc>
              <w:tc>
                <w:tcPr>
                  <w:tcW w:w="1750" w:type="dxa"/>
                  <w:vAlign w:val="center"/>
                </w:tcPr>
                <w:p w14:paraId="21CE30DC">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6~9</w:t>
                  </w:r>
                </w:p>
              </w:tc>
              <w:tc>
                <w:tcPr>
                  <w:tcW w:w="1428" w:type="dxa"/>
                  <w:vAlign w:val="center"/>
                </w:tcPr>
                <w:p w14:paraId="583E0092">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6~9</w:t>
                  </w:r>
                </w:p>
              </w:tc>
              <w:tc>
                <w:tcPr>
                  <w:tcW w:w="1427" w:type="dxa"/>
                  <w:vAlign w:val="center"/>
                </w:tcPr>
                <w:p w14:paraId="6051D0BC">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6~9</w:t>
                  </w:r>
                </w:p>
              </w:tc>
              <w:tc>
                <w:tcPr>
                  <w:tcW w:w="2303" w:type="dxa"/>
                  <w:vAlign w:val="center"/>
                </w:tcPr>
                <w:p w14:paraId="421DB9C7">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6~9</w:t>
                  </w:r>
                </w:p>
              </w:tc>
            </w:tr>
            <w:tr w14:paraId="5D20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34C8BEB9">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2</w:t>
                  </w:r>
                </w:p>
              </w:tc>
              <w:tc>
                <w:tcPr>
                  <w:tcW w:w="922" w:type="dxa"/>
                  <w:vAlign w:val="center"/>
                </w:tcPr>
                <w:p w14:paraId="52F09BA8">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化学需氧量</w:t>
                  </w:r>
                </w:p>
              </w:tc>
              <w:tc>
                <w:tcPr>
                  <w:tcW w:w="1750" w:type="dxa"/>
                  <w:vAlign w:val="center"/>
                </w:tcPr>
                <w:p w14:paraId="583ADDB3">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500</w:t>
                  </w:r>
                </w:p>
              </w:tc>
              <w:tc>
                <w:tcPr>
                  <w:tcW w:w="1428" w:type="dxa"/>
                  <w:vAlign w:val="center"/>
                </w:tcPr>
                <w:p w14:paraId="14CC871A">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500</w:t>
                  </w:r>
                </w:p>
              </w:tc>
              <w:tc>
                <w:tcPr>
                  <w:tcW w:w="1427" w:type="dxa"/>
                  <w:vAlign w:val="center"/>
                </w:tcPr>
                <w:p w14:paraId="6C8E52B4">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500</w:t>
                  </w:r>
                </w:p>
              </w:tc>
              <w:tc>
                <w:tcPr>
                  <w:tcW w:w="2303" w:type="dxa"/>
                  <w:vAlign w:val="center"/>
                </w:tcPr>
                <w:p w14:paraId="7F184E64">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50</w:t>
                  </w:r>
                </w:p>
              </w:tc>
            </w:tr>
            <w:tr w14:paraId="2B74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14093C4D">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3</w:t>
                  </w:r>
                </w:p>
              </w:tc>
              <w:tc>
                <w:tcPr>
                  <w:tcW w:w="922" w:type="dxa"/>
                  <w:vAlign w:val="center"/>
                </w:tcPr>
                <w:p w14:paraId="0084BAB7">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五日生化需氧量</w:t>
                  </w:r>
                </w:p>
              </w:tc>
              <w:tc>
                <w:tcPr>
                  <w:tcW w:w="1750" w:type="dxa"/>
                  <w:vAlign w:val="center"/>
                </w:tcPr>
                <w:p w14:paraId="0508882B">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w:t>
                  </w:r>
                </w:p>
              </w:tc>
              <w:tc>
                <w:tcPr>
                  <w:tcW w:w="1428" w:type="dxa"/>
                  <w:vAlign w:val="center"/>
                </w:tcPr>
                <w:p w14:paraId="2F87E3AE">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300</w:t>
                  </w:r>
                </w:p>
              </w:tc>
              <w:tc>
                <w:tcPr>
                  <w:tcW w:w="1427" w:type="dxa"/>
                  <w:vAlign w:val="center"/>
                </w:tcPr>
                <w:p w14:paraId="19145939">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ascii="Times New Roman"/>
                      <w:bCs/>
                      <w:color w:val="auto"/>
                      <w:spacing w:val="0"/>
                      <w:kern w:val="0"/>
                      <w:position w:val="0"/>
                      <w:sz w:val="21"/>
                      <w:szCs w:val="21"/>
                    </w:rPr>
                    <w:t>300</w:t>
                  </w:r>
                </w:p>
              </w:tc>
              <w:tc>
                <w:tcPr>
                  <w:tcW w:w="2303" w:type="dxa"/>
                  <w:vAlign w:val="center"/>
                </w:tcPr>
                <w:p w14:paraId="2442A8A8">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10</w:t>
                  </w:r>
                </w:p>
              </w:tc>
            </w:tr>
            <w:tr w14:paraId="7C1F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60" w:type="dxa"/>
                  <w:vAlign w:val="center"/>
                </w:tcPr>
                <w:p w14:paraId="6F60CB4A">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4</w:t>
                  </w:r>
                </w:p>
              </w:tc>
              <w:tc>
                <w:tcPr>
                  <w:tcW w:w="922" w:type="dxa"/>
                  <w:vAlign w:val="center"/>
                </w:tcPr>
                <w:p w14:paraId="75B98947">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悬浮物</w:t>
                  </w:r>
                </w:p>
              </w:tc>
              <w:tc>
                <w:tcPr>
                  <w:tcW w:w="1750" w:type="dxa"/>
                  <w:vAlign w:val="center"/>
                </w:tcPr>
                <w:p w14:paraId="283EE407">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400</w:t>
                  </w:r>
                </w:p>
              </w:tc>
              <w:tc>
                <w:tcPr>
                  <w:tcW w:w="1428" w:type="dxa"/>
                  <w:vAlign w:val="center"/>
                </w:tcPr>
                <w:p w14:paraId="2D3FA378">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hint="eastAsia" w:ascii="Times New Roman"/>
                      <w:bCs/>
                      <w:color w:val="auto"/>
                      <w:spacing w:val="0"/>
                      <w:kern w:val="0"/>
                      <w:position w:val="0"/>
                      <w:sz w:val="21"/>
                      <w:szCs w:val="21"/>
                    </w:rPr>
                    <w:t>300</w:t>
                  </w:r>
                </w:p>
              </w:tc>
              <w:tc>
                <w:tcPr>
                  <w:tcW w:w="1427" w:type="dxa"/>
                  <w:vAlign w:val="center"/>
                </w:tcPr>
                <w:p w14:paraId="30865C7F">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300</w:t>
                  </w:r>
                </w:p>
              </w:tc>
              <w:tc>
                <w:tcPr>
                  <w:tcW w:w="2303" w:type="dxa"/>
                  <w:vAlign w:val="center"/>
                </w:tcPr>
                <w:p w14:paraId="5BE00719">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10</w:t>
                  </w:r>
                </w:p>
              </w:tc>
            </w:tr>
            <w:tr w14:paraId="3C80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0CC8815B">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color w:val="auto"/>
                      <w:spacing w:val="0"/>
                      <w:kern w:val="0"/>
                      <w:position w:val="0"/>
                      <w:sz w:val="21"/>
                      <w:szCs w:val="21"/>
                    </w:rPr>
                    <w:t>5</w:t>
                  </w:r>
                </w:p>
              </w:tc>
              <w:tc>
                <w:tcPr>
                  <w:tcW w:w="922" w:type="dxa"/>
                  <w:vAlign w:val="center"/>
                </w:tcPr>
                <w:p w14:paraId="0CF2CCF7">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氨氮</w:t>
                  </w:r>
                </w:p>
              </w:tc>
              <w:tc>
                <w:tcPr>
                  <w:tcW w:w="1750" w:type="dxa"/>
                  <w:vAlign w:val="center"/>
                </w:tcPr>
                <w:p w14:paraId="192F5AF4">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45</w:t>
                  </w:r>
                </w:p>
              </w:tc>
              <w:tc>
                <w:tcPr>
                  <w:tcW w:w="1428" w:type="dxa"/>
                  <w:vAlign w:val="center"/>
                </w:tcPr>
                <w:p w14:paraId="0E567486">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hint="eastAsia" w:ascii="Times New Roman"/>
                      <w:bCs/>
                      <w:color w:val="auto"/>
                      <w:spacing w:val="0"/>
                      <w:kern w:val="0"/>
                      <w:position w:val="0"/>
                      <w:sz w:val="21"/>
                      <w:szCs w:val="21"/>
                    </w:rPr>
                    <w:t>45</w:t>
                  </w:r>
                </w:p>
              </w:tc>
              <w:tc>
                <w:tcPr>
                  <w:tcW w:w="1427" w:type="dxa"/>
                  <w:vAlign w:val="center"/>
                </w:tcPr>
                <w:p w14:paraId="27F7B22C">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45</w:t>
                  </w:r>
                </w:p>
              </w:tc>
              <w:tc>
                <w:tcPr>
                  <w:tcW w:w="2303" w:type="dxa"/>
                  <w:vAlign w:val="center"/>
                </w:tcPr>
                <w:p w14:paraId="5DD735E2">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5</w:t>
                  </w:r>
                </w:p>
              </w:tc>
            </w:tr>
            <w:tr w14:paraId="659A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009E5065">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hint="eastAsia" w:ascii="Times New Roman"/>
                      <w:color w:val="auto"/>
                      <w:spacing w:val="0"/>
                      <w:kern w:val="0"/>
                      <w:position w:val="0"/>
                      <w:sz w:val="21"/>
                      <w:szCs w:val="21"/>
                    </w:rPr>
                    <w:t>6</w:t>
                  </w:r>
                </w:p>
              </w:tc>
              <w:tc>
                <w:tcPr>
                  <w:tcW w:w="922" w:type="dxa"/>
                  <w:vAlign w:val="center"/>
                </w:tcPr>
                <w:p w14:paraId="5C1A697E">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石油类</w:t>
                  </w:r>
                </w:p>
              </w:tc>
              <w:tc>
                <w:tcPr>
                  <w:tcW w:w="1750" w:type="dxa"/>
                  <w:vAlign w:val="center"/>
                </w:tcPr>
                <w:p w14:paraId="04CFFF88">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20</w:t>
                  </w:r>
                </w:p>
              </w:tc>
              <w:tc>
                <w:tcPr>
                  <w:tcW w:w="1428" w:type="dxa"/>
                  <w:vAlign w:val="center"/>
                </w:tcPr>
                <w:p w14:paraId="0C49DEF5">
                  <w:pPr>
                    <w:pStyle w:val="84"/>
                    <w:widowControl w:val="0"/>
                    <w:adjustRightInd/>
                    <w:spacing w:before="0" w:beforeLines="0" w:after="0" w:afterLines="0" w:line="240" w:lineRule="auto"/>
                    <w:ind w:firstLine="0" w:firstLineChars="0"/>
                    <w:jc w:val="center"/>
                    <w:rPr>
                      <w:rFonts w:hint="default" w:ascii="Times New Roman" w:eastAsia="宋体"/>
                      <w:bCs/>
                      <w:color w:val="auto"/>
                      <w:spacing w:val="0"/>
                      <w:kern w:val="0"/>
                      <w:position w:val="0"/>
                      <w:sz w:val="21"/>
                      <w:szCs w:val="21"/>
                      <w:lang w:val="en-US" w:eastAsia="zh-CN"/>
                    </w:rPr>
                  </w:pPr>
                  <w:r>
                    <w:rPr>
                      <w:rFonts w:hint="eastAsia" w:ascii="Times New Roman"/>
                      <w:bCs/>
                      <w:color w:val="auto"/>
                      <w:spacing w:val="0"/>
                      <w:kern w:val="0"/>
                      <w:position w:val="0"/>
                      <w:sz w:val="21"/>
                      <w:szCs w:val="21"/>
                      <w:lang w:val="en-US" w:eastAsia="zh-CN"/>
                    </w:rPr>
                    <w:t>3.0</w:t>
                  </w:r>
                </w:p>
              </w:tc>
              <w:tc>
                <w:tcPr>
                  <w:tcW w:w="1427" w:type="dxa"/>
                  <w:vAlign w:val="center"/>
                </w:tcPr>
                <w:p w14:paraId="574B5814">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lang w:val="en-US" w:eastAsia="zh-CN"/>
                    </w:rPr>
                    <w:t>3.0</w:t>
                  </w:r>
                </w:p>
              </w:tc>
              <w:tc>
                <w:tcPr>
                  <w:tcW w:w="2303" w:type="dxa"/>
                  <w:vAlign w:val="center"/>
                </w:tcPr>
                <w:p w14:paraId="7F1C60B4">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1</w:t>
                  </w:r>
                </w:p>
              </w:tc>
            </w:tr>
            <w:tr w14:paraId="4EBE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61E97CD9">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hint="eastAsia" w:ascii="Times New Roman"/>
                      <w:color w:val="auto"/>
                      <w:spacing w:val="0"/>
                      <w:kern w:val="0"/>
                      <w:position w:val="0"/>
                      <w:sz w:val="21"/>
                      <w:szCs w:val="21"/>
                    </w:rPr>
                    <w:t>7</w:t>
                  </w:r>
                </w:p>
              </w:tc>
              <w:tc>
                <w:tcPr>
                  <w:tcW w:w="922" w:type="dxa"/>
                  <w:vAlign w:val="center"/>
                </w:tcPr>
                <w:p w14:paraId="3A052A78">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总氮</w:t>
                  </w:r>
                </w:p>
              </w:tc>
              <w:tc>
                <w:tcPr>
                  <w:tcW w:w="1750" w:type="dxa"/>
                  <w:vAlign w:val="center"/>
                </w:tcPr>
                <w:p w14:paraId="3186AAA6">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70</w:t>
                  </w:r>
                </w:p>
              </w:tc>
              <w:tc>
                <w:tcPr>
                  <w:tcW w:w="1428" w:type="dxa"/>
                  <w:vAlign w:val="center"/>
                </w:tcPr>
                <w:p w14:paraId="2137BCFC">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70</w:t>
                  </w:r>
                </w:p>
              </w:tc>
              <w:tc>
                <w:tcPr>
                  <w:tcW w:w="1427" w:type="dxa"/>
                  <w:vAlign w:val="center"/>
                </w:tcPr>
                <w:p w14:paraId="4B7A61A2">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70</w:t>
                  </w:r>
                </w:p>
              </w:tc>
              <w:tc>
                <w:tcPr>
                  <w:tcW w:w="2303" w:type="dxa"/>
                  <w:vAlign w:val="center"/>
                </w:tcPr>
                <w:p w14:paraId="13D11299">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15</w:t>
                  </w:r>
                </w:p>
              </w:tc>
            </w:tr>
            <w:tr w14:paraId="3B52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60" w:type="dxa"/>
                  <w:vAlign w:val="center"/>
                </w:tcPr>
                <w:p w14:paraId="266ABBFF">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hint="eastAsia" w:ascii="Times New Roman"/>
                      <w:color w:val="auto"/>
                      <w:spacing w:val="0"/>
                      <w:kern w:val="0"/>
                      <w:position w:val="0"/>
                      <w:sz w:val="21"/>
                      <w:szCs w:val="21"/>
                    </w:rPr>
                    <w:t>8</w:t>
                  </w:r>
                </w:p>
              </w:tc>
              <w:tc>
                <w:tcPr>
                  <w:tcW w:w="922" w:type="dxa"/>
                  <w:vAlign w:val="center"/>
                </w:tcPr>
                <w:p w14:paraId="50C1C9D7">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LAS</w:t>
                  </w:r>
                </w:p>
              </w:tc>
              <w:tc>
                <w:tcPr>
                  <w:tcW w:w="1750" w:type="dxa"/>
                  <w:vAlign w:val="center"/>
                </w:tcPr>
                <w:p w14:paraId="54908A12">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20</w:t>
                  </w:r>
                </w:p>
              </w:tc>
              <w:tc>
                <w:tcPr>
                  <w:tcW w:w="1428" w:type="dxa"/>
                  <w:vAlign w:val="center"/>
                </w:tcPr>
                <w:p w14:paraId="2ED234F2">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20</w:t>
                  </w:r>
                </w:p>
              </w:tc>
              <w:tc>
                <w:tcPr>
                  <w:tcW w:w="1427" w:type="dxa"/>
                  <w:vAlign w:val="center"/>
                </w:tcPr>
                <w:p w14:paraId="072BE483">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20</w:t>
                  </w:r>
                </w:p>
              </w:tc>
              <w:tc>
                <w:tcPr>
                  <w:tcW w:w="2303" w:type="dxa"/>
                  <w:vAlign w:val="center"/>
                </w:tcPr>
                <w:p w14:paraId="7BF840EC">
                  <w:pPr>
                    <w:pStyle w:val="84"/>
                    <w:widowControl w:val="0"/>
                    <w:adjustRightInd/>
                    <w:spacing w:before="0" w:beforeLines="0" w:after="0" w:afterLines="0" w:line="240" w:lineRule="auto"/>
                    <w:ind w:firstLine="0" w:firstLineChars="0"/>
                    <w:jc w:val="center"/>
                    <w:rPr>
                      <w:rFonts w:ascii="Times New Roman"/>
                      <w:bCs/>
                      <w:color w:val="auto"/>
                      <w:spacing w:val="0"/>
                      <w:kern w:val="0"/>
                      <w:position w:val="0"/>
                      <w:sz w:val="21"/>
                      <w:szCs w:val="21"/>
                    </w:rPr>
                  </w:pPr>
                  <w:r>
                    <w:rPr>
                      <w:rFonts w:hint="eastAsia" w:ascii="Times New Roman"/>
                      <w:bCs/>
                      <w:color w:val="auto"/>
                      <w:spacing w:val="0"/>
                      <w:kern w:val="0"/>
                      <w:position w:val="0"/>
                      <w:sz w:val="21"/>
                      <w:szCs w:val="21"/>
                    </w:rPr>
                    <w:t>0.5</w:t>
                  </w:r>
                </w:p>
              </w:tc>
            </w:tr>
          </w:tbl>
          <w:p w14:paraId="45BBE75A">
            <w:pPr>
              <w:spacing w:before="120" w:beforeLines="50" w:line="360" w:lineRule="auto"/>
              <w:ind w:firstLine="482" w:firstLineChars="200"/>
              <w:rPr>
                <w:b/>
                <w:bCs/>
                <w:color w:val="auto"/>
                <w:sz w:val="24"/>
              </w:rPr>
            </w:pPr>
            <w:r>
              <w:rPr>
                <w:rFonts w:hint="eastAsia"/>
                <w:b/>
                <w:bCs/>
                <w:color w:val="auto"/>
                <w:sz w:val="24"/>
              </w:rPr>
              <w:t>3、噪声</w:t>
            </w:r>
          </w:p>
          <w:p w14:paraId="7026C2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施工期噪声排放执行《建筑施工场界环境噪声排放标准》（GB 12523-2011），</w:t>
            </w:r>
          </w:p>
          <w:p w14:paraId="5250059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4"/>
                <w:lang w:val="en-US" w:eastAsia="zh-CN"/>
              </w:rPr>
            </w:pPr>
            <w:r>
              <w:rPr>
                <w:rFonts w:hint="eastAsia"/>
                <w:color w:val="auto"/>
                <w:sz w:val="24"/>
              </w:rPr>
              <w:t>标准值详见表</w:t>
            </w:r>
            <w:r>
              <w:rPr>
                <w:rFonts w:hint="eastAsia"/>
                <w:color w:val="auto"/>
                <w:sz w:val="24"/>
                <w:lang w:val="en-US" w:eastAsia="zh-CN"/>
              </w:rPr>
              <w:t>3-8。</w:t>
            </w:r>
          </w:p>
          <w:p w14:paraId="1A60C1EF">
            <w:pPr>
              <w:spacing w:line="240" w:lineRule="auto"/>
              <w:jc w:val="center"/>
              <w:rPr>
                <w:b/>
                <w:bCs/>
                <w:color w:val="auto"/>
                <w:sz w:val="24"/>
              </w:rPr>
            </w:pPr>
            <w:r>
              <w:rPr>
                <w:rFonts w:hint="eastAsia"/>
                <w:b/>
                <w:bCs/>
                <w:color w:val="auto"/>
                <w:sz w:val="24"/>
              </w:rPr>
              <w:t>表</w:t>
            </w:r>
            <w:r>
              <w:rPr>
                <w:rFonts w:hint="eastAsia"/>
                <w:b/>
                <w:bCs/>
                <w:color w:val="auto"/>
                <w:sz w:val="24"/>
                <w:lang w:val="en-US" w:eastAsia="zh-CN"/>
              </w:rPr>
              <w:t>3-8</w:t>
            </w:r>
            <w:r>
              <w:rPr>
                <w:rFonts w:hint="eastAsia"/>
                <w:b/>
                <w:bCs/>
                <w:color w:val="auto"/>
                <w:sz w:val="24"/>
              </w:rPr>
              <w:t>建筑施工场界环境噪声排放标准 单位：dB(A)</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4193"/>
            </w:tblGrid>
            <w:tr w14:paraId="6DDF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98" w:type="pct"/>
                  <w:vAlign w:val="center"/>
                </w:tcPr>
                <w:p w14:paraId="245AE708">
                  <w:pPr>
                    <w:pStyle w:val="63"/>
                    <w:rPr>
                      <w:b/>
                      <w:bCs/>
                      <w:color w:val="auto"/>
                    </w:rPr>
                  </w:pPr>
                  <w:r>
                    <w:rPr>
                      <w:b/>
                      <w:bCs/>
                      <w:color w:val="auto"/>
                    </w:rPr>
                    <w:t>昼间</w:t>
                  </w:r>
                </w:p>
              </w:tc>
              <w:tc>
                <w:tcPr>
                  <w:tcW w:w="2501" w:type="pct"/>
                  <w:vAlign w:val="center"/>
                </w:tcPr>
                <w:p w14:paraId="52BD03A3">
                  <w:pPr>
                    <w:pStyle w:val="63"/>
                    <w:rPr>
                      <w:b/>
                      <w:bCs/>
                      <w:color w:val="auto"/>
                    </w:rPr>
                  </w:pPr>
                  <w:r>
                    <w:rPr>
                      <w:b/>
                      <w:bCs/>
                      <w:color w:val="auto"/>
                    </w:rPr>
                    <w:t>夜间</w:t>
                  </w:r>
                </w:p>
              </w:tc>
            </w:tr>
            <w:tr w14:paraId="05CC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498" w:type="pct"/>
                  <w:vAlign w:val="center"/>
                </w:tcPr>
                <w:p w14:paraId="6F87DA6F">
                  <w:pPr>
                    <w:pStyle w:val="63"/>
                    <w:rPr>
                      <w:rFonts w:hint="default" w:eastAsia="宋体"/>
                      <w:color w:val="auto"/>
                      <w:lang w:val="en-US" w:eastAsia="zh-CN"/>
                    </w:rPr>
                  </w:pPr>
                  <w:r>
                    <w:rPr>
                      <w:rFonts w:hint="eastAsia"/>
                      <w:color w:val="auto"/>
                      <w:lang w:val="en-US" w:eastAsia="zh-CN"/>
                    </w:rPr>
                    <w:t>70</w:t>
                  </w:r>
                </w:p>
              </w:tc>
              <w:tc>
                <w:tcPr>
                  <w:tcW w:w="2501" w:type="pct"/>
                  <w:vAlign w:val="center"/>
                </w:tcPr>
                <w:p w14:paraId="704212B8">
                  <w:pPr>
                    <w:pStyle w:val="63"/>
                    <w:rPr>
                      <w:color w:val="auto"/>
                    </w:rPr>
                  </w:pPr>
                  <w:r>
                    <w:rPr>
                      <w:color w:val="auto"/>
                    </w:rPr>
                    <w:t>5</w:t>
                  </w:r>
                  <w:r>
                    <w:rPr>
                      <w:rFonts w:hint="eastAsia"/>
                      <w:color w:val="auto"/>
                    </w:rPr>
                    <w:t>5</w:t>
                  </w:r>
                </w:p>
              </w:tc>
            </w:tr>
          </w:tbl>
          <w:p w14:paraId="2601CC8E">
            <w:pPr>
              <w:spacing w:line="360" w:lineRule="auto"/>
              <w:ind w:firstLine="480" w:firstLineChars="200"/>
              <w:rPr>
                <w:color w:val="auto"/>
                <w:sz w:val="24"/>
              </w:rPr>
            </w:pPr>
            <w:r>
              <w:rPr>
                <w:color w:val="auto"/>
                <w:sz w:val="24"/>
              </w:rPr>
              <w:t>项目厂界</w:t>
            </w:r>
            <w:r>
              <w:rPr>
                <w:rFonts w:hint="eastAsia"/>
                <w:color w:val="auto"/>
                <w:sz w:val="24"/>
                <w:lang w:val="en-US" w:eastAsia="zh-CN"/>
              </w:rPr>
              <w:t>运营期</w:t>
            </w:r>
            <w:r>
              <w:rPr>
                <w:color w:val="auto"/>
                <w:sz w:val="24"/>
              </w:rPr>
              <w:t>噪声执行《工业企业厂界环境噪声排放标准》（GB12348-2008）中</w:t>
            </w:r>
            <w:r>
              <w:rPr>
                <w:rFonts w:hint="eastAsia"/>
                <w:color w:val="auto"/>
                <w:sz w:val="24"/>
              </w:rPr>
              <w:t>3</w:t>
            </w:r>
            <w:r>
              <w:rPr>
                <w:color w:val="auto"/>
                <w:sz w:val="24"/>
              </w:rPr>
              <w:t>类标准</w:t>
            </w:r>
            <w:r>
              <w:rPr>
                <w:rFonts w:hint="eastAsia"/>
                <w:color w:val="auto"/>
                <w:sz w:val="24"/>
              </w:rPr>
              <w:t>。</w:t>
            </w:r>
          </w:p>
          <w:p w14:paraId="47C5E8FB">
            <w:pPr>
              <w:pStyle w:val="62"/>
              <w:rPr>
                <w:rFonts w:hint="default"/>
                <w:color w:val="auto"/>
              </w:rPr>
            </w:pPr>
            <w:r>
              <w:rPr>
                <w:color w:val="auto"/>
              </w:rPr>
              <w:t>表3-</w:t>
            </w:r>
            <w:r>
              <w:rPr>
                <w:rFonts w:hint="eastAsia"/>
                <w:color w:val="auto"/>
                <w:lang w:val="en-US" w:eastAsia="zh-CN"/>
              </w:rPr>
              <w:t>9</w:t>
            </w:r>
            <w:r>
              <w:rPr>
                <w:color w:val="auto"/>
              </w:rPr>
              <w:t>厂界噪声排放标准单位：dB（A）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793"/>
              <w:gridCol w:w="2795"/>
            </w:tblGrid>
            <w:tr w14:paraId="7B6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666" w:type="pct"/>
                  <w:vAlign w:val="center"/>
                </w:tcPr>
                <w:p w14:paraId="33691C88">
                  <w:pPr>
                    <w:pStyle w:val="63"/>
                    <w:rPr>
                      <w:b/>
                      <w:bCs/>
                      <w:color w:val="auto"/>
                    </w:rPr>
                  </w:pPr>
                  <w:r>
                    <w:rPr>
                      <w:b/>
                      <w:bCs/>
                      <w:color w:val="auto"/>
                    </w:rPr>
                    <w:t>厂界外声环境功能区类别</w:t>
                  </w:r>
                </w:p>
              </w:tc>
              <w:tc>
                <w:tcPr>
                  <w:tcW w:w="1666" w:type="pct"/>
                  <w:vAlign w:val="center"/>
                </w:tcPr>
                <w:p w14:paraId="17DBC431">
                  <w:pPr>
                    <w:pStyle w:val="63"/>
                    <w:rPr>
                      <w:b/>
                      <w:bCs/>
                      <w:color w:val="auto"/>
                    </w:rPr>
                  </w:pPr>
                  <w:r>
                    <w:rPr>
                      <w:b/>
                      <w:bCs/>
                      <w:color w:val="auto"/>
                    </w:rPr>
                    <w:t>昼间</w:t>
                  </w:r>
                </w:p>
              </w:tc>
              <w:tc>
                <w:tcPr>
                  <w:tcW w:w="1667" w:type="pct"/>
                  <w:vAlign w:val="center"/>
                </w:tcPr>
                <w:p w14:paraId="4B28079F">
                  <w:pPr>
                    <w:pStyle w:val="63"/>
                    <w:rPr>
                      <w:b/>
                      <w:bCs/>
                      <w:color w:val="auto"/>
                    </w:rPr>
                  </w:pPr>
                  <w:r>
                    <w:rPr>
                      <w:b/>
                      <w:bCs/>
                      <w:color w:val="auto"/>
                    </w:rPr>
                    <w:t>夜间</w:t>
                  </w:r>
                </w:p>
              </w:tc>
            </w:tr>
            <w:tr w14:paraId="3691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14:paraId="7421423B">
                  <w:pPr>
                    <w:pStyle w:val="63"/>
                    <w:rPr>
                      <w:b/>
                      <w:bCs/>
                      <w:color w:val="auto"/>
                    </w:rPr>
                  </w:pPr>
                  <w:r>
                    <w:rPr>
                      <w:rFonts w:hint="eastAsia"/>
                      <w:color w:val="auto"/>
                    </w:rPr>
                    <w:t>3</w:t>
                  </w:r>
                  <w:r>
                    <w:rPr>
                      <w:color w:val="auto"/>
                    </w:rPr>
                    <w:t>类</w:t>
                  </w:r>
                </w:p>
              </w:tc>
              <w:tc>
                <w:tcPr>
                  <w:tcW w:w="1666" w:type="pct"/>
                  <w:vAlign w:val="center"/>
                </w:tcPr>
                <w:p w14:paraId="55B52014">
                  <w:pPr>
                    <w:pStyle w:val="63"/>
                    <w:rPr>
                      <w:color w:val="auto"/>
                    </w:rPr>
                  </w:pPr>
                  <w:r>
                    <w:rPr>
                      <w:color w:val="auto"/>
                    </w:rPr>
                    <w:t>6</w:t>
                  </w:r>
                  <w:r>
                    <w:rPr>
                      <w:rFonts w:hint="eastAsia"/>
                      <w:color w:val="auto"/>
                    </w:rPr>
                    <w:t>5</w:t>
                  </w:r>
                </w:p>
              </w:tc>
              <w:tc>
                <w:tcPr>
                  <w:tcW w:w="1667" w:type="pct"/>
                  <w:vAlign w:val="center"/>
                </w:tcPr>
                <w:p w14:paraId="4E1CBA6A">
                  <w:pPr>
                    <w:pStyle w:val="63"/>
                    <w:rPr>
                      <w:color w:val="auto"/>
                    </w:rPr>
                  </w:pPr>
                  <w:r>
                    <w:rPr>
                      <w:color w:val="auto"/>
                    </w:rPr>
                    <w:t>5</w:t>
                  </w:r>
                  <w:r>
                    <w:rPr>
                      <w:rFonts w:hint="eastAsia"/>
                      <w:color w:val="auto"/>
                    </w:rPr>
                    <w:t>5</w:t>
                  </w:r>
                </w:p>
              </w:tc>
            </w:tr>
          </w:tbl>
          <w:p w14:paraId="5B40AE63">
            <w:pPr>
              <w:spacing w:before="120" w:beforeLines="50" w:line="360" w:lineRule="auto"/>
              <w:ind w:firstLine="482" w:firstLineChars="200"/>
              <w:rPr>
                <w:b/>
                <w:bCs/>
                <w:color w:val="auto"/>
                <w:sz w:val="24"/>
              </w:rPr>
            </w:pPr>
            <w:r>
              <w:rPr>
                <w:rFonts w:hint="eastAsia"/>
                <w:b/>
                <w:bCs/>
                <w:color w:val="auto"/>
                <w:sz w:val="24"/>
              </w:rPr>
              <w:t>4、固体废物</w:t>
            </w:r>
          </w:p>
          <w:p w14:paraId="5D03DB0D">
            <w:pPr>
              <w:spacing w:line="360" w:lineRule="auto"/>
              <w:ind w:firstLine="480" w:firstLineChars="200"/>
              <w:rPr>
                <w:rFonts w:cs="宋体"/>
                <w:color w:val="auto"/>
                <w:kern w:val="0"/>
                <w:szCs w:val="21"/>
              </w:rPr>
            </w:pPr>
            <w:r>
              <w:rPr>
                <w:rFonts w:hint="eastAsia" w:cs="宋体"/>
                <w:color w:val="auto"/>
                <w:kern w:val="0"/>
                <w:sz w:val="24"/>
              </w:rPr>
              <w:t>项目运营期固体废物执行《中华人民共和国固体废物污染环境防治法》要求，其中一般工业固体废物在厂内采用库房或包装工具贮存，要求本项目一般工业固体废物贮存过程应满足相应防渗漏、防雨淋、防扬尘等环境保护要求；危险废物执行《危险废物贮存污染控制标准》（GB18597-2023）。</w:t>
            </w:r>
          </w:p>
        </w:tc>
      </w:tr>
      <w:tr w14:paraId="44C52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3" w:hRule="atLeast"/>
          <w:jc w:val="center"/>
        </w:trPr>
        <w:tc>
          <w:tcPr>
            <w:tcW w:w="452" w:type="dxa"/>
            <w:tcMar>
              <w:left w:w="28" w:type="dxa"/>
              <w:right w:w="28" w:type="dxa"/>
            </w:tcMar>
            <w:vAlign w:val="center"/>
          </w:tcPr>
          <w:p w14:paraId="0576715D">
            <w:pPr>
              <w:adjustRightInd w:val="0"/>
              <w:snapToGrid w:val="0"/>
              <w:jc w:val="center"/>
              <w:rPr>
                <w:rFonts w:cs="宋体"/>
                <w:color w:val="auto"/>
                <w:kern w:val="0"/>
                <w:sz w:val="24"/>
              </w:rPr>
            </w:pPr>
            <w:r>
              <w:rPr>
                <w:rFonts w:hint="eastAsia" w:cs="宋体"/>
                <w:color w:val="auto"/>
                <w:kern w:val="0"/>
                <w:sz w:val="24"/>
              </w:rPr>
              <w:t>总量</w:t>
            </w:r>
          </w:p>
          <w:p w14:paraId="1C3520C6">
            <w:pPr>
              <w:adjustRightInd w:val="0"/>
              <w:snapToGrid w:val="0"/>
              <w:jc w:val="center"/>
              <w:rPr>
                <w:rFonts w:cs="宋体"/>
                <w:color w:val="auto"/>
                <w:kern w:val="0"/>
                <w:sz w:val="24"/>
              </w:rPr>
            </w:pPr>
            <w:r>
              <w:rPr>
                <w:rFonts w:hint="eastAsia" w:cs="宋体"/>
                <w:color w:val="auto"/>
                <w:kern w:val="0"/>
                <w:sz w:val="24"/>
              </w:rPr>
              <w:t>控制</w:t>
            </w:r>
          </w:p>
          <w:p w14:paraId="7EC540F4">
            <w:pPr>
              <w:adjustRightInd w:val="0"/>
              <w:snapToGrid w:val="0"/>
              <w:jc w:val="center"/>
              <w:rPr>
                <w:rFonts w:hint="eastAsia" w:cs="宋体"/>
                <w:color w:val="auto"/>
                <w:kern w:val="0"/>
                <w:sz w:val="24"/>
              </w:rPr>
            </w:pPr>
            <w:r>
              <w:rPr>
                <w:rFonts w:hint="eastAsia" w:cs="宋体"/>
                <w:color w:val="auto"/>
                <w:kern w:val="0"/>
                <w:sz w:val="24"/>
              </w:rPr>
              <w:t>指标</w:t>
            </w:r>
          </w:p>
        </w:tc>
        <w:tc>
          <w:tcPr>
            <w:tcW w:w="8609" w:type="dxa"/>
            <w:vAlign w:val="center"/>
          </w:tcPr>
          <w:p w14:paraId="2ED216A3">
            <w:pPr>
              <w:adjustRightInd w:val="0"/>
              <w:snapToGrid w:val="0"/>
              <w:spacing w:line="360" w:lineRule="auto"/>
              <w:ind w:firstLine="480" w:firstLineChars="200"/>
              <w:jc w:val="left"/>
              <w:rPr>
                <w:rFonts w:cs="宋体"/>
                <w:color w:val="auto"/>
                <w:kern w:val="0"/>
                <w:sz w:val="24"/>
              </w:rPr>
            </w:pPr>
            <w:r>
              <w:rPr>
                <w:rFonts w:hint="eastAsia" w:cs="宋体"/>
                <w:color w:val="auto"/>
                <w:kern w:val="0"/>
                <w:sz w:val="24"/>
              </w:rPr>
              <w:t>根据《国务院关于环境保护若干问题的决定》，“污染源排放污染物要达到国家或地方规定的标准”；“各省、自治区、直辖市要使本辖区主要污染物排放总量控制在国家规定的排放总量指标内”，针对本项目的特点，要求项目各项污染物排放达到国家有关环保标准。</w:t>
            </w:r>
          </w:p>
          <w:p w14:paraId="4065485A">
            <w:pPr>
              <w:spacing w:line="360" w:lineRule="auto"/>
              <w:ind w:firstLine="480" w:firstLineChars="200"/>
              <w:jc w:val="left"/>
              <w:rPr>
                <w:rFonts w:hint="default" w:cs="宋体"/>
                <w:color w:val="auto"/>
                <w:kern w:val="0"/>
                <w:sz w:val="24"/>
                <w:lang w:val="en-US"/>
              </w:rPr>
            </w:pPr>
            <w:r>
              <w:rPr>
                <w:rStyle w:val="31"/>
                <w:rFonts w:hint="eastAsia" w:hAnsi="Times New Roman"/>
                <w:color w:val="auto"/>
                <w:sz w:val="24"/>
                <w:szCs w:val="24"/>
              </w:rPr>
              <w:t>《江西劲诚永磁新材料有限公司高效节能电机用磁材基地项目》（赣环审〔2024〕6号）</w:t>
            </w:r>
            <w:r>
              <w:rPr>
                <w:rStyle w:val="31"/>
                <w:rFonts w:hint="eastAsia"/>
                <w:color w:val="auto"/>
                <w:sz w:val="24"/>
                <w:szCs w:val="24"/>
                <w:lang w:eastAsia="zh-CN"/>
              </w:rPr>
              <w:t>（</w:t>
            </w:r>
            <w:r>
              <w:rPr>
                <w:rStyle w:val="31"/>
                <w:rFonts w:hint="eastAsia"/>
                <w:color w:val="auto"/>
                <w:sz w:val="24"/>
                <w:szCs w:val="24"/>
                <w:lang w:val="en-US" w:eastAsia="zh-CN"/>
              </w:rPr>
              <w:t>一期工程</w:t>
            </w:r>
            <w:r>
              <w:rPr>
                <w:rStyle w:val="31"/>
                <w:rFonts w:hint="eastAsia"/>
                <w:color w:val="auto"/>
                <w:sz w:val="24"/>
                <w:szCs w:val="24"/>
                <w:lang w:eastAsia="zh-CN"/>
              </w:rPr>
              <w:t>）</w:t>
            </w:r>
            <w:r>
              <w:rPr>
                <w:rStyle w:val="31"/>
                <w:rFonts w:hint="eastAsia"/>
                <w:color w:val="auto"/>
                <w:sz w:val="24"/>
                <w:szCs w:val="24"/>
                <w:lang w:val="en-US" w:eastAsia="zh-CN"/>
              </w:rPr>
              <w:t>已批复总量为CODcr28.71t/a、NH</w:t>
            </w:r>
            <w:r>
              <w:rPr>
                <w:rStyle w:val="31"/>
                <w:rFonts w:hint="eastAsia"/>
                <w:color w:val="auto"/>
                <w:sz w:val="24"/>
                <w:szCs w:val="24"/>
                <w:vertAlign w:val="subscript"/>
                <w:lang w:val="en-US" w:eastAsia="zh-CN"/>
              </w:rPr>
              <w:t>3</w:t>
            </w:r>
            <w:r>
              <w:rPr>
                <w:rStyle w:val="31"/>
                <w:rFonts w:hint="eastAsia"/>
                <w:color w:val="auto"/>
                <w:sz w:val="24"/>
                <w:szCs w:val="24"/>
                <w:lang w:val="en-US" w:eastAsia="zh-CN"/>
              </w:rPr>
              <w:t>-N2.87t/a、总铬0.0201t/a、NOx11.77t/a、VOCs4.07t/a（详见附件11）。</w:t>
            </w:r>
          </w:p>
          <w:p w14:paraId="54FAE6A4">
            <w:pPr>
              <w:spacing w:line="360" w:lineRule="auto"/>
              <w:ind w:firstLine="480" w:firstLineChars="200"/>
              <w:jc w:val="left"/>
              <w:rPr>
                <w:rFonts w:hint="eastAsia" w:cs="宋体"/>
                <w:color w:val="auto"/>
                <w:kern w:val="0"/>
                <w:sz w:val="24"/>
              </w:rPr>
            </w:pPr>
            <w:r>
              <w:rPr>
                <w:rFonts w:hint="eastAsia" w:cs="宋体"/>
                <w:color w:val="auto"/>
                <w:kern w:val="0"/>
                <w:sz w:val="24"/>
              </w:rPr>
              <w:t>根据工程分析，</w:t>
            </w:r>
            <w:r>
              <w:rPr>
                <w:rFonts w:hint="eastAsia" w:cs="宋体"/>
                <w:color w:val="auto"/>
                <w:kern w:val="0"/>
                <w:sz w:val="24"/>
                <w:lang w:val="en-US" w:eastAsia="zh-CN"/>
              </w:rPr>
              <w:t>本项目不新增天然气用量，故</w:t>
            </w:r>
            <w:r>
              <w:rPr>
                <w:rFonts w:hint="eastAsia" w:cs="宋体"/>
                <w:color w:val="auto"/>
                <w:kern w:val="0"/>
                <w:sz w:val="24"/>
              </w:rPr>
              <w:t>无需申请废气总量；项目</w:t>
            </w:r>
            <w:r>
              <w:rPr>
                <w:rFonts w:hint="eastAsia" w:cs="宋体"/>
                <w:color w:val="auto"/>
                <w:kern w:val="0"/>
                <w:sz w:val="24"/>
                <w:lang w:val="en-US" w:eastAsia="zh-CN"/>
              </w:rPr>
              <w:t>新增污水排放，</w:t>
            </w:r>
            <w:r>
              <w:rPr>
                <w:rFonts w:hint="eastAsia" w:cs="宋体"/>
                <w:color w:val="auto"/>
                <w:kern w:val="0"/>
                <w:sz w:val="24"/>
              </w:rPr>
              <w:t>水污染中含有CODcr和NH</w:t>
            </w:r>
            <w:r>
              <w:rPr>
                <w:rFonts w:hint="eastAsia" w:cs="宋体"/>
                <w:color w:val="auto"/>
                <w:kern w:val="0"/>
                <w:sz w:val="24"/>
                <w:vertAlign w:val="subscript"/>
              </w:rPr>
              <w:t>3</w:t>
            </w:r>
            <w:r>
              <w:rPr>
                <w:rFonts w:hint="eastAsia" w:cs="宋体"/>
                <w:color w:val="auto"/>
                <w:kern w:val="0"/>
                <w:sz w:val="24"/>
              </w:rPr>
              <w:t>-N污染物，因此需要申请水污染物总量为CODc0.203t/a，NH</w:t>
            </w:r>
            <w:r>
              <w:rPr>
                <w:rFonts w:hint="eastAsia" w:cs="宋体"/>
                <w:color w:val="auto"/>
                <w:kern w:val="0"/>
                <w:sz w:val="24"/>
                <w:vertAlign w:val="subscript"/>
              </w:rPr>
              <w:t>3</w:t>
            </w:r>
            <w:r>
              <w:rPr>
                <w:rFonts w:hint="eastAsia" w:cs="宋体"/>
                <w:color w:val="auto"/>
                <w:kern w:val="0"/>
                <w:sz w:val="24"/>
              </w:rPr>
              <w:t>-N0.020t/a。</w:t>
            </w:r>
          </w:p>
          <w:p w14:paraId="743198E8">
            <w:pPr>
              <w:spacing w:line="360" w:lineRule="auto"/>
              <w:ind w:firstLine="480" w:firstLineChars="200"/>
              <w:jc w:val="left"/>
              <w:rPr>
                <w:rFonts w:hint="eastAsia" w:cs="宋体"/>
                <w:color w:val="auto"/>
                <w:kern w:val="0"/>
                <w:sz w:val="24"/>
              </w:rPr>
            </w:pPr>
            <w:r>
              <w:rPr>
                <w:rFonts w:hint="eastAsia" w:cs="宋体"/>
                <w:color w:val="auto"/>
                <w:kern w:val="0"/>
                <w:sz w:val="24"/>
                <w:lang w:val="en-US" w:eastAsia="zh-CN"/>
              </w:rPr>
              <w:t>综上所述，本项目（二期工程）新增水污染物总量控制指标为</w:t>
            </w:r>
            <w:r>
              <w:rPr>
                <w:rFonts w:hint="eastAsia" w:cs="宋体"/>
                <w:color w:val="auto"/>
                <w:kern w:val="0"/>
                <w:sz w:val="24"/>
              </w:rPr>
              <w:t>CODc0.203t/a，NH</w:t>
            </w:r>
            <w:r>
              <w:rPr>
                <w:rFonts w:hint="eastAsia" w:cs="宋体"/>
                <w:color w:val="auto"/>
                <w:kern w:val="0"/>
                <w:sz w:val="24"/>
                <w:vertAlign w:val="subscript"/>
              </w:rPr>
              <w:t>3</w:t>
            </w:r>
            <w:r>
              <w:rPr>
                <w:rFonts w:hint="eastAsia" w:cs="宋体"/>
                <w:color w:val="auto"/>
                <w:kern w:val="0"/>
                <w:sz w:val="24"/>
              </w:rPr>
              <w:t>-N0.020t/a。</w:t>
            </w:r>
          </w:p>
          <w:p w14:paraId="21059D85">
            <w:pPr>
              <w:spacing w:line="360" w:lineRule="auto"/>
              <w:ind w:firstLine="480" w:firstLineChars="200"/>
              <w:jc w:val="left"/>
              <w:rPr>
                <w:rFonts w:hint="eastAsia" w:cs="宋体"/>
                <w:color w:val="auto"/>
                <w:kern w:val="0"/>
                <w:sz w:val="24"/>
                <w:lang w:val="en-US" w:eastAsia="zh-CN"/>
              </w:rPr>
            </w:pPr>
            <w:r>
              <w:rPr>
                <w:rFonts w:hint="eastAsia" w:cs="宋体"/>
                <w:color w:val="auto"/>
                <w:kern w:val="0"/>
                <w:sz w:val="24"/>
                <w:lang w:val="en-US" w:eastAsia="zh-CN"/>
              </w:rPr>
              <w:t>废水总量计算过程：</w:t>
            </w:r>
          </w:p>
          <w:p w14:paraId="7EBB2AC0">
            <w:pPr>
              <w:adjustRightInd w:val="0"/>
              <w:snapToGrid w:val="0"/>
              <w:spacing w:line="360" w:lineRule="auto"/>
              <w:ind w:firstLine="482" w:firstLineChars="200"/>
              <w:rPr>
                <w:rFonts w:cs="宋体"/>
                <w:b/>
                <w:bCs/>
                <w:color w:val="auto"/>
                <w:sz w:val="24"/>
              </w:rPr>
            </w:pPr>
            <w:r>
              <w:rPr>
                <w:rFonts w:hint="eastAsia" w:cs="宋体"/>
                <w:b/>
                <w:bCs/>
                <w:color w:val="auto"/>
                <w:sz w:val="24"/>
              </w:rPr>
              <w:t>（1）生活污水</w:t>
            </w:r>
          </w:p>
          <w:p w14:paraId="55F7DABE">
            <w:pPr>
              <w:adjustRightInd w:val="0"/>
              <w:snapToGrid w:val="0"/>
              <w:spacing w:line="360" w:lineRule="auto"/>
              <w:ind w:firstLine="480" w:firstLineChars="200"/>
              <w:rPr>
                <w:rStyle w:val="31"/>
                <w:color w:val="auto"/>
                <w:sz w:val="24"/>
              </w:rPr>
            </w:pPr>
            <w:r>
              <w:rPr>
                <w:color w:val="auto"/>
                <w:sz w:val="24"/>
              </w:rPr>
              <w:t>本项目劳动定员员工人数为</w:t>
            </w:r>
            <w:r>
              <w:rPr>
                <w:rFonts w:hint="eastAsia"/>
                <w:color w:val="auto"/>
                <w:sz w:val="24"/>
              </w:rPr>
              <w:t>213</w:t>
            </w:r>
            <w:r>
              <w:rPr>
                <w:color w:val="auto"/>
                <w:sz w:val="24"/>
              </w:rPr>
              <w:t>人，根据《江西省生活用水定额》（DB36</w:t>
            </w:r>
            <w:r>
              <w:rPr>
                <w:rFonts w:hint="eastAsia"/>
                <w:color w:val="auto"/>
                <w:sz w:val="24"/>
              </w:rPr>
              <w:t>/</w:t>
            </w:r>
            <w:r>
              <w:rPr>
                <w:color w:val="auto"/>
                <w:sz w:val="24"/>
              </w:rPr>
              <w:t>T419-2017）</w:t>
            </w:r>
            <w:r>
              <w:rPr>
                <w:rFonts w:hint="eastAsia"/>
                <w:color w:val="auto"/>
                <w:sz w:val="24"/>
              </w:rPr>
              <w:t>及经开区用水现状</w:t>
            </w:r>
            <w:r>
              <w:rPr>
                <w:color w:val="auto"/>
                <w:sz w:val="24"/>
              </w:rPr>
              <w:t>，</w:t>
            </w:r>
            <w:r>
              <w:rPr>
                <w:rFonts w:hint="eastAsia"/>
                <w:color w:val="auto"/>
                <w:sz w:val="24"/>
              </w:rPr>
              <w:t>员工约60人在厂区内食宿，非食宿生活用水量按46</w:t>
            </w:r>
            <w:r>
              <w:rPr>
                <w:color w:val="auto"/>
                <w:sz w:val="24"/>
              </w:rPr>
              <w:t>L/人·d</w:t>
            </w:r>
            <w:r>
              <w:rPr>
                <w:rFonts w:hint="eastAsia"/>
                <w:color w:val="auto"/>
                <w:sz w:val="24"/>
              </w:rPr>
              <w:t>计，食宿</w:t>
            </w:r>
            <w:r>
              <w:rPr>
                <w:color w:val="auto"/>
                <w:sz w:val="24"/>
              </w:rPr>
              <w:t>生活用水量按</w:t>
            </w:r>
            <w:r>
              <w:rPr>
                <w:rFonts w:hint="eastAsia"/>
                <w:color w:val="auto"/>
                <w:sz w:val="24"/>
              </w:rPr>
              <w:t>137</w:t>
            </w:r>
            <w:r>
              <w:rPr>
                <w:color w:val="auto"/>
                <w:sz w:val="24"/>
              </w:rPr>
              <w:t>L/人·d</w:t>
            </w:r>
            <w:r>
              <w:rPr>
                <w:rFonts w:hint="eastAsia"/>
                <w:color w:val="auto"/>
                <w:sz w:val="24"/>
              </w:rPr>
              <w:t>计</w:t>
            </w:r>
            <w:r>
              <w:rPr>
                <w:color w:val="auto"/>
                <w:sz w:val="24"/>
              </w:rPr>
              <w:t>，则生活</w:t>
            </w:r>
            <w:r>
              <w:rPr>
                <w:rFonts w:hint="eastAsia"/>
                <w:color w:val="auto"/>
                <w:sz w:val="24"/>
              </w:rPr>
              <w:t>用水</w:t>
            </w:r>
            <w:r>
              <w:rPr>
                <w:color w:val="auto"/>
                <w:sz w:val="24"/>
              </w:rPr>
              <w:t>产生量为</w:t>
            </w:r>
            <w:r>
              <w:rPr>
                <w:rFonts w:hint="eastAsia"/>
                <w:color w:val="auto"/>
                <w:sz w:val="24"/>
              </w:rPr>
              <w:t>15.258</w:t>
            </w:r>
            <w:r>
              <w:rPr>
                <w:color w:val="auto"/>
                <w:sz w:val="24"/>
              </w:rPr>
              <w:t>m</w:t>
            </w:r>
            <w:r>
              <w:rPr>
                <w:color w:val="auto"/>
                <w:sz w:val="24"/>
                <w:vertAlign w:val="superscript"/>
              </w:rPr>
              <w:t>3</w:t>
            </w:r>
            <w:r>
              <w:rPr>
                <w:color w:val="auto"/>
                <w:sz w:val="24"/>
              </w:rPr>
              <w:t>/d</w:t>
            </w:r>
            <w:r>
              <w:rPr>
                <w:rFonts w:hint="eastAsia"/>
                <w:color w:val="auto"/>
                <w:sz w:val="24"/>
              </w:rPr>
              <w:t>（4577.4</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）。生活污水中各种污染物浓度分别为CODcr250mg/L、BOD</w:t>
            </w:r>
            <w:r>
              <w:rPr>
                <w:color w:val="auto"/>
                <w:sz w:val="24"/>
                <w:vertAlign w:val="subscript"/>
              </w:rPr>
              <w:t>5</w:t>
            </w:r>
            <w:r>
              <w:rPr>
                <w:color w:val="auto"/>
                <w:sz w:val="24"/>
              </w:rPr>
              <w:t>1</w:t>
            </w:r>
            <w:r>
              <w:rPr>
                <w:rFonts w:hint="eastAsia"/>
                <w:color w:val="auto"/>
                <w:sz w:val="24"/>
                <w:lang w:val="en-US" w:eastAsia="zh-CN"/>
              </w:rPr>
              <w:t>5</w:t>
            </w:r>
            <w:r>
              <w:rPr>
                <w:color w:val="auto"/>
                <w:sz w:val="24"/>
              </w:rPr>
              <w:t>0mg/L、SS200mg/L、NH</w:t>
            </w:r>
            <w:r>
              <w:rPr>
                <w:color w:val="auto"/>
                <w:sz w:val="24"/>
                <w:vertAlign w:val="subscript"/>
              </w:rPr>
              <w:t>3</w:t>
            </w:r>
            <w:r>
              <w:rPr>
                <w:color w:val="auto"/>
                <w:sz w:val="24"/>
              </w:rPr>
              <w:t>-N2</w:t>
            </w:r>
            <w:r>
              <w:rPr>
                <w:rFonts w:hint="eastAsia"/>
                <w:color w:val="auto"/>
                <w:sz w:val="24"/>
              </w:rPr>
              <w:t>5</w:t>
            </w:r>
            <w:r>
              <w:rPr>
                <w:color w:val="auto"/>
                <w:sz w:val="24"/>
              </w:rPr>
              <w:t>mg/L。排污系数按0.8计，则生活污水产生量为</w:t>
            </w:r>
            <w:r>
              <w:rPr>
                <w:rFonts w:hint="eastAsia"/>
                <w:color w:val="auto"/>
                <w:sz w:val="24"/>
              </w:rPr>
              <w:t>12.206</w:t>
            </w:r>
            <w:r>
              <w:rPr>
                <w:color w:val="auto"/>
                <w:sz w:val="24"/>
              </w:rPr>
              <w:t>m</w:t>
            </w:r>
            <w:r>
              <w:rPr>
                <w:color w:val="auto"/>
                <w:sz w:val="24"/>
                <w:vertAlign w:val="superscript"/>
              </w:rPr>
              <w:t>3</w:t>
            </w:r>
            <w:r>
              <w:rPr>
                <w:color w:val="auto"/>
                <w:sz w:val="24"/>
              </w:rPr>
              <w:t>/d（</w:t>
            </w:r>
            <w:r>
              <w:rPr>
                <w:rFonts w:hint="eastAsia"/>
                <w:color w:val="auto"/>
                <w:sz w:val="24"/>
              </w:rPr>
              <w:t>3661.92</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w:t>
            </w:r>
            <w:r>
              <w:rPr>
                <w:rFonts w:hint="eastAsia"/>
                <w:color w:val="auto"/>
                <w:sz w:val="24"/>
              </w:rPr>
              <w:t>。本项目生活污水依托</w:t>
            </w:r>
            <w:r>
              <w:rPr>
                <w:rStyle w:val="31"/>
                <w:rFonts w:hint="eastAsia"/>
                <w:color w:val="auto"/>
                <w:sz w:val="24"/>
              </w:rPr>
              <w:t>一期工程中化粪池+混合废水处理系统（TW012）+中水回用系统（TW013）处理后进入排水池与一期废水通过园区污水管网接入新能源汽车科技城污水处理厂（一期）进一步处理，经新能源汽车科技城污水处理厂（一期）处理达《城镇污水处理厂污染物排放标准》（GB18918-2002）一级A标准后通过市政污水管网接入白塔污水处理厂（城市生活污水处理厂），尾水最终排入赣江。</w:t>
            </w:r>
          </w:p>
          <w:p w14:paraId="135B71BF">
            <w:pPr>
              <w:spacing w:line="360" w:lineRule="auto"/>
              <w:ind w:firstLine="480" w:firstLineChars="200"/>
              <w:rPr>
                <w:rFonts w:cs="宋体"/>
                <w:color w:val="auto"/>
                <w:sz w:val="24"/>
              </w:rPr>
            </w:pPr>
            <w:r>
              <w:rPr>
                <w:rFonts w:hint="eastAsia" w:ascii="宋体" w:hAnsi="宋体" w:eastAsia="宋体" w:cs="宋体"/>
                <w:color w:val="auto"/>
                <w:sz w:val="24"/>
              </w:rPr>
              <w:t>③</w:t>
            </w:r>
            <w:r>
              <w:rPr>
                <w:rFonts w:hint="eastAsia" w:cs="宋体"/>
                <w:color w:val="auto"/>
                <w:sz w:val="24"/>
              </w:rPr>
              <w:t>清洗废水</w:t>
            </w:r>
          </w:p>
          <w:p w14:paraId="67AD2EDD">
            <w:pPr>
              <w:pStyle w:val="6"/>
              <w:snapToGrid/>
              <w:spacing w:before="0" w:after="0" w:line="360" w:lineRule="auto"/>
              <w:ind w:right="0" w:firstLine="480" w:firstLineChars="200"/>
              <w:rPr>
                <w:rStyle w:val="31"/>
                <w:rFonts w:hint="eastAsia"/>
                <w:color w:val="auto"/>
                <w:sz w:val="24"/>
                <w:szCs w:val="24"/>
              </w:rPr>
            </w:pPr>
            <w:r>
              <w:rPr>
                <w:rFonts w:hint="eastAsia" w:cs="宋体"/>
                <w:color w:val="auto"/>
                <w:sz w:val="24"/>
              </w:rPr>
              <w:t>项目在清洗工序会用来水进行清洗，清洗废水循环3天后进行更换，根据建设单位提供资料，</w:t>
            </w:r>
            <w:r>
              <w:rPr>
                <w:rFonts w:hint="eastAsia" w:cs="宋体"/>
                <w:color w:val="auto"/>
                <w:sz w:val="24"/>
                <w:lang w:val="en-US" w:eastAsia="zh-CN"/>
              </w:rPr>
              <w:t>清洗水总水量为</w:t>
            </w:r>
            <w:r>
              <w:rPr>
                <w:rFonts w:hint="eastAsia" w:cs="宋体"/>
                <w:color w:val="auto"/>
                <w:sz w:val="24"/>
              </w:rPr>
              <w:t>4吨</w:t>
            </w:r>
            <w:r>
              <w:rPr>
                <w:rFonts w:hint="eastAsia" w:cs="宋体"/>
                <w:color w:val="auto"/>
                <w:sz w:val="24"/>
                <w:lang w:eastAsia="zh-CN"/>
              </w:rPr>
              <w:t>，</w:t>
            </w:r>
            <w:r>
              <w:rPr>
                <w:rFonts w:hint="eastAsia" w:cs="宋体"/>
                <w:color w:val="auto"/>
                <w:sz w:val="24"/>
                <w:lang w:val="en-US" w:eastAsia="zh-CN"/>
              </w:rPr>
              <w:t>故</w:t>
            </w:r>
            <w:r>
              <w:rPr>
                <w:rFonts w:hint="eastAsia" w:cs="宋体"/>
                <w:color w:val="auto"/>
                <w:sz w:val="24"/>
              </w:rPr>
              <w:t>每次更换量为4吨，一年更换100次，则清洗废水产生量为400t/a（约1.333t/d）。</w:t>
            </w:r>
            <w:r>
              <w:rPr>
                <w:rFonts w:hint="eastAsia"/>
                <w:color w:val="auto"/>
                <w:sz w:val="24"/>
              </w:rPr>
              <w:t>损耗量按</w:t>
            </w:r>
            <w:r>
              <w:rPr>
                <w:rFonts w:hint="eastAsia"/>
                <w:color w:val="auto"/>
                <w:sz w:val="24"/>
                <w:lang w:val="en-US" w:eastAsia="zh-CN"/>
              </w:rPr>
              <w:t>清洗水总水量的</w:t>
            </w:r>
            <w:r>
              <w:rPr>
                <w:rFonts w:hint="eastAsia"/>
                <w:color w:val="auto"/>
                <w:sz w:val="24"/>
              </w:rPr>
              <w:t>3%计，定期补充新鲜水，补充水量为</w:t>
            </w:r>
            <w:r>
              <w:rPr>
                <w:rFonts w:hint="eastAsia"/>
                <w:color w:val="auto"/>
                <w:sz w:val="24"/>
                <w:lang w:val="en-US" w:eastAsia="zh-CN"/>
              </w:rPr>
              <w:t>4t*</w:t>
            </w:r>
            <w:r>
              <w:rPr>
                <w:rFonts w:hint="eastAsia"/>
                <w:color w:val="auto"/>
                <w:sz w:val="24"/>
              </w:rPr>
              <w:t>3%</w:t>
            </w:r>
            <w:r>
              <w:rPr>
                <w:rFonts w:hint="eastAsia"/>
                <w:color w:val="auto"/>
                <w:sz w:val="24"/>
                <w:lang w:val="en-US" w:eastAsia="zh-CN"/>
              </w:rPr>
              <w:t>=</w:t>
            </w:r>
            <w:r>
              <w:rPr>
                <w:rFonts w:hint="eastAsia"/>
                <w:color w:val="auto"/>
                <w:sz w:val="24"/>
              </w:rPr>
              <w:t>0.12t/d（36t/a）。</w:t>
            </w:r>
            <w:r>
              <w:rPr>
                <w:rFonts w:hint="eastAsia" w:cs="宋体"/>
                <w:color w:val="auto"/>
                <w:sz w:val="24"/>
              </w:rPr>
              <w:t>更换的清洗废水通过管道排入污水池收集，定期通过厂区管网排入一期污水处理站进行处理。清洗废水浓度引用</w:t>
            </w:r>
            <w:r>
              <w:rPr>
                <w:rStyle w:val="31"/>
                <w:rFonts w:hint="eastAsia"/>
                <w:color w:val="auto"/>
                <w:sz w:val="24"/>
                <w:szCs w:val="24"/>
              </w:rPr>
              <w:t>《江西劲诚永磁新材料有限公司高效节能电机用磁材基地项目》（赣环审〔2024〕6号）中磷化废水（含清洗）和倒角废水、前处理废水，该项目使用清洗剂与本项目类似引用可行，项目污染物浓度为pH6~9、CODcr300mg/L、总氮20mg/L、SS100mg/L、氨氮15mg/L、石油类50mg/L、LAS50mg/L。</w:t>
            </w:r>
          </w:p>
          <w:p w14:paraId="44C5551C">
            <w:pPr>
              <w:pStyle w:val="56"/>
              <w:topLinePunct/>
              <w:spacing w:after="0"/>
              <w:rPr>
                <w:rFonts w:ascii="Times New Roman" w:hAnsi="Times New Roman" w:cs="Times New Roman"/>
                <w:b/>
                <w:color w:val="auto"/>
                <w:sz w:val="24"/>
              </w:rPr>
            </w:pPr>
            <w:r>
              <w:rPr>
                <w:rFonts w:ascii="Times New Roman" w:hAnsi="Times New Roman" w:cs="Times New Roman"/>
                <w:b/>
                <w:color w:val="auto"/>
                <w:sz w:val="24"/>
              </w:rPr>
              <w:t>表</w:t>
            </w:r>
            <w:r>
              <w:rPr>
                <w:rFonts w:hint="eastAsia" w:ascii="Times New Roman" w:hAnsi="Times New Roman" w:cs="Times New Roman"/>
                <w:b/>
                <w:color w:val="auto"/>
                <w:sz w:val="24"/>
                <w:lang w:val="en-US" w:eastAsia="zh-CN"/>
              </w:rPr>
              <w:t xml:space="preserve">3-10 </w:t>
            </w:r>
            <w:r>
              <w:rPr>
                <w:rFonts w:ascii="Times New Roman" w:hAnsi="Times New Roman" w:cs="Times New Roman"/>
                <w:b/>
                <w:color w:val="auto"/>
                <w:sz w:val="24"/>
              </w:rPr>
              <w:t>项目生产废水和生活污水产生及排放情况</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4"/>
              <w:gridCol w:w="693"/>
              <w:gridCol w:w="633"/>
              <w:gridCol w:w="629"/>
              <w:gridCol w:w="483"/>
              <w:gridCol w:w="1072"/>
              <w:gridCol w:w="593"/>
              <w:gridCol w:w="636"/>
              <w:gridCol w:w="588"/>
              <w:gridCol w:w="894"/>
              <w:gridCol w:w="837"/>
              <w:gridCol w:w="823"/>
            </w:tblGrid>
            <w:tr w14:paraId="4B56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0" w:type="pct"/>
                  <w:vMerge w:val="restart"/>
                  <w:vAlign w:val="center"/>
                </w:tcPr>
                <w:p w14:paraId="4D2E435A">
                  <w:pPr>
                    <w:adjustRightInd w:val="0"/>
                    <w:snapToGrid w:val="0"/>
                    <w:jc w:val="center"/>
                    <w:rPr>
                      <w:b/>
                      <w:bCs/>
                      <w:color w:val="auto"/>
                      <w:szCs w:val="21"/>
                    </w:rPr>
                  </w:pPr>
                  <w:r>
                    <w:rPr>
                      <w:rFonts w:hint="eastAsia"/>
                      <w:b/>
                      <w:bCs/>
                      <w:color w:val="auto"/>
                      <w:szCs w:val="21"/>
                    </w:rPr>
                    <w:t>废水类别</w:t>
                  </w:r>
                </w:p>
              </w:tc>
              <w:tc>
                <w:tcPr>
                  <w:tcW w:w="408" w:type="pct"/>
                  <w:vMerge w:val="restart"/>
                  <w:vAlign w:val="center"/>
                </w:tcPr>
                <w:p w14:paraId="5F731220">
                  <w:pPr>
                    <w:adjustRightInd w:val="0"/>
                    <w:snapToGrid w:val="0"/>
                    <w:jc w:val="center"/>
                    <w:rPr>
                      <w:b/>
                      <w:bCs/>
                      <w:color w:val="auto"/>
                      <w:szCs w:val="21"/>
                    </w:rPr>
                  </w:pPr>
                  <w:r>
                    <w:rPr>
                      <w:rFonts w:hint="eastAsia"/>
                      <w:b/>
                      <w:bCs/>
                      <w:color w:val="auto"/>
                      <w:szCs w:val="21"/>
                    </w:rPr>
                    <w:t>废水量</w:t>
                  </w:r>
                  <w:r>
                    <w:rPr>
                      <w:b/>
                      <w:bCs/>
                      <w:color w:val="auto"/>
                      <w:szCs w:val="21"/>
                    </w:rPr>
                    <w:t>m³/a</w:t>
                  </w:r>
                </w:p>
              </w:tc>
              <w:tc>
                <w:tcPr>
                  <w:tcW w:w="373" w:type="pct"/>
                  <w:vMerge w:val="restart"/>
                  <w:vAlign w:val="center"/>
                </w:tcPr>
                <w:p w14:paraId="0E1B5D28">
                  <w:pPr>
                    <w:adjustRightInd w:val="0"/>
                    <w:snapToGrid w:val="0"/>
                    <w:jc w:val="center"/>
                    <w:rPr>
                      <w:b/>
                      <w:bCs/>
                      <w:color w:val="auto"/>
                      <w:szCs w:val="21"/>
                    </w:rPr>
                  </w:pPr>
                  <w:r>
                    <w:rPr>
                      <w:rFonts w:hint="eastAsia"/>
                      <w:b/>
                      <w:bCs/>
                      <w:color w:val="auto"/>
                      <w:szCs w:val="21"/>
                    </w:rPr>
                    <w:t>污染物名称</w:t>
                  </w:r>
                </w:p>
              </w:tc>
              <w:tc>
                <w:tcPr>
                  <w:tcW w:w="655" w:type="pct"/>
                  <w:gridSpan w:val="2"/>
                  <w:vAlign w:val="center"/>
                </w:tcPr>
                <w:p w14:paraId="0DCB8688">
                  <w:pPr>
                    <w:adjustRightInd w:val="0"/>
                    <w:snapToGrid w:val="0"/>
                    <w:jc w:val="center"/>
                    <w:rPr>
                      <w:b/>
                      <w:bCs/>
                      <w:color w:val="auto"/>
                      <w:szCs w:val="21"/>
                    </w:rPr>
                  </w:pPr>
                  <w:r>
                    <w:rPr>
                      <w:rFonts w:hint="eastAsia"/>
                      <w:b/>
                      <w:bCs/>
                      <w:color w:val="auto"/>
                      <w:szCs w:val="21"/>
                    </w:rPr>
                    <w:t>污染物产生情况</w:t>
                  </w:r>
                </w:p>
              </w:tc>
              <w:tc>
                <w:tcPr>
                  <w:tcW w:w="632" w:type="pct"/>
                  <w:vMerge w:val="restart"/>
                  <w:vAlign w:val="center"/>
                </w:tcPr>
                <w:p w14:paraId="6274E896">
                  <w:pPr>
                    <w:adjustRightInd w:val="0"/>
                    <w:snapToGrid w:val="0"/>
                    <w:jc w:val="center"/>
                    <w:rPr>
                      <w:b/>
                      <w:bCs/>
                      <w:color w:val="auto"/>
                      <w:szCs w:val="21"/>
                    </w:rPr>
                  </w:pPr>
                  <w:r>
                    <w:rPr>
                      <w:rFonts w:hint="eastAsia"/>
                      <w:b/>
                      <w:bCs/>
                      <w:color w:val="auto"/>
                      <w:szCs w:val="21"/>
                    </w:rPr>
                    <w:t>预处理设施</w:t>
                  </w:r>
                </w:p>
              </w:tc>
              <w:tc>
                <w:tcPr>
                  <w:tcW w:w="359" w:type="pct"/>
                  <w:vMerge w:val="restart"/>
                  <w:vAlign w:val="center"/>
                </w:tcPr>
                <w:p w14:paraId="1DF45101">
                  <w:pPr>
                    <w:adjustRightInd w:val="0"/>
                    <w:snapToGrid w:val="0"/>
                    <w:jc w:val="center"/>
                    <w:rPr>
                      <w:b/>
                      <w:bCs/>
                      <w:color w:val="auto"/>
                      <w:szCs w:val="21"/>
                    </w:rPr>
                  </w:pPr>
                  <w:r>
                    <w:rPr>
                      <w:rFonts w:hint="eastAsia"/>
                      <w:b/>
                      <w:bCs/>
                      <w:color w:val="auto"/>
                      <w:szCs w:val="21"/>
                    </w:rPr>
                    <w:t>治理效率</w:t>
                  </w:r>
                </w:p>
              </w:tc>
              <w:tc>
                <w:tcPr>
                  <w:tcW w:w="730" w:type="pct"/>
                  <w:gridSpan w:val="2"/>
                  <w:vAlign w:val="center"/>
                </w:tcPr>
                <w:p w14:paraId="562F169E">
                  <w:pPr>
                    <w:adjustRightInd w:val="0"/>
                    <w:snapToGrid w:val="0"/>
                    <w:jc w:val="center"/>
                    <w:rPr>
                      <w:b/>
                      <w:bCs/>
                      <w:color w:val="auto"/>
                      <w:szCs w:val="21"/>
                    </w:rPr>
                  </w:pPr>
                  <w:r>
                    <w:rPr>
                      <w:rFonts w:hint="eastAsia"/>
                      <w:b/>
                      <w:bCs/>
                      <w:color w:val="auto"/>
                      <w:szCs w:val="21"/>
                    </w:rPr>
                    <w:t>排放情况</w:t>
                  </w:r>
                </w:p>
              </w:tc>
              <w:tc>
                <w:tcPr>
                  <w:tcW w:w="538" w:type="pct"/>
                  <w:vMerge w:val="restart"/>
                  <w:vAlign w:val="center"/>
                </w:tcPr>
                <w:p w14:paraId="0A3CB84D">
                  <w:pPr>
                    <w:adjustRightInd w:val="0"/>
                    <w:snapToGrid w:val="0"/>
                    <w:jc w:val="center"/>
                    <w:rPr>
                      <w:b/>
                      <w:bCs/>
                      <w:color w:val="auto"/>
                      <w:szCs w:val="21"/>
                    </w:rPr>
                  </w:pPr>
                  <w:r>
                    <w:rPr>
                      <w:rFonts w:hint="eastAsia"/>
                      <w:b/>
                      <w:bCs/>
                      <w:color w:val="auto"/>
                      <w:szCs w:val="21"/>
                    </w:rPr>
                    <w:t>排放方式</w:t>
                  </w:r>
                </w:p>
              </w:tc>
              <w:tc>
                <w:tcPr>
                  <w:tcW w:w="504" w:type="pct"/>
                  <w:vMerge w:val="restart"/>
                  <w:vAlign w:val="center"/>
                </w:tcPr>
                <w:p w14:paraId="6872F72C">
                  <w:pPr>
                    <w:adjustRightInd w:val="0"/>
                    <w:snapToGrid w:val="0"/>
                    <w:jc w:val="center"/>
                    <w:rPr>
                      <w:b/>
                      <w:bCs/>
                      <w:color w:val="auto"/>
                      <w:szCs w:val="21"/>
                    </w:rPr>
                  </w:pPr>
                  <w:r>
                    <w:rPr>
                      <w:rFonts w:hint="eastAsia"/>
                      <w:b/>
                      <w:bCs/>
                      <w:color w:val="auto"/>
                      <w:szCs w:val="21"/>
                    </w:rPr>
                    <w:t>外排环境浓度</w:t>
                  </w:r>
                </w:p>
              </w:tc>
              <w:tc>
                <w:tcPr>
                  <w:tcW w:w="496" w:type="pct"/>
                  <w:vMerge w:val="restart"/>
                  <w:vAlign w:val="center"/>
                </w:tcPr>
                <w:p w14:paraId="6D20A1C4">
                  <w:pPr>
                    <w:adjustRightInd w:val="0"/>
                    <w:snapToGrid w:val="0"/>
                    <w:jc w:val="center"/>
                    <w:rPr>
                      <w:b/>
                      <w:bCs/>
                      <w:color w:val="auto"/>
                      <w:szCs w:val="21"/>
                    </w:rPr>
                  </w:pPr>
                  <w:r>
                    <w:rPr>
                      <w:rFonts w:hint="eastAsia"/>
                      <w:b/>
                      <w:bCs/>
                      <w:color w:val="auto"/>
                      <w:szCs w:val="21"/>
                    </w:rPr>
                    <w:t>外排环境量（t/a）</w:t>
                  </w:r>
                </w:p>
              </w:tc>
            </w:tr>
            <w:tr w14:paraId="52FF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0" w:type="pct"/>
                  <w:vMerge w:val="continue"/>
                  <w:vAlign w:val="center"/>
                </w:tcPr>
                <w:p w14:paraId="239DB5C0">
                  <w:pPr>
                    <w:adjustRightInd w:val="0"/>
                    <w:snapToGrid w:val="0"/>
                    <w:jc w:val="center"/>
                    <w:rPr>
                      <w:b/>
                      <w:bCs/>
                      <w:color w:val="auto"/>
                      <w:szCs w:val="21"/>
                    </w:rPr>
                  </w:pPr>
                </w:p>
              </w:tc>
              <w:tc>
                <w:tcPr>
                  <w:tcW w:w="408" w:type="pct"/>
                  <w:vMerge w:val="continue"/>
                  <w:vAlign w:val="center"/>
                </w:tcPr>
                <w:p w14:paraId="0CE0ADE2">
                  <w:pPr>
                    <w:adjustRightInd w:val="0"/>
                    <w:snapToGrid w:val="0"/>
                    <w:jc w:val="center"/>
                    <w:rPr>
                      <w:b/>
                      <w:bCs/>
                      <w:color w:val="auto"/>
                      <w:szCs w:val="21"/>
                    </w:rPr>
                  </w:pPr>
                </w:p>
              </w:tc>
              <w:tc>
                <w:tcPr>
                  <w:tcW w:w="373" w:type="pct"/>
                  <w:vMerge w:val="continue"/>
                  <w:vAlign w:val="center"/>
                </w:tcPr>
                <w:p w14:paraId="2AA2EE4C">
                  <w:pPr>
                    <w:adjustRightInd w:val="0"/>
                    <w:snapToGrid w:val="0"/>
                    <w:jc w:val="center"/>
                    <w:rPr>
                      <w:b/>
                      <w:bCs/>
                      <w:color w:val="auto"/>
                      <w:szCs w:val="21"/>
                    </w:rPr>
                  </w:pPr>
                </w:p>
              </w:tc>
              <w:tc>
                <w:tcPr>
                  <w:tcW w:w="369" w:type="pct"/>
                  <w:vAlign w:val="center"/>
                </w:tcPr>
                <w:p w14:paraId="58CBA847">
                  <w:pPr>
                    <w:adjustRightInd w:val="0"/>
                    <w:snapToGrid w:val="0"/>
                    <w:jc w:val="center"/>
                    <w:rPr>
                      <w:b/>
                      <w:bCs/>
                      <w:color w:val="auto"/>
                      <w:szCs w:val="21"/>
                    </w:rPr>
                  </w:pPr>
                  <w:r>
                    <w:rPr>
                      <w:rFonts w:hint="eastAsia"/>
                      <w:b/>
                      <w:bCs/>
                      <w:color w:val="auto"/>
                      <w:szCs w:val="21"/>
                    </w:rPr>
                    <w:t>浓度</w:t>
                  </w:r>
                </w:p>
                <w:p w14:paraId="39F17AB8">
                  <w:pPr>
                    <w:adjustRightInd w:val="0"/>
                    <w:snapToGrid w:val="0"/>
                    <w:jc w:val="center"/>
                    <w:rPr>
                      <w:b/>
                      <w:bCs/>
                      <w:color w:val="auto"/>
                      <w:szCs w:val="21"/>
                    </w:rPr>
                  </w:pPr>
                  <w:r>
                    <w:rPr>
                      <w:b/>
                      <w:bCs/>
                      <w:color w:val="auto"/>
                      <w:szCs w:val="21"/>
                    </w:rPr>
                    <w:t>(mg/L)</w:t>
                  </w:r>
                </w:p>
              </w:tc>
              <w:tc>
                <w:tcPr>
                  <w:tcW w:w="286" w:type="pct"/>
                  <w:vAlign w:val="center"/>
                </w:tcPr>
                <w:p w14:paraId="5648035E">
                  <w:pPr>
                    <w:adjustRightInd w:val="0"/>
                    <w:snapToGrid w:val="0"/>
                    <w:jc w:val="center"/>
                    <w:rPr>
                      <w:b/>
                      <w:bCs/>
                      <w:color w:val="auto"/>
                      <w:szCs w:val="21"/>
                    </w:rPr>
                  </w:pPr>
                  <w:r>
                    <w:rPr>
                      <w:rFonts w:hint="eastAsia"/>
                      <w:b/>
                      <w:bCs/>
                      <w:color w:val="auto"/>
                      <w:szCs w:val="21"/>
                    </w:rPr>
                    <w:t>产生量</w:t>
                  </w:r>
                </w:p>
                <w:p w14:paraId="4EB75F62">
                  <w:pPr>
                    <w:adjustRightInd w:val="0"/>
                    <w:snapToGrid w:val="0"/>
                    <w:jc w:val="center"/>
                    <w:rPr>
                      <w:b/>
                      <w:bCs/>
                      <w:color w:val="auto"/>
                      <w:szCs w:val="21"/>
                    </w:rPr>
                  </w:pPr>
                  <w:r>
                    <w:rPr>
                      <w:b/>
                      <w:bCs/>
                      <w:color w:val="auto"/>
                      <w:szCs w:val="21"/>
                    </w:rPr>
                    <w:t>(t/a)</w:t>
                  </w:r>
                </w:p>
              </w:tc>
              <w:tc>
                <w:tcPr>
                  <w:tcW w:w="632" w:type="pct"/>
                  <w:vMerge w:val="continue"/>
                  <w:vAlign w:val="center"/>
                </w:tcPr>
                <w:p w14:paraId="065936E0">
                  <w:pPr>
                    <w:adjustRightInd w:val="0"/>
                    <w:snapToGrid w:val="0"/>
                    <w:jc w:val="center"/>
                    <w:rPr>
                      <w:b/>
                      <w:bCs/>
                      <w:color w:val="auto"/>
                      <w:szCs w:val="21"/>
                    </w:rPr>
                  </w:pPr>
                </w:p>
              </w:tc>
              <w:tc>
                <w:tcPr>
                  <w:tcW w:w="359" w:type="pct"/>
                  <w:vMerge w:val="continue"/>
                  <w:vAlign w:val="center"/>
                </w:tcPr>
                <w:p w14:paraId="669B1405">
                  <w:pPr>
                    <w:adjustRightInd w:val="0"/>
                    <w:snapToGrid w:val="0"/>
                    <w:jc w:val="center"/>
                    <w:rPr>
                      <w:b/>
                      <w:bCs/>
                      <w:color w:val="auto"/>
                      <w:szCs w:val="21"/>
                    </w:rPr>
                  </w:pPr>
                </w:p>
              </w:tc>
              <w:tc>
                <w:tcPr>
                  <w:tcW w:w="382" w:type="pct"/>
                  <w:vAlign w:val="center"/>
                </w:tcPr>
                <w:p w14:paraId="25B97893">
                  <w:pPr>
                    <w:adjustRightInd w:val="0"/>
                    <w:snapToGrid w:val="0"/>
                    <w:jc w:val="center"/>
                    <w:rPr>
                      <w:b/>
                      <w:bCs/>
                      <w:color w:val="auto"/>
                      <w:szCs w:val="21"/>
                    </w:rPr>
                  </w:pPr>
                  <w:r>
                    <w:rPr>
                      <w:rFonts w:hint="eastAsia"/>
                      <w:b/>
                      <w:bCs/>
                      <w:color w:val="auto"/>
                      <w:szCs w:val="21"/>
                    </w:rPr>
                    <w:t>浓度</w:t>
                  </w:r>
                </w:p>
                <w:p w14:paraId="4D81B79C">
                  <w:pPr>
                    <w:adjustRightInd w:val="0"/>
                    <w:snapToGrid w:val="0"/>
                    <w:jc w:val="center"/>
                    <w:rPr>
                      <w:b/>
                      <w:bCs/>
                      <w:color w:val="auto"/>
                      <w:szCs w:val="21"/>
                    </w:rPr>
                  </w:pPr>
                  <w:r>
                    <w:rPr>
                      <w:b/>
                      <w:bCs/>
                      <w:color w:val="auto"/>
                      <w:szCs w:val="21"/>
                    </w:rPr>
                    <w:t>(mg/L)</w:t>
                  </w:r>
                </w:p>
              </w:tc>
              <w:tc>
                <w:tcPr>
                  <w:tcW w:w="347" w:type="pct"/>
                  <w:vAlign w:val="center"/>
                </w:tcPr>
                <w:p w14:paraId="32FC9B17">
                  <w:pPr>
                    <w:adjustRightInd w:val="0"/>
                    <w:snapToGrid w:val="0"/>
                    <w:jc w:val="center"/>
                    <w:rPr>
                      <w:b/>
                      <w:bCs/>
                      <w:color w:val="auto"/>
                      <w:szCs w:val="21"/>
                    </w:rPr>
                  </w:pPr>
                  <w:r>
                    <w:rPr>
                      <w:rFonts w:hint="eastAsia"/>
                      <w:b/>
                      <w:bCs/>
                      <w:color w:val="auto"/>
                      <w:szCs w:val="21"/>
                    </w:rPr>
                    <w:t>排放量</w:t>
                  </w:r>
                </w:p>
                <w:p w14:paraId="7413A7D4">
                  <w:pPr>
                    <w:adjustRightInd w:val="0"/>
                    <w:snapToGrid w:val="0"/>
                    <w:jc w:val="center"/>
                    <w:rPr>
                      <w:b/>
                      <w:bCs/>
                      <w:color w:val="auto"/>
                      <w:szCs w:val="21"/>
                    </w:rPr>
                  </w:pPr>
                  <w:r>
                    <w:rPr>
                      <w:b/>
                      <w:bCs/>
                      <w:color w:val="auto"/>
                      <w:szCs w:val="21"/>
                    </w:rPr>
                    <w:t>(t/a)</w:t>
                  </w:r>
                </w:p>
              </w:tc>
              <w:tc>
                <w:tcPr>
                  <w:tcW w:w="538" w:type="pct"/>
                  <w:vMerge w:val="continue"/>
                  <w:vAlign w:val="center"/>
                </w:tcPr>
                <w:p w14:paraId="58C19D0A">
                  <w:pPr>
                    <w:adjustRightInd w:val="0"/>
                    <w:snapToGrid w:val="0"/>
                    <w:jc w:val="center"/>
                    <w:rPr>
                      <w:b/>
                      <w:bCs/>
                      <w:color w:val="auto"/>
                      <w:szCs w:val="21"/>
                    </w:rPr>
                  </w:pPr>
                </w:p>
              </w:tc>
              <w:tc>
                <w:tcPr>
                  <w:tcW w:w="504" w:type="pct"/>
                  <w:vMerge w:val="continue"/>
                  <w:vAlign w:val="center"/>
                </w:tcPr>
                <w:p w14:paraId="3E4F0DDA">
                  <w:pPr>
                    <w:adjustRightInd w:val="0"/>
                    <w:snapToGrid w:val="0"/>
                    <w:jc w:val="center"/>
                    <w:rPr>
                      <w:b/>
                      <w:bCs/>
                      <w:color w:val="auto"/>
                      <w:szCs w:val="21"/>
                    </w:rPr>
                  </w:pPr>
                </w:p>
              </w:tc>
              <w:tc>
                <w:tcPr>
                  <w:tcW w:w="496" w:type="pct"/>
                  <w:vMerge w:val="continue"/>
                  <w:vAlign w:val="center"/>
                </w:tcPr>
                <w:p w14:paraId="5209D86D">
                  <w:pPr>
                    <w:adjustRightInd w:val="0"/>
                    <w:snapToGrid w:val="0"/>
                    <w:jc w:val="center"/>
                    <w:rPr>
                      <w:b/>
                      <w:bCs/>
                      <w:color w:val="auto"/>
                      <w:szCs w:val="21"/>
                    </w:rPr>
                  </w:pPr>
                </w:p>
              </w:tc>
            </w:tr>
            <w:tr w14:paraId="1DCD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0" w:type="pct"/>
                  <w:vMerge w:val="restart"/>
                  <w:vAlign w:val="center"/>
                </w:tcPr>
                <w:p w14:paraId="03D235B3">
                  <w:pPr>
                    <w:adjustRightInd w:val="0"/>
                    <w:snapToGrid w:val="0"/>
                    <w:jc w:val="center"/>
                    <w:rPr>
                      <w:color w:val="auto"/>
                      <w:szCs w:val="21"/>
                    </w:rPr>
                  </w:pPr>
                  <w:r>
                    <w:rPr>
                      <w:rFonts w:hint="eastAsia"/>
                      <w:color w:val="auto"/>
                      <w:szCs w:val="21"/>
                    </w:rPr>
                    <w:t>生活污水</w:t>
                  </w:r>
                </w:p>
              </w:tc>
              <w:tc>
                <w:tcPr>
                  <w:tcW w:w="408" w:type="pct"/>
                  <w:vMerge w:val="restart"/>
                  <w:vAlign w:val="center"/>
                </w:tcPr>
                <w:p w14:paraId="71BDC72E">
                  <w:pPr>
                    <w:adjustRightInd w:val="0"/>
                    <w:snapToGrid w:val="0"/>
                    <w:jc w:val="center"/>
                    <w:rPr>
                      <w:color w:val="auto"/>
                      <w:szCs w:val="21"/>
                    </w:rPr>
                  </w:pPr>
                  <w:r>
                    <w:rPr>
                      <w:rFonts w:hint="eastAsia"/>
                      <w:color w:val="auto"/>
                      <w:szCs w:val="21"/>
                    </w:rPr>
                    <w:t>3661.92</w:t>
                  </w:r>
                </w:p>
              </w:tc>
              <w:tc>
                <w:tcPr>
                  <w:tcW w:w="373" w:type="pct"/>
                  <w:vAlign w:val="center"/>
                </w:tcPr>
                <w:p w14:paraId="75824DB9">
                  <w:pPr>
                    <w:topLinePunct/>
                    <w:jc w:val="center"/>
                    <w:rPr>
                      <w:color w:val="auto"/>
                      <w:szCs w:val="21"/>
                    </w:rPr>
                  </w:pPr>
                  <w:r>
                    <w:rPr>
                      <w:color w:val="auto"/>
                      <w:szCs w:val="21"/>
                    </w:rPr>
                    <w:t>COD</w:t>
                  </w:r>
                </w:p>
              </w:tc>
              <w:tc>
                <w:tcPr>
                  <w:tcW w:w="369" w:type="pct"/>
                  <w:vAlign w:val="center"/>
                </w:tcPr>
                <w:p w14:paraId="783EBD09">
                  <w:pPr>
                    <w:jc w:val="center"/>
                    <w:rPr>
                      <w:color w:val="auto"/>
                    </w:rPr>
                  </w:pPr>
                  <w:r>
                    <w:rPr>
                      <w:color w:val="auto"/>
                    </w:rPr>
                    <w:t>250</w:t>
                  </w:r>
                </w:p>
              </w:tc>
              <w:tc>
                <w:tcPr>
                  <w:tcW w:w="286" w:type="pct"/>
                  <w:vAlign w:val="center"/>
                </w:tcPr>
                <w:p w14:paraId="11635A69">
                  <w:pPr>
                    <w:jc w:val="center"/>
                    <w:rPr>
                      <w:color w:val="auto"/>
                    </w:rPr>
                  </w:pPr>
                  <w:r>
                    <w:rPr>
                      <w:color w:val="auto"/>
                    </w:rPr>
                    <w:t>0.915</w:t>
                  </w:r>
                </w:p>
              </w:tc>
              <w:tc>
                <w:tcPr>
                  <w:tcW w:w="632" w:type="pct"/>
                  <w:vMerge w:val="restart"/>
                  <w:vAlign w:val="center"/>
                </w:tcPr>
                <w:p w14:paraId="05F99259">
                  <w:pPr>
                    <w:adjustRightInd w:val="0"/>
                    <w:snapToGrid w:val="0"/>
                    <w:jc w:val="center"/>
                    <w:rPr>
                      <w:color w:val="auto"/>
                      <w:szCs w:val="21"/>
                    </w:rPr>
                  </w:pPr>
                  <w:r>
                    <w:rPr>
                      <w:rFonts w:hint="eastAsia"/>
                      <w:color w:val="auto"/>
                      <w:szCs w:val="21"/>
                    </w:rPr>
                    <w:t>一期污水处理工艺（化粪池+混合废水处理系统（TW012）+中水回用系统（TW013）+排水池）</w:t>
                  </w:r>
                </w:p>
              </w:tc>
              <w:tc>
                <w:tcPr>
                  <w:tcW w:w="359" w:type="pct"/>
                  <w:vAlign w:val="center"/>
                </w:tcPr>
                <w:p w14:paraId="19B9A96C">
                  <w:pPr>
                    <w:widowControl/>
                    <w:jc w:val="center"/>
                    <w:textAlignment w:val="center"/>
                    <w:rPr>
                      <w:color w:val="auto"/>
                      <w:szCs w:val="21"/>
                    </w:rPr>
                  </w:pPr>
                  <w:r>
                    <w:rPr>
                      <w:rFonts w:hint="eastAsia"/>
                      <w:color w:val="auto"/>
                      <w:szCs w:val="21"/>
                    </w:rPr>
                    <w:t>45%</w:t>
                  </w:r>
                </w:p>
              </w:tc>
              <w:tc>
                <w:tcPr>
                  <w:tcW w:w="382" w:type="pct"/>
                  <w:vAlign w:val="center"/>
                </w:tcPr>
                <w:p w14:paraId="1E6BBFAC">
                  <w:pPr>
                    <w:jc w:val="center"/>
                    <w:rPr>
                      <w:color w:val="auto"/>
                    </w:rPr>
                  </w:pPr>
                  <w:r>
                    <w:rPr>
                      <w:rFonts w:hint="eastAsia"/>
                      <w:color w:val="auto"/>
                    </w:rPr>
                    <w:t>137.5</w:t>
                  </w:r>
                </w:p>
              </w:tc>
              <w:tc>
                <w:tcPr>
                  <w:tcW w:w="347" w:type="pct"/>
                  <w:vAlign w:val="center"/>
                </w:tcPr>
                <w:p w14:paraId="3F864A18">
                  <w:pPr>
                    <w:jc w:val="center"/>
                    <w:rPr>
                      <w:color w:val="auto"/>
                    </w:rPr>
                  </w:pPr>
                  <w:r>
                    <w:rPr>
                      <w:color w:val="auto"/>
                    </w:rPr>
                    <w:t>0.504</w:t>
                  </w:r>
                </w:p>
              </w:tc>
              <w:tc>
                <w:tcPr>
                  <w:tcW w:w="538" w:type="pct"/>
                  <w:vMerge w:val="restart"/>
                  <w:vAlign w:val="center"/>
                </w:tcPr>
                <w:p w14:paraId="1DF9912F">
                  <w:pPr>
                    <w:jc w:val="center"/>
                    <w:rPr>
                      <w:color w:val="auto"/>
                    </w:rPr>
                  </w:pPr>
                  <w:r>
                    <w:rPr>
                      <w:rFonts w:hint="eastAsia"/>
                      <w:color w:val="auto"/>
                    </w:rPr>
                    <w:t>排入赣州新能源汽车科技城污水处理厂处理后排入赣州市中心城区白塔污水处理厂处理后</w:t>
                  </w:r>
                  <w:r>
                    <w:rPr>
                      <w:color w:val="auto"/>
                    </w:rPr>
                    <w:t>，尾水</w:t>
                  </w:r>
                  <w:r>
                    <w:rPr>
                      <w:rFonts w:hint="eastAsia"/>
                      <w:color w:val="auto"/>
                    </w:rPr>
                    <w:t>最终汇入赣江</w:t>
                  </w:r>
                </w:p>
              </w:tc>
              <w:tc>
                <w:tcPr>
                  <w:tcW w:w="504" w:type="pct"/>
                  <w:vAlign w:val="center"/>
                </w:tcPr>
                <w:p w14:paraId="42D8C979">
                  <w:pPr>
                    <w:jc w:val="center"/>
                    <w:rPr>
                      <w:color w:val="auto"/>
                    </w:rPr>
                  </w:pPr>
                  <w:r>
                    <w:rPr>
                      <w:rFonts w:hint="eastAsia"/>
                      <w:color w:val="auto"/>
                    </w:rPr>
                    <w:t>50</w:t>
                  </w:r>
                </w:p>
              </w:tc>
              <w:tc>
                <w:tcPr>
                  <w:tcW w:w="496" w:type="pct"/>
                  <w:vAlign w:val="center"/>
                </w:tcPr>
                <w:p w14:paraId="145B58F3">
                  <w:pPr>
                    <w:jc w:val="center"/>
                    <w:rPr>
                      <w:color w:val="auto"/>
                    </w:rPr>
                  </w:pPr>
                  <w:r>
                    <w:rPr>
                      <w:color w:val="auto"/>
                    </w:rPr>
                    <w:t>0.183</w:t>
                  </w:r>
                </w:p>
              </w:tc>
            </w:tr>
            <w:tr w14:paraId="4BD2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300" w:type="pct"/>
                  <w:vMerge w:val="continue"/>
                  <w:vAlign w:val="center"/>
                </w:tcPr>
                <w:p w14:paraId="1E8A1DD6">
                  <w:pPr>
                    <w:adjustRightInd w:val="0"/>
                    <w:snapToGrid w:val="0"/>
                    <w:jc w:val="center"/>
                    <w:rPr>
                      <w:color w:val="auto"/>
                      <w:szCs w:val="21"/>
                    </w:rPr>
                  </w:pPr>
                </w:p>
              </w:tc>
              <w:tc>
                <w:tcPr>
                  <w:tcW w:w="408" w:type="pct"/>
                  <w:vMerge w:val="continue"/>
                  <w:vAlign w:val="center"/>
                </w:tcPr>
                <w:p w14:paraId="61C53D6B">
                  <w:pPr>
                    <w:adjustRightInd w:val="0"/>
                    <w:snapToGrid w:val="0"/>
                    <w:jc w:val="center"/>
                    <w:rPr>
                      <w:color w:val="auto"/>
                      <w:szCs w:val="21"/>
                    </w:rPr>
                  </w:pPr>
                </w:p>
              </w:tc>
              <w:tc>
                <w:tcPr>
                  <w:tcW w:w="373" w:type="pct"/>
                  <w:vAlign w:val="center"/>
                </w:tcPr>
                <w:p w14:paraId="79609A9E">
                  <w:pPr>
                    <w:topLinePunct/>
                    <w:jc w:val="center"/>
                    <w:rPr>
                      <w:color w:val="auto"/>
                      <w:szCs w:val="21"/>
                    </w:rPr>
                  </w:pPr>
                  <w:r>
                    <w:rPr>
                      <w:color w:val="auto"/>
                      <w:szCs w:val="21"/>
                    </w:rPr>
                    <w:t>BOD</w:t>
                  </w:r>
                  <w:r>
                    <w:rPr>
                      <w:color w:val="auto"/>
                      <w:szCs w:val="21"/>
                      <w:vertAlign w:val="subscript"/>
                    </w:rPr>
                    <w:t>5</w:t>
                  </w:r>
                </w:p>
              </w:tc>
              <w:tc>
                <w:tcPr>
                  <w:tcW w:w="369" w:type="pct"/>
                  <w:vAlign w:val="center"/>
                </w:tcPr>
                <w:p w14:paraId="7C254955">
                  <w:pPr>
                    <w:jc w:val="center"/>
                    <w:rPr>
                      <w:color w:val="auto"/>
                    </w:rPr>
                  </w:pPr>
                  <w:r>
                    <w:rPr>
                      <w:color w:val="auto"/>
                    </w:rPr>
                    <w:t>1</w:t>
                  </w:r>
                  <w:r>
                    <w:rPr>
                      <w:rFonts w:hint="eastAsia"/>
                      <w:color w:val="auto"/>
                      <w:lang w:val="en-US" w:eastAsia="zh-CN"/>
                    </w:rPr>
                    <w:t>5</w:t>
                  </w:r>
                  <w:r>
                    <w:rPr>
                      <w:color w:val="auto"/>
                    </w:rPr>
                    <w:t>0</w:t>
                  </w:r>
                </w:p>
              </w:tc>
              <w:tc>
                <w:tcPr>
                  <w:tcW w:w="286" w:type="pct"/>
                  <w:vAlign w:val="center"/>
                </w:tcPr>
                <w:p w14:paraId="6EA22363">
                  <w:pPr>
                    <w:jc w:val="center"/>
                    <w:rPr>
                      <w:color w:val="auto"/>
                    </w:rPr>
                  </w:pPr>
                  <w:r>
                    <w:rPr>
                      <w:color w:val="auto"/>
                    </w:rPr>
                    <w:t>0.549</w:t>
                  </w:r>
                </w:p>
              </w:tc>
              <w:tc>
                <w:tcPr>
                  <w:tcW w:w="632" w:type="pct"/>
                  <w:vMerge w:val="continue"/>
                  <w:vAlign w:val="center"/>
                </w:tcPr>
                <w:p w14:paraId="6284FA96">
                  <w:pPr>
                    <w:adjustRightInd w:val="0"/>
                    <w:snapToGrid w:val="0"/>
                    <w:jc w:val="center"/>
                    <w:rPr>
                      <w:color w:val="auto"/>
                      <w:szCs w:val="21"/>
                    </w:rPr>
                  </w:pPr>
                </w:p>
              </w:tc>
              <w:tc>
                <w:tcPr>
                  <w:tcW w:w="359" w:type="pct"/>
                  <w:vAlign w:val="center"/>
                </w:tcPr>
                <w:p w14:paraId="71A30C1B">
                  <w:pPr>
                    <w:widowControl/>
                    <w:jc w:val="center"/>
                    <w:textAlignment w:val="center"/>
                    <w:rPr>
                      <w:color w:val="auto"/>
                      <w:szCs w:val="21"/>
                    </w:rPr>
                  </w:pPr>
                  <w:r>
                    <w:rPr>
                      <w:rFonts w:hint="eastAsia"/>
                      <w:color w:val="auto"/>
                      <w:szCs w:val="21"/>
                    </w:rPr>
                    <w:t>15%</w:t>
                  </w:r>
                </w:p>
              </w:tc>
              <w:tc>
                <w:tcPr>
                  <w:tcW w:w="382" w:type="pct"/>
                  <w:vAlign w:val="center"/>
                </w:tcPr>
                <w:p w14:paraId="6252684C">
                  <w:pPr>
                    <w:jc w:val="center"/>
                    <w:rPr>
                      <w:color w:val="auto"/>
                    </w:rPr>
                  </w:pPr>
                  <w:r>
                    <w:rPr>
                      <w:rFonts w:hint="eastAsia"/>
                      <w:color w:val="auto"/>
                    </w:rPr>
                    <w:t>127.5</w:t>
                  </w:r>
                </w:p>
              </w:tc>
              <w:tc>
                <w:tcPr>
                  <w:tcW w:w="347" w:type="pct"/>
                  <w:vAlign w:val="center"/>
                </w:tcPr>
                <w:p w14:paraId="7617191D">
                  <w:pPr>
                    <w:jc w:val="center"/>
                    <w:rPr>
                      <w:color w:val="auto"/>
                    </w:rPr>
                  </w:pPr>
                  <w:r>
                    <w:rPr>
                      <w:color w:val="auto"/>
                    </w:rPr>
                    <w:t>0.467</w:t>
                  </w:r>
                </w:p>
              </w:tc>
              <w:tc>
                <w:tcPr>
                  <w:tcW w:w="538" w:type="pct"/>
                  <w:vMerge w:val="continue"/>
                  <w:vAlign w:val="center"/>
                </w:tcPr>
                <w:p w14:paraId="66753D99">
                  <w:pPr>
                    <w:jc w:val="center"/>
                    <w:rPr>
                      <w:color w:val="auto"/>
                    </w:rPr>
                  </w:pPr>
                </w:p>
              </w:tc>
              <w:tc>
                <w:tcPr>
                  <w:tcW w:w="504" w:type="pct"/>
                  <w:vAlign w:val="center"/>
                </w:tcPr>
                <w:p w14:paraId="4A21F6C7">
                  <w:pPr>
                    <w:jc w:val="center"/>
                    <w:rPr>
                      <w:color w:val="auto"/>
                    </w:rPr>
                  </w:pPr>
                  <w:r>
                    <w:rPr>
                      <w:rFonts w:hint="eastAsia"/>
                      <w:color w:val="auto"/>
                    </w:rPr>
                    <w:t>10</w:t>
                  </w:r>
                </w:p>
              </w:tc>
              <w:tc>
                <w:tcPr>
                  <w:tcW w:w="496" w:type="pct"/>
                  <w:vAlign w:val="center"/>
                </w:tcPr>
                <w:p w14:paraId="3F72F367">
                  <w:pPr>
                    <w:jc w:val="center"/>
                    <w:rPr>
                      <w:color w:val="auto"/>
                    </w:rPr>
                  </w:pPr>
                  <w:r>
                    <w:rPr>
                      <w:color w:val="auto"/>
                    </w:rPr>
                    <w:t>0.037</w:t>
                  </w:r>
                </w:p>
              </w:tc>
            </w:tr>
            <w:tr w14:paraId="70A7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300" w:type="pct"/>
                  <w:vMerge w:val="continue"/>
                  <w:vAlign w:val="center"/>
                </w:tcPr>
                <w:p w14:paraId="2A6662F9">
                  <w:pPr>
                    <w:adjustRightInd w:val="0"/>
                    <w:snapToGrid w:val="0"/>
                    <w:jc w:val="center"/>
                    <w:rPr>
                      <w:color w:val="auto"/>
                      <w:szCs w:val="21"/>
                    </w:rPr>
                  </w:pPr>
                </w:p>
              </w:tc>
              <w:tc>
                <w:tcPr>
                  <w:tcW w:w="408" w:type="pct"/>
                  <w:vMerge w:val="continue"/>
                  <w:vAlign w:val="center"/>
                </w:tcPr>
                <w:p w14:paraId="5A5FDAAF">
                  <w:pPr>
                    <w:adjustRightInd w:val="0"/>
                    <w:snapToGrid w:val="0"/>
                    <w:jc w:val="center"/>
                    <w:rPr>
                      <w:color w:val="auto"/>
                      <w:szCs w:val="21"/>
                    </w:rPr>
                  </w:pPr>
                </w:p>
              </w:tc>
              <w:tc>
                <w:tcPr>
                  <w:tcW w:w="373" w:type="pct"/>
                  <w:vAlign w:val="center"/>
                </w:tcPr>
                <w:p w14:paraId="5E42DC7B">
                  <w:pPr>
                    <w:pStyle w:val="63"/>
                    <w:rPr>
                      <w:color w:val="auto"/>
                    </w:rPr>
                  </w:pPr>
                  <w:r>
                    <w:rPr>
                      <w:rFonts w:hint="eastAsia"/>
                      <w:color w:val="auto"/>
                    </w:rPr>
                    <w:t>SS</w:t>
                  </w:r>
                </w:p>
              </w:tc>
              <w:tc>
                <w:tcPr>
                  <w:tcW w:w="369" w:type="pct"/>
                  <w:vAlign w:val="center"/>
                </w:tcPr>
                <w:p w14:paraId="66EF9EC5">
                  <w:pPr>
                    <w:jc w:val="center"/>
                    <w:rPr>
                      <w:color w:val="auto"/>
                    </w:rPr>
                  </w:pPr>
                  <w:r>
                    <w:rPr>
                      <w:color w:val="auto"/>
                    </w:rPr>
                    <w:t>200</w:t>
                  </w:r>
                </w:p>
              </w:tc>
              <w:tc>
                <w:tcPr>
                  <w:tcW w:w="286" w:type="pct"/>
                  <w:vAlign w:val="center"/>
                </w:tcPr>
                <w:p w14:paraId="60668D81">
                  <w:pPr>
                    <w:jc w:val="center"/>
                    <w:rPr>
                      <w:color w:val="auto"/>
                    </w:rPr>
                  </w:pPr>
                  <w:r>
                    <w:rPr>
                      <w:color w:val="auto"/>
                    </w:rPr>
                    <w:t>0.732</w:t>
                  </w:r>
                </w:p>
              </w:tc>
              <w:tc>
                <w:tcPr>
                  <w:tcW w:w="632" w:type="pct"/>
                  <w:vMerge w:val="continue"/>
                  <w:vAlign w:val="center"/>
                </w:tcPr>
                <w:p w14:paraId="6AF143FF">
                  <w:pPr>
                    <w:adjustRightInd w:val="0"/>
                    <w:snapToGrid w:val="0"/>
                    <w:jc w:val="center"/>
                    <w:rPr>
                      <w:color w:val="auto"/>
                      <w:szCs w:val="21"/>
                    </w:rPr>
                  </w:pPr>
                </w:p>
              </w:tc>
              <w:tc>
                <w:tcPr>
                  <w:tcW w:w="359" w:type="pct"/>
                  <w:vAlign w:val="center"/>
                </w:tcPr>
                <w:p w14:paraId="4F1DDA3C">
                  <w:pPr>
                    <w:widowControl/>
                    <w:jc w:val="center"/>
                    <w:textAlignment w:val="center"/>
                    <w:rPr>
                      <w:color w:val="auto"/>
                      <w:szCs w:val="21"/>
                    </w:rPr>
                  </w:pPr>
                  <w:r>
                    <w:rPr>
                      <w:rFonts w:hint="eastAsia"/>
                      <w:color w:val="auto"/>
                      <w:szCs w:val="21"/>
                    </w:rPr>
                    <w:t>10%</w:t>
                  </w:r>
                </w:p>
              </w:tc>
              <w:tc>
                <w:tcPr>
                  <w:tcW w:w="382" w:type="pct"/>
                  <w:vAlign w:val="center"/>
                </w:tcPr>
                <w:p w14:paraId="6243EAB1">
                  <w:pPr>
                    <w:jc w:val="center"/>
                    <w:rPr>
                      <w:color w:val="auto"/>
                    </w:rPr>
                  </w:pPr>
                  <w:r>
                    <w:rPr>
                      <w:rFonts w:hint="eastAsia"/>
                      <w:color w:val="auto"/>
                    </w:rPr>
                    <w:t>180</w:t>
                  </w:r>
                </w:p>
              </w:tc>
              <w:tc>
                <w:tcPr>
                  <w:tcW w:w="347" w:type="pct"/>
                  <w:vAlign w:val="center"/>
                </w:tcPr>
                <w:p w14:paraId="78712F39">
                  <w:pPr>
                    <w:jc w:val="center"/>
                    <w:rPr>
                      <w:color w:val="auto"/>
                    </w:rPr>
                  </w:pPr>
                  <w:r>
                    <w:rPr>
                      <w:color w:val="auto"/>
                    </w:rPr>
                    <w:t>0.659</w:t>
                  </w:r>
                </w:p>
              </w:tc>
              <w:tc>
                <w:tcPr>
                  <w:tcW w:w="538" w:type="pct"/>
                  <w:vMerge w:val="continue"/>
                  <w:vAlign w:val="center"/>
                </w:tcPr>
                <w:p w14:paraId="565F9BC6">
                  <w:pPr>
                    <w:jc w:val="center"/>
                    <w:rPr>
                      <w:color w:val="auto"/>
                    </w:rPr>
                  </w:pPr>
                </w:p>
              </w:tc>
              <w:tc>
                <w:tcPr>
                  <w:tcW w:w="504" w:type="pct"/>
                  <w:vAlign w:val="center"/>
                </w:tcPr>
                <w:p w14:paraId="5C9E01E6">
                  <w:pPr>
                    <w:jc w:val="center"/>
                    <w:rPr>
                      <w:color w:val="auto"/>
                    </w:rPr>
                  </w:pPr>
                  <w:r>
                    <w:rPr>
                      <w:rFonts w:hint="eastAsia"/>
                      <w:color w:val="auto"/>
                    </w:rPr>
                    <w:t>10</w:t>
                  </w:r>
                </w:p>
              </w:tc>
              <w:tc>
                <w:tcPr>
                  <w:tcW w:w="496" w:type="pct"/>
                  <w:vAlign w:val="center"/>
                </w:tcPr>
                <w:p w14:paraId="22AE2896">
                  <w:pPr>
                    <w:jc w:val="center"/>
                    <w:rPr>
                      <w:color w:val="auto"/>
                    </w:rPr>
                  </w:pPr>
                  <w:r>
                    <w:rPr>
                      <w:color w:val="auto"/>
                    </w:rPr>
                    <w:t>0.037</w:t>
                  </w:r>
                </w:p>
              </w:tc>
            </w:tr>
            <w:tr w14:paraId="14E3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2355E600">
                  <w:pPr>
                    <w:adjustRightInd w:val="0"/>
                    <w:snapToGrid w:val="0"/>
                    <w:jc w:val="center"/>
                    <w:rPr>
                      <w:color w:val="auto"/>
                      <w:szCs w:val="21"/>
                    </w:rPr>
                  </w:pPr>
                </w:p>
              </w:tc>
              <w:tc>
                <w:tcPr>
                  <w:tcW w:w="408" w:type="pct"/>
                  <w:vMerge w:val="continue"/>
                  <w:vAlign w:val="center"/>
                </w:tcPr>
                <w:p w14:paraId="495E9858">
                  <w:pPr>
                    <w:adjustRightInd w:val="0"/>
                    <w:snapToGrid w:val="0"/>
                    <w:jc w:val="center"/>
                    <w:rPr>
                      <w:color w:val="auto"/>
                      <w:szCs w:val="21"/>
                    </w:rPr>
                  </w:pPr>
                </w:p>
              </w:tc>
              <w:tc>
                <w:tcPr>
                  <w:tcW w:w="373" w:type="pct"/>
                  <w:vAlign w:val="center"/>
                </w:tcPr>
                <w:p w14:paraId="4F481FCE">
                  <w:pPr>
                    <w:pStyle w:val="63"/>
                    <w:rPr>
                      <w:color w:val="auto"/>
                    </w:rPr>
                  </w:pPr>
                  <w:r>
                    <w:rPr>
                      <w:rFonts w:hint="eastAsia"/>
                      <w:color w:val="auto"/>
                    </w:rPr>
                    <w:t>NH</w:t>
                  </w:r>
                  <w:r>
                    <w:rPr>
                      <w:color w:val="auto"/>
                      <w:vertAlign w:val="subscript"/>
                    </w:rPr>
                    <w:t>3</w:t>
                  </w:r>
                  <w:r>
                    <w:rPr>
                      <w:color w:val="auto"/>
                    </w:rPr>
                    <w:t>-N</w:t>
                  </w:r>
                </w:p>
              </w:tc>
              <w:tc>
                <w:tcPr>
                  <w:tcW w:w="369" w:type="pct"/>
                  <w:vAlign w:val="center"/>
                </w:tcPr>
                <w:p w14:paraId="19877C2E">
                  <w:pPr>
                    <w:jc w:val="center"/>
                    <w:rPr>
                      <w:color w:val="auto"/>
                    </w:rPr>
                  </w:pPr>
                  <w:r>
                    <w:rPr>
                      <w:color w:val="auto"/>
                    </w:rPr>
                    <w:t>25</w:t>
                  </w:r>
                </w:p>
              </w:tc>
              <w:tc>
                <w:tcPr>
                  <w:tcW w:w="286" w:type="pct"/>
                  <w:vAlign w:val="center"/>
                </w:tcPr>
                <w:p w14:paraId="02B49D79">
                  <w:pPr>
                    <w:jc w:val="center"/>
                    <w:rPr>
                      <w:color w:val="auto"/>
                    </w:rPr>
                  </w:pPr>
                  <w:r>
                    <w:rPr>
                      <w:color w:val="auto"/>
                    </w:rPr>
                    <w:t>0.092</w:t>
                  </w:r>
                </w:p>
              </w:tc>
              <w:tc>
                <w:tcPr>
                  <w:tcW w:w="632" w:type="pct"/>
                  <w:vMerge w:val="continue"/>
                  <w:vAlign w:val="center"/>
                </w:tcPr>
                <w:p w14:paraId="5DF8C654">
                  <w:pPr>
                    <w:adjustRightInd w:val="0"/>
                    <w:snapToGrid w:val="0"/>
                    <w:jc w:val="center"/>
                    <w:rPr>
                      <w:color w:val="auto"/>
                      <w:szCs w:val="21"/>
                    </w:rPr>
                  </w:pPr>
                </w:p>
              </w:tc>
              <w:tc>
                <w:tcPr>
                  <w:tcW w:w="359" w:type="pct"/>
                  <w:vAlign w:val="center"/>
                </w:tcPr>
                <w:p w14:paraId="4D83E3E3">
                  <w:pPr>
                    <w:widowControl/>
                    <w:jc w:val="center"/>
                    <w:textAlignment w:val="center"/>
                    <w:rPr>
                      <w:color w:val="auto"/>
                      <w:szCs w:val="21"/>
                    </w:rPr>
                  </w:pPr>
                  <w:r>
                    <w:rPr>
                      <w:rFonts w:hint="eastAsia"/>
                      <w:color w:val="auto"/>
                      <w:szCs w:val="21"/>
                    </w:rPr>
                    <w:t>35%</w:t>
                  </w:r>
                </w:p>
              </w:tc>
              <w:tc>
                <w:tcPr>
                  <w:tcW w:w="382" w:type="pct"/>
                  <w:vAlign w:val="center"/>
                </w:tcPr>
                <w:p w14:paraId="3FA3E3A8">
                  <w:pPr>
                    <w:jc w:val="center"/>
                    <w:rPr>
                      <w:color w:val="auto"/>
                    </w:rPr>
                  </w:pPr>
                  <w:r>
                    <w:rPr>
                      <w:rFonts w:hint="eastAsia"/>
                      <w:color w:val="auto"/>
                    </w:rPr>
                    <w:t>16.25</w:t>
                  </w:r>
                </w:p>
              </w:tc>
              <w:tc>
                <w:tcPr>
                  <w:tcW w:w="347" w:type="pct"/>
                  <w:vAlign w:val="center"/>
                </w:tcPr>
                <w:p w14:paraId="27CF61F0">
                  <w:pPr>
                    <w:jc w:val="center"/>
                    <w:rPr>
                      <w:color w:val="auto"/>
                    </w:rPr>
                  </w:pPr>
                  <w:r>
                    <w:rPr>
                      <w:color w:val="auto"/>
                    </w:rPr>
                    <w:t>0.060</w:t>
                  </w:r>
                </w:p>
              </w:tc>
              <w:tc>
                <w:tcPr>
                  <w:tcW w:w="538" w:type="pct"/>
                  <w:vMerge w:val="continue"/>
                  <w:vAlign w:val="center"/>
                </w:tcPr>
                <w:p w14:paraId="3F58618B">
                  <w:pPr>
                    <w:jc w:val="center"/>
                    <w:rPr>
                      <w:color w:val="auto"/>
                    </w:rPr>
                  </w:pPr>
                </w:p>
              </w:tc>
              <w:tc>
                <w:tcPr>
                  <w:tcW w:w="504" w:type="pct"/>
                  <w:vAlign w:val="center"/>
                </w:tcPr>
                <w:p w14:paraId="27B3FBE6">
                  <w:pPr>
                    <w:jc w:val="center"/>
                    <w:rPr>
                      <w:color w:val="auto"/>
                    </w:rPr>
                  </w:pPr>
                  <w:r>
                    <w:rPr>
                      <w:rFonts w:hint="eastAsia"/>
                      <w:color w:val="auto"/>
                    </w:rPr>
                    <w:t>5</w:t>
                  </w:r>
                </w:p>
              </w:tc>
              <w:tc>
                <w:tcPr>
                  <w:tcW w:w="496" w:type="pct"/>
                  <w:vAlign w:val="center"/>
                </w:tcPr>
                <w:p w14:paraId="12D5D76B">
                  <w:pPr>
                    <w:jc w:val="center"/>
                    <w:rPr>
                      <w:color w:val="auto"/>
                    </w:rPr>
                  </w:pPr>
                  <w:r>
                    <w:rPr>
                      <w:color w:val="auto"/>
                    </w:rPr>
                    <w:t>0.018</w:t>
                  </w:r>
                </w:p>
              </w:tc>
            </w:tr>
            <w:tr w14:paraId="284B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restart"/>
                  <w:vAlign w:val="center"/>
                </w:tcPr>
                <w:p w14:paraId="045B7051">
                  <w:pPr>
                    <w:adjustRightInd w:val="0"/>
                    <w:snapToGrid w:val="0"/>
                    <w:jc w:val="center"/>
                    <w:rPr>
                      <w:color w:val="auto"/>
                      <w:szCs w:val="21"/>
                    </w:rPr>
                  </w:pPr>
                  <w:r>
                    <w:rPr>
                      <w:rFonts w:hint="eastAsia"/>
                      <w:color w:val="auto"/>
                      <w:szCs w:val="21"/>
                    </w:rPr>
                    <w:t>清洗废水</w:t>
                  </w:r>
                </w:p>
              </w:tc>
              <w:tc>
                <w:tcPr>
                  <w:tcW w:w="408" w:type="pct"/>
                  <w:vMerge w:val="restart"/>
                  <w:vAlign w:val="center"/>
                </w:tcPr>
                <w:p w14:paraId="1AA9ED4D">
                  <w:pPr>
                    <w:adjustRightInd w:val="0"/>
                    <w:snapToGrid w:val="0"/>
                    <w:jc w:val="center"/>
                    <w:rPr>
                      <w:color w:val="auto"/>
                      <w:szCs w:val="21"/>
                    </w:rPr>
                  </w:pPr>
                  <w:r>
                    <w:rPr>
                      <w:rFonts w:hint="eastAsia"/>
                      <w:color w:val="auto"/>
                      <w:szCs w:val="21"/>
                    </w:rPr>
                    <w:t>400</w:t>
                  </w:r>
                </w:p>
              </w:tc>
              <w:tc>
                <w:tcPr>
                  <w:tcW w:w="373" w:type="pct"/>
                  <w:shd w:val="clear" w:color="auto" w:fill="auto"/>
                  <w:vAlign w:val="center"/>
                </w:tcPr>
                <w:p w14:paraId="0DA5767A">
                  <w:pPr>
                    <w:topLinePunct/>
                    <w:jc w:val="center"/>
                    <w:rPr>
                      <w:color w:val="auto"/>
                      <w:szCs w:val="21"/>
                    </w:rPr>
                  </w:pPr>
                  <w:r>
                    <w:rPr>
                      <w:color w:val="auto"/>
                      <w:szCs w:val="21"/>
                    </w:rPr>
                    <w:t>COD</w:t>
                  </w:r>
                </w:p>
              </w:tc>
              <w:tc>
                <w:tcPr>
                  <w:tcW w:w="369" w:type="pct"/>
                  <w:vAlign w:val="center"/>
                </w:tcPr>
                <w:p w14:paraId="4CEF0D82">
                  <w:pPr>
                    <w:jc w:val="center"/>
                    <w:rPr>
                      <w:color w:val="auto"/>
                    </w:rPr>
                  </w:pPr>
                  <w:r>
                    <w:rPr>
                      <w:color w:val="auto"/>
                    </w:rPr>
                    <w:t>300</w:t>
                  </w:r>
                </w:p>
              </w:tc>
              <w:tc>
                <w:tcPr>
                  <w:tcW w:w="286" w:type="pct"/>
                  <w:vAlign w:val="center"/>
                </w:tcPr>
                <w:p w14:paraId="5377EC17">
                  <w:pPr>
                    <w:jc w:val="center"/>
                    <w:rPr>
                      <w:color w:val="auto"/>
                    </w:rPr>
                  </w:pPr>
                  <w:r>
                    <w:rPr>
                      <w:color w:val="auto"/>
                    </w:rPr>
                    <w:t>0.120</w:t>
                  </w:r>
                </w:p>
              </w:tc>
              <w:tc>
                <w:tcPr>
                  <w:tcW w:w="632" w:type="pct"/>
                  <w:vMerge w:val="restart"/>
                  <w:vAlign w:val="center"/>
                </w:tcPr>
                <w:p w14:paraId="369C486C">
                  <w:pPr>
                    <w:adjustRightInd w:val="0"/>
                    <w:snapToGrid w:val="0"/>
                    <w:jc w:val="center"/>
                    <w:rPr>
                      <w:color w:val="auto"/>
                      <w:szCs w:val="21"/>
                    </w:rPr>
                  </w:pPr>
                  <w:r>
                    <w:rPr>
                      <w:rFonts w:hint="eastAsia"/>
                      <w:color w:val="auto"/>
                      <w:szCs w:val="21"/>
                    </w:rPr>
                    <w:t>污水收集池+一期污水处理工艺（前处理废水（TW001）+混合废水处理系统（TW012）+中水回用系统（TW013）+排水池）</w:t>
                  </w:r>
                </w:p>
              </w:tc>
              <w:tc>
                <w:tcPr>
                  <w:tcW w:w="359" w:type="pct"/>
                  <w:vAlign w:val="center"/>
                </w:tcPr>
                <w:p w14:paraId="28B0C248">
                  <w:pPr>
                    <w:widowControl/>
                    <w:jc w:val="center"/>
                    <w:textAlignment w:val="center"/>
                    <w:rPr>
                      <w:color w:val="auto"/>
                      <w:szCs w:val="21"/>
                    </w:rPr>
                  </w:pPr>
                  <w:r>
                    <w:rPr>
                      <w:rFonts w:eastAsia="Times New Roman"/>
                      <w:color w:val="auto"/>
                      <w:spacing w:val="-1"/>
                      <w:szCs w:val="21"/>
                    </w:rPr>
                    <w:t>45</w:t>
                  </w:r>
                  <w:r>
                    <w:rPr>
                      <w:rFonts w:hint="eastAsia"/>
                      <w:color w:val="auto"/>
                      <w:spacing w:val="-1"/>
                      <w:szCs w:val="21"/>
                    </w:rPr>
                    <w:t>%</w:t>
                  </w:r>
                </w:p>
              </w:tc>
              <w:tc>
                <w:tcPr>
                  <w:tcW w:w="382" w:type="pct"/>
                  <w:vAlign w:val="center"/>
                </w:tcPr>
                <w:p w14:paraId="51F54798">
                  <w:pPr>
                    <w:jc w:val="center"/>
                    <w:rPr>
                      <w:color w:val="auto"/>
                    </w:rPr>
                  </w:pPr>
                  <w:r>
                    <w:rPr>
                      <w:rFonts w:hint="eastAsia"/>
                      <w:color w:val="auto"/>
                    </w:rPr>
                    <w:t>165</w:t>
                  </w:r>
                </w:p>
              </w:tc>
              <w:tc>
                <w:tcPr>
                  <w:tcW w:w="347" w:type="pct"/>
                  <w:vAlign w:val="center"/>
                </w:tcPr>
                <w:p w14:paraId="16A77EC1">
                  <w:pPr>
                    <w:jc w:val="center"/>
                    <w:rPr>
                      <w:color w:val="auto"/>
                    </w:rPr>
                  </w:pPr>
                  <w:r>
                    <w:rPr>
                      <w:color w:val="auto"/>
                    </w:rPr>
                    <w:t>0.066</w:t>
                  </w:r>
                </w:p>
              </w:tc>
              <w:tc>
                <w:tcPr>
                  <w:tcW w:w="538" w:type="pct"/>
                  <w:vMerge w:val="continue"/>
                  <w:vAlign w:val="center"/>
                </w:tcPr>
                <w:p w14:paraId="02E84559">
                  <w:pPr>
                    <w:jc w:val="center"/>
                    <w:rPr>
                      <w:color w:val="auto"/>
                    </w:rPr>
                  </w:pPr>
                </w:p>
              </w:tc>
              <w:tc>
                <w:tcPr>
                  <w:tcW w:w="504" w:type="pct"/>
                  <w:vAlign w:val="center"/>
                </w:tcPr>
                <w:p w14:paraId="125EF3AE">
                  <w:pPr>
                    <w:jc w:val="center"/>
                    <w:rPr>
                      <w:color w:val="auto"/>
                    </w:rPr>
                  </w:pPr>
                  <w:r>
                    <w:rPr>
                      <w:rFonts w:hint="eastAsia"/>
                      <w:color w:val="auto"/>
                    </w:rPr>
                    <w:t>50</w:t>
                  </w:r>
                </w:p>
              </w:tc>
              <w:tc>
                <w:tcPr>
                  <w:tcW w:w="496" w:type="pct"/>
                  <w:vAlign w:val="center"/>
                </w:tcPr>
                <w:p w14:paraId="40D1BCE9">
                  <w:pPr>
                    <w:jc w:val="center"/>
                    <w:rPr>
                      <w:color w:val="auto"/>
                    </w:rPr>
                  </w:pPr>
                  <w:r>
                    <w:rPr>
                      <w:color w:val="auto"/>
                    </w:rPr>
                    <w:t>0.020</w:t>
                  </w:r>
                </w:p>
              </w:tc>
            </w:tr>
            <w:tr w14:paraId="7228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3E61B857">
                  <w:pPr>
                    <w:adjustRightInd w:val="0"/>
                    <w:snapToGrid w:val="0"/>
                    <w:jc w:val="center"/>
                    <w:rPr>
                      <w:color w:val="auto"/>
                      <w:szCs w:val="21"/>
                    </w:rPr>
                  </w:pPr>
                </w:p>
              </w:tc>
              <w:tc>
                <w:tcPr>
                  <w:tcW w:w="408" w:type="pct"/>
                  <w:vMerge w:val="continue"/>
                  <w:vAlign w:val="center"/>
                </w:tcPr>
                <w:p w14:paraId="667E6C6A">
                  <w:pPr>
                    <w:adjustRightInd w:val="0"/>
                    <w:snapToGrid w:val="0"/>
                    <w:jc w:val="center"/>
                    <w:rPr>
                      <w:color w:val="auto"/>
                      <w:szCs w:val="21"/>
                    </w:rPr>
                  </w:pPr>
                </w:p>
              </w:tc>
              <w:tc>
                <w:tcPr>
                  <w:tcW w:w="373" w:type="pct"/>
                  <w:shd w:val="clear" w:color="auto" w:fill="auto"/>
                  <w:vAlign w:val="center"/>
                </w:tcPr>
                <w:p w14:paraId="7AB33583">
                  <w:pPr>
                    <w:pStyle w:val="63"/>
                    <w:rPr>
                      <w:color w:val="auto"/>
                    </w:rPr>
                  </w:pPr>
                  <w:r>
                    <w:rPr>
                      <w:rFonts w:hint="eastAsia"/>
                      <w:color w:val="auto"/>
                    </w:rPr>
                    <w:t>总氮</w:t>
                  </w:r>
                </w:p>
              </w:tc>
              <w:tc>
                <w:tcPr>
                  <w:tcW w:w="369" w:type="pct"/>
                  <w:vAlign w:val="center"/>
                </w:tcPr>
                <w:p w14:paraId="18B5B4C0">
                  <w:pPr>
                    <w:jc w:val="center"/>
                    <w:rPr>
                      <w:color w:val="auto"/>
                    </w:rPr>
                  </w:pPr>
                  <w:r>
                    <w:rPr>
                      <w:color w:val="auto"/>
                    </w:rPr>
                    <w:t>20</w:t>
                  </w:r>
                </w:p>
              </w:tc>
              <w:tc>
                <w:tcPr>
                  <w:tcW w:w="286" w:type="pct"/>
                  <w:vAlign w:val="center"/>
                </w:tcPr>
                <w:p w14:paraId="4F759D0C">
                  <w:pPr>
                    <w:jc w:val="center"/>
                    <w:rPr>
                      <w:color w:val="auto"/>
                    </w:rPr>
                  </w:pPr>
                  <w:r>
                    <w:rPr>
                      <w:color w:val="auto"/>
                    </w:rPr>
                    <w:t>0.008</w:t>
                  </w:r>
                </w:p>
              </w:tc>
              <w:tc>
                <w:tcPr>
                  <w:tcW w:w="632" w:type="pct"/>
                  <w:vMerge w:val="continue"/>
                  <w:vAlign w:val="center"/>
                </w:tcPr>
                <w:p w14:paraId="53C12AE0">
                  <w:pPr>
                    <w:adjustRightInd w:val="0"/>
                    <w:snapToGrid w:val="0"/>
                    <w:jc w:val="center"/>
                    <w:rPr>
                      <w:color w:val="auto"/>
                      <w:szCs w:val="21"/>
                    </w:rPr>
                  </w:pPr>
                </w:p>
              </w:tc>
              <w:tc>
                <w:tcPr>
                  <w:tcW w:w="359" w:type="pct"/>
                  <w:vAlign w:val="center"/>
                </w:tcPr>
                <w:p w14:paraId="7431A289">
                  <w:pPr>
                    <w:widowControl/>
                    <w:jc w:val="center"/>
                    <w:textAlignment w:val="center"/>
                    <w:rPr>
                      <w:color w:val="auto"/>
                      <w:szCs w:val="21"/>
                    </w:rPr>
                  </w:pPr>
                  <w:r>
                    <w:rPr>
                      <w:rFonts w:eastAsia="Times New Roman"/>
                      <w:color w:val="auto"/>
                      <w:spacing w:val="-2"/>
                      <w:szCs w:val="21"/>
                    </w:rPr>
                    <w:t>70</w:t>
                  </w:r>
                  <w:r>
                    <w:rPr>
                      <w:rFonts w:hint="eastAsia"/>
                      <w:color w:val="auto"/>
                      <w:spacing w:val="-1"/>
                      <w:szCs w:val="21"/>
                    </w:rPr>
                    <w:t>%</w:t>
                  </w:r>
                </w:p>
              </w:tc>
              <w:tc>
                <w:tcPr>
                  <w:tcW w:w="382" w:type="pct"/>
                  <w:vAlign w:val="center"/>
                </w:tcPr>
                <w:p w14:paraId="62413378">
                  <w:pPr>
                    <w:jc w:val="center"/>
                    <w:rPr>
                      <w:color w:val="auto"/>
                    </w:rPr>
                  </w:pPr>
                  <w:r>
                    <w:rPr>
                      <w:rFonts w:hint="eastAsia"/>
                      <w:color w:val="auto"/>
                    </w:rPr>
                    <w:t>6</w:t>
                  </w:r>
                </w:p>
              </w:tc>
              <w:tc>
                <w:tcPr>
                  <w:tcW w:w="347" w:type="pct"/>
                  <w:vAlign w:val="center"/>
                </w:tcPr>
                <w:p w14:paraId="7CBDE6B3">
                  <w:pPr>
                    <w:jc w:val="center"/>
                    <w:rPr>
                      <w:color w:val="auto"/>
                    </w:rPr>
                  </w:pPr>
                  <w:r>
                    <w:rPr>
                      <w:color w:val="auto"/>
                    </w:rPr>
                    <w:t>0.002</w:t>
                  </w:r>
                </w:p>
              </w:tc>
              <w:tc>
                <w:tcPr>
                  <w:tcW w:w="538" w:type="pct"/>
                  <w:vMerge w:val="continue"/>
                  <w:vAlign w:val="center"/>
                </w:tcPr>
                <w:p w14:paraId="7ECAB1DB">
                  <w:pPr>
                    <w:jc w:val="center"/>
                    <w:rPr>
                      <w:color w:val="auto"/>
                    </w:rPr>
                  </w:pPr>
                </w:p>
              </w:tc>
              <w:tc>
                <w:tcPr>
                  <w:tcW w:w="504" w:type="pct"/>
                  <w:vAlign w:val="center"/>
                </w:tcPr>
                <w:p w14:paraId="39578FCC">
                  <w:pPr>
                    <w:jc w:val="center"/>
                    <w:rPr>
                      <w:color w:val="auto"/>
                    </w:rPr>
                  </w:pPr>
                  <w:r>
                    <w:rPr>
                      <w:rFonts w:hint="eastAsia"/>
                      <w:color w:val="auto"/>
                    </w:rPr>
                    <w:t>15</w:t>
                  </w:r>
                </w:p>
              </w:tc>
              <w:tc>
                <w:tcPr>
                  <w:tcW w:w="496" w:type="pct"/>
                  <w:vAlign w:val="center"/>
                </w:tcPr>
                <w:p w14:paraId="615EC14C">
                  <w:pPr>
                    <w:jc w:val="center"/>
                    <w:rPr>
                      <w:color w:val="auto"/>
                    </w:rPr>
                  </w:pPr>
                  <w:r>
                    <w:rPr>
                      <w:color w:val="auto"/>
                    </w:rPr>
                    <w:t>0.006</w:t>
                  </w:r>
                </w:p>
              </w:tc>
            </w:tr>
            <w:tr w14:paraId="1A23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66FBFC8A">
                  <w:pPr>
                    <w:adjustRightInd w:val="0"/>
                    <w:snapToGrid w:val="0"/>
                    <w:jc w:val="center"/>
                    <w:rPr>
                      <w:color w:val="auto"/>
                      <w:szCs w:val="21"/>
                    </w:rPr>
                  </w:pPr>
                </w:p>
              </w:tc>
              <w:tc>
                <w:tcPr>
                  <w:tcW w:w="408" w:type="pct"/>
                  <w:vMerge w:val="continue"/>
                  <w:vAlign w:val="center"/>
                </w:tcPr>
                <w:p w14:paraId="3385552A">
                  <w:pPr>
                    <w:adjustRightInd w:val="0"/>
                    <w:snapToGrid w:val="0"/>
                    <w:jc w:val="center"/>
                    <w:rPr>
                      <w:color w:val="auto"/>
                      <w:szCs w:val="21"/>
                    </w:rPr>
                  </w:pPr>
                </w:p>
              </w:tc>
              <w:tc>
                <w:tcPr>
                  <w:tcW w:w="373" w:type="pct"/>
                  <w:shd w:val="clear" w:color="auto" w:fill="auto"/>
                  <w:vAlign w:val="center"/>
                </w:tcPr>
                <w:p w14:paraId="39768D1F">
                  <w:pPr>
                    <w:pStyle w:val="63"/>
                    <w:rPr>
                      <w:color w:val="auto"/>
                    </w:rPr>
                  </w:pPr>
                  <w:r>
                    <w:rPr>
                      <w:rFonts w:hint="eastAsia"/>
                      <w:color w:val="auto"/>
                    </w:rPr>
                    <w:t>SS</w:t>
                  </w:r>
                </w:p>
              </w:tc>
              <w:tc>
                <w:tcPr>
                  <w:tcW w:w="369" w:type="pct"/>
                  <w:vAlign w:val="center"/>
                </w:tcPr>
                <w:p w14:paraId="63C02C79">
                  <w:pPr>
                    <w:jc w:val="center"/>
                    <w:rPr>
                      <w:color w:val="auto"/>
                    </w:rPr>
                  </w:pPr>
                  <w:r>
                    <w:rPr>
                      <w:color w:val="auto"/>
                    </w:rPr>
                    <w:t>100</w:t>
                  </w:r>
                </w:p>
              </w:tc>
              <w:tc>
                <w:tcPr>
                  <w:tcW w:w="286" w:type="pct"/>
                  <w:vAlign w:val="center"/>
                </w:tcPr>
                <w:p w14:paraId="2E51C1D5">
                  <w:pPr>
                    <w:jc w:val="center"/>
                    <w:rPr>
                      <w:color w:val="auto"/>
                    </w:rPr>
                  </w:pPr>
                  <w:r>
                    <w:rPr>
                      <w:color w:val="auto"/>
                    </w:rPr>
                    <w:t>0.040</w:t>
                  </w:r>
                </w:p>
              </w:tc>
              <w:tc>
                <w:tcPr>
                  <w:tcW w:w="632" w:type="pct"/>
                  <w:vMerge w:val="continue"/>
                  <w:vAlign w:val="center"/>
                </w:tcPr>
                <w:p w14:paraId="62E39F92">
                  <w:pPr>
                    <w:adjustRightInd w:val="0"/>
                    <w:snapToGrid w:val="0"/>
                    <w:jc w:val="center"/>
                    <w:rPr>
                      <w:color w:val="auto"/>
                      <w:szCs w:val="21"/>
                    </w:rPr>
                  </w:pPr>
                </w:p>
              </w:tc>
              <w:tc>
                <w:tcPr>
                  <w:tcW w:w="359" w:type="pct"/>
                  <w:vAlign w:val="center"/>
                </w:tcPr>
                <w:p w14:paraId="697668D2">
                  <w:pPr>
                    <w:widowControl/>
                    <w:jc w:val="center"/>
                    <w:textAlignment w:val="center"/>
                    <w:rPr>
                      <w:color w:val="auto"/>
                      <w:szCs w:val="21"/>
                    </w:rPr>
                  </w:pPr>
                  <w:r>
                    <w:rPr>
                      <w:rFonts w:hint="eastAsia"/>
                      <w:color w:val="auto"/>
                      <w:szCs w:val="21"/>
                    </w:rPr>
                    <w:t>35</w:t>
                  </w:r>
                  <w:r>
                    <w:rPr>
                      <w:rFonts w:hint="eastAsia"/>
                      <w:color w:val="auto"/>
                      <w:spacing w:val="-1"/>
                      <w:szCs w:val="21"/>
                    </w:rPr>
                    <w:t>%</w:t>
                  </w:r>
                </w:p>
              </w:tc>
              <w:tc>
                <w:tcPr>
                  <w:tcW w:w="382" w:type="pct"/>
                  <w:vAlign w:val="center"/>
                </w:tcPr>
                <w:p w14:paraId="141A6BF6">
                  <w:pPr>
                    <w:jc w:val="center"/>
                    <w:rPr>
                      <w:color w:val="auto"/>
                    </w:rPr>
                  </w:pPr>
                  <w:r>
                    <w:rPr>
                      <w:rFonts w:hint="eastAsia"/>
                      <w:color w:val="auto"/>
                    </w:rPr>
                    <w:t>65</w:t>
                  </w:r>
                </w:p>
              </w:tc>
              <w:tc>
                <w:tcPr>
                  <w:tcW w:w="347" w:type="pct"/>
                  <w:vAlign w:val="center"/>
                </w:tcPr>
                <w:p w14:paraId="45E86E45">
                  <w:pPr>
                    <w:jc w:val="center"/>
                    <w:rPr>
                      <w:color w:val="auto"/>
                    </w:rPr>
                  </w:pPr>
                  <w:r>
                    <w:rPr>
                      <w:color w:val="auto"/>
                    </w:rPr>
                    <w:t>0.026</w:t>
                  </w:r>
                </w:p>
              </w:tc>
              <w:tc>
                <w:tcPr>
                  <w:tcW w:w="538" w:type="pct"/>
                  <w:vMerge w:val="continue"/>
                  <w:vAlign w:val="center"/>
                </w:tcPr>
                <w:p w14:paraId="11C5E358">
                  <w:pPr>
                    <w:jc w:val="center"/>
                    <w:rPr>
                      <w:color w:val="auto"/>
                    </w:rPr>
                  </w:pPr>
                </w:p>
              </w:tc>
              <w:tc>
                <w:tcPr>
                  <w:tcW w:w="504" w:type="pct"/>
                  <w:vAlign w:val="center"/>
                </w:tcPr>
                <w:p w14:paraId="7CE77E02">
                  <w:pPr>
                    <w:jc w:val="center"/>
                    <w:rPr>
                      <w:color w:val="auto"/>
                    </w:rPr>
                  </w:pPr>
                  <w:r>
                    <w:rPr>
                      <w:rFonts w:hint="eastAsia"/>
                      <w:color w:val="auto"/>
                    </w:rPr>
                    <w:t>10</w:t>
                  </w:r>
                </w:p>
              </w:tc>
              <w:tc>
                <w:tcPr>
                  <w:tcW w:w="496" w:type="pct"/>
                  <w:vAlign w:val="center"/>
                </w:tcPr>
                <w:p w14:paraId="75D5E4FB">
                  <w:pPr>
                    <w:jc w:val="center"/>
                    <w:rPr>
                      <w:color w:val="auto"/>
                    </w:rPr>
                  </w:pPr>
                  <w:r>
                    <w:rPr>
                      <w:color w:val="auto"/>
                    </w:rPr>
                    <w:t>0.004</w:t>
                  </w:r>
                </w:p>
              </w:tc>
            </w:tr>
            <w:tr w14:paraId="08B8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1BB352C2">
                  <w:pPr>
                    <w:adjustRightInd w:val="0"/>
                    <w:snapToGrid w:val="0"/>
                    <w:jc w:val="center"/>
                    <w:rPr>
                      <w:color w:val="auto"/>
                      <w:szCs w:val="21"/>
                    </w:rPr>
                  </w:pPr>
                </w:p>
              </w:tc>
              <w:tc>
                <w:tcPr>
                  <w:tcW w:w="408" w:type="pct"/>
                  <w:vMerge w:val="continue"/>
                  <w:vAlign w:val="center"/>
                </w:tcPr>
                <w:p w14:paraId="66912D69">
                  <w:pPr>
                    <w:adjustRightInd w:val="0"/>
                    <w:snapToGrid w:val="0"/>
                    <w:jc w:val="center"/>
                    <w:rPr>
                      <w:color w:val="auto"/>
                      <w:szCs w:val="21"/>
                    </w:rPr>
                  </w:pPr>
                </w:p>
              </w:tc>
              <w:tc>
                <w:tcPr>
                  <w:tcW w:w="373" w:type="pct"/>
                  <w:shd w:val="clear" w:color="auto" w:fill="auto"/>
                  <w:vAlign w:val="center"/>
                </w:tcPr>
                <w:p w14:paraId="183D7475">
                  <w:pPr>
                    <w:pStyle w:val="63"/>
                    <w:rPr>
                      <w:color w:val="auto"/>
                    </w:rPr>
                  </w:pPr>
                  <w:r>
                    <w:rPr>
                      <w:rFonts w:hint="eastAsia"/>
                      <w:color w:val="auto"/>
                    </w:rPr>
                    <w:t>NH</w:t>
                  </w:r>
                  <w:r>
                    <w:rPr>
                      <w:color w:val="auto"/>
                      <w:vertAlign w:val="subscript"/>
                    </w:rPr>
                    <w:t>3</w:t>
                  </w:r>
                  <w:r>
                    <w:rPr>
                      <w:color w:val="auto"/>
                    </w:rPr>
                    <w:t>-N</w:t>
                  </w:r>
                </w:p>
              </w:tc>
              <w:tc>
                <w:tcPr>
                  <w:tcW w:w="369" w:type="pct"/>
                  <w:vAlign w:val="center"/>
                </w:tcPr>
                <w:p w14:paraId="25F0482A">
                  <w:pPr>
                    <w:jc w:val="center"/>
                    <w:rPr>
                      <w:color w:val="auto"/>
                    </w:rPr>
                  </w:pPr>
                  <w:r>
                    <w:rPr>
                      <w:color w:val="auto"/>
                    </w:rPr>
                    <w:t>15</w:t>
                  </w:r>
                </w:p>
              </w:tc>
              <w:tc>
                <w:tcPr>
                  <w:tcW w:w="286" w:type="pct"/>
                  <w:vAlign w:val="center"/>
                </w:tcPr>
                <w:p w14:paraId="31217ACA">
                  <w:pPr>
                    <w:jc w:val="center"/>
                    <w:rPr>
                      <w:color w:val="auto"/>
                    </w:rPr>
                  </w:pPr>
                  <w:r>
                    <w:rPr>
                      <w:color w:val="auto"/>
                    </w:rPr>
                    <w:t>0.006</w:t>
                  </w:r>
                </w:p>
              </w:tc>
              <w:tc>
                <w:tcPr>
                  <w:tcW w:w="632" w:type="pct"/>
                  <w:vMerge w:val="continue"/>
                  <w:vAlign w:val="center"/>
                </w:tcPr>
                <w:p w14:paraId="1C20C627">
                  <w:pPr>
                    <w:adjustRightInd w:val="0"/>
                    <w:snapToGrid w:val="0"/>
                    <w:jc w:val="center"/>
                    <w:rPr>
                      <w:color w:val="auto"/>
                      <w:szCs w:val="21"/>
                    </w:rPr>
                  </w:pPr>
                </w:p>
              </w:tc>
              <w:tc>
                <w:tcPr>
                  <w:tcW w:w="359" w:type="pct"/>
                  <w:vAlign w:val="center"/>
                </w:tcPr>
                <w:p w14:paraId="02207B23">
                  <w:pPr>
                    <w:widowControl/>
                    <w:jc w:val="center"/>
                    <w:textAlignment w:val="center"/>
                    <w:rPr>
                      <w:color w:val="auto"/>
                      <w:szCs w:val="21"/>
                    </w:rPr>
                  </w:pPr>
                  <w:r>
                    <w:rPr>
                      <w:rFonts w:eastAsia="Times New Roman"/>
                      <w:color w:val="auto"/>
                      <w:spacing w:val="-6"/>
                      <w:szCs w:val="21"/>
                    </w:rPr>
                    <w:t>10</w:t>
                  </w:r>
                  <w:r>
                    <w:rPr>
                      <w:rFonts w:hint="eastAsia"/>
                      <w:color w:val="auto"/>
                      <w:spacing w:val="-1"/>
                      <w:szCs w:val="21"/>
                    </w:rPr>
                    <w:t>%</w:t>
                  </w:r>
                </w:p>
              </w:tc>
              <w:tc>
                <w:tcPr>
                  <w:tcW w:w="382" w:type="pct"/>
                  <w:vAlign w:val="center"/>
                </w:tcPr>
                <w:p w14:paraId="37D4C914">
                  <w:pPr>
                    <w:jc w:val="center"/>
                    <w:rPr>
                      <w:color w:val="auto"/>
                    </w:rPr>
                  </w:pPr>
                  <w:r>
                    <w:rPr>
                      <w:rFonts w:hint="eastAsia"/>
                      <w:color w:val="auto"/>
                    </w:rPr>
                    <w:t>13.5</w:t>
                  </w:r>
                </w:p>
              </w:tc>
              <w:tc>
                <w:tcPr>
                  <w:tcW w:w="347" w:type="pct"/>
                  <w:vAlign w:val="center"/>
                </w:tcPr>
                <w:p w14:paraId="69B0E619">
                  <w:pPr>
                    <w:jc w:val="center"/>
                    <w:rPr>
                      <w:color w:val="auto"/>
                    </w:rPr>
                  </w:pPr>
                  <w:r>
                    <w:rPr>
                      <w:color w:val="auto"/>
                    </w:rPr>
                    <w:t>0.005</w:t>
                  </w:r>
                </w:p>
              </w:tc>
              <w:tc>
                <w:tcPr>
                  <w:tcW w:w="538" w:type="pct"/>
                  <w:vMerge w:val="continue"/>
                  <w:vAlign w:val="center"/>
                </w:tcPr>
                <w:p w14:paraId="69381775">
                  <w:pPr>
                    <w:jc w:val="center"/>
                    <w:rPr>
                      <w:color w:val="auto"/>
                    </w:rPr>
                  </w:pPr>
                </w:p>
              </w:tc>
              <w:tc>
                <w:tcPr>
                  <w:tcW w:w="504" w:type="pct"/>
                  <w:vAlign w:val="center"/>
                </w:tcPr>
                <w:p w14:paraId="03306943">
                  <w:pPr>
                    <w:jc w:val="center"/>
                    <w:rPr>
                      <w:color w:val="auto"/>
                    </w:rPr>
                  </w:pPr>
                  <w:r>
                    <w:rPr>
                      <w:rFonts w:hint="eastAsia"/>
                      <w:color w:val="auto"/>
                    </w:rPr>
                    <w:t>5</w:t>
                  </w:r>
                </w:p>
              </w:tc>
              <w:tc>
                <w:tcPr>
                  <w:tcW w:w="496" w:type="pct"/>
                  <w:vAlign w:val="center"/>
                </w:tcPr>
                <w:p w14:paraId="55C69BD1">
                  <w:pPr>
                    <w:jc w:val="center"/>
                    <w:rPr>
                      <w:color w:val="auto"/>
                    </w:rPr>
                  </w:pPr>
                  <w:r>
                    <w:rPr>
                      <w:color w:val="auto"/>
                    </w:rPr>
                    <w:t>0.002</w:t>
                  </w:r>
                </w:p>
              </w:tc>
            </w:tr>
            <w:tr w14:paraId="68E7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51774EFC">
                  <w:pPr>
                    <w:adjustRightInd w:val="0"/>
                    <w:snapToGrid w:val="0"/>
                    <w:jc w:val="center"/>
                    <w:rPr>
                      <w:color w:val="auto"/>
                      <w:szCs w:val="21"/>
                    </w:rPr>
                  </w:pPr>
                </w:p>
              </w:tc>
              <w:tc>
                <w:tcPr>
                  <w:tcW w:w="408" w:type="pct"/>
                  <w:vMerge w:val="continue"/>
                  <w:vAlign w:val="center"/>
                </w:tcPr>
                <w:p w14:paraId="43C9FDC1">
                  <w:pPr>
                    <w:adjustRightInd w:val="0"/>
                    <w:snapToGrid w:val="0"/>
                    <w:jc w:val="center"/>
                    <w:rPr>
                      <w:color w:val="auto"/>
                      <w:szCs w:val="21"/>
                    </w:rPr>
                  </w:pPr>
                </w:p>
              </w:tc>
              <w:tc>
                <w:tcPr>
                  <w:tcW w:w="373" w:type="pct"/>
                  <w:shd w:val="clear" w:color="auto" w:fill="auto"/>
                  <w:vAlign w:val="center"/>
                </w:tcPr>
                <w:p w14:paraId="6607C1E4">
                  <w:pPr>
                    <w:pStyle w:val="63"/>
                    <w:rPr>
                      <w:color w:val="auto"/>
                    </w:rPr>
                  </w:pPr>
                  <w:r>
                    <w:rPr>
                      <w:rStyle w:val="31"/>
                      <w:rFonts w:hint="eastAsia"/>
                      <w:color w:val="auto"/>
                    </w:rPr>
                    <w:t>石油类</w:t>
                  </w:r>
                </w:p>
              </w:tc>
              <w:tc>
                <w:tcPr>
                  <w:tcW w:w="369" w:type="pct"/>
                  <w:vAlign w:val="center"/>
                </w:tcPr>
                <w:p w14:paraId="2B6A99C4">
                  <w:pPr>
                    <w:jc w:val="center"/>
                    <w:rPr>
                      <w:color w:val="auto"/>
                    </w:rPr>
                  </w:pPr>
                  <w:r>
                    <w:rPr>
                      <w:color w:val="auto"/>
                    </w:rPr>
                    <w:t>50</w:t>
                  </w:r>
                </w:p>
              </w:tc>
              <w:tc>
                <w:tcPr>
                  <w:tcW w:w="286" w:type="pct"/>
                  <w:vAlign w:val="center"/>
                </w:tcPr>
                <w:p w14:paraId="06AB126E">
                  <w:pPr>
                    <w:jc w:val="center"/>
                    <w:rPr>
                      <w:color w:val="auto"/>
                    </w:rPr>
                  </w:pPr>
                  <w:r>
                    <w:rPr>
                      <w:color w:val="auto"/>
                    </w:rPr>
                    <w:t>0.020</w:t>
                  </w:r>
                </w:p>
              </w:tc>
              <w:tc>
                <w:tcPr>
                  <w:tcW w:w="632" w:type="pct"/>
                  <w:vMerge w:val="continue"/>
                  <w:vAlign w:val="center"/>
                </w:tcPr>
                <w:p w14:paraId="317FDA9D">
                  <w:pPr>
                    <w:adjustRightInd w:val="0"/>
                    <w:snapToGrid w:val="0"/>
                    <w:jc w:val="center"/>
                    <w:rPr>
                      <w:color w:val="auto"/>
                      <w:szCs w:val="21"/>
                    </w:rPr>
                  </w:pPr>
                </w:p>
              </w:tc>
              <w:tc>
                <w:tcPr>
                  <w:tcW w:w="359" w:type="pct"/>
                  <w:vAlign w:val="center"/>
                </w:tcPr>
                <w:p w14:paraId="2699B7F0">
                  <w:pPr>
                    <w:widowControl/>
                    <w:jc w:val="center"/>
                    <w:textAlignment w:val="center"/>
                    <w:rPr>
                      <w:color w:val="auto"/>
                      <w:szCs w:val="21"/>
                    </w:rPr>
                  </w:pPr>
                  <w:r>
                    <w:rPr>
                      <w:rFonts w:eastAsia="Times New Roman"/>
                      <w:color w:val="auto"/>
                      <w:spacing w:val="-2"/>
                      <w:szCs w:val="21"/>
                    </w:rPr>
                    <w:t>99</w:t>
                  </w:r>
                  <w:r>
                    <w:rPr>
                      <w:rFonts w:hint="eastAsia"/>
                      <w:color w:val="auto"/>
                      <w:spacing w:val="-1"/>
                      <w:szCs w:val="21"/>
                    </w:rPr>
                    <w:t>%</w:t>
                  </w:r>
                </w:p>
              </w:tc>
              <w:tc>
                <w:tcPr>
                  <w:tcW w:w="382" w:type="pct"/>
                  <w:vAlign w:val="center"/>
                </w:tcPr>
                <w:p w14:paraId="0B886B8D">
                  <w:pPr>
                    <w:jc w:val="center"/>
                    <w:rPr>
                      <w:color w:val="auto"/>
                    </w:rPr>
                  </w:pPr>
                  <w:r>
                    <w:rPr>
                      <w:rFonts w:hint="eastAsia"/>
                      <w:color w:val="auto"/>
                    </w:rPr>
                    <w:t>0.5</w:t>
                  </w:r>
                </w:p>
              </w:tc>
              <w:tc>
                <w:tcPr>
                  <w:tcW w:w="347" w:type="pct"/>
                  <w:vAlign w:val="center"/>
                </w:tcPr>
                <w:p w14:paraId="24362C18">
                  <w:pPr>
                    <w:jc w:val="center"/>
                    <w:rPr>
                      <w:color w:val="auto"/>
                    </w:rPr>
                  </w:pPr>
                  <w:r>
                    <w:rPr>
                      <w:color w:val="auto"/>
                    </w:rPr>
                    <w:t>0.0002</w:t>
                  </w:r>
                </w:p>
              </w:tc>
              <w:tc>
                <w:tcPr>
                  <w:tcW w:w="538" w:type="pct"/>
                  <w:vMerge w:val="continue"/>
                  <w:vAlign w:val="center"/>
                </w:tcPr>
                <w:p w14:paraId="7255E75E">
                  <w:pPr>
                    <w:jc w:val="center"/>
                    <w:rPr>
                      <w:color w:val="auto"/>
                    </w:rPr>
                  </w:pPr>
                </w:p>
              </w:tc>
              <w:tc>
                <w:tcPr>
                  <w:tcW w:w="504" w:type="pct"/>
                  <w:vAlign w:val="center"/>
                </w:tcPr>
                <w:p w14:paraId="4935B43A">
                  <w:pPr>
                    <w:jc w:val="center"/>
                    <w:rPr>
                      <w:color w:val="auto"/>
                    </w:rPr>
                  </w:pPr>
                  <w:r>
                    <w:rPr>
                      <w:rFonts w:hint="eastAsia"/>
                      <w:color w:val="auto"/>
                    </w:rPr>
                    <w:t>1</w:t>
                  </w:r>
                </w:p>
              </w:tc>
              <w:tc>
                <w:tcPr>
                  <w:tcW w:w="496" w:type="pct"/>
                  <w:vAlign w:val="center"/>
                </w:tcPr>
                <w:p w14:paraId="4EE66AFA">
                  <w:pPr>
                    <w:jc w:val="center"/>
                    <w:rPr>
                      <w:color w:val="auto"/>
                    </w:rPr>
                  </w:pPr>
                  <w:r>
                    <w:rPr>
                      <w:color w:val="auto"/>
                    </w:rPr>
                    <w:t>0.0004</w:t>
                  </w:r>
                </w:p>
              </w:tc>
            </w:tr>
            <w:tr w14:paraId="3A74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2A68D25D">
                  <w:pPr>
                    <w:adjustRightInd w:val="0"/>
                    <w:snapToGrid w:val="0"/>
                    <w:jc w:val="center"/>
                    <w:rPr>
                      <w:color w:val="auto"/>
                      <w:szCs w:val="21"/>
                    </w:rPr>
                  </w:pPr>
                </w:p>
              </w:tc>
              <w:tc>
                <w:tcPr>
                  <w:tcW w:w="408" w:type="pct"/>
                  <w:vMerge w:val="continue"/>
                  <w:vAlign w:val="center"/>
                </w:tcPr>
                <w:p w14:paraId="4FDB219D">
                  <w:pPr>
                    <w:adjustRightInd w:val="0"/>
                    <w:snapToGrid w:val="0"/>
                    <w:jc w:val="center"/>
                    <w:rPr>
                      <w:color w:val="auto"/>
                      <w:szCs w:val="21"/>
                    </w:rPr>
                  </w:pPr>
                </w:p>
              </w:tc>
              <w:tc>
                <w:tcPr>
                  <w:tcW w:w="373" w:type="pct"/>
                  <w:shd w:val="clear" w:color="auto" w:fill="auto"/>
                  <w:vAlign w:val="center"/>
                </w:tcPr>
                <w:p w14:paraId="55B32584">
                  <w:pPr>
                    <w:pStyle w:val="63"/>
                    <w:rPr>
                      <w:rStyle w:val="31"/>
                      <w:color w:val="auto"/>
                    </w:rPr>
                  </w:pPr>
                  <w:r>
                    <w:rPr>
                      <w:rStyle w:val="31"/>
                      <w:rFonts w:hint="eastAsia"/>
                      <w:color w:val="auto"/>
                    </w:rPr>
                    <w:t>LAS</w:t>
                  </w:r>
                </w:p>
              </w:tc>
              <w:tc>
                <w:tcPr>
                  <w:tcW w:w="369" w:type="pct"/>
                  <w:vAlign w:val="center"/>
                </w:tcPr>
                <w:p w14:paraId="7A38A50F">
                  <w:pPr>
                    <w:jc w:val="center"/>
                    <w:rPr>
                      <w:color w:val="auto"/>
                    </w:rPr>
                  </w:pPr>
                  <w:r>
                    <w:rPr>
                      <w:rFonts w:hint="eastAsia"/>
                      <w:color w:val="auto"/>
                    </w:rPr>
                    <w:t>50</w:t>
                  </w:r>
                </w:p>
              </w:tc>
              <w:tc>
                <w:tcPr>
                  <w:tcW w:w="286" w:type="pct"/>
                  <w:shd w:val="clear" w:color="auto" w:fill="auto"/>
                  <w:vAlign w:val="center"/>
                </w:tcPr>
                <w:p w14:paraId="4DC8AE52">
                  <w:pPr>
                    <w:jc w:val="center"/>
                    <w:rPr>
                      <w:color w:val="auto"/>
                    </w:rPr>
                  </w:pPr>
                  <w:r>
                    <w:rPr>
                      <w:color w:val="auto"/>
                    </w:rPr>
                    <w:t>0.020</w:t>
                  </w:r>
                </w:p>
              </w:tc>
              <w:tc>
                <w:tcPr>
                  <w:tcW w:w="632" w:type="pct"/>
                  <w:vMerge w:val="continue"/>
                  <w:vAlign w:val="center"/>
                </w:tcPr>
                <w:p w14:paraId="20EF40E0">
                  <w:pPr>
                    <w:adjustRightInd w:val="0"/>
                    <w:snapToGrid w:val="0"/>
                    <w:jc w:val="center"/>
                    <w:rPr>
                      <w:color w:val="auto"/>
                      <w:szCs w:val="21"/>
                    </w:rPr>
                  </w:pPr>
                </w:p>
              </w:tc>
              <w:tc>
                <w:tcPr>
                  <w:tcW w:w="359" w:type="pct"/>
                  <w:vAlign w:val="center"/>
                </w:tcPr>
                <w:p w14:paraId="267F428E">
                  <w:pPr>
                    <w:widowControl/>
                    <w:jc w:val="center"/>
                    <w:textAlignment w:val="center"/>
                    <w:rPr>
                      <w:color w:val="auto"/>
                      <w:spacing w:val="-2"/>
                      <w:szCs w:val="21"/>
                    </w:rPr>
                  </w:pPr>
                  <w:r>
                    <w:rPr>
                      <w:rFonts w:hint="eastAsia"/>
                      <w:color w:val="auto"/>
                      <w:spacing w:val="-2"/>
                      <w:szCs w:val="21"/>
                    </w:rPr>
                    <w:t>70%</w:t>
                  </w:r>
                </w:p>
              </w:tc>
              <w:tc>
                <w:tcPr>
                  <w:tcW w:w="382" w:type="pct"/>
                  <w:vAlign w:val="center"/>
                </w:tcPr>
                <w:p w14:paraId="1A2143FA">
                  <w:pPr>
                    <w:jc w:val="center"/>
                    <w:rPr>
                      <w:color w:val="auto"/>
                    </w:rPr>
                  </w:pPr>
                  <w:r>
                    <w:rPr>
                      <w:rFonts w:hint="eastAsia"/>
                      <w:color w:val="auto"/>
                    </w:rPr>
                    <w:t>15</w:t>
                  </w:r>
                </w:p>
              </w:tc>
              <w:tc>
                <w:tcPr>
                  <w:tcW w:w="347" w:type="pct"/>
                  <w:vAlign w:val="center"/>
                </w:tcPr>
                <w:p w14:paraId="5E1B324D">
                  <w:pPr>
                    <w:jc w:val="center"/>
                    <w:rPr>
                      <w:color w:val="auto"/>
                    </w:rPr>
                  </w:pPr>
                  <w:r>
                    <w:rPr>
                      <w:rFonts w:hint="eastAsia"/>
                      <w:color w:val="auto"/>
                    </w:rPr>
                    <w:t>0.</w:t>
                  </w:r>
                </w:p>
                <w:p w14:paraId="376D2656">
                  <w:pPr>
                    <w:jc w:val="center"/>
                    <w:rPr>
                      <w:color w:val="auto"/>
                    </w:rPr>
                  </w:pPr>
                  <w:r>
                    <w:rPr>
                      <w:rFonts w:hint="eastAsia"/>
                      <w:color w:val="auto"/>
                    </w:rPr>
                    <w:t>006</w:t>
                  </w:r>
                </w:p>
              </w:tc>
              <w:tc>
                <w:tcPr>
                  <w:tcW w:w="538" w:type="pct"/>
                  <w:vMerge w:val="continue"/>
                  <w:vAlign w:val="center"/>
                </w:tcPr>
                <w:p w14:paraId="41E8DBFD">
                  <w:pPr>
                    <w:jc w:val="center"/>
                    <w:rPr>
                      <w:color w:val="auto"/>
                    </w:rPr>
                  </w:pPr>
                </w:p>
              </w:tc>
              <w:tc>
                <w:tcPr>
                  <w:tcW w:w="504" w:type="pct"/>
                  <w:vAlign w:val="center"/>
                </w:tcPr>
                <w:p w14:paraId="5DA47722">
                  <w:pPr>
                    <w:jc w:val="center"/>
                    <w:rPr>
                      <w:color w:val="auto"/>
                    </w:rPr>
                  </w:pPr>
                  <w:r>
                    <w:rPr>
                      <w:rFonts w:hint="eastAsia"/>
                      <w:color w:val="auto"/>
                    </w:rPr>
                    <w:t>0.5</w:t>
                  </w:r>
                </w:p>
              </w:tc>
              <w:tc>
                <w:tcPr>
                  <w:tcW w:w="496" w:type="pct"/>
                  <w:vAlign w:val="center"/>
                </w:tcPr>
                <w:p w14:paraId="34058BBF">
                  <w:pPr>
                    <w:jc w:val="center"/>
                    <w:rPr>
                      <w:color w:val="auto"/>
                    </w:rPr>
                  </w:pPr>
                  <w:r>
                    <w:rPr>
                      <w:rFonts w:hint="eastAsia"/>
                      <w:color w:val="auto"/>
                    </w:rPr>
                    <w:t>0.0002</w:t>
                  </w:r>
                </w:p>
              </w:tc>
            </w:tr>
            <w:tr w14:paraId="6495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restart"/>
                  <w:vAlign w:val="center"/>
                </w:tcPr>
                <w:p w14:paraId="08D93098">
                  <w:pPr>
                    <w:jc w:val="center"/>
                    <w:rPr>
                      <w:color w:val="auto"/>
                    </w:rPr>
                  </w:pPr>
                  <w:r>
                    <w:rPr>
                      <w:rFonts w:hint="eastAsia"/>
                      <w:color w:val="auto"/>
                    </w:rPr>
                    <w:t>总计</w:t>
                  </w:r>
                </w:p>
              </w:tc>
              <w:tc>
                <w:tcPr>
                  <w:tcW w:w="590" w:type="dxa"/>
                  <w:vAlign w:val="center"/>
                </w:tcPr>
                <w:p w14:paraId="23ADF55F">
                  <w:pPr>
                    <w:jc w:val="center"/>
                    <w:rPr>
                      <w:rFonts w:hint="eastAsia"/>
                      <w:color w:val="auto"/>
                    </w:rPr>
                  </w:pPr>
                  <w:r>
                    <w:rPr>
                      <w:rFonts w:hint="default"/>
                      <w:color w:val="auto"/>
                      <w:lang w:val="en-US" w:eastAsia="zh-CN"/>
                    </w:rPr>
                    <w:t>0.570</w:t>
                  </w:r>
                </w:p>
              </w:tc>
              <w:tc>
                <w:tcPr>
                  <w:tcW w:w="538" w:type="pct"/>
                  <w:vMerge w:val="restart"/>
                  <w:vAlign w:val="center"/>
                </w:tcPr>
                <w:p w14:paraId="759F61D0">
                  <w:pPr>
                    <w:jc w:val="center"/>
                    <w:rPr>
                      <w:rFonts w:hint="eastAsia"/>
                      <w:color w:val="auto"/>
                    </w:rPr>
                  </w:pPr>
                  <w:r>
                    <w:rPr>
                      <w:rFonts w:hint="eastAsia"/>
                      <w:color w:val="auto"/>
                    </w:rPr>
                    <w:t>总计</w:t>
                  </w:r>
                </w:p>
              </w:tc>
              <w:tc>
                <w:tcPr>
                  <w:tcW w:w="504" w:type="pct"/>
                  <w:shd w:val="clear" w:color="auto" w:fill="auto"/>
                  <w:vAlign w:val="center"/>
                </w:tcPr>
                <w:p w14:paraId="101C5FF6">
                  <w:pPr>
                    <w:topLinePunct/>
                    <w:jc w:val="center"/>
                    <w:rPr>
                      <w:color w:val="auto"/>
                      <w:szCs w:val="21"/>
                    </w:rPr>
                  </w:pPr>
                  <w:r>
                    <w:rPr>
                      <w:color w:val="auto"/>
                      <w:szCs w:val="21"/>
                    </w:rPr>
                    <w:t>COD</w:t>
                  </w:r>
                </w:p>
              </w:tc>
              <w:tc>
                <w:tcPr>
                  <w:tcW w:w="842" w:type="dxa"/>
                  <w:vAlign w:val="center"/>
                </w:tcPr>
                <w:p w14:paraId="401D239C">
                  <w:pPr>
                    <w:jc w:val="center"/>
                    <w:rPr>
                      <w:color w:val="auto"/>
                    </w:rPr>
                  </w:pPr>
                  <w:r>
                    <w:rPr>
                      <w:rFonts w:hint="default"/>
                      <w:color w:val="auto"/>
                      <w:lang w:val="en-US" w:eastAsia="zh-CN"/>
                    </w:rPr>
                    <w:t>0.203</w:t>
                  </w:r>
                </w:p>
              </w:tc>
            </w:tr>
            <w:tr w14:paraId="1FF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1430FB69">
                  <w:pPr>
                    <w:jc w:val="center"/>
                    <w:rPr>
                      <w:color w:val="auto"/>
                    </w:rPr>
                  </w:pPr>
                </w:p>
              </w:tc>
              <w:tc>
                <w:tcPr>
                  <w:tcW w:w="590" w:type="dxa"/>
                  <w:vAlign w:val="center"/>
                </w:tcPr>
                <w:p w14:paraId="5C97B449">
                  <w:pPr>
                    <w:jc w:val="center"/>
                    <w:rPr>
                      <w:color w:val="auto"/>
                    </w:rPr>
                  </w:pPr>
                  <w:r>
                    <w:rPr>
                      <w:rFonts w:hint="default"/>
                      <w:color w:val="auto"/>
                      <w:lang w:val="en-US" w:eastAsia="zh-CN"/>
                    </w:rPr>
                    <w:t>0.467</w:t>
                  </w:r>
                </w:p>
              </w:tc>
              <w:tc>
                <w:tcPr>
                  <w:tcW w:w="538" w:type="pct"/>
                  <w:vMerge w:val="continue"/>
                  <w:vAlign w:val="center"/>
                </w:tcPr>
                <w:p w14:paraId="7DB6C46B">
                  <w:pPr>
                    <w:jc w:val="center"/>
                    <w:rPr>
                      <w:color w:val="auto"/>
                    </w:rPr>
                  </w:pPr>
                </w:p>
              </w:tc>
              <w:tc>
                <w:tcPr>
                  <w:tcW w:w="504" w:type="pct"/>
                  <w:shd w:val="clear" w:color="auto" w:fill="auto"/>
                  <w:vAlign w:val="center"/>
                </w:tcPr>
                <w:p w14:paraId="33F9A3EC">
                  <w:pPr>
                    <w:topLinePunct/>
                    <w:jc w:val="center"/>
                    <w:rPr>
                      <w:color w:val="auto"/>
                      <w:szCs w:val="21"/>
                    </w:rPr>
                  </w:pPr>
                  <w:r>
                    <w:rPr>
                      <w:color w:val="auto"/>
                      <w:szCs w:val="21"/>
                    </w:rPr>
                    <w:t>BOD</w:t>
                  </w:r>
                  <w:r>
                    <w:rPr>
                      <w:color w:val="auto"/>
                      <w:szCs w:val="21"/>
                      <w:vertAlign w:val="subscript"/>
                    </w:rPr>
                    <w:t>5</w:t>
                  </w:r>
                </w:p>
              </w:tc>
              <w:tc>
                <w:tcPr>
                  <w:tcW w:w="842" w:type="dxa"/>
                  <w:vAlign w:val="center"/>
                </w:tcPr>
                <w:p w14:paraId="6F926AF1">
                  <w:pPr>
                    <w:jc w:val="center"/>
                    <w:rPr>
                      <w:color w:val="auto"/>
                    </w:rPr>
                  </w:pPr>
                  <w:r>
                    <w:rPr>
                      <w:rFonts w:hint="default"/>
                      <w:color w:val="auto"/>
                      <w:lang w:val="en-US" w:eastAsia="zh-CN"/>
                    </w:rPr>
                    <w:t>0.037</w:t>
                  </w:r>
                </w:p>
              </w:tc>
            </w:tr>
            <w:tr w14:paraId="0F7F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483A3929">
                  <w:pPr>
                    <w:jc w:val="center"/>
                    <w:rPr>
                      <w:color w:val="auto"/>
                    </w:rPr>
                  </w:pPr>
                </w:p>
              </w:tc>
              <w:tc>
                <w:tcPr>
                  <w:tcW w:w="590" w:type="dxa"/>
                  <w:vAlign w:val="center"/>
                </w:tcPr>
                <w:p w14:paraId="13C1AA4E">
                  <w:pPr>
                    <w:jc w:val="center"/>
                    <w:rPr>
                      <w:color w:val="auto"/>
                    </w:rPr>
                  </w:pPr>
                  <w:r>
                    <w:rPr>
                      <w:rFonts w:hint="eastAsia"/>
                      <w:color w:val="auto"/>
                      <w:lang w:val="en-US" w:eastAsia="zh-CN"/>
                    </w:rPr>
                    <w:t>0.659</w:t>
                  </w:r>
                </w:p>
              </w:tc>
              <w:tc>
                <w:tcPr>
                  <w:tcW w:w="538" w:type="pct"/>
                  <w:vMerge w:val="continue"/>
                  <w:vAlign w:val="center"/>
                </w:tcPr>
                <w:p w14:paraId="5B327BFC">
                  <w:pPr>
                    <w:jc w:val="center"/>
                    <w:rPr>
                      <w:color w:val="auto"/>
                    </w:rPr>
                  </w:pPr>
                </w:p>
              </w:tc>
              <w:tc>
                <w:tcPr>
                  <w:tcW w:w="504" w:type="pct"/>
                  <w:shd w:val="clear" w:color="auto" w:fill="auto"/>
                  <w:vAlign w:val="center"/>
                </w:tcPr>
                <w:p w14:paraId="2767D594">
                  <w:pPr>
                    <w:pStyle w:val="63"/>
                    <w:rPr>
                      <w:color w:val="auto"/>
                    </w:rPr>
                  </w:pPr>
                  <w:r>
                    <w:rPr>
                      <w:rFonts w:hint="eastAsia"/>
                      <w:color w:val="auto"/>
                    </w:rPr>
                    <w:t>SS</w:t>
                  </w:r>
                </w:p>
              </w:tc>
              <w:tc>
                <w:tcPr>
                  <w:tcW w:w="842" w:type="dxa"/>
                  <w:vAlign w:val="center"/>
                </w:tcPr>
                <w:p w14:paraId="58530E5A">
                  <w:pPr>
                    <w:jc w:val="center"/>
                    <w:rPr>
                      <w:color w:val="auto"/>
                    </w:rPr>
                  </w:pPr>
                  <w:r>
                    <w:rPr>
                      <w:rFonts w:hint="eastAsia"/>
                      <w:color w:val="auto"/>
                      <w:lang w:val="en-US" w:eastAsia="zh-CN"/>
                    </w:rPr>
                    <w:t>0.037</w:t>
                  </w:r>
                </w:p>
              </w:tc>
            </w:tr>
            <w:tr w14:paraId="4253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18FEA99F">
                  <w:pPr>
                    <w:jc w:val="center"/>
                    <w:rPr>
                      <w:color w:val="auto"/>
                    </w:rPr>
                  </w:pPr>
                </w:p>
              </w:tc>
              <w:tc>
                <w:tcPr>
                  <w:tcW w:w="590" w:type="dxa"/>
                  <w:vAlign w:val="center"/>
                </w:tcPr>
                <w:p w14:paraId="433DD09B">
                  <w:pPr>
                    <w:jc w:val="center"/>
                    <w:rPr>
                      <w:color w:val="auto"/>
                    </w:rPr>
                  </w:pPr>
                  <w:r>
                    <w:rPr>
                      <w:rFonts w:hint="eastAsia"/>
                      <w:color w:val="auto"/>
                      <w:lang w:val="en-US" w:eastAsia="zh-CN"/>
                    </w:rPr>
                    <w:t>0.065</w:t>
                  </w:r>
                </w:p>
              </w:tc>
              <w:tc>
                <w:tcPr>
                  <w:tcW w:w="538" w:type="pct"/>
                  <w:vMerge w:val="continue"/>
                  <w:vAlign w:val="center"/>
                </w:tcPr>
                <w:p w14:paraId="388E3A62">
                  <w:pPr>
                    <w:jc w:val="center"/>
                    <w:rPr>
                      <w:color w:val="auto"/>
                    </w:rPr>
                  </w:pPr>
                </w:p>
              </w:tc>
              <w:tc>
                <w:tcPr>
                  <w:tcW w:w="504" w:type="pct"/>
                  <w:shd w:val="clear" w:color="auto" w:fill="auto"/>
                  <w:vAlign w:val="center"/>
                </w:tcPr>
                <w:p w14:paraId="1BC7A67A">
                  <w:pPr>
                    <w:pStyle w:val="63"/>
                    <w:rPr>
                      <w:color w:val="auto"/>
                    </w:rPr>
                  </w:pPr>
                  <w:r>
                    <w:rPr>
                      <w:rFonts w:hint="eastAsia"/>
                      <w:color w:val="auto"/>
                    </w:rPr>
                    <w:t>NH</w:t>
                  </w:r>
                  <w:r>
                    <w:rPr>
                      <w:color w:val="auto"/>
                      <w:vertAlign w:val="subscript"/>
                    </w:rPr>
                    <w:t>3</w:t>
                  </w:r>
                  <w:r>
                    <w:rPr>
                      <w:color w:val="auto"/>
                    </w:rPr>
                    <w:t>-N</w:t>
                  </w:r>
                </w:p>
              </w:tc>
              <w:tc>
                <w:tcPr>
                  <w:tcW w:w="842" w:type="dxa"/>
                  <w:vAlign w:val="center"/>
                </w:tcPr>
                <w:p w14:paraId="4CF2A490">
                  <w:pPr>
                    <w:jc w:val="center"/>
                    <w:rPr>
                      <w:color w:val="auto"/>
                    </w:rPr>
                  </w:pPr>
                  <w:r>
                    <w:rPr>
                      <w:rFonts w:hint="eastAsia"/>
                      <w:color w:val="auto"/>
                      <w:lang w:val="en-US" w:eastAsia="zh-CN"/>
                    </w:rPr>
                    <w:t>0.020</w:t>
                  </w:r>
                </w:p>
              </w:tc>
            </w:tr>
            <w:tr w14:paraId="4FCC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631D9E5D">
                  <w:pPr>
                    <w:jc w:val="center"/>
                    <w:rPr>
                      <w:color w:val="auto"/>
                    </w:rPr>
                  </w:pPr>
                </w:p>
              </w:tc>
              <w:tc>
                <w:tcPr>
                  <w:tcW w:w="590" w:type="dxa"/>
                  <w:vAlign w:val="center"/>
                </w:tcPr>
                <w:p w14:paraId="14583F8D">
                  <w:pPr>
                    <w:jc w:val="center"/>
                    <w:rPr>
                      <w:color w:val="auto"/>
                    </w:rPr>
                  </w:pPr>
                  <w:r>
                    <w:rPr>
                      <w:rFonts w:hint="eastAsia"/>
                      <w:color w:val="auto"/>
                      <w:lang w:val="en-US" w:eastAsia="zh-CN"/>
                    </w:rPr>
                    <w:t>0.002</w:t>
                  </w:r>
                </w:p>
              </w:tc>
              <w:tc>
                <w:tcPr>
                  <w:tcW w:w="538" w:type="pct"/>
                  <w:vMerge w:val="continue"/>
                  <w:vAlign w:val="center"/>
                </w:tcPr>
                <w:p w14:paraId="36D60EF9">
                  <w:pPr>
                    <w:jc w:val="center"/>
                    <w:rPr>
                      <w:color w:val="auto"/>
                    </w:rPr>
                  </w:pPr>
                </w:p>
              </w:tc>
              <w:tc>
                <w:tcPr>
                  <w:tcW w:w="504" w:type="pct"/>
                  <w:vAlign w:val="center"/>
                </w:tcPr>
                <w:p w14:paraId="7EF08F77">
                  <w:pPr>
                    <w:jc w:val="center"/>
                    <w:rPr>
                      <w:color w:val="auto"/>
                    </w:rPr>
                  </w:pPr>
                  <w:r>
                    <w:rPr>
                      <w:rFonts w:hint="eastAsia"/>
                      <w:color w:val="auto"/>
                      <w:szCs w:val="21"/>
                    </w:rPr>
                    <w:t>总氮</w:t>
                  </w:r>
                </w:p>
              </w:tc>
              <w:tc>
                <w:tcPr>
                  <w:tcW w:w="842" w:type="dxa"/>
                  <w:vAlign w:val="center"/>
                </w:tcPr>
                <w:p w14:paraId="3987404B">
                  <w:pPr>
                    <w:jc w:val="center"/>
                    <w:rPr>
                      <w:color w:val="auto"/>
                    </w:rPr>
                  </w:pPr>
                  <w:r>
                    <w:rPr>
                      <w:rFonts w:hint="eastAsia"/>
                      <w:color w:val="auto"/>
                      <w:lang w:val="en-US" w:eastAsia="zh-CN"/>
                    </w:rPr>
                    <w:t>0.006</w:t>
                  </w:r>
                </w:p>
              </w:tc>
            </w:tr>
            <w:tr w14:paraId="20F6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6F35CF28">
                  <w:pPr>
                    <w:jc w:val="center"/>
                    <w:rPr>
                      <w:color w:val="auto"/>
                    </w:rPr>
                  </w:pPr>
                </w:p>
              </w:tc>
              <w:tc>
                <w:tcPr>
                  <w:tcW w:w="590" w:type="dxa"/>
                  <w:vAlign w:val="center"/>
                </w:tcPr>
                <w:p w14:paraId="2D7942B0">
                  <w:pPr>
                    <w:jc w:val="center"/>
                    <w:rPr>
                      <w:rFonts w:hint="default"/>
                      <w:color w:val="auto"/>
                      <w:lang w:val="en-US"/>
                    </w:rPr>
                  </w:pPr>
                  <w:r>
                    <w:rPr>
                      <w:rFonts w:hint="eastAsia"/>
                      <w:color w:val="auto"/>
                      <w:lang w:val="en-US" w:eastAsia="zh-CN"/>
                    </w:rPr>
                    <w:t>0.0002</w:t>
                  </w:r>
                </w:p>
              </w:tc>
              <w:tc>
                <w:tcPr>
                  <w:tcW w:w="538" w:type="pct"/>
                  <w:vMerge w:val="continue"/>
                  <w:vAlign w:val="center"/>
                </w:tcPr>
                <w:p w14:paraId="3A1CF16C">
                  <w:pPr>
                    <w:jc w:val="center"/>
                    <w:rPr>
                      <w:color w:val="auto"/>
                    </w:rPr>
                  </w:pPr>
                </w:p>
              </w:tc>
              <w:tc>
                <w:tcPr>
                  <w:tcW w:w="504" w:type="pct"/>
                  <w:vAlign w:val="center"/>
                </w:tcPr>
                <w:p w14:paraId="61361F46">
                  <w:pPr>
                    <w:jc w:val="center"/>
                    <w:rPr>
                      <w:color w:val="auto"/>
                    </w:rPr>
                  </w:pPr>
                  <w:r>
                    <w:rPr>
                      <w:rStyle w:val="31"/>
                      <w:rFonts w:hint="eastAsia"/>
                      <w:color w:val="auto"/>
                      <w:szCs w:val="21"/>
                    </w:rPr>
                    <w:t>石油类</w:t>
                  </w:r>
                </w:p>
              </w:tc>
              <w:tc>
                <w:tcPr>
                  <w:tcW w:w="842" w:type="dxa"/>
                  <w:vAlign w:val="center"/>
                </w:tcPr>
                <w:p w14:paraId="02690F6F">
                  <w:pPr>
                    <w:jc w:val="center"/>
                    <w:rPr>
                      <w:color w:val="auto"/>
                    </w:rPr>
                  </w:pPr>
                  <w:r>
                    <w:rPr>
                      <w:rFonts w:hint="eastAsia"/>
                      <w:color w:val="auto"/>
                      <w:lang w:val="en-US" w:eastAsia="zh-CN"/>
                    </w:rPr>
                    <w:t>0.0004</w:t>
                  </w:r>
                </w:p>
              </w:tc>
            </w:tr>
            <w:tr w14:paraId="7F51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6506960D">
                  <w:pPr>
                    <w:jc w:val="center"/>
                    <w:rPr>
                      <w:color w:val="auto"/>
                    </w:rPr>
                  </w:pPr>
                </w:p>
              </w:tc>
              <w:tc>
                <w:tcPr>
                  <w:tcW w:w="590" w:type="dxa"/>
                  <w:vAlign w:val="center"/>
                </w:tcPr>
                <w:p w14:paraId="3B1C44D5">
                  <w:pPr>
                    <w:jc w:val="center"/>
                    <w:rPr>
                      <w:color w:val="auto"/>
                    </w:rPr>
                  </w:pPr>
                  <w:r>
                    <w:rPr>
                      <w:rFonts w:hint="eastAsia"/>
                      <w:color w:val="auto"/>
                      <w:lang w:val="en-US" w:eastAsia="zh-CN"/>
                    </w:rPr>
                    <w:t>0.006</w:t>
                  </w:r>
                </w:p>
              </w:tc>
              <w:tc>
                <w:tcPr>
                  <w:tcW w:w="538" w:type="pct"/>
                  <w:vMerge w:val="continue"/>
                  <w:vAlign w:val="center"/>
                </w:tcPr>
                <w:p w14:paraId="0A30D99E">
                  <w:pPr>
                    <w:jc w:val="center"/>
                    <w:rPr>
                      <w:color w:val="auto"/>
                    </w:rPr>
                  </w:pPr>
                </w:p>
              </w:tc>
              <w:tc>
                <w:tcPr>
                  <w:tcW w:w="504" w:type="pct"/>
                  <w:vAlign w:val="center"/>
                </w:tcPr>
                <w:p w14:paraId="03526B52">
                  <w:pPr>
                    <w:jc w:val="center"/>
                    <w:rPr>
                      <w:rStyle w:val="31"/>
                      <w:color w:val="auto"/>
                      <w:szCs w:val="21"/>
                    </w:rPr>
                  </w:pPr>
                  <w:r>
                    <w:rPr>
                      <w:rStyle w:val="31"/>
                      <w:rFonts w:hint="eastAsia"/>
                      <w:color w:val="auto"/>
                      <w:szCs w:val="21"/>
                    </w:rPr>
                    <w:t>LAS</w:t>
                  </w:r>
                </w:p>
              </w:tc>
              <w:tc>
                <w:tcPr>
                  <w:tcW w:w="842" w:type="dxa"/>
                  <w:vAlign w:val="center"/>
                </w:tcPr>
                <w:p w14:paraId="7D917DC9">
                  <w:pPr>
                    <w:jc w:val="center"/>
                    <w:rPr>
                      <w:color w:val="auto"/>
                    </w:rPr>
                  </w:pPr>
                  <w:r>
                    <w:rPr>
                      <w:rFonts w:hint="eastAsia"/>
                      <w:color w:val="auto"/>
                      <w:lang w:val="en-US" w:eastAsia="zh-CN"/>
                    </w:rPr>
                    <w:t>0.0002</w:t>
                  </w:r>
                </w:p>
              </w:tc>
            </w:tr>
          </w:tbl>
          <w:p w14:paraId="404B408E">
            <w:pPr>
              <w:spacing w:line="360" w:lineRule="auto"/>
              <w:ind w:firstLine="480" w:firstLineChars="200"/>
              <w:jc w:val="left"/>
              <w:rPr>
                <w:rFonts w:hint="eastAsia" w:cs="宋体"/>
                <w:color w:val="auto"/>
                <w:kern w:val="0"/>
                <w:sz w:val="24"/>
              </w:rPr>
            </w:pPr>
            <w:r>
              <w:rPr>
                <w:rFonts w:hint="eastAsia" w:cs="宋体"/>
                <w:color w:val="auto"/>
                <w:kern w:val="0"/>
                <w:sz w:val="24"/>
                <w:lang w:val="en-US" w:eastAsia="zh-CN"/>
              </w:rPr>
              <w:t>根据上表，本项目（二期工程）按外排环境申请总量控制指标为</w:t>
            </w:r>
            <w:r>
              <w:rPr>
                <w:rFonts w:hint="eastAsia" w:cs="宋体"/>
                <w:color w:val="auto"/>
                <w:kern w:val="0"/>
                <w:sz w:val="24"/>
              </w:rPr>
              <w:t>CODc0.203t/a，NH</w:t>
            </w:r>
            <w:r>
              <w:rPr>
                <w:rFonts w:hint="eastAsia" w:cs="宋体"/>
                <w:color w:val="auto"/>
                <w:kern w:val="0"/>
                <w:sz w:val="24"/>
                <w:vertAlign w:val="subscript"/>
              </w:rPr>
              <w:t>3</w:t>
            </w:r>
            <w:r>
              <w:rPr>
                <w:rFonts w:hint="eastAsia" w:cs="宋体"/>
                <w:color w:val="auto"/>
                <w:kern w:val="0"/>
                <w:sz w:val="24"/>
              </w:rPr>
              <w:t>-N0.020t/a。</w:t>
            </w:r>
          </w:p>
        </w:tc>
      </w:tr>
    </w:tbl>
    <w:p w14:paraId="11F557A3">
      <w:pPr>
        <w:pStyle w:val="20"/>
        <w:snapToGrid w:val="0"/>
        <w:spacing w:before="0" w:beforeAutospacing="0" w:after="0" w:afterAutospacing="0"/>
        <w:jc w:val="center"/>
        <w:outlineLvl w:val="0"/>
        <w:rPr>
          <w:rFonts w:ascii="黑体" w:hAnsi="黑体" w:eastAsia="黑体"/>
          <w:snapToGrid w:val="0"/>
          <w:color w:val="auto"/>
          <w:sz w:val="30"/>
          <w:szCs w:val="30"/>
        </w:rPr>
      </w:pPr>
      <w:bookmarkStart w:id="18" w:name="_Toc3528"/>
      <w:bookmarkStart w:id="19" w:name="_Toc27804"/>
      <w:r>
        <w:rPr>
          <w:rFonts w:ascii="黑体" w:hAnsi="黑体" w:eastAsia="黑体"/>
          <w:snapToGrid w:val="0"/>
          <w:color w:val="auto"/>
          <w:sz w:val="36"/>
          <w:szCs w:val="36"/>
        </w:rPr>
        <w:br w:type="page"/>
      </w:r>
      <w:bookmarkStart w:id="20" w:name="_Toc20343"/>
      <w:bookmarkStart w:id="21" w:name="_Toc1515"/>
      <w:r>
        <w:rPr>
          <w:rFonts w:hint="eastAsia" w:ascii="黑体" w:hAnsi="黑体" w:eastAsia="黑体"/>
          <w:snapToGrid w:val="0"/>
          <w:color w:val="auto"/>
          <w:sz w:val="30"/>
          <w:szCs w:val="30"/>
        </w:rPr>
        <w:t>四、主要环境影响和保护措施</w:t>
      </w:r>
      <w:bookmarkEnd w:id="20"/>
      <w:bookmarkEnd w:id="2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8504"/>
      </w:tblGrid>
      <w:tr w14:paraId="42B65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0" w:hRule="atLeast"/>
          <w:jc w:val="center"/>
        </w:trPr>
        <w:tc>
          <w:tcPr>
            <w:tcW w:w="404" w:type="dxa"/>
            <w:tcMar>
              <w:left w:w="28" w:type="dxa"/>
              <w:right w:w="28" w:type="dxa"/>
            </w:tcMar>
            <w:vAlign w:val="center"/>
          </w:tcPr>
          <w:p w14:paraId="67A4B0D0">
            <w:pPr>
              <w:pStyle w:val="20"/>
              <w:adjustRightInd w:val="0"/>
              <w:snapToGrid w:val="0"/>
              <w:spacing w:before="0" w:beforeAutospacing="0" w:after="0" w:afterAutospacing="0"/>
              <w:jc w:val="center"/>
              <w:rPr>
                <w:rFonts w:ascii="Times New Roman" w:hAnsi="Times New Roman" w:cs="宋体"/>
                <w:color w:val="auto"/>
                <w:kern w:val="2"/>
                <w:szCs w:val="24"/>
              </w:rPr>
            </w:pPr>
            <w:r>
              <w:rPr>
                <w:rFonts w:hint="eastAsia" w:ascii="Times New Roman" w:hAnsi="Times New Roman" w:cs="宋体"/>
                <w:color w:val="auto"/>
                <w:kern w:val="2"/>
                <w:szCs w:val="24"/>
              </w:rPr>
              <w:t>施工</w:t>
            </w:r>
          </w:p>
          <w:p w14:paraId="1DC36F77">
            <w:pPr>
              <w:pStyle w:val="20"/>
              <w:adjustRightInd w:val="0"/>
              <w:snapToGrid w:val="0"/>
              <w:spacing w:before="0" w:beforeAutospacing="0" w:after="0" w:afterAutospacing="0"/>
              <w:jc w:val="center"/>
              <w:rPr>
                <w:rFonts w:ascii="Times New Roman" w:hAnsi="Times New Roman" w:cs="宋体"/>
                <w:color w:val="auto"/>
                <w:kern w:val="2"/>
                <w:szCs w:val="24"/>
              </w:rPr>
            </w:pPr>
            <w:r>
              <w:rPr>
                <w:rFonts w:hint="eastAsia" w:ascii="Times New Roman" w:hAnsi="Times New Roman" w:cs="宋体"/>
                <w:color w:val="auto"/>
                <w:kern w:val="2"/>
                <w:szCs w:val="24"/>
              </w:rPr>
              <w:t>期环</w:t>
            </w:r>
          </w:p>
          <w:p w14:paraId="1E5EB6C7">
            <w:pPr>
              <w:pStyle w:val="20"/>
              <w:adjustRightInd w:val="0"/>
              <w:snapToGrid w:val="0"/>
              <w:spacing w:before="0" w:beforeAutospacing="0" w:after="0" w:afterAutospacing="0"/>
              <w:jc w:val="center"/>
              <w:rPr>
                <w:rFonts w:ascii="Times New Roman" w:hAnsi="Times New Roman" w:cs="宋体"/>
                <w:color w:val="auto"/>
                <w:kern w:val="2"/>
                <w:szCs w:val="24"/>
              </w:rPr>
            </w:pPr>
            <w:r>
              <w:rPr>
                <w:rFonts w:hint="eastAsia" w:ascii="Times New Roman" w:hAnsi="Times New Roman" w:cs="宋体"/>
                <w:color w:val="auto"/>
                <w:kern w:val="2"/>
                <w:szCs w:val="24"/>
              </w:rPr>
              <w:t>境保</w:t>
            </w:r>
          </w:p>
          <w:p w14:paraId="62C39197">
            <w:pPr>
              <w:pStyle w:val="20"/>
              <w:adjustRightInd w:val="0"/>
              <w:snapToGrid w:val="0"/>
              <w:spacing w:before="0" w:beforeAutospacing="0" w:after="0" w:afterAutospacing="0"/>
              <w:jc w:val="center"/>
              <w:rPr>
                <w:rFonts w:ascii="Times New Roman" w:hAnsi="Times New Roman" w:cs="宋体"/>
                <w:color w:val="auto"/>
                <w:kern w:val="2"/>
                <w:szCs w:val="24"/>
              </w:rPr>
            </w:pPr>
            <w:r>
              <w:rPr>
                <w:rFonts w:hint="eastAsia" w:ascii="Times New Roman" w:hAnsi="Times New Roman" w:cs="宋体"/>
                <w:color w:val="auto"/>
                <w:kern w:val="2"/>
                <w:szCs w:val="24"/>
              </w:rPr>
              <w:t>护措</w:t>
            </w:r>
          </w:p>
          <w:p w14:paraId="28B125BE">
            <w:pPr>
              <w:pStyle w:val="20"/>
              <w:adjustRightInd w:val="0"/>
              <w:snapToGrid w:val="0"/>
              <w:spacing w:before="0" w:beforeAutospacing="0" w:after="0" w:afterAutospacing="0"/>
              <w:jc w:val="center"/>
              <w:rPr>
                <w:rFonts w:ascii="Times New Roman" w:hAnsi="Times New Roman" w:cs="宋体"/>
                <w:bCs/>
                <w:color w:val="auto"/>
                <w:kern w:val="2"/>
                <w:sz w:val="21"/>
                <w:szCs w:val="21"/>
              </w:rPr>
            </w:pPr>
            <w:r>
              <w:rPr>
                <w:rFonts w:hint="eastAsia" w:ascii="Times New Roman" w:hAnsi="Times New Roman" w:cs="宋体"/>
                <w:color w:val="auto"/>
                <w:kern w:val="2"/>
                <w:szCs w:val="24"/>
              </w:rPr>
              <w:t>施</w:t>
            </w:r>
          </w:p>
        </w:tc>
        <w:tc>
          <w:tcPr>
            <w:tcW w:w="8504" w:type="dxa"/>
            <w:vAlign w:val="center"/>
          </w:tcPr>
          <w:p w14:paraId="61824224">
            <w:pPr>
              <w:topLinePunct/>
              <w:adjustRightInd w:val="0"/>
              <w:snapToGrid w:val="0"/>
              <w:spacing w:line="360" w:lineRule="auto"/>
              <w:rPr>
                <w:b/>
                <w:color w:val="auto"/>
                <w:sz w:val="24"/>
              </w:rPr>
            </w:pPr>
            <w:r>
              <w:rPr>
                <w:b/>
                <w:color w:val="auto"/>
                <w:sz w:val="24"/>
              </w:rPr>
              <w:t>施工期环境影响</w:t>
            </w:r>
            <w:r>
              <w:rPr>
                <w:rFonts w:hint="eastAsia"/>
                <w:b/>
                <w:color w:val="auto"/>
                <w:sz w:val="24"/>
              </w:rPr>
              <w:t>及保护措施</w:t>
            </w:r>
            <w:r>
              <w:rPr>
                <w:b/>
                <w:color w:val="auto"/>
                <w:sz w:val="24"/>
              </w:rPr>
              <w:t>：</w:t>
            </w:r>
          </w:p>
          <w:p w14:paraId="6683F391">
            <w:pPr>
              <w:pStyle w:val="12"/>
              <w:tabs>
                <w:tab w:val="left" w:pos="0"/>
              </w:tabs>
              <w:topLinePunct/>
              <w:adjustRightInd w:val="0"/>
              <w:snapToGrid w:val="0"/>
              <w:spacing w:after="0" w:line="360" w:lineRule="auto"/>
              <w:ind w:left="0" w:leftChars="0" w:firstLine="480" w:firstLineChars="200"/>
              <w:rPr>
                <w:color w:val="auto"/>
                <w:sz w:val="24"/>
              </w:rPr>
            </w:pPr>
            <w:r>
              <w:rPr>
                <w:color w:val="auto"/>
                <w:sz w:val="24"/>
              </w:rPr>
              <w:t>本项目施工过程中有施工机械噪声、施工扬尘、建筑垃圾、施工废水、生活污水和生活垃圾产生，因此，项目</w:t>
            </w:r>
            <w:r>
              <w:rPr>
                <w:rFonts w:hint="eastAsia"/>
                <w:color w:val="auto"/>
                <w:sz w:val="24"/>
              </w:rPr>
              <w:t>施工</w:t>
            </w:r>
            <w:r>
              <w:rPr>
                <w:color w:val="auto"/>
                <w:sz w:val="24"/>
              </w:rPr>
              <w:t>过程必须采取必要的环境保护措施，否则对所在区域环境质量会有明显影响。</w:t>
            </w:r>
          </w:p>
          <w:p w14:paraId="50C83650">
            <w:pPr>
              <w:pStyle w:val="54"/>
              <w:widowControl/>
              <w:topLinePunct/>
              <w:snapToGrid w:val="0"/>
              <w:spacing w:beforeLines="0" w:after="0" w:line="360" w:lineRule="auto"/>
              <w:ind w:firstLine="482"/>
              <w:jc w:val="left"/>
              <w:rPr>
                <w:rFonts w:ascii="Times New Roman" w:hAnsi="Times New Roman"/>
                <w:snapToGrid w:val="0"/>
                <w:color w:val="auto"/>
                <w:kern w:val="2"/>
                <w:sz w:val="24"/>
                <w:szCs w:val="24"/>
                <w:u w:val="none"/>
              </w:rPr>
            </w:pPr>
            <w:r>
              <w:rPr>
                <w:rFonts w:ascii="Times New Roman" w:hAnsi="Times New Roman"/>
                <w:snapToGrid w:val="0"/>
                <w:color w:val="auto"/>
                <w:kern w:val="2"/>
                <w:sz w:val="24"/>
                <w:szCs w:val="24"/>
                <w:u w:val="none"/>
              </w:rPr>
              <w:t>1、大气环境影响及保护措施</w:t>
            </w:r>
          </w:p>
          <w:p w14:paraId="42A90705">
            <w:pPr>
              <w:topLinePunct/>
              <w:adjustRightInd w:val="0"/>
              <w:snapToGrid w:val="0"/>
              <w:spacing w:line="360" w:lineRule="auto"/>
              <w:ind w:firstLine="480" w:firstLineChars="200"/>
              <w:rPr>
                <w:color w:val="auto"/>
                <w:sz w:val="24"/>
              </w:rPr>
            </w:pPr>
            <w:r>
              <w:rPr>
                <w:color w:val="auto"/>
                <w:sz w:val="24"/>
              </w:rPr>
              <w:t>项目施工期间对环境空气的污染主要来自施工扬尘、施工燃油机械及运输工具所排放的废气，各种粉尘和扬尘在晴朗、干燥、有风的天气下将会对周围环境空气产生较大影响。</w:t>
            </w:r>
          </w:p>
          <w:p w14:paraId="5E0328A3">
            <w:pPr>
              <w:topLinePunct/>
              <w:adjustRightInd w:val="0"/>
              <w:snapToGrid w:val="0"/>
              <w:spacing w:line="360" w:lineRule="auto"/>
              <w:ind w:firstLine="480" w:firstLineChars="200"/>
              <w:rPr>
                <w:color w:val="auto"/>
                <w:sz w:val="24"/>
              </w:rPr>
            </w:pPr>
            <w:r>
              <w:rPr>
                <w:color w:val="auto"/>
                <w:sz w:val="24"/>
              </w:rPr>
              <w:t>（1）扬尘</w:t>
            </w:r>
          </w:p>
          <w:p w14:paraId="79EAC28E">
            <w:pPr>
              <w:topLinePunct/>
              <w:adjustRightInd w:val="0"/>
              <w:snapToGrid w:val="0"/>
              <w:spacing w:line="360" w:lineRule="auto"/>
              <w:ind w:firstLine="480" w:firstLineChars="200"/>
              <w:rPr>
                <w:color w:val="auto"/>
                <w:sz w:val="24"/>
              </w:rPr>
            </w:pPr>
            <w:r>
              <w:rPr>
                <w:color w:val="auto"/>
                <w:sz w:val="24"/>
              </w:rPr>
              <w:t>整个施工期产生的扬尘，按起尘原因可分为动力起尘和风力起尘。</w:t>
            </w:r>
          </w:p>
          <w:p w14:paraId="55238951">
            <w:pPr>
              <w:topLinePunct/>
              <w:adjustRightInd w:val="0"/>
              <w:snapToGrid w:val="0"/>
              <w:spacing w:line="360" w:lineRule="auto"/>
              <w:ind w:firstLine="480" w:firstLineChars="200"/>
              <w:rPr>
                <w:color w:val="auto"/>
                <w:sz w:val="24"/>
              </w:rPr>
            </w:pPr>
            <w:r>
              <w:rPr>
                <w:color w:val="auto"/>
                <w:sz w:val="24"/>
              </w:rPr>
              <w:t>动力起尘主要是在土石方开挖、车辆行驶及建材的装卸、搅拌过程中，由外力产生的尘粒再悬浮而造成的。</w:t>
            </w:r>
          </w:p>
          <w:p w14:paraId="2DF0D1DD">
            <w:pPr>
              <w:topLinePunct/>
              <w:adjustRightInd w:val="0"/>
              <w:snapToGrid w:val="0"/>
              <w:spacing w:line="360" w:lineRule="auto"/>
              <w:ind w:firstLine="480" w:firstLineChars="200"/>
              <w:rPr>
                <w:color w:val="auto"/>
                <w:sz w:val="24"/>
              </w:rPr>
            </w:pPr>
            <w:r>
              <w:rPr>
                <w:color w:val="auto"/>
                <w:sz w:val="24"/>
              </w:rPr>
              <w:t>风力扬尘主要是由于施工时，一些建材需露天堆放，</w:t>
            </w:r>
            <w:r>
              <w:rPr>
                <w:rFonts w:hint="eastAsia"/>
                <w:color w:val="auto"/>
                <w:sz w:val="24"/>
              </w:rPr>
              <w:t>基坑开挖</w:t>
            </w:r>
            <w:r>
              <w:rPr>
                <w:color w:val="auto"/>
                <w:sz w:val="24"/>
              </w:rPr>
              <w:t>和土方堆放，在有风的情况下，会产生扬尘污染。</w:t>
            </w:r>
          </w:p>
          <w:p w14:paraId="4A57829F">
            <w:pPr>
              <w:topLinePunct/>
              <w:adjustRightInd w:val="0"/>
              <w:snapToGrid w:val="0"/>
              <w:spacing w:line="360" w:lineRule="auto"/>
              <w:ind w:firstLine="480" w:firstLineChars="200"/>
              <w:rPr>
                <w:color w:val="auto"/>
                <w:sz w:val="24"/>
              </w:rPr>
            </w:pPr>
            <w:r>
              <w:rPr>
                <w:color w:val="auto"/>
                <w:sz w:val="24"/>
              </w:rPr>
              <w:t>借助风力和动力引起施工现场及周边环境空气中总悬浮颗粒物</w:t>
            </w:r>
            <w:r>
              <w:rPr>
                <w:rFonts w:hint="eastAsia"/>
                <w:color w:val="auto"/>
                <w:sz w:val="24"/>
              </w:rPr>
              <w:t>（</w:t>
            </w:r>
            <w:r>
              <w:rPr>
                <w:color w:val="auto"/>
                <w:sz w:val="24"/>
              </w:rPr>
              <w:t>TSP</w:t>
            </w:r>
            <w:r>
              <w:rPr>
                <w:rFonts w:hint="eastAsia"/>
                <w:color w:val="auto"/>
                <w:sz w:val="24"/>
              </w:rPr>
              <w:t>）</w:t>
            </w:r>
            <w:r>
              <w:rPr>
                <w:color w:val="auto"/>
                <w:sz w:val="24"/>
              </w:rPr>
              <w:t>指标升高。该粉尘粒径较大，多数沉降于施工现场，但少数粒径小于10um的粉尘会形成飘尘，会影响到周边范围环境空气质量。项目</w:t>
            </w:r>
            <w:r>
              <w:rPr>
                <w:rFonts w:hint="eastAsia"/>
                <w:color w:val="auto"/>
                <w:sz w:val="24"/>
              </w:rPr>
              <w:t>位于</w:t>
            </w:r>
            <w:r>
              <w:rPr>
                <w:rFonts w:hint="eastAsia" w:cs="宋体"/>
                <w:color w:val="auto"/>
                <w:sz w:val="24"/>
              </w:rPr>
              <w:t>江西省赣州市赣州经济技术开发区东至科技大道、南至湘江路、西至青云山路、北至旭日大道</w:t>
            </w:r>
            <w:r>
              <w:rPr>
                <w:color w:val="auto"/>
                <w:sz w:val="24"/>
              </w:rPr>
              <w:t>，</w:t>
            </w:r>
            <w:r>
              <w:rPr>
                <w:rFonts w:hint="eastAsia"/>
                <w:color w:val="auto"/>
                <w:sz w:val="24"/>
              </w:rPr>
              <w:t>周边为企业。</w:t>
            </w:r>
          </w:p>
          <w:p w14:paraId="7A7CB50F">
            <w:pPr>
              <w:topLinePunct/>
              <w:adjustRightInd w:val="0"/>
              <w:snapToGrid w:val="0"/>
              <w:spacing w:line="360" w:lineRule="auto"/>
              <w:ind w:firstLine="480" w:firstLineChars="200"/>
              <w:rPr>
                <w:color w:val="auto"/>
                <w:sz w:val="24"/>
              </w:rPr>
            </w:pPr>
            <w:r>
              <w:rPr>
                <w:color w:val="auto"/>
                <w:sz w:val="24"/>
              </w:rPr>
              <w:t>因此为减小项目施工扬尘对</w:t>
            </w:r>
            <w:r>
              <w:rPr>
                <w:rFonts w:hint="eastAsia"/>
                <w:color w:val="auto"/>
                <w:sz w:val="24"/>
              </w:rPr>
              <w:t>企业</w:t>
            </w:r>
            <w:r>
              <w:rPr>
                <w:color w:val="auto"/>
                <w:sz w:val="24"/>
              </w:rPr>
              <w:t>的影响，建议以下措施：</w:t>
            </w:r>
          </w:p>
          <w:p w14:paraId="777F4590">
            <w:pPr>
              <w:topLinePunct/>
              <w:adjustRightInd w:val="0"/>
              <w:snapToGrid w:val="0"/>
              <w:spacing w:line="360" w:lineRule="auto"/>
              <w:ind w:firstLine="480" w:firstLineChars="200"/>
              <w:rPr>
                <w:color w:val="auto"/>
                <w:sz w:val="24"/>
              </w:rPr>
            </w:pPr>
            <w:r>
              <w:rPr>
                <w:color w:val="auto"/>
                <w:sz w:val="24"/>
              </w:rPr>
              <w:t>①施工现场架设2.5～3m高墙，封闭施工现场，采用</w:t>
            </w:r>
            <w:r>
              <w:rPr>
                <w:rFonts w:hint="eastAsia"/>
                <w:color w:val="auto"/>
                <w:sz w:val="24"/>
              </w:rPr>
              <w:t>密封</w:t>
            </w:r>
            <w:r>
              <w:rPr>
                <w:color w:val="auto"/>
                <w:sz w:val="24"/>
              </w:rPr>
              <w:t>安全网，以减少结构和装修过程中的粉尘飞扬现象，降低粉尘向大气中的排放；脚手架在拆除前，先将脚手板上的垃圾清理干净，清理时应避免扬尘。</w:t>
            </w:r>
          </w:p>
          <w:p w14:paraId="23AB0D71">
            <w:pPr>
              <w:topLinePunct/>
              <w:adjustRightInd w:val="0"/>
              <w:snapToGrid w:val="0"/>
              <w:spacing w:line="360" w:lineRule="auto"/>
              <w:ind w:firstLine="480" w:firstLineChars="200"/>
              <w:rPr>
                <w:color w:val="auto"/>
                <w:sz w:val="24"/>
              </w:rPr>
            </w:pPr>
            <w:r>
              <w:rPr>
                <w:color w:val="auto"/>
                <w:sz w:val="24"/>
              </w:rPr>
              <w:t>②</w:t>
            </w:r>
            <w:r>
              <w:rPr>
                <w:rFonts w:hint="eastAsia"/>
                <w:color w:val="auto"/>
                <w:sz w:val="24"/>
              </w:rPr>
              <w:t>水泥等粉料采用筒仓封闭贮存</w:t>
            </w:r>
            <w:r>
              <w:rPr>
                <w:color w:val="auto"/>
                <w:sz w:val="24"/>
              </w:rPr>
              <w:t>，严禁露天堆放；建筑垃圾做到合理堆放，及时清运，对干燥建筑垃圾进行洒水，减轻装卸和运输过程产生的扬尘污染，并将粉料和建筑垃圾堆放尽量远离敏感点。</w:t>
            </w:r>
          </w:p>
          <w:p w14:paraId="730696BA">
            <w:pPr>
              <w:topLinePunct/>
              <w:adjustRightInd w:val="0"/>
              <w:snapToGrid w:val="0"/>
              <w:spacing w:line="360" w:lineRule="auto"/>
              <w:ind w:firstLine="480" w:firstLineChars="200"/>
              <w:rPr>
                <w:color w:val="auto"/>
                <w:sz w:val="24"/>
              </w:rPr>
            </w:pPr>
            <w:r>
              <w:rPr>
                <w:color w:val="auto"/>
                <w:sz w:val="24"/>
              </w:rPr>
              <w:t>③要求施工单位文明施工，定期对地面洒水，并对撒落在路面的渣土及时清除，清理阶段做到先洒水后清扫，避免产生扬尘对周边住户正常生活造成影响。</w:t>
            </w:r>
          </w:p>
          <w:p w14:paraId="28B0924F">
            <w:pPr>
              <w:topLinePunct/>
              <w:adjustRightInd w:val="0"/>
              <w:snapToGrid w:val="0"/>
              <w:spacing w:line="360" w:lineRule="auto"/>
              <w:ind w:firstLine="480" w:firstLineChars="200"/>
              <w:rPr>
                <w:color w:val="auto"/>
                <w:sz w:val="24"/>
              </w:rPr>
            </w:pPr>
            <w:r>
              <w:rPr>
                <w:color w:val="auto"/>
                <w:sz w:val="24"/>
              </w:rPr>
              <w:t>④禁止在风天进行渣土堆放作业，建材堆放地点要相对集中，临时废弃土石堆场及时清运，并对堆场以毡布覆盖，裸露地面进行硬化和绿化，减少建材的露天堆放时间；开挖出的土石方应加强围栏，表面用毡布覆盖，并及时将多余弃土外运。</w:t>
            </w:r>
          </w:p>
          <w:p w14:paraId="1C039EE1">
            <w:pPr>
              <w:topLinePunct/>
              <w:adjustRightInd w:val="0"/>
              <w:snapToGrid w:val="0"/>
              <w:spacing w:line="360" w:lineRule="auto"/>
              <w:ind w:firstLine="480" w:firstLineChars="200"/>
              <w:rPr>
                <w:color w:val="auto"/>
                <w:sz w:val="24"/>
              </w:rPr>
            </w:pPr>
            <w:r>
              <w:rPr>
                <w:color w:val="auto"/>
                <w:sz w:val="24"/>
              </w:rPr>
              <w:t>⑤风速大于3m/s时应停止施工。</w:t>
            </w:r>
          </w:p>
          <w:p w14:paraId="712C89B5">
            <w:pPr>
              <w:topLinePunct/>
              <w:adjustRightInd w:val="0"/>
              <w:snapToGrid w:val="0"/>
              <w:spacing w:line="360" w:lineRule="auto"/>
              <w:ind w:firstLine="480" w:firstLineChars="200"/>
              <w:rPr>
                <w:color w:val="auto"/>
                <w:sz w:val="24"/>
              </w:rPr>
            </w:pPr>
            <w:r>
              <w:rPr>
                <w:color w:val="auto"/>
                <w:sz w:val="24"/>
              </w:rPr>
              <w:t>⑥物料运输不堆尖、不</w:t>
            </w:r>
            <w:r>
              <w:rPr>
                <w:rFonts w:hint="eastAsia"/>
                <w:color w:val="auto"/>
                <w:sz w:val="24"/>
                <w:lang w:eastAsia="zh-CN"/>
              </w:rPr>
              <w:t>漫出</w:t>
            </w:r>
            <w:r>
              <w:rPr>
                <w:color w:val="auto"/>
                <w:sz w:val="24"/>
              </w:rPr>
              <w:t>车厢，中速行驶，防止沿途</w:t>
            </w:r>
            <w:r>
              <w:rPr>
                <w:rFonts w:hint="eastAsia"/>
                <w:color w:val="auto"/>
                <w:sz w:val="24"/>
                <w:lang w:eastAsia="zh-CN"/>
              </w:rPr>
              <w:t>散石</w:t>
            </w:r>
            <w:r>
              <w:rPr>
                <w:color w:val="auto"/>
                <w:sz w:val="24"/>
              </w:rPr>
              <w:t>和尘土飞扬；且进出场地时车速要小于5km/h。</w:t>
            </w:r>
          </w:p>
          <w:p w14:paraId="16FF24E1">
            <w:pPr>
              <w:topLinePunct/>
              <w:adjustRightInd w:val="0"/>
              <w:snapToGrid w:val="0"/>
              <w:spacing w:line="360" w:lineRule="auto"/>
              <w:ind w:firstLine="480" w:firstLineChars="200"/>
              <w:rPr>
                <w:color w:val="auto"/>
                <w:sz w:val="24"/>
              </w:rPr>
            </w:pPr>
            <w:r>
              <w:rPr>
                <w:color w:val="auto"/>
                <w:sz w:val="24"/>
              </w:rPr>
              <w:t>⑦根据《赣州市中心城区“四尘三烟三气”综合整治方案》，为</w:t>
            </w:r>
            <w:r>
              <w:rPr>
                <w:rFonts w:hint="eastAsia"/>
                <w:color w:val="auto"/>
                <w:sz w:val="24"/>
              </w:rPr>
              <w:t>减少</w:t>
            </w:r>
            <w:r>
              <w:rPr>
                <w:color w:val="auto"/>
                <w:sz w:val="24"/>
              </w:rPr>
              <w:t>“四尘”（建筑工地扬尘、道路扬尘、运输扬尘，堆场扬尘）的产生与影响，项目应加强以下几点措施以防止扬尘对环境及城市卫生的不良影响：</w:t>
            </w:r>
          </w:p>
          <w:p w14:paraId="6EB6C39B">
            <w:pPr>
              <w:topLinePunct/>
              <w:adjustRightInd w:val="0"/>
              <w:snapToGrid w:val="0"/>
              <w:spacing w:line="360" w:lineRule="auto"/>
              <w:ind w:firstLine="480" w:firstLineChars="200"/>
              <w:rPr>
                <w:color w:val="auto"/>
                <w:sz w:val="24"/>
              </w:rPr>
            </w:pPr>
            <w:r>
              <w:rPr>
                <w:color w:val="auto"/>
                <w:sz w:val="24"/>
              </w:rPr>
              <w:t>a.施工现场出入口设置环保公示牌，公示施工现场负责人、环保监督员、扬尘污染主要控制措施、举报电话等信息。</w:t>
            </w:r>
          </w:p>
          <w:p w14:paraId="26FCF181">
            <w:pPr>
              <w:topLinePunct/>
              <w:adjustRightInd w:val="0"/>
              <w:snapToGrid w:val="0"/>
              <w:spacing w:line="360" w:lineRule="auto"/>
              <w:ind w:firstLine="480" w:firstLineChars="200"/>
              <w:rPr>
                <w:color w:val="auto"/>
                <w:sz w:val="24"/>
              </w:rPr>
            </w:pPr>
            <w:r>
              <w:rPr>
                <w:color w:val="auto"/>
                <w:sz w:val="24"/>
              </w:rPr>
              <w:t>b.建设工程开工前，施工单位应当按照标准在施工现场周边设置围挡，并对围挡进行维护。</w:t>
            </w:r>
          </w:p>
          <w:p w14:paraId="595C754A">
            <w:pPr>
              <w:topLinePunct/>
              <w:adjustRightInd w:val="0"/>
              <w:snapToGrid w:val="0"/>
              <w:spacing w:line="360" w:lineRule="auto"/>
              <w:ind w:firstLine="480" w:firstLineChars="200"/>
              <w:rPr>
                <w:color w:val="auto"/>
                <w:sz w:val="24"/>
              </w:rPr>
            </w:pPr>
            <w:r>
              <w:rPr>
                <w:color w:val="auto"/>
                <w:sz w:val="24"/>
              </w:rPr>
              <w:t>c.施工单位应当对施工现场内主要道路和物料堆放场地进行硬化，对其他裸露场地进行覆盖或者临时绿化，对土方进行集中堆放并采取覆盖或者密闭等措施。</w:t>
            </w:r>
          </w:p>
          <w:p w14:paraId="686660AA">
            <w:pPr>
              <w:topLinePunct/>
              <w:adjustRightInd w:val="0"/>
              <w:snapToGrid w:val="0"/>
              <w:spacing w:line="360" w:lineRule="auto"/>
              <w:ind w:firstLine="480" w:firstLineChars="200"/>
              <w:rPr>
                <w:color w:val="auto"/>
                <w:sz w:val="24"/>
              </w:rPr>
            </w:pPr>
            <w:r>
              <w:rPr>
                <w:color w:val="auto"/>
                <w:sz w:val="24"/>
              </w:rPr>
              <w:t>d.建设工程施工现场出口处应当设置车辆冲洗设施，施工车辆冲洗干净后方可上路行驶，车辆清洗处应当配套设置排水、泥浆沉淀设施。</w:t>
            </w:r>
          </w:p>
          <w:p w14:paraId="02E77287">
            <w:pPr>
              <w:topLinePunct/>
              <w:adjustRightInd w:val="0"/>
              <w:snapToGrid w:val="0"/>
              <w:spacing w:line="360" w:lineRule="auto"/>
              <w:ind w:firstLine="480" w:firstLineChars="200"/>
              <w:rPr>
                <w:color w:val="auto"/>
                <w:sz w:val="24"/>
              </w:rPr>
            </w:pPr>
            <w:r>
              <w:rPr>
                <w:color w:val="auto"/>
                <w:sz w:val="24"/>
              </w:rPr>
              <w:t>e.道路挖掘施工过程中，施工单位应当及时覆盖破损路面，并采取洒水等措施防治扬尘污染；道路挖掘施工完成后应当及时修复路面；临时便道要进行硬化处理并定时洒水。</w:t>
            </w:r>
          </w:p>
          <w:p w14:paraId="65962F23">
            <w:pPr>
              <w:topLinePunct/>
              <w:adjustRightInd w:val="0"/>
              <w:snapToGrid w:val="0"/>
              <w:spacing w:line="360" w:lineRule="auto"/>
              <w:ind w:firstLine="480" w:firstLineChars="200"/>
              <w:rPr>
                <w:color w:val="auto"/>
                <w:sz w:val="24"/>
              </w:rPr>
            </w:pPr>
            <w:r>
              <w:rPr>
                <w:color w:val="auto"/>
                <w:sz w:val="24"/>
              </w:rPr>
              <w:t>f.施工单位应当及时对施工现场进行清理和平整，不得从高处向下倾倒或者抛洒各类物料和建筑垃圾。</w:t>
            </w:r>
          </w:p>
          <w:p w14:paraId="224FE8EE">
            <w:pPr>
              <w:topLinePunct/>
              <w:adjustRightInd w:val="0"/>
              <w:snapToGrid w:val="0"/>
              <w:spacing w:line="360" w:lineRule="auto"/>
              <w:ind w:firstLine="480" w:firstLineChars="200"/>
              <w:rPr>
                <w:color w:val="auto"/>
                <w:sz w:val="24"/>
              </w:rPr>
            </w:pPr>
            <w:r>
              <w:rPr>
                <w:color w:val="auto"/>
                <w:sz w:val="24"/>
              </w:rPr>
              <w:t>g.在扬尘产生严重的施工地点及四周场界设置降尘喷雾机进行降尘，通过降尘喷雾机喷洒的水雾将悬浮在空气中的PM</w:t>
            </w:r>
            <w:r>
              <w:rPr>
                <w:color w:val="auto"/>
                <w:sz w:val="24"/>
                <w:vertAlign w:val="subscript"/>
              </w:rPr>
              <w:t>2.5</w:t>
            </w:r>
            <w:r>
              <w:rPr>
                <w:color w:val="auto"/>
                <w:sz w:val="24"/>
              </w:rPr>
              <w:t>，PM</w:t>
            </w:r>
            <w:r>
              <w:rPr>
                <w:color w:val="auto"/>
                <w:sz w:val="24"/>
                <w:vertAlign w:val="subscript"/>
              </w:rPr>
              <w:t>10</w:t>
            </w:r>
            <w:r>
              <w:rPr>
                <w:color w:val="auto"/>
                <w:sz w:val="24"/>
              </w:rPr>
              <w:t>粉尘颗粒吸附、聚合、沉降，达到消除建筑工地扬尘的目的。</w:t>
            </w:r>
          </w:p>
          <w:p w14:paraId="2DA88C9B">
            <w:pPr>
              <w:topLinePunct/>
              <w:adjustRightInd w:val="0"/>
              <w:snapToGrid w:val="0"/>
              <w:spacing w:line="360" w:lineRule="auto"/>
              <w:ind w:firstLine="480" w:firstLineChars="200"/>
              <w:rPr>
                <w:color w:val="auto"/>
                <w:sz w:val="24"/>
              </w:rPr>
            </w:pPr>
            <w:r>
              <w:rPr>
                <w:color w:val="auto"/>
                <w:sz w:val="24"/>
              </w:rPr>
              <w:t>施工单位要严格执行本环评前面提出的扬尘治理措施，做到文明施工、清洁施工和科学施工，实现达标排放，且拟建工程场址地形平坦，工地扬尘排放有一定的扩散条件，加之项目所在区域环境空气质量现状良好，则施工扬尘不会对区域的大气环境造成明显污染。同时施工期产生的扬尘污染是短期的，随着施工活动的结束，场地的覆盖、道路、建筑物的形成，绿化完成等，施工扬尘对环境空气的影响也就随之结束。</w:t>
            </w:r>
          </w:p>
          <w:p w14:paraId="75D183DC">
            <w:pPr>
              <w:topLinePunct/>
              <w:adjustRightInd w:val="0"/>
              <w:snapToGrid w:val="0"/>
              <w:spacing w:line="360" w:lineRule="auto"/>
              <w:ind w:firstLine="480" w:firstLineChars="200"/>
              <w:rPr>
                <w:color w:val="auto"/>
                <w:sz w:val="24"/>
              </w:rPr>
            </w:pPr>
            <w:r>
              <w:rPr>
                <w:color w:val="auto"/>
                <w:sz w:val="24"/>
              </w:rPr>
              <w:t>（2）施工机械废气</w:t>
            </w:r>
          </w:p>
          <w:p w14:paraId="3FE7A6ED">
            <w:pPr>
              <w:topLinePunct/>
              <w:adjustRightInd w:val="0"/>
              <w:snapToGrid w:val="0"/>
              <w:spacing w:line="360" w:lineRule="auto"/>
              <w:ind w:firstLine="480" w:firstLineChars="200"/>
              <w:rPr>
                <w:color w:val="auto"/>
                <w:sz w:val="24"/>
              </w:rPr>
            </w:pPr>
            <w:r>
              <w:rPr>
                <w:color w:val="auto"/>
                <w:sz w:val="24"/>
              </w:rPr>
              <w:t>由于施工机械和装修阶段产生的废气，在不采取措施的情况下即可实现达标排放，但是，为了避免施工机械故障等原因导致其废气的超标排放，本环评建议在施工期内多注意施工设备的维护，使其能够</w:t>
            </w:r>
            <w:r>
              <w:rPr>
                <w:rFonts w:hint="eastAsia"/>
                <w:color w:val="auto"/>
                <w:sz w:val="24"/>
                <w:lang w:eastAsia="zh-CN"/>
              </w:rPr>
              <w:t>正常地</w:t>
            </w:r>
            <w:r>
              <w:rPr>
                <w:color w:val="auto"/>
                <w:sz w:val="24"/>
              </w:rPr>
              <w:t>运行，装修中使用环保型产品，从而可以避免不必要的环境损失。</w:t>
            </w:r>
          </w:p>
          <w:p w14:paraId="483FE888">
            <w:pPr>
              <w:topLinePunct/>
              <w:adjustRightInd w:val="0"/>
              <w:snapToGrid w:val="0"/>
              <w:spacing w:line="360" w:lineRule="auto"/>
              <w:ind w:firstLine="480" w:firstLineChars="200"/>
              <w:rPr>
                <w:color w:val="auto"/>
                <w:sz w:val="24"/>
              </w:rPr>
            </w:pPr>
            <w:r>
              <w:rPr>
                <w:rFonts w:hint="eastAsia"/>
                <w:color w:val="auto"/>
                <w:sz w:val="24"/>
              </w:rPr>
              <w:t>3）施工现场污染防治措施</w:t>
            </w:r>
          </w:p>
          <w:p w14:paraId="5095F595">
            <w:pPr>
              <w:topLinePunct/>
              <w:adjustRightInd w:val="0"/>
              <w:snapToGrid w:val="0"/>
              <w:spacing w:line="360" w:lineRule="auto"/>
              <w:ind w:firstLine="480" w:firstLineChars="200"/>
              <w:rPr>
                <w:color w:val="auto"/>
                <w:sz w:val="24"/>
              </w:rPr>
            </w:pPr>
            <w:r>
              <w:rPr>
                <w:rFonts w:hint="eastAsia"/>
                <w:color w:val="auto"/>
                <w:sz w:val="24"/>
              </w:rPr>
              <w:t>1）运输车辆进入施工场地应低速行驶或限速行驶，在出口处冲洗车轮，以免带出泥沙污染市区并能减少扬尘产生量；</w:t>
            </w:r>
          </w:p>
          <w:p w14:paraId="0B9D8724">
            <w:pPr>
              <w:topLinePunct/>
              <w:adjustRightInd w:val="0"/>
              <w:snapToGrid w:val="0"/>
              <w:spacing w:line="360" w:lineRule="auto"/>
              <w:ind w:firstLine="480" w:firstLineChars="200"/>
              <w:rPr>
                <w:color w:val="auto"/>
                <w:sz w:val="24"/>
              </w:rPr>
            </w:pPr>
            <w:r>
              <w:rPr>
                <w:rFonts w:hint="eastAsia"/>
                <w:color w:val="auto"/>
                <w:sz w:val="24"/>
              </w:rPr>
              <w:t>2）加强粉状建材物料转运与使用的管理，合理装卸，如需要灰渣、水泥等，运输时应采用密闭式槽车运输；</w:t>
            </w:r>
          </w:p>
          <w:p w14:paraId="54C9CDBE">
            <w:pPr>
              <w:topLinePunct/>
              <w:adjustRightInd w:val="0"/>
              <w:snapToGrid w:val="0"/>
              <w:spacing w:line="360" w:lineRule="auto"/>
              <w:ind w:firstLine="480" w:firstLineChars="200"/>
              <w:rPr>
                <w:color w:val="auto"/>
                <w:sz w:val="24"/>
              </w:rPr>
            </w:pPr>
            <w:r>
              <w:rPr>
                <w:rFonts w:hint="eastAsia"/>
                <w:color w:val="auto"/>
                <w:sz w:val="24"/>
              </w:rPr>
              <w:t>3）运输车辆在施工现场出入时，应</w:t>
            </w:r>
            <w:r>
              <w:rPr>
                <w:rFonts w:hint="eastAsia"/>
                <w:color w:val="auto"/>
                <w:sz w:val="24"/>
                <w:lang w:eastAsia="zh-CN"/>
              </w:rPr>
              <w:t>办理</w:t>
            </w:r>
            <w:r>
              <w:rPr>
                <w:rFonts w:hint="eastAsia"/>
                <w:color w:val="auto"/>
                <w:sz w:val="24"/>
              </w:rPr>
              <w:t>准运证，限制其他车辆进入施工现场避免其他车辆进入产生扬尘，准运车辆应经常清洗，尽量减少扬尘对周围环境空气的影响；</w:t>
            </w:r>
          </w:p>
          <w:p w14:paraId="64D70A49">
            <w:pPr>
              <w:topLinePunct/>
              <w:adjustRightInd w:val="0"/>
              <w:snapToGrid w:val="0"/>
              <w:spacing w:line="360" w:lineRule="auto"/>
              <w:ind w:firstLine="480" w:firstLineChars="200"/>
              <w:rPr>
                <w:color w:val="auto"/>
                <w:sz w:val="24"/>
              </w:rPr>
            </w:pPr>
            <w:r>
              <w:rPr>
                <w:rFonts w:hint="eastAsia"/>
                <w:color w:val="auto"/>
                <w:sz w:val="24"/>
              </w:rPr>
              <w:t>4）施工现场禁止焚烧能产生有害有毒气体的废弃建材与原料。</w:t>
            </w:r>
          </w:p>
          <w:p w14:paraId="1B70E44E">
            <w:pPr>
              <w:topLinePunct/>
              <w:adjustRightInd w:val="0"/>
              <w:snapToGrid w:val="0"/>
              <w:spacing w:line="360" w:lineRule="auto"/>
              <w:ind w:firstLine="480" w:firstLineChars="200"/>
              <w:rPr>
                <w:color w:val="auto"/>
                <w:sz w:val="24"/>
              </w:rPr>
            </w:pPr>
            <w:r>
              <w:rPr>
                <w:color w:val="auto"/>
                <w:sz w:val="24"/>
              </w:rPr>
              <w:t>综上所述，当施工单位严格执行本环评提出的措施之后，可以使其对大气环境质量影响降到最低，项目对大气影响将随着施工期的结束而结束。</w:t>
            </w:r>
          </w:p>
          <w:p w14:paraId="43649180">
            <w:pPr>
              <w:pStyle w:val="54"/>
              <w:widowControl/>
              <w:topLinePunct/>
              <w:snapToGrid w:val="0"/>
              <w:spacing w:beforeLines="0" w:after="0" w:line="360" w:lineRule="auto"/>
              <w:ind w:firstLine="482"/>
              <w:jc w:val="left"/>
              <w:rPr>
                <w:rFonts w:ascii="Times New Roman" w:hAnsi="Times New Roman"/>
                <w:snapToGrid w:val="0"/>
                <w:color w:val="auto"/>
                <w:kern w:val="2"/>
                <w:sz w:val="24"/>
                <w:szCs w:val="24"/>
                <w:u w:val="none"/>
              </w:rPr>
            </w:pPr>
            <w:r>
              <w:rPr>
                <w:rFonts w:ascii="Times New Roman" w:hAnsi="Times New Roman"/>
                <w:snapToGrid w:val="0"/>
                <w:color w:val="auto"/>
                <w:kern w:val="2"/>
                <w:sz w:val="24"/>
                <w:szCs w:val="24"/>
                <w:u w:val="none"/>
              </w:rPr>
              <w:t>2、水环境影响及保护措施</w:t>
            </w:r>
          </w:p>
          <w:p w14:paraId="7E4657B6">
            <w:pPr>
              <w:topLinePunct/>
              <w:adjustRightInd w:val="0"/>
              <w:snapToGrid w:val="0"/>
              <w:spacing w:line="360" w:lineRule="auto"/>
              <w:ind w:firstLine="480" w:firstLineChars="200"/>
              <w:rPr>
                <w:color w:val="auto"/>
                <w:sz w:val="24"/>
              </w:rPr>
            </w:pPr>
            <w:r>
              <w:rPr>
                <w:color w:val="auto"/>
                <w:sz w:val="24"/>
              </w:rPr>
              <w:t>施工期废水主要包括施工人员生活污水和施工废水，其中施工废水主要来自砂石冲洗、混凝土养护、场地和设备冲洗等过程，若直接排放，会对周边水体产生不良影响。</w:t>
            </w:r>
            <w:bookmarkStart w:id="22" w:name="_Toc149714206"/>
            <w:bookmarkStart w:id="23" w:name="_Toc171143114"/>
          </w:p>
          <w:p w14:paraId="59EAC956">
            <w:pPr>
              <w:topLinePunct/>
              <w:adjustRightInd w:val="0"/>
              <w:snapToGrid w:val="0"/>
              <w:spacing w:line="360" w:lineRule="auto"/>
              <w:ind w:firstLine="480" w:firstLineChars="200"/>
              <w:rPr>
                <w:color w:val="auto"/>
                <w:sz w:val="24"/>
              </w:rPr>
            </w:pPr>
            <w:r>
              <w:rPr>
                <w:color w:val="auto"/>
                <w:sz w:val="24"/>
              </w:rPr>
              <w:t>（1）生活污水</w:t>
            </w:r>
            <w:bookmarkEnd w:id="22"/>
            <w:bookmarkEnd w:id="23"/>
          </w:p>
          <w:p w14:paraId="0D3AB746">
            <w:pPr>
              <w:topLinePunct/>
              <w:adjustRightInd w:val="0"/>
              <w:snapToGrid w:val="0"/>
              <w:spacing w:line="360" w:lineRule="auto"/>
              <w:ind w:firstLine="480" w:firstLineChars="200"/>
              <w:rPr>
                <w:color w:val="auto"/>
                <w:sz w:val="24"/>
              </w:rPr>
            </w:pPr>
            <w:r>
              <w:rPr>
                <w:rFonts w:hint="eastAsia"/>
                <w:color w:val="auto"/>
                <w:sz w:val="24"/>
              </w:rPr>
              <w:t>施工人员生活污水中水污染物主要为CODcr、BOD</w:t>
            </w:r>
            <w:r>
              <w:rPr>
                <w:rFonts w:hint="eastAsia"/>
                <w:color w:val="auto"/>
                <w:sz w:val="24"/>
                <w:vertAlign w:val="subscript"/>
              </w:rPr>
              <w:t>5</w:t>
            </w:r>
            <w:r>
              <w:rPr>
                <w:rFonts w:hint="eastAsia"/>
                <w:color w:val="auto"/>
                <w:sz w:val="24"/>
              </w:rPr>
              <w:t>、SS和NH</w:t>
            </w:r>
            <w:r>
              <w:rPr>
                <w:rFonts w:hint="eastAsia"/>
                <w:color w:val="auto"/>
                <w:sz w:val="24"/>
                <w:vertAlign w:val="subscript"/>
              </w:rPr>
              <w:t>3</w:t>
            </w:r>
            <w:r>
              <w:rPr>
                <w:rFonts w:hint="eastAsia"/>
                <w:color w:val="auto"/>
                <w:sz w:val="24"/>
              </w:rPr>
              <w:t>-N，污染物浓度</w:t>
            </w:r>
            <w:r>
              <w:rPr>
                <w:rFonts w:hint="eastAsia"/>
                <w:color w:val="auto"/>
                <w:sz w:val="24"/>
                <w:lang w:eastAsia="zh-CN"/>
              </w:rPr>
              <w:t>分别</w:t>
            </w:r>
            <w:r>
              <w:rPr>
                <w:rFonts w:hint="eastAsia"/>
                <w:color w:val="auto"/>
                <w:sz w:val="24"/>
              </w:rPr>
              <w:t>为350mg/L、200mg/L、250mg/L、25mg/L。施工人员产生的生活污水依托一期。</w:t>
            </w:r>
          </w:p>
          <w:p w14:paraId="3813F405">
            <w:pPr>
              <w:topLinePunct/>
              <w:adjustRightInd w:val="0"/>
              <w:snapToGrid w:val="0"/>
              <w:spacing w:line="360" w:lineRule="auto"/>
              <w:ind w:firstLine="480" w:firstLineChars="200"/>
              <w:rPr>
                <w:color w:val="auto"/>
                <w:sz w:val="24"/>
              </w:rPr>
            </w:pPr>
            <w:r>
              <w:rPr>
                <w:color w:val="auto"/>
                <w:sz w:val="24"/>
              </w:rPr>
              <w:t>（2）冲洗废水</w:t>
            </w:r>
          </w:p>
          <w:p w14:paraId="374D8A74">
            <w:pPr>
              <w:pStyle w:val="54"/>
              <w:widowControl/>
              <w:topLinePunct/>
              <w:snapToGrid w:val="0"/>
              <w:spacing w:beforeLines="0" w:after="0" w:line="360" w:lineRule="auto"/>
              <w:jc w:val="left"/>
              <w:textAlignment w:val="auto"/>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施工期间冲洗废水产生量较少，本项目在施工现场新建简易沉淀池，施工过程产生的冲洗废水经沉淀处理后循环使用，不外排。</w:t>
            </w:r>
          </w:p>
          <w:p w14:paraId="4DA4C86B">
            <w:pPr>
              <w:topLinePunct/>
              <w:adjustRightInd w:val="0"/>
              <w:snapToGrid w:val="0"/>
              <w:spacing w:line="360" w:lineRule="auto"/>
              <w:ind w:firstLine="480" w:firstLineChars="200"/>
              <w:rPr>
                <w:color w:val="auto"/>
                <w:sz w:val="24"/>
              </w:rPr>
            </w:pPr>
            <w:r>
              <w:rPr>
                <w:bCs/>
                <w:color w:val="auto"/>
                <w:sz w:val="24"/>
              </w:rPr>
              <w:t>因此，施工期废水对当地地表水环境影响</w:t>
            </w:r>
            <w:r>
              <w:rPr>
                <w:rFonts w:hint="eastAsia"/>
                <w:bCs/>
                <w:color w:val="auto"/>
                <w:sz w:val="24"/>
              </w:rPr>
              <w:t>甚微</w:t>
            </w:r>
            <w:r>
              <w:rPr>
                <w:bCs/>
                <w:color w:val="auto"/>
                <w:sz w:val="24"/>
              </w:rPr>
              <w:t>。</w:t>
            </w:r>
          </w:p>
          <w:p w14:paraId="783430AA">
            <w:pPr>
              <w:pStyle w:val="54"/>
              <w:widowControl/>
              <w:topLinePunct/>
              <w:snapToGrid w:val="0"/>
              <w:spacing w:beforeLines="0" w:after="0" w:line="360" w:lineRule="auto"/>
              <w:ind w:firstLine="482"/>
              <w:jc w:val="left"/>
              <w:rPr>
                <w:rFonts w:ascii="Times New Roman" w:hAnsi="Times New Roman"/>
                <w:snapToGrid w:val="0"/>
                <w:color w:val="auto"/>
                <w:kern w:val="2"/>
                <w:sz w:val="24"/>
                <w:szCs w:val="24"/>
                <w:u w:val="none"/>
              </w:rPr>
            </w:pPr>
            <w:r>
              <w:rPr>
                <w:rFonts w:ascii="Times New Roman" w:hAnsi="Times New Roman"/>
                <w:snapToGrid w:val="0"/>
                <w:color w:val="auto"/>
                <w:kern w:val="2"/>
                <w:sz w:val="24"/>
                <w:szCs w:val="24"/>
                <w:u w:val="none"/>
              </w:rPr>
              <w:t>3、声环境影响及保护措施</w:t>
            </w:r>
          </w:p>
          <w:p w14:paraId="4B36EA40">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施工期间，运输车辆和各种施工机械如压桩机、挖掘机、推土机、搅拌机都是主要的噪声源，根据有关资料，这些机械设备运行时的噪声值如表4-1。</w:t>
            </w:r>
          </w:p>
          <w:p w14:paraId="17BB7169">
            <w:pPr>
              <w:pStyle w:val="54"/>
              <w:widowControl/>
              <w:topLinePunct/>
              <w:spacing w:beforeLines="0" w:after="0"/>
              <w:ind w:firstLine="0" w:firstLineChars="0"/>
              <w:jc w:val="center"/>
              <w:rPr>
                <w:rFonts w:ascii="Times New Roman" w:hAnsi="Times New Roman"/>
                <w:bCs w:val="0"/>
                <w:color w:val="auto"/>
                <w:kern w:val="2"/>
                <w:sz w:val="24"/>
                <w:szCs w:val="24"/>
                <w:u w:val="none"/>
              </w:rPr>
            </w:pPr>
            <w:r>
              <w:rPr>
                <w:rFonts w:ascii="Times New Roman" w:hAnsi="Times New Roman"/>
                <w:bCs w:val="0"/>
                <w:color w:val="auto"/>
                <w:kern w:val="2"/>
                <w:sz w:val="24"/>
                <w:szCs w:val="24"/>
                <w:u w:val="none"/>
              </w:rPr>
              <w:t>表4-1施工机械设备噪声值</w:t>
            </w:r>
          </w:p>
          <w:tbl>
            <w:tblPr>
              <w:tblStyle w:val="24"/>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29"/>
              <w:gridCol w:w="2470"/>
              <w:gridCol w:w="612"/>
              <w:gridCol w:w="1157"/>
              <w:gridCol w:w="2374"/>
            </w:tblGrid>
            <w:tr w14:paraId="0067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7CDBFE26">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序号</w:t>
                  </w:r>
                </w:p>
              </w:tc>
              <w:tc>
                <w:tcPr>
                  <w:tcW w:w="1029" w:type="dxa"/>
                  <w:vAlign w:val="center"/>
                </w:tcPr>
                <w:p w14:paraId="6C5657D9">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设备名称</w:t>
                  </w:r>
                </w:p>
              </w:tc>
              <w:tc>
                <w:tcPr>
                  <w:tcW w:w="2470" w:type="dxa"/>
                  <w:vAlign w:val="center"/>
                </w:tcPr>
                <w:p w14:paraId="0A67AE8C">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距源10m处A声级dB(A)</w:t>
                  </w:r>
                </w:p>
              </w:tc>
              <w:tc>
                <w:tcPr>
                  <w:tcW w:w="612" w:type="dxa"/>
                  <w:vAlign w:val="center"/>
                </w:tcPr>
                <w:p w14:paraId="05CA9FFD">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序号</w:t>
                  </w:r>
                </w:p>
              </w:tc>
              <w:tc>
                <w:tcPr>
                  <w:tcW w:w="1157" w:type="dxa"/>
                  <w:vAlign w:val="center"/>
                </w:tcPr>
                <w:p w14:paraId="6595D9B8">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设备名称</w:t>
                  </w:r>
                </w:p>
              </w:tc>
              <w:tc>
                <w:tcPr>
                  <w:tcW w:w="2374" w:type="dxa"/>
                  <w:vAlign w:val="center"/>
                </w:tcPr>
                <w:p w14:paraId="52249870">
                  <w:pPr>
                    <w:pStyle w:val="54"/>
                    <w:widowControl/>
                    <w:topLinePunct/>
                    <w:spacing w:beforeLines="0" w:after="0"/>
                    <w:ind w:firstLine="0" w:firstLineChars="0"/>
                    <w:jc w:val="center"/>
                    <w:rPr>
                      <w:rFonts w:ascii="Times New Roman" w:hAnsi="Times New Roman"/>
                      <w:bCs w:val="0"/>
                      <w:color w:val="auto"/>
                      <w:kern w:val="2"/>
                      <w:szCs w:val="21"/>
                      <w:u w:val="none"/>
                    </w:rPr>
                  </w:pPr>
                  <w:r>
                    <w:rPr>
                      <w:rFonts w:ascii="Times New Roman" w:hAnsi="Times New Roman"/>
                      <w:bCs w:val="0"/>
                      <w:color w:val="auto"/>
                      <w:kern w:val="2"/>
                      <w:szCs w:val="21"/>
                      <w:u w:val="none"/>
                    </w:rPr>
                    <w:t>距源10m处A声级dB(A)</w:t>
                  </w:r>
                </w:p>
              </w:tc>
            </w:tr>
            <w:tr w14:paraId="420D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2CACBB9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w:t>
                  </w:r>
                </w:p>
              </w:tc>
              <w:tc>
                <w:tcPr>
                  <w:tcW w:w="1029" w:type="dxa"/>
                  <w:vAlign w:val="center"/>
                </w:tcPr>
                <w:p w14:paraId="094A2F17">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压桩机</w:t>
                  </w:r>
                </w:p>
              </w:tc>
              <w:tc>
                <w:tcPr>
                  <w:tcW w:w="2470" w:type="dxa"/>
                  <w:vAlign w:val="center"/>
                </w:tcPr>
                <w:p w14:paraId="3D7E5154">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86</w:t>
                  </w:r>
                </w:p>
              </w:tc>
              <w:tc>
                <w:tcPr>
                  <w:tcW w:w="612" w:type="dxa"/>
                  <w:vAlign w:val="center"/>
                </w:tcPr>
                <w:p w14:paraId="4681AD5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w:t>
                  </w:r>
                </w:p>
              </w:tc>
              <w:tc>
                <w:tcPr>
                  <w:tcW w:w="1157" w:type="dxa"/>
                  <w:vAlign w:val="center"/>
                </w:tcPr>
                <w:p w14:paraId="456DBEDC">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夯土机</w:t>
                  </w:r>
                </w:p>
              </w:tc>
              <w:tc>
                <w:tcPr>
                  <w:tcW w:w="2374" w:type="dxa"/>
                  <w:vAlign w:val="center"/>
                </w:tcPr>
                <w:p w14:paraId="3850EA4D">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83</w:t>
                  </w:r>
                </w:p>
              </w:tc>
            </w:tr>
            <w:tr w14:paraId="6630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2D92778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w:t>
                  </w:r>
                </w:p>
              </w:tc>
              <w:tc>
                <w:tcPr>
                  <w:tcW w:w="1029" w:type="dxa"/>
                  <w:vAlign w:val="center"/>
                </w:tcPr>
                <w:p w14:paraId="37F894D4">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挖掘机</w:t>
                  </w:r>
                </w:p>
              </w:tc>
              <w:tc>
                <w:tcPr>
                  <w:tcW w:w="2470" w:type="dxa"/>
                  <w:vAlign w:val="center"/>
                </w:tcPr>
                <w:p w14:paraId="2852681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82</w:t>
                  </w:r>
                </w:p>
              </w:tc>
              <w:tc>
                <w:tcPr>
                  <w:tcW w:w="612" w:type="dxa"/>
                  <w:vAlign w:val="center"/>
                </w:tcPr>
                <w:p w14:paraId="1B04E787">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6</w:t>
                  </w:r>
                </w:p>
              </w:tc>
              <w:tc>
                <w:tcPr>
                  <w:tcW w:w="1157" w:type="dxa"/>
                  <w:vAlign w:val="center"/>
                </w:tcPr>
                <w:p w14:paraId="16333304">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起重机</w:t>
                  </w:r>
                </w:p>
              </w:tc>
              <w:tc>
                <w:tcPr>
                  <w:tcW w:w="2374" w:type="dxa"/>
                  <w:vAlign w:val="center"/>
                </w:tcPr>
                <w:p w14:paraId="63AFFC91">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82</w:t>
                  </w:r>
                </w:p>
              </w:tc>
            </w:tr>
            <w:tr w14:paraId="5AB3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3CFCF24F">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3</w:t>
                  </w:r>
                </w:p>
              </w:tc>
              <w:tc>
                <w:tcPr>
                  <w:tcW w:w="1029" w:type="dxa"/>
                  <w:vAlign w:val="center"/>
                </w:tcPr>
                <w:p w14:paraId="4E86E79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推土机</w:t>
                  </w:r>
                </w:p>
              </w:tc>
              <w:tc>
                <w:tcPr>
                  <w:tcW w:w="2470" w:type="dxa"/>
                  <w:vAlign w:val="center"/>
                </w:tcPr>
                <w:p w14:paraId="227D094E">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76</w:t>
                  </w:r>
                </w:p>
              </w:tc>
              <w:tc>
                <w:tcPr>
                  <w:tcW w:w="612" w:type="dxa"/>
                  <w:vAlign w:val="center"/>
                </w:tcPr>
                <w:p w14:paraId="0AFB7733">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7</w:t>
                  </w:r>
                </w:p>
              </w:tc>
              <w:tc>
                <w:tcPr>
                  <w:tcW w:w="1157" w:type="dxa"/>
                  <w:vAlign w:val="center"/>
                </w:tcPr>
                <w:p w14:paraId="1B719B5D">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卡车</w:t>
                  </w:r>
                </w:p>
              </w:tc>
              <w:tc>
                <w:tcPr>
                  <w:tcW w:w="2374" w:type="dxa"/>
                  <w:vAlign w:val="center"/>
                </w:tcPr>
                <w:p w14:paraId="7AA90A46">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85</w:t>
                  </w:r>
                </w:p>
              </w:tc>
            </w:tr>
            <w:tr w14:paraId="6B8C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0A37074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w:t>
                  </w:r>
                </w:p>
              </w:tc>
              <w:tc>
                <w:tcPr>
                  <w:tcW w:w="1029" w:type="dxa"/>
                  <w:vAlign w:val="center"/>
                </w:tcPr>
                <w:p w14:paraId="32F70E8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搅拌机</w:t>
                  </w:r>
                </w:p>
              </w:tc>
              <w:tc>
                <w:tcPr>
                  <w:tcW w:w="2470" w:type="dxa"/>
                  <w:vAlign w:val="center"/>
                </w:tcPr>
                <w:p w14:paraId="4B49543F">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84</w:t>
                  </w:r>
                </w:p>
              </w:tc>
              <w:tc>
                <w:tcPr>
                  <w:tcW w:w="612" w:type="dxa"/>
                  <w:vAlign w:val="center"/>
                </w:tcPr>
                <w:p w14:paraId="1B27171E">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w:t>
                  </w:r>
                </w:p>
              </w:tc>
              <w:tc>
                <w:tcPr>
                  <w:tcW w:w="1157" w:type="dxa"/>
                  <w:vAlign w:val="center"/>
                </w:tcPr>
                <w:p w14:paraId="4D5DD0B2">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电锯</w:t>
                  </w:r>
                </w:p>
              </w:tc>
              <w:tc>
                <w:tcPr>
                  <w:tcW w:w="2374" w:type="dxa"/>
                  <w:vAlign w:val="center"/>
                </w:tcPr>
                <w:p w14:paraId="5FCA65D6">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84</w:t>
                  </w:r>
                </w:p>
              </w:tc>
            </w:tr>
          </w:tbl>
          <w:p w14:paraId="4F0C4E6F">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在施工过程中，这些施工机械又往往是同时作业，噪声源辐射量的相互叠加，声级值将更高，辐射范围也更大。</w:t>
            </w:r>
          </w:p>
          <w:p w14:paraId="4174266A">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施工噪声对周边声环境的影响，采用《建筑施工场界环境噪声排放标准》（GB12523-2011）进行评价。</w:t>
            </w:r>
          </w:p>
          <w:p w14:paraId="08B5FFA3">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施工机械噪声主要属中低频噪声，预测其影响时可只考虑其扩散衰减，预测模型可选用：</w:t>
            </w:r>
          </w:p>
          <w:p w14:paraId="4D5321B5">
            <w:pPr>
              <w:pStyle w:val="54"/>
              <w:widowControl/>
              <w:topLinePunct/>
              <w:spacing w:beforeLines="0" w:after="0" w:line="360" w:lineRule="auto"/>
              <w:ind w:firstLine="482"/>
              <w:jc w:val="center"/>
              <w:rPr>
                <w:rFonts w:ascii="Times New Roman" w:hAnsi="Times New Roman"/>
                <w:b w:val="0"/>
                <w:color w:val="auto"/>
                <w:kern w:val="2"/>
                <w:sz w:val="24"/>
                <w:szCs w:val="24"/>
                <w:u w:val="none"/>
              </w:rPr>
            </w:pPr>
            <w:r>
              <w:rPr>
                <w:rFonts w:hint="eastAsia" w:ascii="Times New Roman" w:hAnsi="Times New Roman"/>
                <w:color w:val="auto"/>
                <w:kern w:val="2"/>
                <w:position w:val="-10"/>
                <w:sz w:val="24"/>
                <w:szCs w:val="24"/>
                <w:u w:val="none"/>
              </w:rPr>
              <w:object>
                <v:shape id="_x0000_i1028" o:spt="75" type="#_x0000_t75" style="height:17pt;width:100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14:paraId="4F169AD8">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式中：L1、L2分别为距声源</w:t>
            </w:r>
            <w:r>
              <w:rPr>
                <w:rFonts w:hint="eastAsia" w:ascii="Times New Roman" w:hAnsi="Times New Roman"/>
                <w:b w:val="0"/>
                <w:color w:val="auto"/>
                <w:kern w:val="2"/>
                <w:sz w:val="24"/>
                <w:szCs w:val="24"/>
                <w:u w:val="none"/>
              </w:rPr>
              <w:t>r</w:t>
            </w:r>
            <w:r>
              <w:rPr>
                <w:rFonts w:ascii="Times New Roman" w:hAnsi="Times New Roman"/>
                <w:b w:val="0"/>
                <w:color w:val="auto"/>
                <w:kern w:val="2"/>
                <w:sz w:val="24"/>
                <w:szCs w:val="24"/>
                <w:u w:val="none"/>
              </w:rPr>
              <w:t>1、r2处的等效声级值[dB(A)]；</w:t>
            </w:r>
          </w:p>
          <w:p w14:paraId="7750F4BC">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r1、r2为接受点距声源的距离（m）。</w:t>
            </w:r>
          </w:p>
          <w:p w14:paraId="4AEDA0D3">
            <w:pPr>
              <w:pStyle w:val="54"/>
              <w:widowControl/>
              <w:topLinePunct/>
              <w:spacing w:beforeLines="0" w:after="0" w:line="360" w:lineRule="auto"/>
              <w:jc w:val="center"/>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w:t>
            </w:r>
            <w:r>
              <w:rPr>
                <w:rFonts w:ascii="Times New Roman" w:hAnsi="Times New Roman"/>
                <w:color w:val="auto"/>
                <w:kern w:val="2"/>
                <w:position w:val="-10"/>
                <w:sz w:val="24"/>
                <w:szCs w:val="24"/>
                <w:u w:val="none"/>
              </w:rPr>
              <w:object>
                <v:shape id="_x0000_i1029" o:spt="75" type="#_x0000_t75" style="height:17pt;width:127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14:paraId="4953BE4E">
            <w:pPr>
              <w:adjustRightInd w:val="0"/>
              <w:snapToGrid w:val="0"/>
              <w:spacing w:line="360" w:lineRule="auto"/>
              <w:ind w:firstLine="480" w:firstLineChars="200"/>
              <w:rPr>
                <w:color w:val="auto"/>
                <w:sz w:val="24"/>
              </w:rPr>
            </w:pPr>
            <w:r>
              <w:rPr>
                <w:color w:val="auto"/>
                <w:sz w:val="24"/>
              </w:rPr>
              <w:t>由上式可计算出噪声值随距离衰减情况，见表4-2。</w:t>
            </w:r>
          </w:p>
          <w:p w14:paraId="290B38F6">
            <w:pPr>
              <w:pStyle w:val="54"/>
              <w:widowControl/>
              <w:topLinePunct/>
              <w:spacing w:beforeLines="0" w:after="0"/>
              <w:ind w:firstLine="482"/>
              <w:jc w:val="center"/>
              <w:rPr>
                <w:rFonts w:ascii="Times New Roman" w:hAnsi="Times New Roman"/>
                <w:bCs w:val="0"/>
                <w:color w:val="auto"/>
                <w:kern w:val="2"/>
                <w:sz w:val="24"/>
                <w:szCs w:val="24"/>
                <w:u w:val="none"/>
              </w:rPr>
            </w:pPr>
            <w:r>
              <w:rPr>
                <w:rFonts w:ascii="Times New Roman" w:hAnsi="Times New Roman"/>
                <w:bCs w:val="0"/>
                <w:color w:val="auto"/>
                <w:kern w:val="2"/>
                <w:sz w:val="24"/>
                <w:szCs w:val="24"/>
                <w:u w:val="none"/>
              </w:rPr>
              <w:t>表4-2噪声值随距离的衰减情况</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749"/>
              <w:gridCol w:w="749"/>
              <w:gridCol w:w="936"/>
              <w:gridCol w:w="936"/>
              <w:gridCol w:w="936"/>
              <w:gridCol w:w="937"/>
              <w:gridCol w:w="937"/>
            </w:tblGrid>
            <w:tr w14:paraId="0079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pct"/>
                  <w:vAlign w:val="center"/>
                </w:tcPr>
                <w:p w14:paraId="50F278FC">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距离（m）</w:t>
                  </w:r>
                </w:p>
              </w:tc>
              <w:tc>
                <w:tcPr>
                  <w:tcW w:w="452" w:type="pct"/>
                  <w:vAlign w:val="center"/>
                </w:tcPr>
                <w:p w14:paraId="374B784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10</w:t>
                  </w:r>
                </w:p>
              </w:tc>
              <w:tc>
                <w:tcPr>
                  <w:tcW w:w="452" w:type="pct"/>
                  <w:vAlign w:val="center"/>
                </w:tcPr>
                <w:p w14:paraId="1B3945C5">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50</w:t>
                  </w:r>
                </w:p>
              </w:tc>
              <w:tc>
                <w:tcPr>
                  <w:tcW w:w="565" w:type="pct"/>
                  <w:vAlign w:val="center"/>
                </w:tcPr>
                <w:p w14:paraId="150EE023">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100</w:t>
                  </w:r>
                </w:p>
              </w:tc>
              <w:tc>
                <w:tcPr>
                  <w:tcW w:w="565" w:type="pct"/>
                  <w:vAlign w:val="center"/>
                </w:tcPr>
                <w:p w14:paraId="64EE10F5">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150</w:t>
                  </w:r>
                </w:p>
              </w:tc>
              <w:tc>
                <w:tcPr>
                  <w:tcW w:w="565" w:type="pct"/>
                  <w:vAlign w:val="center"/>
                </w:tcPr>
                <w:p w14:paraId="730F710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200</w:t>
                  </w:r>
                </w:p>
              </w:tc>
              <w:tc>
                <w:tcPr>
                  <w:tcW w:w="566" w:type="pct"/>
                  <w:vAlign w:val="center"/>
                </w:tcPr>
                <w:p w14:paraId="51B3532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250</w:t>
                  </w:r>
                </w:p>
              </w:tc>
              <w:tc>
                <w:tcPr>
                  <w:tcW w:w="566" w:type="pct"/>
                  <w:vAlign w:val="center"/>
                </w:tcPr>
                <w:p w14:paraId="061619B4">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300</w:t>
                  </w:r>
                </w:p>
              </w:tc>
            </w:tr>
            <w:tr w14:paraId="4EDC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pct"/>
                  <w:vAlign w:val="center"/>
                </w:tcPr>
                <w:p w14:paraId="10442DDD">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L[dB(A)]</w:t>
                  </w:r>
                </w:p>
              </w:tc>
              <w:tc>
                <w:tcPr>
                  <w:tcW w:w="452" w:type="pct"/>
                  <w:vAlign w:val="center"/>
                </w:tcPr>
                <w:p w14:paraId="262709C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20</w:t>
                  </w:r>
                </w:p>
              </w:tc>
              <w:tc>
                <w:tcPr>
                  <w:tcW w:w="452" w:type="pct"/>
                  <w:vAlign w:val="center"/>
                </w:tcPr>
                <w:p w14:paraId="17192431">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34</w:t>
                  </w:r>
                </w:p>
              </w:tc>
              <w:tc>
                <w:tcPr>
                  <w:tcW w:w="565" w:type="pct"/>
                  <w:vAlign w:val="center"/>
                </w:tcPr>
                <w:p w14:paraId="24EF2D7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40</w:t>
                  </w:r>
                </w:p>
              </w:tc>
              <w:tc>
                <w:tcPr>
                  <w:tcW w:w="565" w:type="pct"/>
                  <w:vAlign w:val="center"/>
                </w:tcPr>
                <w:p w14:paraId="68FC7B32">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43</w:t>
                  </w:r>
                </w:p>
              </w:tc>
              <w:tc>
                <w:tcPr>
                  <w:tcW w:w="565" w:type="pct"/>
                  <w:vAlign w:val="center"/>
                </w:tcPr>
                <w:p w14:paraId="3DC219B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46</w:t>
                  </w:r>
                </w:p>
              </w:tc>
              <w:tc>
                <w:tcPr>
                  <w:tcW w:w="566" w:type="pct"/>
                  <w:vAlign w:val="center"/>
                </w:tcPr>
                <w:p w14:paraId="7FEB356D">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48</w:t>
                  </w:r>
                </w:p>
              </w:tc>
              <w:tc>
                <w:tcPr>
                  <w:tcW w:w="566" w:type="pct"/>
                  <w:vAlign w:val="center"/>
                </w:tcPr>
                <w:p w14:paraId="76F7844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49</w:t>
                  </w:r>
                </w:p>
              </w:tc>
            </w:tr>
          </w:tbl>
          <w:p w14:paraId="702DA8ED">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如按施工机械噪声最高的打桩机和混凝土搅拌机计算，作业噪声随距离衰减后，对不同距离接受点的声级值如表4-3。</w:t>
            </w:r>
          </w:p>
          <w:p w14:paraId="15902425">
            <w:pPr>
              <w:pStyle w:val="54"/>
              <w:widowControl/>
              <w:topLinePunct/>
              <w:spacing w:beforeLines="0" w:after="0"/>
              <w:ind w:firstLine="0" w:firstLineChars="0"/>
              <w:jc w:val="center"/>
              <w:rPr>
                <w:rFonts w:ascii="Times New Roman" w:hAnsi="Times New Roman"/>
                <w:bCs w:val="0"/>
                <w:color w:val="auto"/>
                <w:kern w:val="2"/>
                <w:sz w:val="24"/>
                <w:szCs w:val="24"/>
                <w:u w:val="none"/>
              </w:rPr>
            </w:pPr>
            <w:r>
              <w:rPr>
                <w:rFonts w:ascii="Times New Roman" w:hAnsi="Times New Roman"/>
                <w:bCs w:val="0"/>
                <w:color w:val="auto"/>
                <w:kern w:val="2"/>
                <w:sz w:val="24"/>
                <w:szCs w:val="24"/>
                <w:u w:val="none"/>
              </w:rPr>
              <w:t>表4-3施工设备噪声对不同距离接受点的影响值</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525"/>
              <w:gridCol w:w="731"/>
              <w:gridCol w:w="733"/>
              <w:gridCol w:w="730"/>
              <w:gridCol w:w="732"/>
              <w:gridCol w:w="730"/>
              <w:gridCol w:w="733"/>
              <w:gridCol w:w="733"/>
            </w:tblGrid>
            <w:tr w14:paraId="722A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14:paraId="77776084">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噪声源</w:t>
                  </w:r>
                </w:p>
              </w:tc>
              <w:tc>
                <w:tcPr>
                  <w:tcW w:w="920" w:type="pct"/>
                  <w:vAlign w:val="center"/>
                </w:tcPr>
                <w:p w14:paraId="7A61D62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距离（m）</w:t>
                  </w:r>
                </w:p>
              </w:tc>
              <w:tc>
                <w:tcPr>
                  <w:tcW w:w="441" w:type="pct"/>
                  <w:vAlign w:val="center"/>
                </w:tcPr>
                <w:p w14:paraId="152E914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10</w:t>
                  </w:r>
                </w:p>
              </w:tc>
              <w:tc>
                <w:tcPr>
                  <w:tcW w:w="442" w:type="pct"/>
                  <w:vAlign w:val="center"/>
                </w:tcPr>
                <w:p w14:paraId="1818C91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20</w:t>
                  </w:r>
                </w:p>
              </w:tc>
              <w:tc>
                <w:tcPr>
                  <w:tcW w:w="441" w:type="pct"/>
                  <w:vAlign w:val="center"/>
                </w:tcPr>
                <w:p w14:paraId="52169FDD">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100</w:t>
                  </w:r>
                </w:p>
              </w:tc>
              <w:tc>
                <w:tcPr>
                  <w:tcW w:w="442" w:type="pct"/>
                  <w:vAlign w:val="center"/>
                </w:tcPr>
                <w:p w14:paraId="6FFCCAD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150</w:t>
                  </w:r>
                </w:p>
              </w:tc>
              <w:tc>
                <w:tcPr>
                  <w:tcW w:w="441" w:type="pct"/>
                  <w:vAlign w:val="center"/>
                </w:tcPr>
                <w:p w14:paraId="6C3C2658">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200</w:t>
                  </w:r>
                </w:p>
              </w:tc>
              <w:tc>
                <w:tcPr>
                  <w:tcW w:w="443" w:type="pct"/>
                  <w:vAlign w:val="center"/>
                </w:tcPr>
                <w:p w14:paraId="3437B0A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250</w:t>
                  </w:r>
                </w:p>
              </w:tc>
              <w:tc>
                <w:tcPr>
                  <w:tcW w:w="443" w:type="pct"/>
                  <w:vAlign w:val="center"/>
                </w:tcPr>
                <w:p w14:paraId="2D339B8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300</w:t>
                  </w:r>
                </w:p>
              </w:tc>
            </w:tr>
            <w:tr w14:paraId="184F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14:paraId="79880F57">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压桩机</w:t>
                  </w:r>
                </w:p>
              </w:tc>
              <w:tc>
                <w:tcPr>
                  <w:tcW w:w="920" w:type="pct"/>
                  <w:vAlign w:val="center"/>
                </w:tcPr>
                <w:p w14:paraId="476DEE7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声级值[dB(A)]</w:t>
                  </w:r>
                </w:p>
              </w:tc>
              <w:tc>
                <w:tcPr>
                  <w:tcW w:w="441" w:type="pct"/>
                  <w:vAlign w:val="center"/>
                </w:tcPr>
                <w:p w14:paraId="32648B7C">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85</w:t>
                  </w:r>
                </w:p>
              </w:tc>
              <w:tc>
                <w:tcPr>
                  <w:tcW w:w="442" w:type="pct"/>
                  <w:vAlign w:val="center"/>
                </w:tcPr>
                <w:p w14:paraId="49DAA7E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71</w:t>
                  </w:r>
                </w:p>
              </w:tc>
              <w:tc>
                <w:tcPr>
                  <w:tcW w:w="441" w:type="pct"/>
                  <w:vAlign w:val="center"/>
                </w:tcPr>
                <w:p w14:paraId="35A5CA22">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65</w:t>
                  </w:r>
                </w:p>
              </w:tc>
              <w:tc>
                <w:tcPr>
                  <w:tcW w:w="442" w:type="pct"/>
                  <w:vAlign w:val="center"/>
                </w:tcPr>
                <w:p w14:paraId="5CA96D75">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62</w:t>
                  </w:r>
                </w:p>
              </w:tc>
              <w:tc>
                <w:tcPr>
                  <w:tcW w:w="441" w:type="pct"/>
                  <w:vAlign w:val="center"/>
                </w:tcPr>
                <w:p w14:paraId="49D4AE9E">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59</w:t>
                  </w:r>
                </w:p>
              </w:tc>
              <w:tc>
                <w:tcPr>
                  <w:tcW w:w="443" w:type="pct"/>
                  <w:vAlign w:val="center"/>
                </w:tcPr>
                <w:p w14:paraId="34A2F04F">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57</w:t>
                  </w:r>
                </w:p>
              </w:tc>
              <w:tc>
                <w:tcPr>
                  <w:tcW w:w="443" w:type="pct"/>
                  <w:vAlign w:val="center"/>
                </w:tcPr>
                <w:p w14:paraId="76466C5A">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56</w:t>
                  </w:r>
                </w:p>
              </w:tc>
            </w:tr>
            <w:tr w14:paraId="2A09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14:paraId="14770685">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混凝土搅拌机</w:t>
                  </w:r>
                </w:p>
              </w:tc>
              <w:tc>
                <w:tcPr>
                  <w:tcW w:w="920" w:type="pct"/>
                  <w:vAlign w:val="center"/>
                </w:tcPr>
                <w:p w14:paraId="378AF5CE">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声级值[dB(A)]</w:t>
                  </w:r>
                </w:p>
              </w:tc>
              <w:tc>
                <w:tcPr>
                  <w:tcW w:w="441" w:type="pct"/>
                  <w:vAlign w:val="center"/>
                </w:tcPr>
                <w:p w14:paraId="1C2343BE">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84</w:t>
                  </w:r>
                </w:p>
              </w:tc>
              <w:tc>
                <w:tcPr>
                  <w:tcW w:w="442" w:type="pct"/>
                  <w:vAlign w:val="center"/>
                </w:tcPr>
                <w:p w14:paraId="605D6359">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70</w:t>
                  </w:r>
                </w:p>
              </w:tc>
              <w:tc>
                <w:tcPr>
                  <w:tcW w:w="441" w:type="pct"/>
                  <w:vAlign w:val="center"/>
                </w:tcPr>
                <w:p w14:paraId="6835944C">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64</w:t>
                  </w:r>
                </w:p>
              </w:tc>
              <w:tc>
                <w:tcPr>
                  <w:tcW w:w="442" w:type="pct"/>
                  <w:vAlign w:val="center"/>
                </w:tcPr>
                <w:p w14:paraId="591BFD2B">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61</w:t>
                  </w:r>
                </w:p>
              </w:tc>
              <w:tc>
                <w:tcPr>
                  <w:tcW w:w="441" w:type="pct"/>
                  <w:vAlign w:val="center"/>
                </w:tcPr>
                <w:p w14:paraId="341999A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58</w:t>
                  </w:r>
                </w:p>
              </w:tc>
              <w:tc>
                <w:tcPr>
                  <w:tcW w:w="443" w:type="pct"/>
                  <w:vAlign w:val="center"/>
                </w:tcPr>
                <w:p w14:paraId="4C84A5A9">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56</w:t>
                  </w:r>
                </w:p>
              </w:tc>
              <w:tc>
                <w:tcPr>
                  <w:tcW w:w="443" w:type="pct"/>
                  <w:vAlign w:val="center"/>
                </w:tcPr>
                <w:p w14:paraId="72418550">
                  <w:pPr>
                    <w:pStyle w:val="54"/>
                    <w:widowControl/>
                    <w:topLinePunct/>
                    <w:spacing w:beforeLines="0" w:after="0"/>
                    <w:ind w:firstLine="0" w:firstLineChars="0"/>
                    <w:jc w:val="center"/>
                    <w:rPr>
                      <w:rFonts w:ascii="Times New Roman" w:hAnsi="Times New Roman"/>
                      <w:b w:val="0"/>
                      <w:color w:val="auto"/>
                      <w:kern w:val="2"/>
                      <w:szCs w:val="21"/>
                      <w:u w:val="none"/>
                    </w:rPr>
                  </w:pPr>
                  <w:r>
                    <w:rPr>
                      <w:rFonts w:ascii="Times New Roman" w:hAnsi="Times New Roman"/>
                      <w:b w:val="0"/>
                      <w:color w:val="auto"/>
                      <w:kern w:val="2"/>
                      <w:szCs w:val="21"/>
                      <w:u w:val="none"/>
                    </w:rPr>
                    <w:t>55</w:t>
                  </w:r>
                </w:p>
              </w:tc>
            </w:tr>
          </w:tbl>
          <w:p w14:paraId="0B85DF46">
            <w:pPr>
              <w:pStyle w:val="54"/>
              <w:widowControl/>
              <w:topLinePunct/>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由表4-3可见，白天施工时，如不进行打桩作业，作业噪声超标范围在100m以内，若有打桩作业，打桩噪声超标范围将超过300米。对</w:t>
            </w:r>
            <w:r>
              <w:rPr>
                <w:rFonts w:hint="eastAsia" w:ascii="Times New Roman" w:hAnsi="Times New Roman"/>
                <w:b w:val="0"/>
                <w:color w:val="auto"/>
                <w:kern w:val="2"/>
                <w:sz w:val="24"/>
                <w:szCs w:val="24"/>
                <w:u w:val="none"/>
              </w:rPr>
              <w:t>其他</w:t>
            </w:r>
            <w:r>
              <w:rPr>
                <w:rFonts w:ascii="Times New Roman" w:hAnsi="Times New Roman"/>
                <w:b w:val="0"/>
                <w:color w:val="auto"/>
                <w:kern w:val="2"/>
                <w:sz w:val="24"/>
                <w:szCs w:val="24"/>
                <w:u w:val="none"/>
              </w:rPr>
              <w:t>设备作业而言，200m左右才能达到施工作业噪声极限值。本项目施工中不采用击打式打桩，施工区域界外为厂区，须文明施工，采取相应的措施降低对周边环境的影响。</w:t>
            </w:r>
          </w:p>
          <w:p w14:paraId="693003FF">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ascii="Times New Roman" w:hAnsi="Times New Roman"/>
                <w:b w:val="0"/>
                <w:color w:val="auto"/>
                <w:kern w:val="2"/>
                <w:sz w:val="24"/>
                <w:szCs w:val="24"/>
                <w:u w:val="none"/>
              </w:rPr>
              <w:t>建议在施工期间采取以下相应措施：</w:t>
            </w:r>
          </w:p>
          <w:p w14:paraId="7BEE2CDF">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hint="eastAsia" w:ascii="Times New Roman" w:hAnsi="Times New Roman"/>
                <w:b w:val="0"/>
                <w:color w:val="auto"/>
                <w:kern w:val="2"/>
                <w:sz w:val="24"/>
                <w:szCs w:val="24"/>
                <w:u w:val="none"/>
              </w:rPr>
              <w:t>（1）</w:t>
            </w:r>
            <w:r>
              <w:rPr>
                <w:rFonts w:ascii="Times New Roman" w:hAnsi="Times New Roman"/>
                <w:b w:val="0"/>
                <w:color w:val="auto"/>
                <w:kern w:val="2"/>
                <w:sz w:val="24"/>
                <w:szCs w:val="24"/>
                <w:u w:val="none"/>
              </w:rPr>
              <w:t>加强施工管理，合理安排作业时间，严格按照施工噪声管理的有关规定，夜间不得进行打桩作业；</w:t>
            </w:r>
          </w:p>
          <w:p w14:paraId="42BE57AD">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hint="eastAsia" w:ascii="Times New Roman" w:hAnsi="Times New Roman"/>
                <w:b w:val="0"/>
                <w:color w:val="auto"/>
                <w:kern w:val="2"/>
                <w:sz w:val="24"/>
                <w:szCs w:val="24"/>
                <w:u w:val="none"/>
              </w:rPr>
              <w:t>（2）</w:t>
            </w:r>
            <w:r>
              <w:rPr>
                <w:rFonts w:ascii="Times New Roman" w:hAnsi="Times New Roman"/>
                <w:b w:val="0"/>
                <w:color w:val="auto"/>
                <w:kern w:val="2"/>
                <w:sz w:val="24"/>
                <w:szCs w:val="24"/>
                <w:u w:val="none"/>
              </w:rPr>
              <w:t>尽量采用低噪声施工设备和噪声低的施工方法；</w:t>
            </w:r>
          </w:p>
          <w:p w14:paraId="3B5334EC">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hint="eastAsia" w:ascii="Times New Roman" w:hAnsi="Times New Roman"/>
                <w:b w:val="0"/>
                <w:color w:val="auto"/>
                <w:kern w:val="2"/>
                <w:sz w:val="24"/>
                <w:szCs w:val="24"/>
                <w:u w:val="none"/>
              </w:rPr>
              <w:t>（3）</w:t>
            </w:r>
            <w:r>
              <w:rPr>
                <w:rFonts w:ascii="Times New Roman" w:hAnsi="Times New Roman"/>
                <w:b w:val="0"/>
                <w:color w:val="auto"/>
                <w:kern w:val="2"/>
                <w:sz w:val="24"/>
                <w:szCs w:val="24"/>
                <w:u w:val="none"/>
              </w:rPr>
              <w:t>作业时在高噪声设备周围设置屏蔽；</w:t>
            </w:r>
          </w:p>
          <w:p w14:paraId="6FFB03DC">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hint="eastAsia" w:ascii="Times New Roman" w:hAnsi="Times New Roman"/>
                <w:b w:val="0"/>
                <w:color w:val="auto"/>
                <w:kern w:val="2"/>
                <w:sz w:val="24"/>
                <w:szCs w:val="24"/>
                <w:u w:val="none"/>
              </w:rPr>
              <w:t>（4）</w:t>
            </w:r>
            <w:r>
              <w:rPr>
                <w:rFonts w:ascii="Times New Roman" w:hAnsi="Times New Roman"/>
                <w:b w:val="0"/>
                <w:color w:val="auto"/>
                <w:kern w:val="2"/>
                <w:sz w:val="24"/>
                <w:szCs w:val="24"/>
                <w:u w:val="none"/>
              </w:rPr>
              <w:t>尽量采用商品混凝土；</w:t>
            </w:r>
          </w:p>
          <w:p w14:paraId="31633346">
            <w:pPr>
              <w:pStyle w:val="54"/>
              <w:widowControl/>
              <w:topLinePunct/>
              <w:snapToGrid w:val="0"/>
              <w:spacing w:beforeLines="0" w:after="0" w:line="360" w:lineRule="auto"/>
              <w:jc w:val="left"/>
              <w:rPr>
                <w:rFonts w:ascii="Times New Roman" w:hAnsi="Times New Roman"/>
                <w:b w:val="0"/>
                <w:color w:val="auto"/>
                <w:kern w:val="2"/>
                <w:sz w:val="24"/>
                <w:szCs w:val="24"/>
                <w:u w:val="none"/>
              </w:rPr>
            </w:pPr>
            <w:r>
              <w:rPr>
                <w:rFonts w:hint="eastAsia" w:ascii="Times New Roman" w:hAnsi="Times New Roman"/>
                <w:b w:val="0"/>
                <w:color w:val="auto"/>
                <w:kern w:val="2"/>
                <w:sz w:val="24"/>
                <w:szCs w:val="24"/>
                <w:u w:val="none"/>
              </w:rPr>
              <w:t>（5）</w:t>
            </w:r>
            <w:r>
              <w:rPr>
                <w:rFonts w:ascii="Times New Roman" w:hAnsi="Times New Roman"/>
                <w:b w:val="0"/>
                <w:color w:val="auto"/>
                <w:kern w:val="2"/>
                <w:sz w:val="24"/>
                <w:szCs w:val="24"/>
                <w:u w:val="none"/>
              </w:rPr>
              <w:t>加强运输车辆的管理，运输尽量在白天进行，并控制车辆鸣笛。</w:t>
            </w:r>
          </w:p>
          <w:p w14:paraId="2E8544FC">
            <w:pPr>
              <w:pStyle w:val="54"/>
              <w:widowControl/>
              <w:topLinePunct/>
              <w:snapToGrid w:val="0"/>
              <w:spacing w:beforeLines="0" w:after="0" w:line="360" w:lineRule="auto"/>
              <w:ind w:firstLine="482"/>
              <w:jc w:val="left"/>
              <w:rPr>
                <w:rFonts w:ascii="Times New Roman" w:hAnsi="Times New Roman"/>
                <w:snapToGrid w:val="0"/>
                <w:color w:val="auto"/>
                <w:kern w:val="2"/>
                <w:sz w:val="24"/>
                <w:szCs w:val="24"/>
                <w:u w:val="none"/>
              </w:rPr>
            </w:pPr>
            <w:r>
              <w:rPr>
                <w:rFonts w:ascii="Times New Roman" w:hAnsi="Times New Roman"/>
                <w:snapToGrid w:val="0"/>
                <w:color w:val="auto"/>
                <w:kern w:val="2"/>
                <w:sz w:val="24"/>
                <w:szCs w:val="24"/>
                <w:u w:val="none"/>
              </w:rPr>
              <w:t>4、固体废弃物环境影响分析</w:t>
            </w:r>
          </w:p>
          <w:p w14:paraId="164AAD46">
            <w:pPr>
              <w:topLinePunct/>
              <w:adjustRightInd w:val="0"/>
              <w:snapToGrid w:val="0"/>
              <w:spacing w:line="360" w:lineRule="auto"/>
              <w:ind w:firstLine="480" w:firstLineChars="200"/>
              <w:rPr>
                <w:color w:val="auto"/>
                <w:sz w:val="24"/>
              </w:rPr>
            </w:pPr>
            <w:r>
              <w:rPr>
                <w:color w:val="auto"/>
                <w:sz w:val="24"/>
              </w:rPr>
              <w:t>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14:paraId="162D2B7C">
            <w:pPr>
              <w:topLinePunct/>
              <w:adjustRightInd w:val="0"/>
              <w:snapToGrid w:val="0"/>
              <w:spacing w:line="360" w:lineRule="auto"/>
              <w:ind w:firstLine="480" w:firstLineChars="200"/>
              <w:rPr>
                <w:color w:val="auto"/>
                <w:sz w:val="24"/>
              </w:rPr>
            </w:pPr>
            <w:r>
              <w:rPr>
                <w:rFonts w:hint="eastAsia"/>
                <w:color w:val="auto"/>
                <w:sz w:val="24"/>
              </w:rPr>
              <w:t>防治措施：</w:t>
            </w:r>
          </w:p>
          <w:p w14:paraId="7146937D">
            <w:pPr>
              <w:topLinePunct/>
              <w:adjustRightInd w:val="0"/>
              <w:snapToGrid w:val="0"/>
              <w:spacing w:line="360" w:lineRule="auto"/>
              <w:ind w:firstLine="480" w:firstLineChars="200"/>
              <w:rPr>
                <w:color w:val="auto"/>
                <w:sz w:val="24"/>
              </w:rPr>
            </w:pPr>
            <w:r>
              <w:rPr>
                <w:rFonts w:hint="eastAsia"/>
                <w:color w:val="auto"/>
                <w:sz w:val="24"/>
              </w:rPr>
              <w:t>①车辆运输固废时，运输车辆必须做到装载适量，加盖苫布，出工地前做好外部清洗，沿途不漏泥土、不飞扬；运输必须限制在规定时段内进行，按指定路段行驶。</w:t>
            </w:r>
          </w:p>
          <w:p w14:paraId="29C72A9D">
            <w:pPr>
              <w:topLinePunct/>
              <w:adjustRightInd w:val="0"/>
              <w:snapToGrid w:val="0"/>
              <w:spacing w:line="360" w:lineRule="auto"/>
              <w:ind w:firstLine="480" w:firstLineChars="200"/>
              <w:rPr>
                <w:color w:val="auto"/>
                <w:sz w:val="24"/>
              </w:rPr>
            </w:pPr>
            <w:r>
              <w:rPr>
                <w:rFonts w:hint="eastAsia"/>
                <w:color w:val="auto"/>
                <w:sz w:val="24"/>
              </w:rPr>
              <w:t>②对可再利用的废料，如木材、钢筋等，应进行回收，以节省资源。</w:t>
            </w:r>
          </w:p>
          <w:p w14:paraId="480EA9AB">
            <w:pPr>
              <w:topLinePunct/>
              <w:adjustRightInd w:val="0"/>
              <w:snapToGrid w:val="0"/>
              <w:spacing w:line="360" w:lineRule="auto"/>
              <w:ind w:firstLine="480" w:firstLineChars="200"/>
              <w:rPr>
                <w:color w:val="auto"/>
                <w:sz w:val="24"/>
              </w:rPr>
            </w:pPr>
            <w:r>
              <w:rPr>
                <w:rFonts w:hint="eastAsia"/>
                <w:color w:val="auto"/>
                <w:sz w:val="24"/>
              </w:rPr>
              <w:t>③对砖瓦等建筑垃圾，可采用一般堆存的方法处理，但一定要将其最终运送到指定的建筑垃圾倾倒场。</w:t>
            </w:r>
          </w:p>
          <w:p w14:paraId="6D122CE4">
            <w:pPr>
              <w:topLinePunct/>
              <w:adjustRightInd w:val="0"/>
              <w:snapToGrid w:val="0"/>
              <w:spacing w:line="360" w:lineRule="auto"/>
              <w:ind w:firstLine="480" w:firstLineChars="200"/>
              <w:rPr>
                <w:color w:val="auto"/>
                <w:sz w:val="24"/>
              </w:rPr>
            </w:pPr>
            <w:r>
              <w:rPr>
                <w:rFonts w:hint="eastAsia"/>
                <w:color w:val="auto"/>
                <w:sz w:val="24"/>
              </w:rPr>
              <w:t>④实施全封闭型施工，尽可能使施工期间的污染和影响控制在施工场地范围内，尽量减少对周围环境的影响。</w:t>
            </w:r>
          </w:p>
          <w:p w14:paraId="60D4F28A">
            <w:pPr>
              <w:topLinePunct/>
              <w:adjustRightInd w:val="0"/>
              <w:snapToGrid w:val="0"/>
              <w:spacing w:line="360" w:lineRule="auto"/>
              <w:ind w:firstLine="480" w:firstLineChars="200"/>
              <w:rPr>
                <w:color w:val="auto"/>
                <w:sz w:val="24"/>
              </w:rPr>
            </w:pPr>
            <w:r>
              <w:rPr>
                <w:rFonts w:hint="eastAsia"/>
                <w:color w:val="auto"/>
                <w:sz w:val="24"/>
              </w:rPr>
              <w:t>⑤施工人员产生的生活垃圾集中收集后由环卫部门统一清运处理。</w:t>
            </w:r>
          </w:p>
          <w:p w14:paraId="161F8585">
            <w:pPr>
              <w:topLinePunct/>
              <w:adjustRightInd w:val="0"/>
              <w:snapToGrid w:val="0"/>
              <w:spacing w:line="360" w:lineRule="auto"/>
              <w:ind w:firstLine="482" w:firstLineChars="200"/>
              <w:rPr>
                <w:b/>
                <w:bCs/>
                <w:color w:val="auto"/>
                <w:sz w:val="24"/>
              </w:rPr>
            </w:pPr>
            <w:r>
              <w:rPr>
                <w:b/>
                <w:bCs/>
                <w:color w:val="auto"/>
                <w:sz w:val="24"/>
              </w:rPr>
              <w:t>5、施工期生态环境影响和保护措施</w:t>
            </w:r>
          </w:p>
          <w:p w14:paraId="61C9A799">
            <w:pPr>
              <w:spacing w:line="360" w:lineRule="auto"/>
              <w:ind w:firstLine="480" w:firstLineChars="200"/>
              <w:rPr>
                <w:rFonts w:cs="宋体"/>
                <w:bCs/>
                <w:color w:val="auto"/>
                <w:spacing w:val="-10"/>
                <w:szCs w:val="21"/>
              </w:rPr>
            </w:pPr>
            <w:r>
              <w:rPr>
                <w:color w:val="auto"/>
                <w:sz w:val="24"/>
              </w:rPr>
              <w:t>工程施工过程中开挖土方，可能对陆地现有地表结构造成破坏，改变土壤结构。同时可能导致水土流失，破坏当地的生态环境。项目所在地为赣州新能源汽车科技城</w:t>
            </w:r>
            <w:r>
              <w:rPr>
                <w:rFonts w:hint="eastAsia"/>
                <w:color w:val="auto"/>
                <w:sz w:val="24"/>
              </w:rPr>
              <w:t>工业用地</w:t>
            </w:r>
            <w:r>
              <w:rPr>
                <w:color w:val="auto"/>
                <w:sz w:val="24"/>
              </w:rPr>
              <w:t>，未在工业园区外新增用地，项目建成后厂区</w:t>
            </w:r>
            <w:r>
              <w:rPr>
                <w:rFonts w:hint="eastAsia"/>
                <w:color w:val="auto"/>
                <w:sz w:val="24"/>
              </w:rPr>
              <w:t>按设计进行</w:t>
            </w:r>
            <w:r>
              <w:rPr>
                <w:color w:val="auto"/>
                <w:sz w:val="24"/>
              </w:rPr>
              <w:t>绿化，可对原生态环境进行补偿，因此项目的建设对区域生态环境影响较小。</w:t>
            </w:r>
          </w:p>
        </w:tc>
      </w:tr>
    </w:tbl>
    <w:p w14:paraId="1BE584C9">
      <w:pPr>
        <w:adjustRightInd w:val="0"/>
        <w:snapToGrid w:val="0"/>
        <w:jc w:val="center"/>
        <w:rPr>
          <w:rFonts w:ascii="宋体" w:hAnsi="宋体" w:cs="宋体"/>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713"/>
      </w:tblGrid>
      <w:tr w14:paraId="0FA50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7" w:hRule="atLeast"/>
          <w:jc w:val="center"/>
        </w:trPr>
        <w:tc>
          <w:tcPr>
            <w:tcW w:w="266" w:type="dxa"/>
            <w:tcMar>
              <w:left w:w="28" w:type="dxa"/>
              <w:right w:w="28" w:type="dxa"/>
            </w:tcMar>
            <w:vAlign w:val="center"/>
          </w:tcPr>
          <w:p w14:paraId="73C46464">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7C2336F4">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663282CA">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5A06018E">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603A6F95">
            <w:pPr>
              <w:adjustRightInd w:val="0"/>
              <w:snapToGrid w:val="0"/>
              <w:jc w:val="center"/>
              <w:rPr>
                <w:rFonts w:ascii="宋体" w:hAnsi="宋体" w:cs="宋体"/>
                <w:bCs/>
                <w:color w:val="auto"/>
                <w:szCs w:val="21"/>
              </w:rPr>
            </w:pPr>
            <w:r>
              <w:rPr>
                <w:rFonts w:hint="eastAsia" w:ascii="宋体" w:hAnsi="宋体" w:cs="宋体"/>
                <w:bCs/>
                <w:color w:val="auto"/>
                <w:szCs w:val="21"/>
              </w:rPr>
              <w:t>保护</w:t>
            </w:r>
          </w:p>
          <w:p w14:paraId="410E2DF0">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713" w:type="dxa"/>
            <w:vAlign w:val="center"/>
          </w:tcPr>
          <w:p w14:paraId="238F4480">
            <w:pPr>
              <w:adjustRightInd w:val="0"/>
              <w:snapToGrid w:val="0"/>
              <w:spacing w:line="360" w:lineRule="auto"/>
              <w:ind w:firstLine="502" w:firstLineChars="200"/>
              <w:rPr>
                <w:b/>
                <w:bCs/>
                <w:color w:val="auto"/>
                <w:spacing w:val="5"/>
                <w:sz w:val="24"/>
              </w:rPr>
            </w:pPr>
            <w:r>
              <w:rPr>
                <w:rFonts w:hint="eastAsia"/>
                <w:b/>
                <w:bCs/>
                <w:color w:val="auto"/>
                <w:spacing w:val="5"/>
                <w:sz w:val="24"/>
              </w:rPr>
              <w:t>一、大气污染物环境影响和防治措施</w:t>
            </w:r>
          </w:p>
          <w:p w14:paraId="4769A2F6">
            <w:pPr>
              <w:topLinePunct/>
              <w:adjustRightInd w:val="0"/>
              <w:snapToGrid w:val="0"/>
              <w:spacing w:line="360" w:lineRule="auto"/>
              <w:ind w:firstLine="480" w:firstLineChars="200"/>
              <w:rPr>
                <w:bCs/>
                <w:color w:val="auto"/>
                <w:sz w:val="24"/>
              </w:rPr>
            </w:pPr>
            <w:r>
              <w:rPr>
                <w:rFonts w:hint="eastAsia"/>
                <w:bCs/>
                <w:color w:val="auto"/>
                <w:sz w:val="24"/>
              </w:rPr>
              <w:t>本项目分为钕铁硼材料机加工半成品和粘胶组件两种产品。</w:t>
            </w:r>
          </w:p>
          <w:p w14:paraId="62F60F1D">
            <w:pPr>
              <w:topLinePunct/>
              <w:adjustRightInd w:val="0"/>
              <w:snapToGrid w:val="0"/>
              <w:spacing w:line="360" w:lineRule="auto"/>
              <w:ind w:firstLine="482" w:firstLineChars="200"/>
              <w:rPr>
                <w:b/>
                <w:color w:val="auto"/>
                <w:sz w:val="24"/>
              </w:rPr>
            </w:pPr>
            <w:r>
              <w:rPr>
                <w:rFonts w:hint="eastAsia"/>
                <w:b/>
                <w:color w:val="auto"/>
                <w:sz w:val="24"/>
              </w:rPr>
              <w:t>1、钕铁硼材料机加工半成品污染工序及源强分析</w:t>
            </w:r>
          </w:p>
          <w:p w14:paraId="1077E8E8">
            <w:pPr>
              <w:topLinePunct/>
              <w:adjustRightInd w:val="0"/>
              <w:snapToGrid w:val="0"/>
              <w:spacing w:line="360" w:lineRule="auto"/>
              <w:ind w:firstLine="480" w:firstLineChars="200"/>
              <w:rPr>
                <w:bCs/>
                <w:color w:val="auto"/>
                <w:sz w:val="24"/>
              </w:rPr>
            </w:pPr>
            <w:r>
              <w:rPr>
                <w:rFonts w:hint="eastAsia"/>
                <w:bCs/>
                <w:color w:val="auto"/>
                <w:sz w:val="24"/>
              </w:rPr>
              <w:t>项目主要废气为打孔油雾</w:t>
            </w:r>
            <w:r>
              <w:rPr>
                <w:rFonts w:hint="eastAsia"/>
                <w:bCs/>
                <w:color w:val="auto"/>
                <w:sz w:val="24"/>
                <w:lang w:eastAsia="zh-CN"/>
              </w:rPr>
              <w:t>、</w:t>
            </w:r>
            <w:r>
              <w:rPr>
                <w:rFonts w:hint="eastAsia"/>
                <w:bCs/>
                <w:color w:val="auto"/>
                <w:sz w:val="24"/>
                <w:lang w:val="en-US" w:eastAsia="zh-CN"/>
              </w:rPr>
              <w:t>含碱蒸汽</w:t>
            </w:r>
            <w:r>
              <w:rPr>
                <w:rFonts w:hint="eastAsia"/>
                <w:bCs/>
                <w:color w:val="auto"/>
                <w:sz w:val="24"/>
              </w:rPr>
              <w:t>。</w:t>
            </w:r>
          </w:p>
          <w:p w14:paraId="7CFF7054">
            <w:pPr>
              <w:topLinePunct/>
              <w:adjustRightInd w:val="0"/>
              <w:snapToGrid w:val="0"/>
              <w:spacing w:line="360" w:lineRule="auto"/>
              <w:ind w:firstLine="480" w:firstLineChars="200"/>
              <w:rPr>
                <w:bCs/>
                <w:color w:val="auto"/>
                <w:sz w:val="24"/>
              </w:rPr>
            </w:pPr>
            <w:r>
              <w:rPr>
                <w:rFonts w:hint="eastAsia"/>
                <w:bCs/>
                <w:color w:val="auto"/>
                <w:sz w:val="24"/>
              </w:rPr>
              <w:t>（1）打孔油雾分析</w:t>
            </w:r>
          </w:p>
          <w:p w14:paraId="3A85F037">
            <w:pPr>
              <w:adjustRightInd w:val="0"/>
              <w:snapToGrid w:val="0"/>
              <w:spacing w:line="360" w:lineRule="auto"/>
              <w:ind w:firstLine="480" w:firstLineChars="200"/>
              <w:rPr>
                <w:color w:val="auto"/>
                <w:sz w:val="24"/>
              </w:rPr>
            </w:pPr>
            <w:r>
              <w:rPr>
                <w:color w:val="auto"/>
                <w:kern w:val="0"/>
                <w:sz w:val="24"/>
              </w:rPr>
              <w:t>本项目</w:t>
            </w:r>
            <w:r>
              <w:rPr>
                <w:rFonts w:hint="eastAsia"/>
                <w:color w:val="auto"/>
                <w:kern w:val="0"/>
                <w:sz w:val="24"/>
              </w:rPr>
              <w:t>在打孔会部分使用切削液，</w:t>
            </w:r>
            <w:r>
              <w:rPr>
                <w:color w:val="auto"/>
                <w:sz w:val="24"/>
              </w:rPr>
              <w:t>在</w:t>
            </w:r>
            <w:r>
              <w:rPr>
                <w:rFonts w:hint="eastAsia"/>
                <w:color w:val="auto"/>
                <w:sz w:val="24"/>
              </w:rPr>
              <w:t>打孔</w:t>
            </w:r>
            <w:r>
              <w:rPr>
                <w:color w:val="auto"/>
                <w:sz w:val="24"/>
              </w:rPr>
              <w:t>过程中会产生少量油雾</w:t>
            </w:r>
            <w:r>
              <w:rPr>
                <w:rFonts w:hint="eastAsia"/>
                <w:color w:val="auto"/>
                <w:sz w:val="24"/>
              </w:rPr>
              <w:t>颗粒物</w:t>
            </w:r>
            <w:r>
              <w:rPr>
                <w:color w:val="auto"/>
                <w:sz w:val="24"/>
              </w:rPr>
              <w:t>，主要污染物为微小油雾颗粒，以非甲烷总烃表征。</w:t>
            </w:r>
            <w:r>
              <w:rPr>
                <w:rFonts w:hint="eastAsia"/>
                <w:color w:val="auto"/>
                <w:sz w:val="24"/>
              </w:rPr>
              <w:t>部分使用防锈液兑水进行打孔，防锈液兑水后为湿式作业不产生废气。</w:t>
            </w:r>
          </w:p>
          <w:p w14:paraId="747C7906">
            <w:pPr>
              <w:adjustRightInd w:val="0"/>
              <w:snapToGrid w:val="0"/>
              <w:spacing w:line="360" w:lineRule="auto"/>
              <w:ind w:firstLine="480" w:firstLineChars="200"/>
              <w:rPr>
                <w:rFonts w:hint="eastAsia"/>
                <w:color w:val="auto"/>
                <w:sz w:val="24"/>
              </w:rPr>
            </w:pPr>
            <w:r>
              <w:rPr>
                <w:color w:val="auto"/>
                <w:sz w:val="24"/>
              </w:rPr>
              <w:t>参照《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的“07机械加工”，“原料名称：切削液；工艺名称：车床加工、铣床加工、刨床加工、磨床加工、镗床加工、钳床加工、钻床加工、加工中心加工、数控中心加工；规模等级：所有规模”的产污系数，即</w:t>
            </w:r>
            <w:r>
              <w:rPr>
                <w:rFonts w:hint="eastAsia"/>
                <w:color w:val="auto"/>
                <w:sz w:val="24"/>
              </w:rPr>
              <w:t>打孔</w:t>
            </w:r>
            <w:r>
              <w:rPr>
                <w:color w:val="auto"/>
                <w:sz w:val="24"/>
              </w:rPr>
              <w:t>油雾中非甲烷总烃的产污系数为5.64kg/吨-原料，本项目切削液用量为</w:t>
            </w:r>
            <w:r>
              <w:rPr>
                <w:rFonts w:hint="eastAsia"/>
                <w:color w:val="auto"/>
                <w:sz w:val="24"/>
              </w:rPr>
              <w:t>5.78</w:t>
            </w:r>
            <w:r>
              <w:rPr>
                <w:color w:val="auto"/>
                <w:sz w:val="24"/>
              </w:rPr>
              <w:t>t/a，则</w:t>
            </w:r>
            <w:r>
              <w:rPr>
                <w:rFonts w:hint="eastAsia"/>
                <w:bCs/>
                <w:color w:val="auto"/>
                <w:sz w:val="24"/>
              </w:rPr>
              <w:t>打孔油雾</w:t>
            </w:r>
            <w:r>
              <w:rPr>
                <w:color w:val="auto"/>
                <w:sz w:val="24"/>
              </w:rPr>
              <w:t>中的非甲烷总烃的产生量为0.0</w:t>
            </w:r>
            <w:r>
              <w:rPr>
                <w:rFonts w:hint="eastAsia"/>
                <w:color w:val="auto"/>
                <w:sz w:val="24"/>
              </w:rPr>
              <w:t>33</w:t>
            </w:r>
            <w:r>
              <w:rPr>
                <w:color w:val="auto"/>
                <w:sz w:val="24"/>
              </w:rPr>
              <w:t>t/a</w:t>
            </w:r>
            <w:r>
              <w:rPr>
                <w:rFonts w:hint="eastAsia"/>
                <w:color w:val="auto"/>
                <w:sz w:val="24"/>
              </w:rPr>
              <w:t>，项目切割生产时间为2400小时，排放速率为0.014kg/h</w:t>
            </w:r>
            <w:r>
              <w:rPr>
                <w:color w:val="auto"/>
                <w:sz w:val="24"/>
              </w:rPr>
              <w:t>。</w:t>
            </w:r>
            <w:r>
              <w:rPr>
                <w:rFonts w:hint="eastAsia"/>
                <w:color w:val="auto"/>
                <w:sz w:val="24"/>
              </w:rPr>
              <w:t>产生量极小，以无组织形式排放。</w:t>
            </w:r>
          </w:p>
          <w:p w14:paraId="09514652">
            <w:pPr>
              <w:adjustRightInd w:val="0"/>
              <w:snapToGrid w:val="0"/>
              <w:spacing w:line="360" w:lineRule="auto"/>
              <w:ind w:firstLine="480" w:firstLineChars="200"/>
              <w:rPr>
                <w:rFonts w:hint="eastAsia"/>
                <w:bCs/>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bCs/>
                <w:color w:val="auto"/>
                <w:sz w:val="24"/>
                <w:lang w:val="en-US" w:eastAsia="zh-CN"/>
              </w:rPr>
              <w:t>含碱蒸汽</w:t>
            </w:r>
          </w:p>
          <w:p w14:paraId="685DB36D">
            <w:pPr>
              <w:adjustRightInd w:val="0"/>
              <w:snapToGrid w:val="0"/>
              <w:spacing w:line="360" w:lineRule="auto"/>
              <w:ind w:firstLine="480" w:firstLineChars="200"/>
              <w:rPr>
                <w:rFonts w:hint="default"/>
                <w:bCs/>
                <w:color w:val="auto"/>
                <w:sz w:val="24"/>
                <w:lang w:val="en-US" w:eastAsia="zh-CN"/>
              </w:rPr>
            </w:pPr>
            <w:r>
              <w:rPr>
                <w:rFonts w:hint="eastAsia"/>
                <w:bCs/>
                <w:color w:val="auto"/>
                <w:sz w:val="24"/>
                <w:lang w:val="en-US" w:eastAsia="zh-CN"/>
              </w:rPr>
              <w:t>本项目在煮胶采用蒸汽进行煮胶，同时加入片碱进行脱胶，多余蒸汽中含碱，因含碱蒸汽一定的腐蚀性，故项目采用风机将蒸汽引至楼顶水喷淋进行处理，不设置排气筒，含碱蒸汽仅定性分析。</w:t>
            </w:r>
          </w:p>
          <w:p w14:paraId="0C7DC8C3">
            <w:pPr>
              <w:spacing w:line="360" w:lineRule="auto"/>
              <w:ind w:firstLine="482" w:firstLineChars="200"/>
              <w:rPr>
                <w:b/>
                <w:bCs/>
                <w:color w:val="auto"/>
                <w:sz w:val="24"/>
              </w:rPr>
            </w:pPr>
            <w:r>
              <w:rPr>
                <w:rFonts w:hint="eastAsia"/>
                <w:b/>
                <w:bCs/>
                <w:color w:val="auto"/>
                <w:sz w:val="24"/>
              </w:rPr>
              <w:t>2、粘胶组件</w:t>
            </w:r>
          </w:p>
          <w:p w14:paraId="6B8B6A26">
            <w:pPr>
              <w:topLinePunct/>
              <w:adjustRightInd w:val="0"/>
              <w:snapToGrid w:val="0"/>
              <w:spacing w:line="360" w:lineRule="auto"/>
              <w:ind w:firstLine="480" w:firstLineChars="200"/>
              <w:rPr>
                <w:bCs/>
                <w:color w:val="auto"/>
                <w:sz w:val="24"/>
              </w:rPr>
            </w:pPr>
            <w:r>
              <w:rPr>
                <w:rFonts w:hint="eastAsia"/>
                <w:bCs/>
                <w:color w:val="auto"/>
                <w:sz w:val="24"/>
              </w:rPr>
              <w:t>项目主要废气为机加工粉尘、机加工油雾、组装废气。</w:t>
            </w:r>
          </w:p>
          <w:p w14:paraId="17E2B623">
            <w:pPr>
              <w:topLinePunct/>
              <w:adjustRightInd w:val="0"/>
              <w:snapToGrid w:val="0"/>
              <w:spacing w:line="360" w:lineRule="auto"/>
              <w:ind w:firstLine="480" w:firstLineChars="200"/>
              <w:rPr>
                <w:bCs/>
                <w:color w:val="auto"/>
                <w:sz w:val="24"/>
              </w:rPr>
            </w:pPr>
            <w:r>
              <w:rPr>
                <w:rFonts w:hint="eastAsia"/>
                <w:bCs/>
                <w:color w:val="auto"/>
                <w:sz w:val="24"/>
              </w:rPr>
              <w:t>（1）机加工粉尘分析</w:t>
            </w:r>
          </w:p>
          <w:p w14:paraId="4734D35C">
            <w:pPr>
              <w:spacing w:line="360" w:lineRule="auto"/>
              <w:ind w:firstLine="480" w:firstLineChars="200"/>
              <w:rPr>
                <w:rFonts w:cs="宋体"/>
                <w:color w:val="auto"/>
                <w:sz w:val="24"/>
              </w:rPr>
            </w:pPr>
            <w:r>
              <w:rPr>
                <w:rFonts w:hint="eastAsia"/>
                <w:color w:val="auto"/>
                <w:sz w:val="24"/>
              </w:rPr>
              <w:t>项目使用</w:t>
            </w:r>
            <w:r>
              <w:rPr>
                <w:rFonts w:hint="eastAsia"/>
                <w:color w:val="auto"/>
                <w:sz w:val="24"/>
                <w:lang w:val="en-US" w:eastAsia="zh-CN"/>
              </w:rPr>
              <w:t>五金件</w:t>
            </w:r>
            <w:r>
              <w:rPr>
                <w:rFonts w:hint="eastAsia"/>
                <w:color w:val="auto"/>
                <w:sz w:val="24"/>
              </w:rPr>
              <w:t>进行转轴机加工，在机加工过程中会产机加工粉尘，以颗粒物计。</w:t>
            </w:r>
            <w:r>
              <w:rPr>
                <w:rFonts w:hint="eastAsia"/>
                <w:color w:val="auto"/>
                <w:kern w:val="0"/>
                <w:sz w:val="24"/>
              </w:rPr>
              <w:t>参考</w:t>
            </w:r>
            <w:r>
              <w:rPr>
                <w:rFonts w:hint="eastAsia"/>
                <w:color w:val="auto"/>
              </w:rPr>
              <w:t>《</w:t>
            </w:r>
            <w:r>
              <w:rPr>
                <w:rFonts w:hint="eastAsia"/>
                <w:snapToGrid w:val="0"/>
                <w:color w:val="auto"/>
                <w:kern w:val="0"/>
                <w:sz w:val="24"/>
              </w:rPr>
              <w:t>排放源统计调查产排污核算方法和系数手册》-</w:t>
            </w:r>
            <w:r>
              <w:rPr>
                <w:rFonts w:hint="eastAsia"/>
                <w:color w:val="auto"/>
                <w:sz w:val="24"/>
              </w:rPr>
              <w:t>39计算机、通信和其他电子设备制造业系数手册，采用</w:t>
            </w:r>
            <w:r>
              <w:rPr>
                <w:rFonts w:cs="宋体"/>
                <w:color w:val="auto"/>
                <w:sz w:val="24"/>
              </w:rPr>
              <w:t>机械加工工段</w:t>
            </w:r>
            <w:r>
              <w:rPr>
                <w:rFonts w:hint="eastAsia" w:cs="宋体"/>
                <w:color w:val="auto"/>
                <w:sz w:val="24"/>
                <w:lang w:val="en-US" w:eastAsia="zh-CN"/>
              </w:rPr>
              <w:t>金属材料</w:t>
            </w:r>
            <w:r>
              <w:rPr>
                <w:rFonts w:hint="eastAsia" w:cs="宋体"/>
                <w:color w:val="auto"/>
                <w:sz w:val="24"/>
              </w:rPr>
              <w:t>颗粒物产污系数为</w:t>
            </w:r>
            <w:r>
              <w:rPr>
                <w:rFonts w:hint="eastAsia" w:cs="宋体"/>
                <w:color w:val="auto"/>
                <w:sz w:val="24"/>
                <w:lang w:val="en-US" w:eastAsia="zh-CN"/>
              </w:rPr>
              <w:t>2.841</w:t>
            </w:r>
            <w:r>
              <w:rPr>
                <w:rFonts w:hint="eastAsia" w:cs="宋体"/>
                <w:color w:val="auto"/>
                <w:sz w:val="24"/>
              </w:rPr>
              <w:t>×10</w:t>
            </w:r>
            <w:r>
              <w:rPr>
                <w:rFonts w:hint="eastAsia" w:cs="宋体"/>
                <w:color w:val="auto"/>
                <w:sz w:val="24"/>
                <w:vertAlign w:val="superscript"/>
              </w:rPr>
              <w:t>-1</w:t>
            </w:r>
            <w:r>
              <w:rPr>
                <w:rFonts w:hint="eastAsia" w:cs="宋体"/>
                <w:color w:val="auto"/>
                <w:sz w:val="24"/>
              </w:rPr>
              <w:t>g/kg-原料，项目使用</w:t>
            </w:r>
            <w:r>
              <w:rPr>
                <w:rFonts w:hint="eastAsia" w:cs="宋体"/>
                <w:color w:val="auto"/>
                <w:sz w:val="24"/>
                <w:lang w:val="en-US" w:eastAsia="zh-CN"/>
              </w:rPr>
              <w:t>五金件</w:t>
            </w:r>
            <w:r>
              <w:rPr>
                <w:rFonts w:hint="eastAsia" w:cs="宋体"/>
                <w:color w:val="auto"/>
                <w:sz w:val="24"/>
              </w:rPr>
              <w:t>一共为2254.6755t/a，则机加工粉尘产生量为0.</w:t>
            </w:r>
            <w:r>
              <w:rPr>
                <w:rFonts w:hint="eastAsia" w:cs="宋体"/>
                <w:color w:val="auto"/>
                <w:sz w:val="24"/>
                <w:lang w:val="en-US" w:eastAsia="zh-CN"/>
              </w:rPr>
              <w:t>641</w:t>
            </w:r>
            <w:r>
              <w:rPr>
                <w:rFonts w:hint="eastAsia" w:cs="宋体"/>
                <w:color w:val="auto"/>
                <w:sz w:val="24"/>
              </w:rPr>
              <w:t>t/a，产生速率为0.</w:t>
            </w:r>
            <w:r>
              <w:rPr>
                <w:rFonts w:hint="eastAsia" w:cs="宋体"/>
                <w:color w:val="auto"/>
                <w:sz w:val="24"/>
                <w:lang w:val="en-US" w:eastAsia="zh-CN"/>
              </w:rPr>
              <w:t>267</w:t>
            </w:r>
            <w:r>
              <w:rPr>
                <w:rFonts w:hint="eastAsia" w:cs="宋体"/>
                <w:color w:val="auto"/>
                <w:sz w:val="24"/>
              </w:rPr>
              <w:t>kg/h。产生量小，以无组织形式排放。</w:t>
            </w:r>
          </w:p>
          <w:p w14:paraId="756277A6">
            <w:pPr>
              <w:spacing w:line="360" w:lineRule="auto"/>
              <w:ind w:firstLine="480" w:firstLineChars="200"/>
              <w:rPr>
                <w:color w:val="auto"/>
                <w:sz w:val="24"/>
              </w:rPr>
            </w:pPr>
            <w:r>
              <w:rPr>
                <w:rFonts w:hint="eastAsia"/>
                <w:color w:val="auto"/>
                <w:sz w:val="24"/>
              </w:rPr>
              <w:t>（2）机加工油雾</w:t>
            </w:r>
          </w:p>
          <w:p w14:paraId="66E0034C">
            <w:pPr>
              <w:adjustRightInd w:val="0"/>
              <w:snapToGrid w:val="0"/>
              <w:spacing w:line="360" w:lineRule="auto"/>
              <w:ind w:firstLine="480" w:firstLineChars="200"/>
              <w:rPr>
                <w:color w:val="auto"/>
                <w:sz w:val="24"/>
              </w:rPr>
            </w:pPr>
            <w:r>
              <w:rPr>
                <w:color w:val="auto"/>
                <w:kern w:val="0"/>
                <w:sz w:val="24"/>
              </w:rPr>
              <w:t>本项目</w:t>
            </w:r>
            <w:r>
              <w:rPr>
                <w:rFonts w:hint="eastAsia"/>
                <w:color w:val="auto"/>
                <w:kern w:val="0"/>
                <w:sz w:val="24"/>
              </w:rPr>
              <w:t>在磁瓦和转轴机加工过程中会使用切削液，</w:t>
            </w:r>
            <w:r>
              <w:rPr>
                <w:color w:val="auto"/>
                <w:sz w:val="24"/>
              </w:rPr>
              <w:t>在</w:t>
            </w:r>
            <w:r>
              <w:rPr>
                <w:rFonts w:hint="eastAsia"/>
                <w:color w:val="auto"/>
                <w:sz w:val="24"/>
              </w:rPr>
              <w:t>机加工</w:t>
            </w:r>
            <w:r>
              <w:rPr>
                <w:color w:val="auto"/>
                <w:sz w:val="24"/>
              </w:rPr>
              <w:t>过程中会产生少量油雾</w:t>
            </w:r>
            <w:r>
              <w:rPr>
                <w:rFonts w:hint="eastAsia"/>
                <w:color w:val="auto"/>
                <w:sz w:val="24"/>
              </w:rPr>
              <w:t>颗粒物</w:t>
            </w:r>
            <w:r>
              <w:rPr>
                <w:color w:val="auto"/>
                <w:sz w:val="24"/>
              </w:rPr>
              <w:t>，主要污染物为微小油雾颗粒，以非甲烷总烃表征。</w:t>
            </w:r>
          </w:p>
          <w:p w14:paraId="30D89483">
            <w:pPr>
              <w:adjustRightInd w:val="0"/>
              <w:snapToGrid w:val="0"/>
              <w:spacing w:line="360" w:lineRule="auto"/>
              <w:ind w:firstLine="480" w:firstLineChars="200"/>
              <w:rPr>
                <w:color w:val="auto"/>
                <w:sz w:val="24"/>
              </w:rPr>
            </w:pPr>
            <w:r>
              <w:rPr>
                <w:color w:val="auto"/>
                <w:sz w:val="24"/>
              </w:rPr>
              <w:t>参照《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的“07机械加工”，“原料名称：切削液；工艺名称：车床加工、铣床加工、刨床加工、磨床加工、镗床加工、钳床加工、钻床加工、加工中心加工、数控中心加工；规模等级：所有规模”的产污系数，即</w:t>
            </w:r>
            <w:r>
              <w:rPr>
                <w:rFonts w:hint="eastAsia"/>
                <w:color w:val="auto"/>
                <w:sz w:val="24"/>
              </w:rPr>
              <w:t>打孔</w:t>
            </w:r>
            <w:r>
              <w:rPr>
                <w:color w:val="auto"/>
                <w:sz w:val="24"/>
              </w:rPr>
              <w:t>油雾中非甲烷总烃的产污系数为5.64kg/吨-原料，本项目切削液用量为</w:t>
            </w:r>
            <w:r>
              <w:rPr>
                <w:rFonts w:hint="eastAsia"/>
                <w:color w:val="auto"/>
                <w:sz w:val="24"/>
              </w:rPr>
              <w:t>7.5</w:t>
            </w:r>
            <w:r>
              <w:rPr>
                <w:color w:val="auto"/>
                <w:sz w:val="24"/>
              </w:rPr>
              <w:t>t/a，则</w:t>
            </w:r>
            <w:r>
              <w:rPr>
                <w:rFonts w:hint="eastAsia"/>
                <w:color w:val="auto"/>
                <w:sz w:val="24"/>
              </w:rPr>
              <w:t>机加工油雾</w:t>
            </w:r>
            <w:r>
              <w:rPr>
                <w:color w:val="auto"/>
                <w:sz w:val="24"/>
              </w:rPr>
              <w:t>中的非甲烷总烃的产生量为0.0</w:t>
            </w:r>
            <w:r>
              <w:rPr>
                <w:rFonts w:hint="eastAsia"/>
                <w:color w:val="auto"/>
                <w:sz w:val="24"/>
              </w:rPr>
              <w:t>42</w:t>
            </w:r>
            <w:r>
              <w:rPr>
                <w:color w:val="auto"/>
                <w:sz w:val="24"/>
              </w:rPr>
              <w:t>t/a</w:t>
            </w:r>
            <w:r>
              <w:rPr>
                <w:rFonts w:hint="eastAsia"/>
                <w:color w:val="auto"/>
                <w:sz w:val="24"/>
              </w:rPr>
              <w:t>，项目切割生产时间为2400小时，排放速率为0.018kg/h</w:t>
            </w:r>
            <w:r>
              <w:rPr>
                <w:color w:val="auto"/>
                <w:sz w:val="24"/>
              </w:rPr>
              <w:t>。</w:t>
            </w:r>
            <w:r>
              <w:rPr>
                <w:rFonts w:hint="eastAsia"/>
                <w:color w:val="auto"/>
                <w:sz w:val="24"/>
              </w:rPr>
              <w:t>产生量极小，以无组织形式排放。</w:t>
            </w:r>
          </w:p>
          <w:p w14:paraId="61EF3D33">
            <w:pPr>
              <w:spacing w:line="360" w:lineRule="auto"/>
              <w:ind w:firstLine="480" w:firstLineChars="200"/>
              <w:rPr>
                <w:color w:val="auto"/>
                <w:sz w:val="24"/>
              </w:rPr>
            </w:pPr>
            <w:r>
              <w:rPr>
                <w:rFonts w:hint="eastAsia"/>
                <w:color w:val="auto"/>
                <w:sz w:val="24"/>
              </w:rPr>
              <w:t>（3）组装废气</w:t>
            </w:r>
          </w:p>
          <w:p w14:paraId="3025F138">
            <w:pPr>
              <w:autoSpaceDE w:val="0"/>
              <w:autoSpaceDN w:val="0"/>
              <w:spacing w:line="360" w:lineRule="auto"/>
              <w:ind w:firstLine="480" w:firstLineChars="200"/>
              <w:rPr>
                <w:rFonts w:hint="eastAsia" w:eastAsia="宋体"/>
                <w:color w:val="auto"/>
                <w:kern w:val="0"/>
                <w:sz w:val="24"/>
                <w:lang w:eastAsia="zh-CN"/>
              </w:rPr>
            </w:pPr>
            <w:r>
              <w:rPr>
                <w:rFonts w:hint="eastAsia"/>
                <w:color w:val="auto"/>
                <w:kern w:val="0"/>
                <w:sz w:val="24"/>
              </w:rPr>
              <w:t>项目在组装工序会使用M型单组份环氧胶粘剂将磁瓦、转轴、磁环进行粘合，故会产生有机废气，以非甲烷总烃计。根据胶水的成分，项目M型单组份环氧胶粘剂主要由</w:t>
            </w:r>
            <w:r>
              <w:rPr>
                <w:rFonts w:hint="eastAsia" w:cs="宋体"/>
                <w:bCs/>
                <w:color w:val="auto"/>
                <w:sz w:val="24"/>
              </w:rPr>
              <w:t>双酚F环氧氯丙烷聚合物（30-40%）、环氧增韧剂（15-25%）、碳酸钙（35-45%）、二氢二胺（5-10%）、改性胺（2-5%）、气相二氧化硅组成（1-5%）</w:t>
            </w:r>
            <w:r>
              <w:rPr>
                <w:rFonts w:hint="eastAsia"/>
                <w:color w:val="auto"/>
                <w:sz w:val="24"/>
              </w:rPr>
              <w:t>组成。本项目有机废气按最大挥发量计算，即40%计算，项目</w:t>
            </w:r>
            <w:r>
              <w:rPr>
                <w:rFonts w:hint="eastAsia"/>
                <w:color w:val="auto"/>
                <w:kern w:val="0"/>
                <w:sz w:val="24"/>
              </w:rPr>
              <w:t>M型单组份环氧胶粘剂</w:t>
            </w:r>
            <w:r>
              <w:rPr>
                <w:rFonts w:hint="eastAsia"/>
                <w:color w:val="auto"/>
                <w:sz w:val="24"/>
              </w:rPr>
              <w:t>年用量为</w:t>
            </w:r>
            <w:bookmarkStart w:id="24" w:name="OLE_LINK7"/>
            <w:r>
              <w:rPr>
                <w:rFonts w:hint="eastAsia"/>
                <w:color w:val="auto"/>
                <w:sz w:val="24"/>
              </w:rPr>
              <w:t>33.4L</w:t>
            </w:r>
            <w:bookmarkEnd w:id="24"/>
            <w:r>
              <w:rPr>
                <w:rFonts w:hint="eastAsia"/>
                <w:color w:val="auto"/>
                <w:sz w:val="24"/>
              </w:rPr>
              <w:t>，密度按1.2g/cm</w:t>
            </w:r>
            <w:r>
              <w:rPr>
                <w:rFonts w:hint="eastAsia"/>
                <w:color w:val="auto"/>
                <w:sz w:val="24"/>
                <w:vertAlign w:val="superscript"/>
              </w:rPr>
              <w:t>3</w:t>
            </w:r>
            <w:r>
              <w:rPr>
                <w:rFonts w:hint="eastAsia"/>
                <w:color w:val="auto"/>
                <w:sz w:val="24"/>
              </w:rPr>
              <w:t>，则</w:t>
            </w:r>
            <w:r>
              <w:rPr>
                <w:rFonts w:hint="eastAsia"/>
                <w:color w:val="auto"/>
                <w:kern w:val="0"/>
                <w:sz w:val="24"/>
              </w:rPr>
              <w:t>M型单组份环氧胶粘剂</w:t>
            </w:r>
            <w:r>
              <w:rPr>
                <w:rFonts w:hint="eastAsia"/>
                <w:color w:val="auto"/>
                <w:sz w:val="24"/>
              </w:rPr>
              <w:t>年用量按0.041t/a进行计算，故有机废气产生量为0.016t/a，产生速率为0.007kg/h，产生量较小，以无组织形式排放。</w:t>
            </w:r>
          </w:p>
          <w:p w14:paraId="69BCEE1F">
            <w:pPr>
              <w:spacing w:line="360" w:lineRule="auto"/>
              <w:ind w:firstLine="482" w:firstLineChars="200"/>
              <w:rPr>
                <w:color w:val="auto"/>
                <w:sz w:val="24"/>
              </w:rPr>
            </w:pPr>
            <w:r>
              <w:rPr>
                <w:rFonts w:hint="eastAsia"/>
                <w:b/>
                <w:bCs/>
                <w:color w:val="auto"/>
                <w:sz w:val="24"/>
              </w:rPr>
              <w:t>3、污染物排放情况</w:t>
            </w:r>
          </w:p>
          <w:p w14:paraId="2F64EDCE">
            <w:pPr>
              <w:spacing w:line="360" w:lineRule="auto"/>
              <w:ind w:firstLine="480" w:firstLineChars="200"/>
              <w:rPr>
                <w:color w:val="auto"/>
                <w:sz w:val="24"/>
              </w:rPr>
            </w:pPr>
            <w:r>
              <w:rPr>
                <w:rFonts w:hint="eastAsia"/>
                <w:color w:val="auto"/>
                <w:sz w:val="24"/>
              </w:rPr>
              <w:t>本项目废气产排情况见表4-</w:t>
            </w:r>
            <w:r>
              <w:rPr>
                <w:rFonts w:hint="eastAsia"/>
                <w:color w:val="auto"/>
                <w:sz w:val="24"/>
                <w:lang w:val="en-US" w:eastAsia="zh-CN"/>
              </w:rPr>
              <w:t>4</w:t>
            </w:r>
            <w:r>
              <w:rPr>
                <w:rFonts w:hint="eastAsia"/>
                <w:color w:val="auto"/>
                <w:sz w:val="24"/>
              </w:rPr>
              <w:t>。</w:t>
            </w:r>
          </w:p>
          <w:p w14:paraId="186B1470">
            <w:pPr>
              <w:pStyle w:val="42"/>
              <w:jc w:val="center"/>
              <w:rPr>
                <w:rFonts w:hint="default"/>
                <w:b/>
                <w:color w:val="auto"/>
                <w:sz w:val="24"/>
              </w:rPr>
            </w:pPr>
            <w:r>
              <w:rPr>
                <w:rFonts w:ascii="Times New Roman"/>
                <w:b/>
                <w:color w:val="auto"/>
                <w:sz w:val="24"/>
              </w:rPr>
              <w:t>表4-</w:t>
            </w:r>
            <w:r>
              <w:rPr>
                <w:rFonts w:hint="eastAsia" w:ascii="Times New Roman"/>
                <w:b/>
                <w:color w:val="auto"/>
                <w:sz w:val="24"/>
                <w:lang w:val="en-US" w:eastAsia="zh-CN"/>
              </w:rPr>
              <w:t>4</w:t>
            </w:r>
            <w:r>
              <w:rPr>
                <w:b/>
                <w:color w:val="auto"/>
                <w:sz w:val="24"/>
              </w:rPr>
              <w:t>项目无组织废气产排情况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9"/>
              <w:gridCol w:w="681"/>
              <w:gridCol w:w="742"/>
              <w:gridCol w:w="812"/>
              <w:gridCol w:w="763"/>
              <w:gridCol w:w="905"/>
              <w:gridCol w:w="503"/>
              <w:gridCol w:w="430"/>
              <w:gridCol w:w="717"/>
              <w:gridCol w:w="805"/>
              <w:gridCol w:w="990"/>
              <w:gridCol w:w="460"/>
            </w:tblGrid>
            <w:tr w14:paraId="6202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0" w:type="pct"/>
                  <w:vMerge w:val="restart"/>
                  <w:tcBorders>
                    <w:top w:val="single" w:color="auto" w:sz="4" w:space="0"/>
                    <w:left w:val="single" w:color="auto" w:sz="4" w:space="0"/>
                    <w:bottom w:val="single" w:color="auto" w:sz="4" w:space="0"/>
                    <w:right w:val="single" w:color="auto" w:sz="4" w:space="0"/>
                  </w:tcBorders>
                  <w:vAlign w:val="center"/>
                </w:tcPr>
                <w:p w14:paraId="27F8B75C">
                  <w:pPr>
                    <w:pStyle w:val="23"/>
                    <w:adjustRightInd w:val="0"/>
                    <w:snapToGrid w:val="0"/>
                    <w:spacing w:after="0"/>
                    <w:ind w:left="0" w:leftChars="0" w:firstLine="0" w:firstLineChars="0"/>
                    <w:jc w:val="center"/>
                    <w:rPr>
                      <w:b/>
                      <w:color w:val="auto"/>
                      <w:szCs w:val="21"/>
                    </w:rPr>
                  </w:pPr>
                  <w:r>
                    <w:rPr>
                      <w:rFonts w:hint="eastAsia"/>
                      <w:b/>
                      <w:color w:val="auto"/>
                      <w:szCs w:val="21"/>
                    </w:rPr>
                    <w:t>污染源</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383E4504">
                  <w:pPr>
                    <w:pStyle w:val="23"/>
                    <w:adjustRightInd w:val="0"/>
                    <w:snapToGrid w:val="0"/>
                    <w:spacing w:after="0"/>
                    <w:ind w:left="0" w:leftChars="0" w:firstLine="0" w:firstLineChars="0"/>
                    <w:jc w:val="center"/>
                    <w:rPr>
                      <w:b/>
                      <w:color w:val="auto"/>
                      <w:szCs w:val="21"/>
                    </w:rPr>
                  </w:pPr>
                  <w:r>
                    <w:rPr>
                      <w:rFonts w:hint="eastAsia"/>
                      <w:b/>
                      <w:color w:val="auto"/>
                      <w:szCs w:val="21"/>
                    </w:rPr>
                    <w:t>污染物</w:t>
                  </w:r>
                </w:p>
              </w:tc>
              <w:tc>
                <w:tcPr>
                  <w:tcW w:w="437" w:type="pct"/>
                  <w:vMerge w:val="restart"/>
                  <w:tcBorders>
                    <w:top w:val="single" w:color="auto" w:sz="4" w:space="0"/>
                    <w:left w:val="single" w:color="auto" w:sz="4" w:space="0"/>
                    <w:bottom w:val="single" w:color="auto" w:sz="4" w:space="0"/>
                    <w:right w:val="single" w:color="auto" w:sz="4" w:space="0"/>
                  </w:tcBorders>
                  <w:vAlign w:val="center"/>
                </w:tcPr>
                <w:p w14:paraId="590AE6C1">
                  <w:pPr>
                    <w:pStyle w:val="23"/>
                    <w:adjustRightInd w:val="0"/>
                    <w:snapToGrid w:val="0"/>
                    <w:spacing w:after="0"/>
                    <w:ind w:left="0" w:leftChars="0" w:firstLine="0" w:firstLineChars="0"/>
                    <w:jc w:val="center"/>
                    <w:rPr>
                      <w:b/>
                      <w:color w:val="auto"/>
                      <w:szCs w:val="21"/>
                    </w:rPr>
                  </w:pPr>
                  <w:r>
                    <w:rPr>
                      <w:rFonts w:hint="eastAsia"/>
                      <w:b/>
                      <w:color w:val="auto"/>
                      <w:szCs w:val="21"/>
                    </w:rPr>
                    <w:t>产污工序</w:t>
                  </w:r>
                </w:p>
              </w:tc>
              <w:tc>
                <w:tcPr>
                  <w:tcW w:w="478" w:type="pct"/>
                  <w:vMerge w:val="restart"/>
                  <w:tcBorders>
                    <w:top w:val="single" w:color="auto" w:sz="4" w:space="0"/>
                    <w:left w:val="single" w:color="auto" w:sz="4" w:space="0"/>
                    <w:bottom w:val="single" w:color="auto" w:sz="4" w:space="0"/>
                    <w:right w:val="single" w:color="auto" w:sz="4" w:space="0"/>
                  </w:tcBorders>
                  <w:vAlign w:val="center"/>
                </w:tcPr>
                <w:p w14:paraId="37FB8F0D">
                  <w:pPr>
                    <w:pStyle w:val="59"/>
                    <w:overflowPunct w:val="0"/>
                    <w:topLinePunct/>
                    <w:rPr>
                      <w:rFonts w:ascii="Times New Roman" w:hAnsi="Times New Roman" w:eastAsia="宋体" w:cs="Times New Roman"/>
                      <w:b/>
                      <w:color w:val="auto"/>
                      <w:spacing w:val="-9"/>
                      <w:w w:val="95"/>
                      <w:szCs w:val="21"/>
                    </w:rPr>
                  </w:pPr>
                  <w:r>
                    <w:rPr>
                      <w:rFonts w:hint="eastAsia" w:ascii="Times New Roman" w:hAnsi="宋体" w:eastAsia="宋体" w:cs="Times New Roman"/>
                      <w:b/>
                      <w:color w:val="auto"/>
                      <w:spacing w:val="-9"/>
                      <w:szCs w:val="21"/>
                    </w:rPr>
                    <w:t>排放</w:t>
                  </w:r>
                  <w:r>
                    <w:rPr>
                      <w:rFonts w:hint="eastAsia" w:ascii="Times New Roman" w:hAnsi="宋体" w:eastAsia="宋体" w:cs="Times New Roman"/>
                      <w:b/>
                      <w:color w:val="auto"/>
                      <w:spacing w:val="-9"/>
                      <w:w w:val="95"/>
                      <w:szCs w:val="21"/>
                    </w:rPr>
                    <w:t>时间</w:t>
                  </w:r>
                </w:p>
                <w:p w14:paraId="252F2778">
                  <w:pPr>
                    <w:pStyle w:val="23"/>
                    <w:adjustRightInd w:val="0"/>
                    <w:snapToGrid w:val="0"/>
                    <w:spacing w:after="0"/>
                    <w:ind w:left="0" w:leftChars="0" w:firstLine="0" w:firstLineChars="0"/>
                    <w:jc w:val="center"/>
                    <w:rPr>
                      <w:b/>
                      <w:color w:val="auto"/>
                      <w:szCs w:val="21"/>
                    </w:rPr>
                  </w:pPr>
                  <w:r>
                    <w:rPr>
                      <w:rFonts w:hint="eastAsia" w:hAnsi="宋体"/>
                      <w:b/>
                      <w:color w:val="auto"/>
                      <w:szCs w:val="21"/>
                    </w:rPr>
                    <w:t>（</w:t>
                  </w:r>
                  <w:r>
                    <w:rPr>
                      <w:b/>
                      <w:color w:val="auto"/>
                      <w:szCs w:val="21"/>
                    </w:rPr>
                    <w:t>h/a</w:t>
                  </w:r>
                  <w:r>
                    <w:rPr>
                      <w:rFonts w:hint="eastAsia" w:hAnsi="宋体"/>
                      <w:b/>
                      <w:color w:val="auto"/>
                      <w:w w:val="99"/>
                      <w:szCs w:val="21"/>
                    </w:rPr>
                    <w:t>）</w:t>
                  </w:r>
                </w:p>
              </w:tc>
              <w:tc>
                <w:tcPr>
                  <w:tcW w:w="982" w:type="pct"/>
                  <w:gridSpan w:val="2"/>
                  <w:tcBorders>
                    <w:top w:val="single" w:color="auto" w:sz="4" w:space="0"/>
                    <w:left w:val="single" w:color="auto" w:sz="4" w:space="0"/>
                    <w:bottom w:val="single" w:color="auto" w:sz="4" w:space="0"/>
                    <w:right w:val="single" w:color="auto" w:sz="4" w:space="0"/>
                  </w:tcBorders>
                  <w:vAlign w:val="center"/>
                </w:tcPr>
                <w:p w14:paraId="7D89E09A">
                  <w:pPr>
                    <w:pStyle w:val="23"/>
                    <w:adjustRightInd w:val="0"/>
                    <w:snapToGrid w:val="0"/>
                    <w:spacing w:after="0"/>
                    <w:ind w:left="0" w:leftChars="0" w:firstLine="0" w:firstLineChars="0"/>
                    <w:jc w:val="center"/>
                    <w:rPr>
                      <w:b/>
                      <w:color w:val="auto"/>
                      <w:szCs w:val="21"/>
                    </w:rPr>
                  </w:pPr>
                  <w:r>
                    <w:rPr>
                      <w:rFonts w:hint="eastAsia"/>
                      <w:b/>
                      <w:color w:val="auto"/>
                      <w:szCs w:val="21"/>
                    </w:rPr>
                    <w:t>污染物产生情况</w:t>
                  </w:r>
                </w:p>
              </w:tc>
              <w:tc>
                <w:tcPr>
                  <w:tcW w:w="296" w:type="pct"/>
                  <w:vMerge w:val="restart"/>
                  <w:tcBorders>
                    <w:top w:val="single" w:color="auto" w:sz="4" w:space="0"/>
                    <w:left w:val="single" w:color="auto" w:sz="4" w:space="0"/>
                    <w:bottom w:val="single" w:color="auto" w:sz="4" w:space="0"/>
                    <w:right w:val="single" w:color="auto" w:sz="4" w:space="0"/>
                  </w:tcBorders>
                  <w:vAlign w:val="center"/>
                </w:tcPr>
                <w:p w14:paraId="23B4AF29">
                  <w:pPr>
                    <w:pStyle w:val="23"/>
                    <w:adjustRightInd w:val="0"/>
                    <w:snapToGrid w:val="0"/>
                    <w:spacing w:after="0"/>
                    <w:ind w:left="0" w:leftChars="0" w:firstLine="0" w:firstLineChars="0"/>
                    <w:jc w:val="center"/>
                    <w:rPr>
                      <w:b/>
                      <w:color w:val="auto"/>
                      <w:szCs w:val="21"/>
                    </w:rPr>
                  </w:pPr>
                  <w:r>
                    <w:rPr>
                      <w:rFonts w:hint="eastAsia"/>
                      <w:b/>
                      <w:color w:val="auto"/>
                      <w:szCs w:val="21"/>
                    </w:rPr>
                    <w:t>处理措施</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0CE6C08C">
                  <w:pPr>
                    <w:pStyle w:val="23"/>
                    <w:adjustRightInd w:val="0"/>
                    <w:snapToGrid w:val="0"/>
                    <w:spacing w:after="0"/>
                    <w:ind w:left="0" w:leftChars="0" w:firstLine="0" w:firstLineChars="0"/>
                    <w:jc w:val="center"/>
                    <w:rPr>
                      <w:b/>
                      <w:color w:val="auto"/>
                      <w:szCs w:val="21"/>
                    </w:rPr>
                  </w:pPr>
                  <w:r>
                    <w:rPr>
                      <w:rFonts w:hint="eastAsia"/>
                      <w:b/>
                      <w:color w:val="auto"/>
                      <w:szCs w:val="21"/>
                    </w:rPr>
                    <w:t>收集效率</w:t>
                  </w:r>
                  <w:r>
                    <w:rPr>
                      <w:b/>
                      <w:color w:val="auto"/>
                      <w:szCs w:val="21"/>
                    </w:rPr>
                    <w:t>%</w:t>
                  </w:r>
                </w:p>
              </w:tc>
              <w:tc>
                <w:tcPr>
                  <w:tcW w:w="896" w:type="pct"/>
                  <w:gridSpan w:val="2"/>
                  <w:tcBorders>
                    <w:top w:val="single" w:color="auto" w:sz="4" w:space="0"/>
                    <w:left w:val="single" w:color="auto" w:sz="4" w:space="0"/>
                    <w:bottom w:val="single" w:color="auto" w:sz="4" w:space="0"/>
                    <w:right w:val="single" w:color="auto" w:sz="4" w:space="0"/>
                  </w:tcBorders>
                  <w:vAlign w:val="center"/>
                </w:tcPr>
                <w:p w14:paraId="2608C266">
                  <w:pPr>
                    <w:pStyle w:val="23"/>
                    <w:adjustRightInd w:val="0"/>
                    <w:snapToGrid w:val="0"/>
                    <w:spacing w:after="0"/>
                    <w:ind w:left="0" w:leftChars="0" w:firstLine="0" w:firstLineChars="0"/>
                    <w:jc w:val="center"/>
                    <w:rPr>
                      <w:b/>
                      <w:color w:val="auto"/>
                      <w:szCs w:val="21"/>
                    </w:rPr>
                  </w:pPr>
                  <w:r>
                    <w:rPr>
                      <w:rFonts w:hint="eastAsia"/>
                      <w:b/>
                      <w:color w:val="auto"/>
                      <w:szCs w:val="21"/>
                    </w:rPr>
                    <w:t>污染物排放情况</w:t>
                  </w:r>
                </w:p>
              </w:tc>
              <w:tc>
                <w:tcPr>
                  <w:tcW w:w="854" w:type="pct"/>
                  <w:gridSpan w:val="2"/>
                  <w:tcBorders>
                    <w:top w:val="single" w:color="auto" w:sz="4" w:space="0"/>
                    <w:left w:val="single" w:color="auto" w:sz="4" w:space="0"/>
                    <w:bottom w:val="single" w:color="auto" w:sz="4" w:space="0"/>
                    <w:right w:val="single" w:color="auto" w:sz="4" w:space="0"/>
                  </w:tcBorders>
                  <w:vAlign w:val="center"/>
                </w:tcPr>
                <w:p w14:paraId="36FAAF82">
                  <w:pPr>
                    <w:pStyle w:val="23"/>
                    <w:adjustRightInd w:val="0"/>
                    <w:snapToGrid w:val="0"/>
                    <w:spacing w:after="0"/>
                    <w:ind w:left="0" w:leftChars="0" w:firstLine="0" w:firstLineChars="0"/>
                    <w:jc w:val="center"/>
                    <w:rPr>
                      <w:b/>
                      <w:color w:val="auto"/>
                      <w:szCs w:val="21"/>
                    </w:rPr>
                  </w:pPr>
                  <w:r>
                    <w:rPr>
                      <w:rFonts w:hint="eastAsia"/>
                      <w:b/>
                      <w:color w:val="auto"/>
                      <w:szCs w:val="21"/>
                    </w:rPr>
                    <w:t>面源参数</w:t>
                  </w:r>
                </w:p>
              </w:tc>
            </w:tr>
            <w:tr w14:paraId="3D51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0" w:type="pct"/>
                  <w:vMerge w:val="continue"/>
                  <w:tcBorders>
                    <w:top w:val="single" w:color="auto" w:sz="4" w:space="0"/>
                    <w:left w:val="single" w:color="auto" w:sz="4" w:space="0"/>
                    <w:bottom w:val="single" w:color="auto" w:sz="4" w:space="0"/>
                    <w:right w:val="single" w:color="auto" w:sz="4" w:space="0"/>
                  </w:tcBorders>
                  <w:vAlign w:val="center"/>
                </w:tcPr>
                <w:p w14:paraId="606DEC49">
                  <w:pPr>
                    <w:widowControl/>
                    <w:jc w:val="left"/>
                    <w:rPr>
                      <w:b/>
                      <w:color w:val="auto"/>
                      <w:szCs w:val="21"/>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43306107">
                  <w:pPr>
                    <w:widowControl/>
                    <w:jc w:val="left"/>
                    <w:rPr>
                      <w:b/>
                      <w:color w:val="auto"/>
                      <w:szCs w:val="21"/>
                    </w:rPr>
                  </w:pPr>
                </w:p>
              </w:tc>
              <w:tc>
                <w:tcPr>
                  <w:tcW w:w="437" w:type="pct"/>
                  <w:vMerge w:val="continue"/>
                  <w:tcBorders>
                    <w:top w:val="single" w:color="auto" w:sz="4" w:space="0"/>
                    <w:left w:val="single" w:color="auto" w:sz="4" w:space="0"/>
                    <w:bottom w:val="single" w:color="auto" w:sz="4" w:space="0"/>
                    <w:right w:val="single" w:color="auto" w:sz="4" w:space="0"/>
                  </w:tcBorders>
                  <w:vAlign w:val="center"/>
                </w:tcPr>
                <w:p w14:paraId="09E35795">
                  <w:pPr>
                    <w:widowControl/>
                    <w:jc w:val="left"/>
                    <w:rPr>
                      <w:b/>
                      <w:color w:val="auto"/>
                      <w:szCs w:val="21"/>
                    </w:rPr>
                  </w:pP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04B90565">
                  <w:pPr>
                    <w:widowControl/>
                    <w:jc w:val="left"/>
                    <w:rPr>
                      <w:b/>
                      <w:color w:val="auto"/>
                      <w:szCs w:val="21"/>
                    </w:rPr>
                  </w:pPr>
                </w:p>
              </w:tc>
              <w:tc>
                <w:tcPr>
                  <w:tcW w:w="449" w:type="pct"/>
                  <w:tcBorders>
                    <w:top w:val="single" w:color="auto" w:sz="4" w:space="0"/>
                    <w:left w:val="single" w:color="auto" w:sz="4" w:space="0"/>
                    <w:bottom w:val="single" w:color="auto" w:sz="4" w:space="0"/>
                    <w:right w:val="single" w:color="auto" w:sz="4" w:space="0"/>
                  </w:tcBorders>
                </w:tcPr>
                <w:p w14:paraId="11C23FE5">
                  <w:pPr>
                    <w:pStyle w:val="23"/>
                    <w:adjustRightInd w:val="0"/>
                    <w:snapToGrid w:val="0"/>
                    <w:spacing w:after="0"/>
                    <w:ind w:left="0" w:leftChars="0" w:firstLine="0" w:firstLineChars="0"/>
                    <w:jc w:val="center"/>
                    <w:rPr>
                      <w:b/>
                      <w:color w:val="auto"/>
                      <w:szCs w:val="21"/>
                    </w:rPr>
                  </w:pPr>
                  <w:r>
                    <w:rPr>
                      <w:rFonts w:hint="eastAsia"/>
                      <w:b/>
                      <w:color w:val="auto"/>
                      <w:szCs w:val="21"/>
                    </w:rPr>
                    <w:t>产生量</w:t>
                  </w:r>
                  <w:r>
                    <w:rPr>
                      <w:b/>
                      <w:color w:val="auto"/>
                      <w:szCs w:val="21"/>
                    </w:rPr>
                    <w:t>t/a</w:t>
                  </w:r>
                </w:p>
              </w:tc>
              <w:tc>
                <w:tcPr>
                  <w:tcW w:w="533" w:type="pct"/>
                  <w:tcBorders>
                    <w:top w:val="single" w:color="auto" w:sz="4" w:space="0"/>
                    <w:left w:val="single" w:color="auto" w:sz="4" w:space="0"/>
                    <w:bottom w:val="single" w:color="auto" w:sz="4" w:space="0"/>
                    <w:right w:val="single" w:color="auto" w:sz="4" w:space="0"/>
                  </w:tcBorders>
                </w:tcPr>
                <w:p w14:paraId="29E79719">
                  <w:pPr>
                    <w:pStyle w:val="23"/>
                    <w:adjustRightInd w:val="0"/>
                    <w:snapToGrid w:val="0"/>
                    <w:spacing w:after="0"/>
                    <w:ind w:left="0" w:leftChars="0" w:firstLine="0" w:firstLineChars="0"/>
                    <w:jc w:val="center"/>
                    <w:rPr>
                      <w:b/>
                      <w:color w:val="auto"/>
                      <w:szCs w:val="21"/>
                    </w:rPr>
                  </w:pPr>
                  <w:r>
                    <w:rPr>
                      <w:rFonts w:hint="eastAsia"/>
                      <w:b/>
                      <w:color w:val="auto"/>
                      <w:szCs w:val="21"/>
                    </w:rPr>
                    <w:t>产生速率</w:t>
                  </w:r>
                  <w:r>
                    <w:rPr>
                      <w:b/>
                      <w:color w:val="auto"/>
                      <w:szCs w:val="21"/>
                    </w:rPr>
                    <w:t>kg/h</w:t>
                  </w:r>
                </w:p>
              </w:tc>
              <w:tc>
                <w:tcPr>
                  <w:tcW w:w="296" w:type="pct"/>
                  <w:vMerge w:val="continue"/>
                  <w:tcBorders>
                    <w:top w:val="single" w:color="auto" w:sz="4" w:space="0"/>
                    <w:left w:val="single" w:color="auto" w:sz="4" w:space="0"/>
                    <w:bottom w:val="single" w:color="auto" w:sz="4" w:space="0"/>
                    <w:right w:val="single" w:color="auto" w:sz="4" w:space="0"/>
                  </w:tcBorders>
                  <w:vAlign w:val="center"/>
                </w:tcPr>
                <w:p w14:paraId="517D6C04">
                  <w:pPr>
                    <w:widowControl/>
                    <w:jc w:val="left"/>
                    <w:rPr>
                      <w:b/>
                      <w:color w:val="auto"/>
                      <w:szCs w:val="21"/>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32BA599F">
                  <w:pPr>
                    <w:widowControl/>
                    <w:jc w:val="left"/>
                    <w:rPr>
                      <w:b/>
                      <w:color w:val="auto"/>
                      <w:szCs w:val="21"/>
                    </w:rPr>
                  </w:pPr>
                </w:p>
              </w:tc>
              <w:tc>
                <w:tcPr>
                  <w:tcW w:w="422" w:type="pct"/>
                  <w:tcBorders>
                    <w:top w:val="single" w:color="auto" w:sz="4" w:space="0"/>
                    <w:left w:val="single" w:color="auto" w:sz="4" w:space="0"/>
                    <w:bottom w:val="single" w:color="auto" w:sz="4" w:space="0"/>
                    <w:right w:val="single" w:color="auto" w:sz="4" w:space="0"/>
                  </w:tcBorders>
                </w:tcPr>
                <w:p w14:paraId="2E9A8D24">
                  <w:pPr>
                    <w:pStyle w:val="23"/>
                    <w:adjustRightInd w:val="0"/>
                    <w:snapToGrid w:val="0"/>
                    <w:spacing w:after="0"/>
                    <w:ind w:left="0" w:leftChars="0" w:firstLine="0" w:firstLineChars="0"/>
                    <w:jc w:val="center"/>
                    <w:rPr>
                      <w:b/>
                      <w:color w:val="auto"/>
                      <w:szCs w:val="21"/>
                    </w:rPr>
                  </w:pPr>
                  <w:r>
                    <w:rPr>
                      <w:rFonts w:hint="eastAsia"/>
                      <w:b/>
                      <w:color w:val="auto"/>
                      <w:szCs w:val="21"/>
                    </w:rPr>
                    <w:t>排放量</w:t>
                  </w:r>
                  <w:r>
                    <w:rPr>
                      <w:b/>
                      <w:color w:val="auto"/>
                      <w:szCs w:val="21"/>
                    </w:rPr>
                    <w:t>t/a</w:t>
                  </w:r>
                </w:p>
              </w:tc>
              <w:tc>
                <w:tcPr>
                  <w:tcW w:w="474" w:type="pct"/>
                  <w:tcBorders>
                    <w:top w:val="single" w:color="auto" w:sz="4" w:space="0"/>
                    <w:left w:val="single" w:color="auto" w:sz="4" w:space="0"/>
                    <w:bottom w:val="single" w:color="auto" w:sz="4" w:space="0"/>
                    <w:right w:val="single" w:color="auto" w:sz="4" w:space="0"/>
                  </w:tcBorders>
                </w:tcPr>
                <w:p w14:paraId="4C0C671A">
                  <w:pPr>
                    <w:pStyle w:val="23"/>
                    <w:adjustRightInd w:val="0"/>
                    <w:snapToGrid w:val="0"/>
                    <w:spacing w:after="0"/>
                    <w:ind w:left="0" w:leftChars="0" w:firstLine="0" w:firstLineChars="0"/>
                    <w:jc w:val="center"/>
                    <w:rPr>
                      <w:b/>
                      <w:color w:val="auto"/>
                      <w:szCs w:val="21"/>
                    </w:rPr>
                  </w:pPr>
                  <w:r>
                    <w:rPr>
                      <w:rFonts w:hint="eastAsia"/>
                      <w:b/>
                      <w:color w:val="auto"/>
                      <w:szCs w:val="21"/>
                    </w:rPr>
                    <w:t>排放速率</w:t>
                  </w:r>
                  <w:r>
                    <w:rPr>
                      <w:b/>
                      <w:color w:val="auto"/>
                      <w:szCs w:val="21"/>
                    </w:rPr>
                    <w:t>kg/h</w:t>
                  </w:r>
                </w:p>
              </w:tc>
              <w:tc>
                <w:tcPr>
                  <w:tcW w:w="583" w:type="pct"/>
                  <w:tcBorders>
                    <w:top w:val="single" w:color="auto" w:sz="4" w:space="0"/>
                    <w:left w:val="single" w:color="auto" w:sz="4" w:space="0"/>
                    <w:bottom w:val="single" w:color="auto" w:sz="4" w:space="0"/>
                    <w:right w:val="single" w:color="auto" w:sz="4" w:space="0"/>
                  </w:tcBorders>
                </w:tcPr>
                <w:p w14:paraId="7DFFCA1C">
                  <w:pPr>
                    <w:pStyle w:val="23"/>
                    <w:adjustRightInd w:val="0"/>
                    <w:snapToGrid w:val="0"/>
                    <w:spacing w:after="0"/>
                    <w:ind w:left="0" w:leftChars="0" w:firstLine="0" w:firstLineChars="0"/>
                    <w:jc w:val="center"/>
                    <w:rPr>
                      <w:b/>
                      <w:color w:val="auto"/>
                      <w:szCs w:val="21"/>
                    </w:rPr>
                  </w:pPr>
                  <w:r>
                    <w:rPr>
                      <w:rFonts w:hint="eastAsia"/>
                      <w:b/>
                      <w:color w:val="auto"/>
                      <w:szCs w:val="21"/>
                    </w:rPr>
                    <w:t>尺寸</w:t>
                  </w:r>
                </w:p>
                <w:p w14:paraId="0ADE7529">
                  <w:pPr>
                    <w:pStyle w:val="23"/>
                    <w:adjustRightInd w:val="0"/>
                    <w:snapToGrid w:val="0"/>
                    <w:spacing w:after="0"/>
                    <w:ind w:left="0" w:leftChars="0" w:firstLine="0" w:firstLineChars="0"/>
                    <w:jc w:val="center"/>
                    <w:rPr>
                      <w:b/>
                      <w:color w:val="auto"/>
                      <w:szCs w:val="21"/>
                    </w:rPr>
                  </w:pPr>
                  <w:r>
                    <w:rPr>
                      <w:b/>
                      <w:color w:val="auto"/>
                      <w:szCs w:val="21"/>
                    </w:rPr>
                    <w:t>m×m</w:t>
                  </w:r>
                </w:p>
              </w:tc>
              <w:tc>
                <w:tcPr>
                  <w:tcW w:w="270" w:type="pct"/>
                  <w:tcBorders>
                    <w:top w:val="single" w:color="auto" w:sz="4" w:space="0"/>
                    <w:left w:val="single" w:color="auto" w:sz="4" w:space="0"/>
                    <w:bottom w:val="single" w:color="auto" w:sz="4" w:space="0"/>
                    <w:right w:val="single" w:color="auto" w:sz="4" w:space="0"/>
                  </w:tcBorders>
                </w:tcPr>
                <w:p w14:paraId="4EAB7993">
                  <w:pPr>
                    <w:pStyle w:val="23"/>
                    <w:adjustRightInd w:val="0"/>
                    <w:snapToGrid w:val="0"/>
                    <w:spacing w:after="0"/>
                    <w:ind w:left="0" w:leftChars="0" w:firstLine="0" w:firstLineChars="0"/>
                    <w:jc w:val="center"/>
                    <w:rPr>
                      <w:b/>
                      <w:color w:val="auto"/>
                      <w:szCs w:val="21"/>
                    </w:rPr>
                  </w:pPr>
                  <w:r>
                    <w:rPr>
                      <w:rFonts w:hint="eastAsia"/>
                      <w:b/>
                      <w:color w:val="auto"/>
                      <w:szCs w:val="21"/>
                    </w:rPr>
                    <w:t>排放高度</w:t>
                  </w:r>
                  <w:r>
                    <w:rPr>
                      <w:b/>
                      <w:color w:val="auto"/>
                      <w:szCs w:val="21"/>
                    </w:rPr>
                    <w:t>m</w:t>
                  </w:r>
                </w:p>
              </w:tc>
            </w:tr>
            <w:tr w14:paraId="550F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400" w:type="pct"/>
                  <w:tcBorders>
                    <w:top w:val="single" w:color="auto" w:sz="4" w:space="0"/>
                    <w:left w:val="single" w:color="auto" w:sz="4" w:space="0"/>
                    <w:right w:val="single" w:color="auto" w:sz="4" w:space="0"/>
                  </w:tcBorders>
                  <w:vAlign w:val="center"/>
                </w:tcPr>
                <w:p w14:paraId="27DDEE9E">
                  <w:pPr>
                    <w:pStyle w:val="23"/>
                    <w:adjustRightInd w:val="0"/>
                    <w:snapToGrid w:val="0"/>
                    <w:spacing w:after="0"/>
                    <w:ind w:left="0" w:leftChars="0" w:firstLine="0" w:firstLineChars="0"/>
                    <w:jc w:val="center"/>
                    <w:rPr>
                      <w:color w:val="auto"/>
                      <w:szCs w:val="21"/>
                    </w:rPr>
                  </w:pPr>
                  <w:r>
                    <w:rPr>
                      <w:rFonts w:hint="eastAsia"/>
                      <w:color w:val="auto"/>
                      <w:szCs w:val="21"/>
                    </w:rPr>
                    <w:t>7#厂房</w:t>
                  </w:r>
                </w:p>
              </w:tc>
              <w:tc>
                <w:tcPr>
                  <w:tcW w:w="401" w:type="pct"/>
                  <w:tcBorders>
                    <w:top w:val="single" w:color="auto" w:sz="4" w:space="0"/>
                    <w:left w:val="single" w:color="auto" w:sz="4" w:space="0"/>
                    <w:bottom w:val="single" w:color="auto" w:sz="4" w:space="0"/>
                    <w:right w:val="single" w:color="auto" w:sz="4" w:space="0"/>
                  </w:tcBorders>
                  <w:vAlign w:val="center"/>
                </w:tcPr>
                <w:p w14:paraId="613B262F">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非甲烷总烃</w:t>
                  </w:r>
                </w:p>
              </w:tc>
              <w:tc>
                <w:tcPr>
                  <w:tcW w:w="437" w:type="pct"/>
                  <w:tcBorders>
                    <w:top w:val="single" w:color="auto" w:sz="4" w:space="0"/>
                    <w:left w:val="single" w:color="auto" w:sz="4" w:space="0"/>
                    <w:right w:val="single" w:color="auto" w:sz="4" w:space="0"/>
                  </w:tcBorders>
                  <w:vAlign w:val="center"/>
                </w:tcPr>
                <w:p w14:paraId="3671E5D4">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打孔</w:t>
                  </w:r>
                </w:p>
              </w:tc>
              <w:tc>
                <w:tcPr>
                  <w:tcW w:w="478" w:type="pct"/>
                  <w:vMerge w:val="restart"/>
                  <w:tcBorders>
                    <w:top w:val="single" w:color="auto" w:sz="4" w:space="0"/>
                    <w:left w:val="single" w:color="auto" w:sz="4" w:space="0"/>
                    <w:right w:val="single" w:color="auto" w:sz="4" w:space="0"/>
                  </w:tcBorders>
                  <w:vAlign w:val="center"/>
                </w:tcPr>
                <w:p w14:paraId="1AD28C74">
                  <w:pPr>
                    <w:pStyle w:val="23"/>
                    <w:adjustRightInd w:val="0"/>
                    <w:snapToGrid w:val="0"/>
                    <w:spacing w:after="0"/>
                    <w:ind w:left="0" w:leftChars="0" w:firstLine="0" w:firstLineChars="0"/>
                    <w:jc w:val="center"/>
                    <w:rPr>
                      <w:color w:val="auto"/>
                      <w:szCs w:val="21"/>
                    </w:rPr>
                  </w:pPr>
                  <w:r>
                    <w:rPr>
                      <w:rFonts w:hint="eastAsia"/>
                      <w:color w:val="auto"/>
                      <w:szCs w:val="21"/>
                    </w:rPr>
                    <w:t>2400</w:t>
                  </w:r>
                </w:p>
              </w:tc>
              <w:tc>
                <w:tcPr>
                  <w:tcW w:w="449" w:type="pct"/>
                  <w:tcBorders>
                    <w:top w:val="single" w:color="auto" w:sz="4" w:space="0"/>
                    <w:left w:val="single" w:color="auto" w:sz="4" w:space="0"/>
                    <w:bottom w:val="single" w:color="auto" w:sz="4" w:space="0"/>
                    <w:right w:val="single" w:color="auto" w:sz="4" w:space="0"/>
                  </w:tcBorders>
                  <w:vAlign w:val="center"/>
                </w:tcPr>
                <w:p w14:paraId="3FEF2B74">
                  <w:pPr>
                    <w:jc w:val="center"/>
                    <w:rPr>
                      <w:color w:val="auto"/>
                    </w:rPr>
                  </w:pPr>
                  <w:r>
                    <w:rPr>
                      <w:rFonts w:hint="eastAsia"/>
                      <w:color w:val="auto"/>
                    </w:rPr>
                    <w:t>0.033</w:t>
                  </w:r>
                </w:p>
              </w:tc>
              <w:tc>
                <w:tcPr>
                  <w:tcW w:w="533" w:type="pct"/>
                  <w:tcBorders>
                    <w:top w:val="single" w:color="auto" w:sz="4" w:space="0"/>
                    <w:left w:val="single" w:color="auto" w:sz="4" w:space="0"/>
                    <w:bottom w:val="single" w:color="auto" w:sz="4" w:space="0"/>
                    <w:right w:val="single" w:color="auto" w:sz="4" w:space="0"/>
                  </w:tcBorders>
                  <w:vAlign w:val="center"/>
                </w:tcPr>
                <w:p w14:paraId="06C21424">
                  <w:pPr>
                    <w:jc w:val="center"/>
                    <w:rPr>
                      <w:color w:val="auto"/>
                    </w:rPr>
                  </w:pPr>
                  <w:r>
                    <w:rPr>
                      <w:rFonts w:hint="eastAsia"/>
                      <w:color w:val="auto"/>
                    </w:rPr>
                    <w:t>0.014</w:t>
                  </w:r>
                </w:p>
              </w:tc>
              <w:tc>
                <w:tcPr>
                  <w:tcW w:w="296" w:type="pct"/>
                  <w:tcBorders>
                    <w:top w:val="single" w:color="auto" w:sz="4" w:space="0"/>
                    <w:left w:val="single" w:color="auto" w:sz="4" w:space="0"/>
                    <w:bottom w:val="single" w:color="auto" w:sz="4" w:space="0"/>
                    <w:right w:val="single" w:color="auto" w:sz="4" w:space="0"/>
                  </w:tcBorders>
                  <w:vAlign w:val="center"/>
                </w:tcPr>
                <w:p w14:paraId="34FC128D">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253" w:type="pct"/>
                  <w:tcBorders>
                    <w:top w:val="single" w:color="auto" w:sz="4" w:space="0"/>
                    <w:left w:val="single" w:color="auto" w:sz="4" w:space="0"/>
                    <w:bottom w:val="single" w:color="auto" w:sz="4" w:space="0"/>
                    <w:right w:val="single" w:color="auto" w:sz="4" w:space="0"/>
                  </w:tcBorders>
                  <w:vAlign w:val="center"/>
                </w:tcPr>
                <w:p w14:paraId="57530C64">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717" w:type="dxa"/>
                  <w:tcBorders>
                    <w:top w:val="single" w:color="auto" w:sz="4" w:space="0"/>
                    <w:left w:val="single" w:color="auto" w:sz="4" w:space="0"/>
                    <w:right w:val="single" w:color="auto" w:sz="4" w:space="0"/>
                  </w:tcBorders>
                  <w:shd w:val="clear" w:color="auto" w:fill="auto"/>
                  <w:vAlign w:val="center"/>
                </w:tcPr>
                <w:p w14:paraId="0892FA1F">
                  <w:pPr>
                    <w:jc w:val="center"/>
                    <w:rPr>
                      <w:color w:val="auto"/>
                    </w:rPr>
                  </w:pPr>
                  <w:r>
                    <w:rPr>
                      <w:rFonts w:hint="eastAsia"/>
                      <w:color w:val="auto"/>
                    </w:rPr>
                    <w:t>0.033</w:t>
                  </w:r>
                </w:p>
              </w:tc>
              <w:tc>
                <w:tcPr>
                  <w:tcW w:w="805" w:type="dxa"/>
                  <w:tcBorders>
                    <w:top w:val="single" w:color="auto" w:sz="4" w:space="0"/>
                    <w:left w:val="single" w:color="auto" w:sz="4" w:space="0"/>
                    <w:right w:val="single" w:color="auto" w:sz="4" w:space="0"/>
                  </w:tcBorders>
                  <w:shd w:val="clear" w:color="auto" w:fill="auto"/>
                  <w:vAlign w:val="center"/>
                </w:tcPr>
                <w:p w14:paraId="5B3CB2F6">
                  <w:pPr>
                    <w:jc w:val="center"/>
                    <w:rPr>
                      <w:color w:val="auto"/>
                    </w:rPr>
                  </w:pPr>
                  <w:r>
                    <w:rPr>
                      <w:rFonts w:hint="eastAsia"/>
                      <w:color w:val="auto"/>
                    </w:rPr>
                    <w:t>0.014</w:t>
                  </w:r>
                </w:p>
              </w:tc>
              <w:tc>
                <w:tcPr>
                  <w:tcW w:w="583" w:type="pct"/>
                  <w:tcBorders>
                    <w:top w:val="single" w:color="auto" w:sz="4" w:space="0"/>
                    <w:left w:val="single" w:color="auto" w:sz="4" w:space="0"/>
                    <w:right w:val="single" w:color="auto" w:sz="4" w:space="0"/>
                  </w:tcBorders>
                  <w:vAlign w:val="center"/>
                </w:tcPr>
                <w:p w14:paraId="12C8EDEA">
                  <w:pPr>
                    <w:pStyle w:val="23"/>
                    <w:adjustRightInd w:val="0"/>
                    <w:snapToGrid w:val="0"/>
                    <w:spacing w:after="0"/>
                    <w:ind w:left="0" w:leftChars="0" w:firstLine="0" w:firstLineChars="0"/>
                    <w:jc w:val="center"/>
                    <w:rPr>
                      <w:color w:val="auto"/>
                      <w:szCs w:val="21"/>
                    </w:rPr>
                  </w:pPr>
                  <w:r>
                    <w:rPr>
                      <w:rFonts w:hint="eastAsia"/>
                      <w:color w:val="auto"/>
                      <w:szCs w:val="21"/>
                    </w:rPr>
                    <w:t>82</w:t>
                  </w:r>
                  <w:r>
                    <w:rPr>
                      <w:color w:val="auto"/>
                      <w:szCs w:val="21"/>
                    </w:rPr>
                    <w:t>×</w:t>
                  </w:r>
                  <w:r>
                    <w:rPr>
                      <w:rFonts w:hint="eastAsia"/>
                      <w:color w:val="auto"/>
                      <w:szCs w:val="21"/>
                    </w:rPr>
                    <w:t>55</w:t>
                  </w:r>
                </w:p>
              </w:tc>
              <w:tc>
                <w:tcPr>
                  <w:tcW w:w="270" w:type="pct"/>
                  <w:tcBorders>
                    <w:top w:val="single" w:color="auto" w:sz="4" w:space="0"/>
                    <w:left w:val="single" w:color="auto" w:sz="4" w:space="0"/>
                    <w:right w:val="single" w:color="auto" w:sz="4" w:space="0"/>
                  </w:tcBorders>
                  <w:vAlign w:val="center"/>
                </w:tcPr>
                <w:p w14:paraId="1BAA14E0">
                  <w:pPr>
                    <w:pStyle w:val="23"/>
                    <w:adjustRightInd w:val="0"/>
                    <w:snapToGrid w:val="0"/>
                    <w:spacing w:after="0"/>
                    <w:ind w:left="0" w:leftChars="0" w:firstLine="0" w:firstLineChars="0"/>
                    <w:jc w:val="center"/>
                    <w:rPr>
                      <w:color w:val="auto"/>
                      <w:szCs w:val="21"/>
                    </w:rPr>
                  </w:pPr>
                  <w:r>
                    <w:rPr>
                      <w:rFonts w:hint="eastAsia"/>
                      <w:color w:val="auto"/>
                      <w:szCs w:val="21"/>
                    </w:rPr>
                    <w:t>22.5</w:t>
                  </w:r>
                </w:p>
              </w:tc>
            </w:tr>
            <w:tr w14:paraId="2A30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400" w:type="pct"/>
                  <w:vMerge w:val="restart"/>
                  <w:tcBorders>
                    <w:left w:val="single" w:color="auto" w:sz="4" w:space="0"/>
                    <w:right w:val="single" w:color="auto" w:sz="4" w:space="0"/>
                  </w:tcBorders>
                  <w:vAlign w:val="center"/>
                </w:tcPr>
                <w:p w14:paraId="5466B0D7">
                  <w:pPr>
                    <w:pStyle w:val="23"/>
                    <w:adjustRightInd w:val="0"/>
                    <w:snapToGrid w:val="0"/>
                    <w:spacing w:after="0"/>
                    <w:ind w:left="0" w:leftChars="0" w:firstLine="0" w:firstLineChars="0"/>
                    <w:jc w:val="center"/>
                    <w:rPr>
                      <w:color w:val="auto"/>
                      <w:szCs w:val="21"/>
                    </w:rPr>
                  </w:pPr>
                  <w:r>
                    <w:rPr>
                      <w:rFonts w:hint="eastAsia"/>
                      <w:color w:val="auto"/>
                      <w:szCs w:val="21"/>
                    </w:rPr>
                    <w:t>9#厂房</w:t>
                  </w:r>
                </w:p>
              </w:tc>
              <w:tc>
                <w:tcPr>
                  <w:tcW w:w="401" w:type="pct"/>
                  <w:tcBorders>
                    <w:top w:val="single" w:color="auto" w:sz="4" w:space="0"/>
                    <w:left w:val="single" w:color="auto" w:sz="4" w:space="0"/>
                    <w:bottom w:val="single" w:color="auto" w:sz="4" w:space="0"/>
                    <w:right w:val="single" w:color="auto" w:sz="4" w:space="0"/>
                  </w:tcBorders>
                  <w:vAlign w:val="center"/>
                </w:tcPr>
                <w:p w14:paraId="12B87D13">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颗粒物</w:t>
                  </w:r>
                </w:p>
              </w:tc>
              <w:tc>
                <w:tcPr>
                  <w:tcW w:w="437" w:type="pct"/>
                  <w:tcBorders>
                    <w:left w:val="single" w:color="auto" w:sz="4" w:space="0"/>
                    <w:right w:val="single" w:color="auto" w:sz="4" w:space="0"/>
                  </w:tcBorders>
                  <w:shd w:val="clear" w:color="auto" w:fill="auto"/>
                  <w:vAlign w:val="center"/>
                </w:tcPr>
                <w:p w14:paraId="061E7706">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机加工</w:t>
                  </w:r>
                </w:p>
              </w:tc>
              <w:tc>
                <w:tcPr>
                  <w:tcW w:w="478" w:type="pct"/>
                  <w:vMerge w:val="continue"/>
                  <w:tcBorders>
                    <w:left w:val="single" w:color="auto" w:sz="4" w:space="0"/>
                    <w:right w:val="single" w:color="auto" w:sz="4" w:space="0"/>
                  </w:tcBorders>
                  <w:vAlign w:val="center"/>
                </w:tcPr>
                <w:p w14:paraId="24D5FBA0">
                  <w:pPr>
                    <w:pStyle w:val="23"/>
                    <w:adjustRightInd w:val="0"/>
                    <w:snapToGrid w:val="0"/>
                    <w:spacing w:after="0"/>
                    <w:ind w:left="0" w:leftChars="0" w:firstLine="0" w:firstLineChars="0"/>
                    <w:jc w:val="center"/>
                    <w:rPr>
                      <w:color w:val="auto"/>
                      <w:szCs w:val="21"/>
                    </w:rPr>
                  </w:pPr>
                </w:p>
              </w:tc>
              <w:tc>
                <w:tcPr>
                  <w:tcW w:w="763" w:type="dxa"/>
                  <w:tcBorders>
                    <w:top w:val="single" w:color="auto" w:sz="4" w:space="0"/>
                    <w:left w:val="single" w:color="auto" w:sz="4" w:space="0"/>
                    <w:bottom w:val="single" w:color="auto" w:sz="4" w:space="0"/>
                    <w:right w:val="single" w:color="auto" w:sz="4" w:space="0"/>
                  </w:tcBorders>
                  <w:vAlign w:val="center"/>
                </w:tcPr>
                <w:p w14:paraId="53D10CB0">
                  <w:pPr>
                    <w:jc w:val="center"/>
                    <w:rPr>
                      <w:color w:val="auto"/>
                    </w:rPr>
                  </w:pPr>
                  <w:r>
                    <w:rPr>
                      <w:rFonts w:hint="eastAsia"/>
                      <w:color w:val="auto"/>
                      <w:lang w:val="en-US" w:eastAsia="zh-CN"/>
                    </w:rPr>
                    <w:t>0.641</w:t>
                  </w:r>
                </w:p>
              </w:tc>
              <w:tc>
                <w:tcPr>
                  <w:tcW w:w="905" w:type="dxa"/>
                  <w:tcBorders>
                    <w:top w:val="single" w:color="auto" w:sz="4" w:space="0"/>
                    <w:left w:val="single" w:color="auto" w:sz="4" w:space="0"/>
                    <w:bottom w:val="single" w:color="auto" w:sz="4" w:space="0"/>
                    <w:right w:val="single" w:color="auto" w:sz="4" w:space="0"/>
                  </w:tcBorders>
                  <w:vAlign w:val="center"/>
                </w:tcPr>
                <w:p w14:paraId="6CCFF57B">
                  <w:pPr>
                    <w:jc w:val="center"/>
                    <w:rPr>
                      <w:color w:val="auto"/>
                    </w:rPr>
                  </w:pPr>
                  <w:r>
                    <w:rPr>
                      <w:rFonts w:hint="eastAsia"/>
                      <w:color w:val="auto"/>
                      <w:lang w:val="en-US" w:eastAsia="zh-CN"/>
                    </w:rPr>
                    <w:t>0.267</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8BF17A9">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5EEB9313">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14:paraId="39F22873">
                  <w:pPr>
                    <w:jc w:val="center"/>
                    <w:rPr>
                      <w:color w:val="auto"/>
                    </w:rPr>
                  </w:pPr>
                  <w:r>
                    <w:rPr>
                      <w:rFonts w:hint="eastAsia"/>
                      <w:color w:val="auto"/>
                      <w:lang w:val="en-US" w:eastAsia="zh-CN"/>
                    </w:rPr>
                    <w:t>0.641</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13441CAF">
                  <w:pPr>
                    <w:jc w:val="center"/>
                    <w:rPr>
                      <w:color w:val="auto"/>
                    </w:rPr>
                  </w:pPr>
                  <w:r>
                    <w:rPr>
                      <w:rFonts w:hint="eastAsia"/>
                      <w:color w:val="auto"/>
                      <w:lang w:val="en-US" w:eastAsia="zh-CN"/>
                    </w:rPr>
                    <w:t>0.267</w:t>
                  </w:r>
                </w:p>
              </w:tc>
              <w:tc>
                <w:tcPr>
                  <w:tcW w:w="583" w:type="pct"/>
                  <w:vMerge w:val="restart"/>
                  <w:tcBorders>
                    <w:left w:val="single" w:color="auto" w:sz="4" w:space="0"/>
                    <w:right w:val="single" w:color="auto" w:sz="4" w:space="0"/>
                  </w:tcBorders>
                  <w:vAlign w:val="center"/>
                </w:tcPr>
                <w:p w14:paraId="4A040CCC">
                  <w:pPr>
                    <w:pStyle w:val="23"/>
                    <w:adjustRightInd w:val="0"/>
                    <w:snapToGrid w:val="0"/>
                    <w:spacing w:after="0"/>
                    <w:ind w:left="0" w:leftChars="0" w:firstLine="0" w:firstLineChars="0"/>
                    <w:jc w:val="center"/>
                    <w:rPr>
                      <w:color w:val="auto"/>
                      <w:szCs w:val="21"/>
                    </w:rPr>
                  </w:pPr>
                  <w:r>
                    <w:rPr>
                      <w:rFonts w:hint="eastAsia"/>
                      <w:color w:val="auto"/>
                      <w:szCs w:val="21"/>
                    </w:rPr>
                    <w:t>128</w:t>
                  </w:r>
                  <w:r>
                    <w:rPr>
                      <w:color w:val="auto"/>
                      <w:szCs w:val="21"/>
                    </w:rPr>
                    <w:t>×</w:t>
                  </w:r>
                  <w:r>
                    <w:rPr>
                      <w:rFonts w:hint="eastAsia"/>
                      <w:color w:val="auto"/>
                      <w:szCs w:val="21"/>
                    </w:rPr>
                    <w:t>45</w:t>
                  </w:r>
                </w:p>
              </w:tc>
              <w:tc>
                <w:tcPr>
                  <w:tcW w:w="270" w:type="pct"/>
                  <w:vMerge w:val="restart"/>
                  <w:tcBorders>
                    <w:left w:val="single" w:color="auto" w:sz="4" w:space="0"/>
                    <w:right w:val="single" w:color="auto" w:sz="4" w:space="0"/>
                  </w:tcBorders>
                  <w:vAlign w:val="center"/>
                </w:tcPr>
                <w:p w14:paraId="27D9CDE6">
                  <w:pPr>
                    <w:pStyle w:val="23"/>
                    <w:adjustRightInd w:val="0"/>
                    <w:snapToGrid w:val="0"/>
                    <w:spacing w:after="0"/>
                    <w:ind w:left="0" w:leftChars="0" w:firstLine="0" w:firstLineChars="0"/>
                    <w:jc w:val="center"/>
                    <w:rPr>
                      <w:color w:val="auto"/>
                      <w:szCs w:val="21"/>
                    </w:rPr>
                  </w:pPr>
                  <w:r>
                    <w:rPr>
                      <w:rFonts w:hint="eastAsia"/>
                      <w:color w:val="auto"/>
                      <w:szCs w:val="21"/>
                    </w:rPr>
                    <w:t>19.5</w:t>
                  </w:r>
                </w:p>
              </w:tc>
            </w:tr>
            <w:tr w14:paraId="6DFF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400" w:type="pct"/>
                  <w:vMerge w:val="continue"/>
                  <w:tcBorders>
                    <w:left w:val="single" w:color="auto" w:sz="4" w:space="0"/>
                    <w:right w:val="single" w:color="auto" w:sz="4" w:space="0"/>
                  </w:tcBorders>
                  <w:vAlign w:val="center"/>
                </w:tcPr>
                <w:p w14:paraId="4EF73D42">
                  <w:pPr>
                    <w:pStyle w:val="23"/>
                    <w:adjustRightInd w:val="0"/>
                    <w:snapToGrid w:val="0"/>
                    <w:spacing w:after="0"/>
                    <w:ind w:left="0" w:leftChars="0" w:firstLine="0" w:firstLineChars="0"/>
                    <w:jc w:val="center"/>
                    <w:rPr>
                      <w:color w:val="auto"/>
                      <w:szCs w:val="21"/>
                    </w:rPr>
                  </w:pPr>
                </w:p>
              </w:tc>
              <w:tc>
                <w:tcPr>
                  <w:tcW w:w="401" w:type="pct"/>
                  <w:tcBorders>
                    <w:top w:val="single" w:color="auto" w:sz="4" w:space="0"/>
                    <w:left w:val="single" w:color="auto" w:sz="4" w:space="0"/>
                    <w:bottom w:val="single" w:color="auto" w:sz="4" w:space="0"/>
                    <w:right w:val="single" w:color="auto" w:sz="4" w:space="0"/>
                  </w:tcBorders>
                  <w:vAlign w:val="center"/>
                </w:tcPr>
                <w:p w14:paraId="6120E13B">
                  <w:pPr>
                    <w:pStyle w:val="59"/>
                    <w:overflowPunct w:val="0"/>
                    <w:topLinePunct/>
                    <w:rPr>
                      <w:rFonts w:ascii="宋体" w:hAnsi="宋体" w:eastAsia="宋体" w:cs="宋体"/>
                      <w:color w:val="auto"/>
                      <w:kern w:val="0"/>
                      <w:sz w:val="24"/>
                      <w:lang w:val="en-US"/>
                    </w:rPr>
                  </w:pPr>
                  <w:r>
                    <w:rPr>
                      <w:rFonts w:hint="eastAsia" w:ascii="宋体" w:hAnsi="宋体" w:eastAsia="宋体" w:cs="宋体"/>
                      <w:color w:val="auto"/>
                      <w:kern w:val="0"/>
                      <w:sz w:val="24"/>
                      <w:lang w:val="en-US"/>
                    </w:rPr>
                    <w:t>非甲烷总烃</w:t>
                  </w:r>
                </w:p>
              </w:tc>
              <w:tc>
                <w:tcPr>
                  <w:tcW w:w="437" w:type="pct"/>
                  <w:tcBorders>
                    <w:left w:val="single" w:color="auto" w:sz="4" w:space="0"/>
                    <w:bottom w:val="single" w:color="auto" w:sz="4" w:space="0"/>
                    <w:right w:val="single" w:color="auto" w:sz="4" w:space="0"/>
                  </w:tcBorders>
                  <w:vAlign w:val="center"/>
                </w:tcPr>
                <w:p w14:paraId="1F3B4AB8">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机加工</w:t>
                  </w:r>
                </w:p>
              </w:tc>
              <w:tc>
                <w:tcPr>
                  <w:tcW w:w="478" w:type="pct"/>
                  <w:vMerge w:val="continue"/>
                  <w:tcBorders>
                    <w:left w:val="single" w:color="auto" w:sz="4" w:space="0"/>
                    <w:right w:val="single" w:color="auto" w:sz="4" w:space="0"/>
                  </w:tcBorders>
                  <w:vAlign w:val="center"/>
                </w:tcPr>
                <w:p w14:paraId="584F7025">
                  <w:pPr>
                    <w:pStyle w:val="23"/>
                    <w:adjustRightInd w:val="0"/>
                    <w:snapToGrid w:val="0"/>
                    <w:spacing w:after="0"/>
                    <w:ind w:left="0" w:leftChars="0" w:firstLine="0" w:firstLineChars="0"/>
                    <w:jc w:val="center"/>
                    <w:rPr>
                      <w:color w:val="auto"/>
                      <w:szCs w:val="21"/>
                    </w:rPr>
                  </w:pPr>
                </w:p>
              </w:tc>
              <w:tc>
                <w:tcPr>
                  <w:tcW w:w="449" w:type="pct"/>
                  <w:tcBorders>
                    <w:top w:val="single" w:color="auto" w:sz="4" w:space="0"/>
                    <w:left w:val="single" w:color="auto" w:sz="4" w:space="0"/>
                    <w:bottom w:val="single" w:color="auto" w:sz="4" w:space="0"/>
                    <w:right w:val="single" w:color="auto" w:sz="4" w:space="0"/>
                  </w:tcBorders>
                  <w:vAlign w:val="center"/>
                </w:tcPr>
                <w:p w14:paraId="34FFFEB1">
                  <w:pPr>
                    <w:jc w:val="center"/>
                    <w:rPr>
                      <w:color w:val="auto"/>
                    </w:rPr>
                  </w:pPr>
                  <w:r>
                    <w:rPr>
                      <w:rFonts w:hint="eastAsia"/>
                      <w:color w:val="auto"/>
                    </w:rPr>
                    <w:t>0.042</w:t>
                  </w:r>
                </w:p>
              </w:tc>
              <w:tc>
                <w:tcPr>
                  <w:tcW w:w="533" w:type="pct"/>
                  <w:tcBorders>
                    <w:top w:val="single" w:color="auto" w:sz="4" w:space="0"/>
                    <w:left w:val="single" w:color="auto" w:sz="4" w:space="0"/>
                    <w:bottom w:val="single" w:color="auto" w:sz="4" w:space="0"/>
                    <w:right w:val="single" w:color="auto" w:sz="4" w:space="0"/>
                  </w:tcBorders>
                  <w:vAlign w:val="center"/>
                </w:tcPr>
                <w:p w14:paraId="4327F8ED">
                  <w:pPr>
                    <w:jc w:val="center"/>
                    <w:rPr>
                      <w:color w:val="auto"/>
                    </w:rPr>
                  </w:pPr>
                  <w:r>
                    <w:rPr>
                      <w:rFonts w:hint="eastAsia"/>
                      <w:color w:val="auto"/>
                    </w:rPr>
                    <w:t>0.018</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43E2F1E2">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39915A9E">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422" w:type="pct"/>
                  <w:vMerge w:val="restart"/>
                  <w:tcBorders>
                    <w:top w:val="single" w:color="auto" w:sz="4" w:space="0"/>
                    <w:left w:val="single" w:color="auto" w:sz="4" w:space="0"/>
                    <w:right w:val="single" w:color="auto" w:sz="4" w:space="0"/>
                  </w:tcBorders>
                  <w:shd w:val="clear" w:color="auto" w:fill="auto"/>
                  <w:vAlign w:val="center"/>
                </w:tcPr>
                <w:p w14:paraId="2B1C9C14">
                  <w:pPr>
                    <w:widowControl/>
                    <w:jc w:val="center"/>
                    <w:textAlignment w:val="center"/>
                    <w:rPr>
                      <w:color w:val="auto"/>
                    </w:rPr>
                  </w:pPr>
                  <w:r>
                    <w:rPr>
                      <w:color w:val="auto"/>
                      <w:kern w:val="0"/>
                      <w:szCs w:val="21"/>
                      <w:lang w:bidi="ar"/>
                    </w:rPr>
                    <w:t>0.058</w:t>
                  </w:r>
                </w:p>
              </w:tc>
              <w:tc>
                <w:tcPr>
                  <w:tcW w:w="474" w:type="pct"/>
                  <w:vMerge w:val="restart"/>
                  <w:tcBorders>
                    <w:top w:val="single" w:color="auto" w:sz="4" w:space="0"/>
                    <w:left w:val="single" w:color="auto" w:sz="4" w:space="0"/>
                    <w:right w:val="single" w:color="auto" w:sz="4" w:space="0"/>
                  </w:tcBorders>
                  <w:shd w:val="clear" w:color="auto" w:fill="auto"/>
                  <w:vAlign w:val="center"/>
                </w:tcPr>
                <w:p w14:paraId="30C141D8">
                  <w:pPr>
                    <w:widowControl/>
                    <w:jc w:val="center"/>
                    <w:textAlignment w:val="center"/>
                    <w:rPr>
                      <w:color w:val="auto"/>
                    </w:rPr>
                  </w:pPr>
                  <w:r>
                    <w:rPr>
                      <w:color w:val="auto"/>
                      <w:kern w:val="0"/>
                      <w:szCs w:val="21"/>
                      <w:lang w:bidi="ar"/>
                    </w:rPr>
                    <w:t>0.025</w:t>
                  </w:r>
                </w:p>
              </w:tc>
              <w:tc>
                <w:tcPr>
                  <w:tcW w:w="583" w:type="pct"/>
                  <w:vMerge w:val="continue"/>
                  <w:tcBorders>
                    <w:left w:val="single" w:color="auto" w:sz="4" w:space="0"/>
                    <w:right w:val="single" w:color="auto" w:sz="4" w:space="0"/>
                  </w:tcBorders>
                  <w:vAlign w:val="center"/>
                </w:tcPr>
                <w:p w14:paraId="359D96BA">
                  <w:pPr>
                    <w:pStyle w:val="23"/>
                    <w:adjustRightInd w:val="0"/>
                    <w:snapToGrid w:val="0"/>
                    <w:spacing w:after="0"/>
                    <w:ind w:left="0" w:leftChars="0" w:firstLine="0" w:firstLineChars="0"/>
                    <w:jc w:val="center"/>
                    <w:rPr>
                      <w:color w:val="auto"/>
                      <w:szCs w:val="21"/>
                    </w:rPr>
                  </w:pPr>
                </w:p>
              </w:tc>
              <w:tc>
                <w:tcPr>
                  <w:tcW w:w="270" w:type="pct"/>
                  <w:vMerge w:val="continue"/>
                  <w:tcBorders>
                    <w:left w:val="single" w:color="auto" w:sz="4" w:space="0"/>
                    <w:right w:val="single" w:color="auto" w:sz="4" w:space="0"/>
                  </w:tcBorders>
                  <w:vAlign w:val="center"/>
                </w:tcPr>
                <w:p w14:paraId="09A6D828">
                  <w:pPr>
                    <w:pStyle w:val="23"/>
                    <w:adjustRightInd w:val="0"/>
                    <w:snapToGrid w:val="0"/>
                    <w:spacing w:after="0"/>
                    <w:ind w:left="0" w:leftChars="0" w:firstLine="0" w:firstLineChars="0"/>
                    <w:jc w:val="center"/>
                    <w:rPr>
                      <w:color w:val="auto"/>
                      <w:szCs w:val="21"/>
                    </w:rPr>
                  </w:pPr>
                </w:p>
              </w:tc>
            </w:tr>
            <w:tr w14:paraId="4978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400" w:type="pct"/>
                  <w:vMerge w:val="continue"/>
                  <w:tcBorders>
                    <w:left w:val="single" w:color="auto" w:sz="4" w:space="0"/>
                    <w:right w:val="single" w:color="auto" w:sz="4" w:space="0"/>
                  </w:tcBorders>
                  <w:vAlign w:val="center"/>
                </w:tcPr>
                <w:p w14:paraId="074CBFF6">
                  <w:pPr>
                    <w:pStyle w:val="23"/>
                    <w:adjustRightInd w:val="0"/>
                    <w:snapToGrid w:val="0"/>
                    <w:spacing w:after="0"/>
                    <w:ind w:left="0" w:leftChars="0" w:firstLine="0" w:firstLineChars="0"/>
                    <w:jc w:val="center"/>
                    <w:rPr>
                      <w:color w:val="auto"/>
                      <w:szCs w:val="21"/>
                    </w:rPr>
                  </w:pPr>
                </w:p>
              </w:tc>
              <w:tc>
                <w:tcPr>
                  <w:tcW w:w="401" w:type="pct"/>
                  <w:tcBorders>
                    <w:top w:val="single" w:color="auto" w:sz="4" w:space="0"/>
                    <w:left w:val="single" w:color="auto" w:sz="4" w:space="0"/>
                    <w:bottom w:val="single" w:color="auto" w:sz="4" w:space="0"/>
                    <w:right w:val="single" w:color="auto" w:sz="4" w:space="0"/>
                  </w:tcBorders>
                  <w:vAlign w:val="center"/>
                </w:tcPr>
                <w:p w14:paraId="6AD33036">
                  <w:pPr>
                    <w:pStyle w:val="59"/>
                    <w:overflowPunct w:val="0"/>
                    <w:topLinePunct/>
                    <w:rPr>
                      <w:rFonts w:ascii="Times New Roman" w:hAnsi="Times New Roman" w:eastAsia="宋体" w:cs="Times New Roman"/>
                      <w:color w:val="auto"/>
                      <w:szCs w:val="21"/>
                      <w:lang w:val="en-US"/>
                    </w:rPr>
                  </w:pPr>
                  <w:r>
                    <w:rPr>
                      <w:rFonts w:hint="eastAsia" w:ascii="宋体" w:hAnsi="宋体" w:eastAsia="宋体" w:cs="宋体"/>
                      <w:color w:val="auto"/>
                      <w:kern w:val="0"/>
                      <w:sz w:val="24"/>
                      <w:lang w:val="en-US"/>
                    </w:rPr>
                    <w:t>非甲烷总烃</w:t>
                  </w:r>
                </w:p>
              </w:tc>
              <w:tc>
                <w:tcPr>
                  <w:tcW w:w="437" w:type="pct"/>
                  <w:tcBorders>
                    <w:left w:val="single" w:color="auto" w:sz="4" w:space="0"/>
                    <w:bottom w:val="single" w:color="auto" w:sz="4" w:space="0"/>
                    <w:right w:val="single" w:color="auto" w:sz="4" w:space="0"/>
                  </w:tcBorders>
                  <w:vAlign w:val="center"/>
                </w:tcPr>
                <w:p w14:paraId="245F4C15">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组装</w:t>
                  </w:r>
                </w:p>
              </w:tc>
              <w:tc>
                <w:tcPr>
                  <w:tcW w:w="478" w:type="pct"/>
                  <w:vMerge w:val="continue"/>
                  <w:tcBorders>
                    <w:left w:val="single" w:color="auto" w:sz="4" w:space="0"/>
                    <w:right w:val="single" w:color="auto" w:sz="4" w:space="0"/>
                  </w:tcBorders>
                  <w:vAlign w:val="center"/>
                </w:tcPr>
                <w:p w14:paraId="5363390C">
                  <w:pPr>
                    <w:pStyle w:val="23"/>
                    <w:adjustRightInd w:val="0"/>
                    <w:snapToGrid w:val="0"/>
                    <w:spacing w:after="0"/>
                    <w:ind w:left="0" w:leftChars="0" w:firstLine="0" w:firstLineChars="0"/>
                    <w:jc w:val="center"/>
                    <w:rPr>
                      <w:color w:val="auto"/>
                      <w:szCs w:val="21"/>
                    </w:rPr>
                  </w:pPr>
                </w:p>
              </w:tc>
              <w:tc>
                <w:tcPr>
                  <w:tcW w:w="449" w:type="pct"/>
                  <w:tcBorders>
                    <w:top w:val="single" w:color="auto" w:sz="4" w:space="0"/>
                    <w:left w:val="single" w:color="auto" w:sz="4" w:space="0"/>
                    <w:bottom w:val="single" w:color="auto" w:sz="4" w:space="0"/>
                    <w:right w:val="single" w:color="auto" w:sz="4" w:space="0"/>
                  </w:tcBorders>
                  <w:vAlign w:val="center"/>
                </w:tcPr>
                <w:p w14:paraId="72E0FB0F">
                  <w:pPr>
                    <w:jc w:val="center"/>
                    <w:rPr>
                      <w:color w:val="auto"/>
                    </w:rPr>
                  </w:pPr>
                  <w:r>
                    <w:rPr>
                      <w:rFonts w:hint="eastAsia"/>
                      <w:color w:val="auto"/>
                    </w:rPr>
                    <w:t>0.016</w:t>
                  </w:r>
                </w:p>
              </w:tc>
              <w:tc>
                <w:tcPr>
                  <w:tcW w:w="533" w:type="pct"/>
                  <w:tcBorders>
                    <w:top w:val="single" w:color="auto" w:sz="4" w:space="0"/>
                    <w:left w:val="single" w:color="auto" w:sz="4" w:space="0"/>
                    <w:bottom w:val="single" w:color="auto" w:sz="4" w:space="0"/>
                    <w:right w:val="single" w:color="auto" w:sz="4" w:space="0"/>
                  </w:tcBorders>
                  <w:vAlign w:val="center"/>
                </w:tcPr>
                <w:p w14:paraId="42BE31B2">
                  <w:pPr>
                    <w:jc w:val="center"/>
                    <w:rPr>
                      <w:color w:val="auto"/>
                    </w:rPr>
                  </w:pPr>
                  <w:r>
                    <w:rPr>
                      <w:rFonts w:hint="eastAsia"/>
                      <w:color w:val="auto"/>
                    </w:rPr>
                    <w:t>0.007</w:t>
                  </w: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64136F27">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181D7763">
                  <w:pPr>
                    <w:pStyle w:val="23"/>
                    <w:adjustRightInd w:val="0"/>
                    <w:snapToGrid w:val="0"/>
                    <w:spacing w:after="0"/>
                    <w:ind w:left="0" w:leftChars="0" w:firstLine="0" w:firstLineChars="0"/>
                    <w:jc w:val="center"/>
                    <w:rPr>
                      <w:color w:val="auto"/>
                      <w:szCs w:val="21"/>
                    </w:rPr>
                  </w:pPr>
                  <w:r>
                    <w:rPr>
                      <w:rFonts w:hint="eastAsia"/>
                      <w:color w:val="auto"/>
                      <w:szCs w:val="21"/>
                    </w:rPr>
                    <w:t>/</w:t>
                  </w:r>
                </w:p>
              </w:tc>
              <w:tc>
                <w:tcPr>
                  <w:tcW w:w="422" w:type="pct"/>
                  <w:vMerge w:val="continue"/>
                  <w:tcBorders>
                    <w:left w:val="single" w:color="auto" w:sz="4" w:space="0"/>
                    <w:bottom w:val="single" w:color="auto" w:sz="4" w:space="0"/>
                    <w:right w:val="single" w:color="auto" w:sz="4" w:space="0"/>
                  </w:tcBorders>
                  <w:shd w:val="clear" w:color="auto" w:fill="auto"/>
                  <w:vAlign w:val="center"/>
                </w:tcPr>
                <w:p w14:paraId="3109F364">
                  <w:pPr>
                    <w:jc w:val="center"/>
                    <w:rPr>
                      <w:color w:val="auto"/>
                    </w:rPr>
                  </w:pPr>
                </w:p>
              </w:tc>
              <w:tc>
                <w:tcPr>
                  <w:tcW w:w="474" w:type="pct"/>
                  <w:vMerge w:val="continue"/>
                  <w:tcBorders>
                    <w:left w:val="single" w:color="auto" w:sz="4" w:space="0"/>
                    <w:bottom w:val="single" w:color="auto" w:sz="4" w:space="0"/>
                    <w:right w:val="single" w:color="auto" w:sz="4" w:space="0"/>
                  </w:tcBorders>
                  <w:shd w:val="clear" w:color="auto" w:fill="auto"/>
                  <w:vAlign w:val="center"/>
                </w:tcPr>
                <w:p w14:paraId="35CDC0E5">
                  <w:pPr>
                    <w:jc w:val="center"/>
                    <w:rPr>
                      <w:color w:val="auto"/>
                    </w:rPr>
                  </w:pPr>
                </w:p>
              </w:tc>
              <w:tc>
                <w:tcPr>
                  <w:tcW w:w="583" w:type="pct"/>
                  <w:vMerge w:val="continue"/>
                  <w:tcBorders>
                    <w:left w:val="single" w:color="auto" w:sz="4" w:space="0"/>
                    <w:right w:val="single" w:color="auto" w:sz="4" w:space="0"/>
                  </w:tcBorders>
                  <w:vAlign w:val="center"/>
                </w:tcPr>
                <w:p w14:paraId="564790DF">
                  <w:pPr>
                    <w:pStyle w:val="23"/>
                    <w:adjustRightInd w:val="0"/>
                    <w:snapToGrid w:val="0"/>
                    <w:spacing w:after="0"/>
                    <w:ind w:left="0" w:leftChars="0" w:firstLine="0" w:firstLineChars="0"/>
                    <w:jc w:val="center"/>
                    <w:rPr>
                      <w:color w:val="auto"/>
                      <w:szCs w:val="21"/>
                    </w:rPr>
                  </w:pPr>
                </w:p>
              </w:tc>
              <w:tc>
                <w:tcPr>
                  <w:tcW w:w="270" w:type="pct"/>
                  <w:vMerge w:val="continue"/>
                  <w:tcBorders>
                    <w:left w:val="single" w:color="auto" w:sz="4" w:space="0"/>
                    <w:right w:val="single" w:color="auto" w:sz="4" w:space="0"/>
                  </w:tcBorders>
                  <w:vAlign w:val="center"/>
                </w:tcPr>
                <w:p w14:paraId="1FC33683">
                  <w:pPr>
                    <w:pStyle w:val="23"/>
                    <w:adjustRightInd w:val="0"/>
                    <w:snapToGrid w:val="0"/>
                    <w:spacing w:after="0"/>
                    <w:ind w:left="0" w:leftChars="0" w:firstLine="0" w:firstLineChars="0"/>
                    <w:jc w:val="center"/>
                    <w:rPr>
                      <w:color w:val="auto"/>
                      <w:szCs w:val="21"/>
                    </w:rPr>
                  </w:pPr>
                </w:p>
              </w:tc>
            </w:tr>
          </w:tbl>
          <w:p w14:paraId="3C7071A2">
            <w:pPr>
              <w:pStyle w:val="7"/>
              <w:pBdr>
                <w:top w:val="none" w:color="auto" w:sz="0" w:space="1"/>
                <w:left w:val="none" w:color="auto" w:sz="0" w:space="4"/>
                <w:bottom w:val="none" w:color="auto" w:sz="0" w:space="1"/>
                <w:right w:val="none" w:color="auto" w:sz="0" w:space="4"/>
              </w:pBdr>
              <w:topLinePunct/>
              <w:spacing w:after="0" w:line="360" w:lineRule="auto"/>
              <w:ind w:left="0" w:leftChars="0" w:firstLine="482" w:firstLineChars="200"/>
              <w:rPr>
                <w:rFonts w:hAnsi="宋体"/>
                <w:b/>
                <w:color w:val="auto"/>
              </w:rPr>
            </w:pPr>
            <w:r>
              <w:rPr>
                <w:rFonts w:hint="eastAsia" w:hAnsi="宋体"/>
                <w:b/>
                <w:color w:val="auto"/>
              </w:rPr>
              <w:t>4、废气达标分析</w:t>
            </w:r>
          </w:p>
          <w:p w14:paraId="0E74947A">
            <w:pPr>
              <w:spacing w:line="360" w:lineRule="auto"/>
              <w:ind w:firstLine="480" w:firstLineChars="200"/>
              <w:rPr>
                <w:color w:val="auto"/>
                <w:sz w:val="24"/>
              </w:rPr>
            </w:pPr>
            <w:r>
              <w:rPr>
                <w:rFonts w:hint="eastAsia"/>
                <w:color w:val="auto"/>
                <w:sz w:val="24"/>
              </w:rPr>
              <w:t>本项目无组织面源500米范围内无居民点，采用估算模式进行预测得到浓度与标准值对比见表4-</w:t>
            </w:r>
            <w:r>
              <w:rPr>
                <w:rFonts w:hint="eastAsia"/>
                <w:color w:val="auto"/>
                <w:sz w:val="24"/>
                <w:lang w:val="en-US" w:eastAsia="zh-CN"/>
              </w:rPr>
              <w:t>5</w:t>
            </w:r>
            <w:r>
              <w:rPr>
                <w:rFonts w:hint="eastAsia"/>
                <w:color w:val="auto"/>
                <w:sz w:val="24"/>
              </w:rPr>
              <w:t>。</w:t>
            </w:r>
          </w:p>
          <w:p w14:paraId="7DCE99D9">
            <w:pPr>
              <w:jc w:val="center"/>
              <w:rPr>
                <w:b/>
                <w:bCs/>
                <w:color w:val="auto"/>
                <w:sz w:val="24"/>
              </w:rPr>
            </w:pPr>
            <w:r>
              <w:rPr>
                <w:b/>
                <w:bCs/>
                <w:color w:val="auto"/>
                <w:sz w:val="24"/>
              </w:rPr>
              <w:t>表</w:t>
            </w:r>
            <w:r>
              <w:rPr>
                <w:rFonts w:hint="eastAsia"/>
                <w:b/>
                <w:bCs/>
                <w:color w:val="auto"/>
                <w:sz w:val="24"/>
              </w:rPr>
              <w:t>4-</w:t>
            </w:r>
            <w:r>
              <w:rPr>
                <w:rFonts w:hint="eastAsia"/>
                <w:b/>
                <w:bCs/>
                <w:color w:val="auto"/>
                <w:sz w:val="24"/>
                <w:lang w:val="en-US" w:eastAsia="zh-CN"/>
              </w:rPr>
              <w:t>5</w:t>
            </w:r>
            <w:r>
              <w:rPr>
                <w:rFonts w:hint="eastAsia"/>
                <w:b/>
                <w:bCs/>
                <w:color w:val="auto"/>
                <w:sz w:val="24"/>
              </w:rPr>
              <w:t>无组织废气达标排放情况一览表</w:t>
            </w:r>
          </w:p>
          <w:tbl>
            <w:tblPr>
              <w:tblStyle w:val="2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475"/>
              <w:gridCol w:w="893"/>
              <w:gridCol w:w="2242"/>
              <w:gridCol w:w="2436"/>
              <w:gridCol w:w="2436"/>
            </w:tblGrid>
            <w:tr w14:paraId="3D9C7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trPr>
              <w:tc>
                <w:tcPr>
                  <w:tcW w:w="280" w:type="pct"/>
                  <w:vAlign w:val="center"/>
                </w:tcPr>
                <w:p w14:paraId="6BDC433D">
                  <w:pPr>
                    <w:widowControl/>
                    <w:jc w:val="center"/>
                    <w:textAlignment w:val="center"/>
                    <w:rPr>
                      <w:b/>
                      <w:bCs/>
                      <w:color w:val="auto"/>
                      <w:szCs w:val="21"/>
                    </w:rPr>
                  </w:pPr>
                  <w:r>
                    <w:rPr>
                      <w:rFonts w:hint="eastAsia"/>
                      <w:b/>
                      <w:bCs/>
                      <w:color w:val="auto"/>
                      <w:kern w:val="0"/>
                      <w:szCs w:val="21"/>
                    </w:rPr>
                    <w:t>面源</w:t>
                  </w:r>
                </w:p>
              </w:tc>
              <w:tc>
                <w:tcPr>
                  <w:tcW w:w="526" w:type="pct"/>
                  <w:vAlign w:val="center"/>
                </w:tcPr>
                <w:p w14:paraId="50B056A0">
                  <w:pPr>
                    <w:jc w:val="center"/>
                    <w:textAlignment w:val="center"/>
                    <w:rPr>
                      <w:b/>
                      <w:bCs/>
                      <w:color w:val="auto"/>
                      <w:szCs w:val="21"/>
                    </w:rPr>
                  </w:pPr>
                  <w:r>
                    <w:rPr>
                      <w:b/>
                      <w:bCs/>
                      <w:color w:val="auto"/>
                      <w:kern w:val="0"/>
                      <w:szCs w:val="21"/>
                    </w:rPr>
                    <w:t>污染物</w:t>
                  </w:r>
                </w:p>
              </w:tc>
              <w:tc>
                <w:tcPr>
                  <w:tcW w:w="1321" w:type="pct"/>
                  <w:tcBorders>
                    <w:bottom w:val="single" w:color="auto" w:sz="4" w:space="0"/>
                  </w:tcBorders>
                  <w:vAlign w:val="center"/>
                </w:tcPr>
                <w:p w14:paraId="61688BF0">
                  <w:pPr>
                    <w:widowControl/>
                    <w:jc w:val="center"/>
                    <w:textAlignment w:val="center"/>
                    <w:rPr>
                      <w:b/>
                      <w:color w:val="auto"/>
                      <w:kern w:val="0"/>
                      <w:szCs w:val="21"/>
                    </w:rPr>
                  </w:pPr>
                  <w:r>
                    <w:rPr>
                      <w:rFonts w:hint="eastAsia"/>
                      <w:b/>
                      <w:color w:val="auto"/>
                      <w:kern w:val="0"/>
                      <w:szCs w:val="21"/>
                    </w:rPr>
                    <w:t>预测浓度（m</w:t>
                  </w:r>
                  <w:r>
                    <w:rPr>
                      <w:b/>
                      <w:color w:val="auto"/>
                      <w:kern w:val="0"/>
                      <w:szCs w:val="21"/>
                    </w:rPr>
                    <w:t>g/</w:t>
                  </w:r>
                  <w:r>
                    <w:rPr>
                      <w:rFonts w:hint="eastAsia"/>
                      <w:b/>
                      <w:color w:val="auto"/>
                      <w:kern w:val="0"/>
                      <w:szCs w:val="21"/>
                    </w:rPr>
                    <w:t>m</w:t>
                  </w:r>
                  <w:r>
                    <w:rPr>
                      <w:b/>
                      <w:color w:val="auto"/>
                      <w:kern w:val="0"/>
                      <w:szCs w:val="21"/>
                      <w:vertAlign w:val="superscript"/>
                    </w:rPr>
                    <w:t>3</w:t>
                  </w:r>
                  <w:r>
                    <w:rPr>
                      <w:rFonts w:hint="eastAsia"/>
                      <w:b/>
                      <w:color w:val="auto"/>
                      <w:kern w:val="0"/>
                      <w:szCs w:val="21"/>
                    </w:rPr>
                    <w:t>）</w:t>
                  </w:r>
                </w:p>
              </w:tc>
              <w:tc>
                <w:tcPr>
                  <w:tcW w:w="1435" w:type="pct"/>
                  <w:tcBorders>
                    <w:left w:val="single" w:color="auto" w:sz="4" w:space="0"/>
                    <w:right w:val="single" w:color="auto" w:sz="4" w:space="0"/>
                  </w:tcBorders>
                  <w:vAlign w:val="center"/>
                </w:tcPr>
                <w:p w14:paraId="3B23BFE1">
                  <w:pPr>
                    <w:widowControl/>
                    <w:jc w:val="center"/>
                    <w:textAlignment w:val="center"/>
                    <w:rPr>
                      <w:b/>
                      <w:color w:val="auto"/>
                      <w:szCs w:val="21"/>
                    </w:rPr>
                  </w:pPr>
                  <w:r>
                    <w:rPr>
                      <w:rFonts w:hint="eastAsia"/>
                      <w:b/>
                      <w:color w:val="auto"/>
                      <w:szCs w:val="21"/>
                    </w:rPr>
                    <w:t>厂界排放标准（</w:t>
                  </w:r>
                  <w:r>
                    <w:rPr>
                      <w:rFonts w:hint="eastAsia"/>
                      <w:b/>
                      <w:color w:val="auto"/>
                      <w:kern w:val="0"/>
                      <w:szCs w:val="21"/>
                    </w:rPr>
                    <w:t>m</w:t>
                  </w:r>
                  <w:r>
                    <w:rPr>
                      <w:b/>
                      <w:color w:val="auto"/>
                      <w:kern w:val="0"/>
                      <w:szCs w:val="21"/>
                    </w:rPr>
                    <w:t>g/</w:t>
                  </w:r>
                  <w:r>
                    <w:rPr>
                      <w:rFonts w:hint="eastAsia"/>
                      <w:b/>
                      <w:color w:val="auto"/>
                      <w:kern w:val="0"/>
                      <w:szCs w:val="21"/>
                    </w:rPr>
                    <w:t>m</w:t>
                  </w:r>
                  <w:r>
                    <w:rPr>
                      <w:b/>
                      <w:color w:val="auto"/>
                      <w:kern w:val="0"/>
                      <w:szCs w:val="21"/>
                      <w:vertAlign w:val="superscript"/>
                    </w:rPr>
                    <w:t>3</w:t>
                  </w:r>
                  <w:r>
                    <w:rPr>
                      <w:rFonts w:hint="eastAsia"/>
                      <w:b/>
                      <w:color w:val="auto"/>
                      <w:szCs w:val="21"/>
                    </w:rPr>
                    <w:t>）</w:t>
                  </w:r>
                </w:p>
              </w:tc>
              <w:tc>
                <w:tcPr>
                  <w:tcW w:w="1435" w:type="pct"/>
                  <w:tcBorders>
                    <w:left w:val="single" w:color="auto" w:sz="4" w:space="0"/>
                    <w:right w:val="single" w:color="auto" w:sz="4" w:space="0"/>
                  </w:tcBorders>
                  <w:vAlign w:val="center"/>
                </w:tcPr>
                <w:p w14:paraId="13025503">
                  <w:pPr>
                    <w:widowControl/>
                    <w:jc w:val="center"/>
                    <w:textAlignment w:val="center"/>
                    <w:rPr>
                      <w:rFonts w:hint="eastAsia" w:eastAsia="宋体"/>
                      <w:b/>
                      <w:color w:val="auto"/>
                      <w:szCs w:val="21"/>
                      <w:lang w:eastAsia="zh-CN"/>
                    </w:rPr>
                  </w:pPr>
                  <w:r>
                    <w:rPr>
                      <w:rFonts w:hint="eastAsia"/>
                      <w:b/>
                      <w:color w:val="auto"/>
                      <w:szCs w:val="21"/>
                      <w:lang w:val="en-US" w:eastAsia="zh-CN"/>
                    </w:rPr>
                    <w:t>厂内</w:t>
                  </w:r>
                  <w:r>
                    <w:rPr>
                      <w:rFonts w:hint="eastAsia"/>
                      <w:b/>
                      <w:color w:val="auto"/>
                      <w:szCs w:val="21"/>
                    </w:rPr>
                    <w:t>排放限值</w:t>
                  </w:r>
                  <w:r>
                    <w:rPr>
                      <w:rFonts w:hint="eastAsia"/>
                      <w:b/>
                      <w:color w:val="auto"/>
                      <w:szCs w:val="21"/>
                      <w:lang w:eastAsia="zh-CN"/>
                    </w:rPr>
                    <w:t>（mg/m</w:t>
                  </w:r>
                  <w:r>
                    <w:rPr>
                      <w:rFonts w:hint="eastAsia"/>
                      <w:b/>
                      <w:color w:val="auto"/>
                      <w:szCs w:val="21"/>
                      <w:vertAlign w:val="superscript"/>
                      <w:lang w:eastAsia="zh-CN"/>
                    </w:rPr>
                    <w:t>3</w:t>
                  </w:r>
                  <w:r>
                    <w:rPr>
                      <w:rFonts w:hint="eastAsia"/>
                      <w:b/>
                      <w:color w:val="auto"/>
                      <w:szCs w:val="21"/>
                      <w:lang w:eastAsia="zh-CN"/>
                    </w:rPr>
                    <w:t>）</w:t>
                  </w:r>
                </w:p>
              </w:tc>
            </w:tr>
            <w:tr w14:paraId="1A3C0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trPr>
              <w:tc>
                <w:tcPr>
                  <w:tcW w:w="280" w:type="pct"/>
                  <w:vMerge w:val="restart"/>
                  <w:vAlign w:val="center"/>
                </w:tcPr>
                <w:p w14:paraId="2B607F68">
                  <w:pPr>
                    <w:widowControl/>
                    <w:jc w:val="center"/>
                    <w:textAlignment w:val="center"/>
                    <w:rPr>
                      <w:rFonts w:hint="eastAsia" w:eastAsia="宋体"/>
                      <w:color w:val="auto"/>
                      <w:kern w:val="0"/>
                      <w:szCs w:val="21"/>
                      <w:lang w:val="en-US" w:eastAsia="zh-CN"/>
                    </w:rPr>
                  </w:pPr>
                  <w:r>
                    <w:rPr>
                      <w:rFonts w:hint="eastAsia"/>
                      <w:color w:val="auto"/>
                      <w:kern w:val="0"/>
                      <w:szCs w:val="21"/>
                    </w:rPr>
                    <w:t>7#车间</w:t>
                  </w:r>
                  <w:r>
                    <w:rPr>
                      <w:rFonts w:hint="eastAsia"/>
                      <w:color w:val="auto"/>
                      <w:kern w:val="0"/>
                      <w:szCs w:val="21"/>
                      <w:lang w:val="en-US" w:eastAsia="zh-CN"/>
                    </w:rPr>
                    <w:t>和</w:t>
                  </w:r>
                </w:p>
                <w:p w14:paraId="5DDB9AEB">
                  <w:pPr>
                    <w:widowControl/>
                    <w:jc w:val="center"/>
                    <w:textAlignment w:val="center"/>
                    <w:rPr>
                      <w:color w:val="auto"/>
                      <w:kern w:val="0"/>
                      <w:szCs w:val="21"/>
                    </w:rPr>
                  </w:pPr>
                  <w:r>
                    <w:rPr>
                      <w:rFonts w:hint="eastAsia"/>
                      <w:color w:val="auto"/>
                      <w:kern w:val="0"/>
                      <w:szCs w:val="21"/>
                    </w:rPr>
                    <w:t>9#车间</w:t>
                  </w:r>
                </w:p>
              </w:tc>
              <w:tc>
                <w:tcPr>
                  <w:tcW w:w="526" w:type="pct"/>
                  <w:vAlign w:val="center"/>
                </w:tcPr>
                <w:p w14:paraId="67FAB181">
                  <w:pPr>
                    <w:pStyle w:val="63"/>
                    <w:rPr>
                      <w:color w:val="auto"/>
                    </w:rPr>
                  </w:pPr>
                  <w:r>
                    <w:rPr>
                      <w:rFonts w:hint="eastAsia"/>
                      <w:color w:val="auto"/>
                    </w:rPr>
                    <w:t>非甲烷总烃</w:t>
                  </w:r>
                </w:p>
              </w:tc>
              <w:tc>
                <w:tcPr>
                  <w:tcW w:w="1321" w:type="pct"/>
                  <w:vAlign w:val="center"/>
                </w:tcPr>
                <w:p w14:paraId="792D2F29">
                  <w:pPr>
                    <w:widowControl/>
                    <w:jc w:val="center"/>
                    <w:textAlignment w:val="center"/>
                    <w:rPr>
                      <w:color w:val="auto"/>
                      <w:kern w:val="0"/>
                      <w:szCs w:val="21"/>
                    </w:rPr>
                  </w:pPr>
                  <w:r>
                    <w:rPr>
                      <w:rFonts w:hint="eastAsia"/>
                      <w:color w:val="auto"/>
                      <w:kern w:val="0"/>
                      <w:szCs w:val="21"/>
                    </w:rPr>
                    <w:t>0.009342</w:t>
                  </w:r>
                </w:p>
              </w:tc>
              <w:tc>
                <w:tcPr>
                  <w:tcW w:w="1435" w:type="pct"/>
                  <w:tcBorders>
                    <w:left w:val="single" w:color="auto" w:sz="4" w:space="0"/>
                    <w:right w:val="single" w:color="auto" w:sz="4" w:space="0"/>
                  </w:tcBorders>
                  <w:vAlign w:val="center"/>
                </w:tcPr>
                <w:p w14:paraId="733E42F5">
                  <w:pPr>
                    <w:jc w:val="center"/>
                    <w:textAlignment w:val="center"/>
                    <w:rPr>
                      <w:color w:val="auto"/>
                      <w:kern w:val="0"/>
                      <w:szCs w:val="21"/>
                    </w:rPr>
                  </w:pPr>
                  <w:r>
                    <w:rPr>
                      <w:rFonts w:hint="eastAsia"/>
                      <w:color w:val="auto"/>
                      <w:kern w:val="0"/>
                      <w:szCs w:val="21"/>
                    </w:rPr>
                    <w:t>4.0</w:t>
                  </w:r>
                </w:p>
              </w:tc>
              <w:tc>
                <w:tcPr>
                  <w:tcW w:w="1435" w:type="pct"/>
                  <w:tcBorders>
                    <w:left w:val="single" w:color="auto" w:sz="4" w:space="0"/>
                    <w:right w:val="single" w:color="auto" w:sz="4" w:space="0"/>
                  </w:tcBorders>
                  <w:vAlign w:val="center"/>
                </w:tcPr>
                <w:p w14:paraId="62913930">
                  <w:pPr>
                    <w:jc w:val="center"/>
                    <w:textAlignment w:val="center"/>
                    <w:rPr>
                      <w:rFonts w:hint="default" w:eastAsia="宋体"/>
                      <w:color w:val="auto"/>
                      <w:kern w:val="0"/>
                      <w:szCs w:val="21"/>
                      <w:lang w:val="en-US" w:eastAsia="zh-CN"/>
                    </w:rPr>
                  </w:pPr>
                  <w:r>
                    <w:rPr>
                      <w:rFonts w:hint="eastAsia"/>
                      <w:color w:val="auto"/>
                      <w:kern w:val="0"/>
                      <w:szCs w:val="21"/>
                      <w:lang w:val="en-US" w:eastAsia="zh-CN"/>
                    </w:rPr>
                    <w:t>10/30</w:t>
                  </w:r>
                </w:p>
              </w:tc>
            </w:tr>
            <w:tr w14:paraId="5382F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trPr>
              <w:tc>
                <w:tcPr>
                  <w:tcW w:w="280" w:type="pct"/>
                  <w:vMerge w:val="continue"/>
                  <w:vAlign w:val="center"/>
                </w:tcPr>
                <w:p w14:paraId="74B93D1C">
                  <w:pPr>
                    <w:widowControl/>
                    <w:jc w:val="center"/>
                    <w:textAlignment w:val="center"/>
                    <w:rPr>
                      <w:color w:val="auto"/>
                      <w:kern w:val="0"/>
                      <w:szCs w:val="21"/>
                    </w:rPr>
                  </w:pPr>
                </w:p>
              </w:tc>
              <w:tc>
                <w:tcPr>
                  <w:tcW w:w="526" w:type="pct"/>
                  <w:vAlign w:val="center"/>
                </w:tcPr>
                <w:p w14:paraId="12088260">
                  <w:pPr>
                    <w:pStyle w:val="63"/>
                    <w:rPr>
                      <w:color w:val="auto"/>
                    </w:rPr>
                  </w:pPr>
                  <w:r>
                    <w:rPr>
                      <w:rFonts w:hint="eastAsia"/>
                      <w:color w:val="auto"/>
                    </w:rPr>
                    <w:t>颗粒物</w:t>
                  </w:r>
                </w:p>
              </w:tc>
              <w:tc>
                <w:tcPr>
                  <w:tcW w:w="1321" w:type="pct"/>
                  <w:vAlign w:val="center"/>
                </w:tcPr>
                <w:p w14:paraId="4D7FE781">
                  <w:pPr>
                    <w:widowControl/>
                    <w:jc w:val="center"/>
                    <w:textAlignment w:val="center"/>
                    <w:rPr>
                      <w:color w:val="auto"/>
                      <w:kern w:val="0"/>
                      <w:szCs w:val="21"/>
                    </w:rPr>
                  </w:pPr>
                  <w:r>
                    <w:rPr>
                      <w:rFonts w:hint="eastAsia"/>
                      <w:color w:val="auto"/>
                      <w:kern w:val="0"/>
                      <w:szCs w:val="21"/>
                    </w:rPr>
                    <w:t>0.06395</w:t>
                  </w:r>
                </w:p>
              </w:tc>
              <w:tc>
                <w:tcPr>
                  <w:tcW w:w="1435" w:type="pct"/>
                  <w:tcBorders>
                    <w:left w:val="single" w:color="auto" w:sz="4" w:space="0"/>
                    <w:right w:val="single" w:color="auto" w:sz="4" w:space="0"/>
                  </w:tcBorders>
                  <w:vAlign w:val="center"/>
                </w:tcPr>
                <w:p w14:paraId="47539E72">
                  <w:pPr>
                    <w:jc w:val="center"/>
                    <w:textAlignment w:val="center"/>
                    <w:rPr>
                      <w:color w:val="auto"/>
                      <w:kern w:val="0"/>
                      <w:szCs w:val="21"/>
                    </w:rPr>
                  </w:pPr>
                  <w:r>
                    <w:rPr>
                      <w:rFonts w:hint="eastAsia"/>
                      <w:color w:val="auto"/>
                      <w:kern w:val="0"/>
                      <w:szCs w:val="21"/>
                    </w:rPr>
                    <w:t>1.0</w:t>
                  </w:r>
                </w:p>
              </w:tc>
              <w:tc>
                <w:tcPr>
                  <w:tcW w:w="1435" w:type="pct"/>
                  <w:tcBorders>
                    <w:left w:val="single" w:color="auto" w:sz="4" w:space="0"/>
                    <w:right w:val="single" w:color="auto" w:sz="4" w:space="0"/>
                  </w:tcBorders>
                  <w:vAlign w:val="center"/>
                </w:tcPr>
                <w:p w14:paraId="3EA89381">
                  <w:pPr>
                    <w:jc w:val="center"/>
                    <w:textAlignment w:val="center"/>
                    <w:rPr>
                      <w:rFonts w:hint="eastAsia" w:eastAsia="宋体"/>
                      <w:color w:val="auto"/>
                      <w:kern w:val="0"/>
                      <w:szCs w:val="21"/>
                      <w:lang w:val="en-US" w:eastAsia="zh-CN"/>
                    </w:rPr>
                  </w:pPr>
                  <w:r>
                    <w:rPr>
                      <w:rFonts w:hint="eastAsia"/>
                      <w:color w:val="auto"/>
                      <w:kern w:val="0"/>
                      <w:szCs w:val="21"/>
                      <w:lang w:val="en-US" w:eastAsia="zh-CN"/>
                    </w:rPr>
                    <w:t>/</w:t>
                  </w:r>
                </w:p>
              </w:tc>
            </w:tr>
          </w:tbl>
          <w:p w14:paraId="2DF2FF43">
            <w:pPr>
              <w:topLinePunct/>
              <w:spacing w:line="360" w:lineRule="auto"/>
              <w:ind w:firstLine="480" w:firstLineChars="200"/>
              <w:rPr>
                <w:rFonts w:hint="default" w:eastAsia="宋体"/>
                <w:color w:val="auto"/>
                <w:sz w:val="24"/>
                <w:lang w:val="en-US" w:eastAsia="zh-CN"/>
              </w:rPr>
            </w:pPr>
            <w:r>
              <w:rPr>
                <w:rFonts w:hint="eastAsia"/>
                <w:color w:val="auto"/>
                <w:sz w:val="24"/>
              </w:rPr>
              <w:t>由表4-5可知，项目无组织废气中非甲烷总烃、颗粒物</w:t>
            </w:r>
            <w:r>
              <w:rPr>
                <w:rFonts w:hint="eastAsia" w:hAnsi="宋体"/>
                <w:color w:val="auto"/>
                <w:sz w:val="24"/>
              </w:rPr>
              <w:t>排放能满足</w:t>
            </w:r>
            <w:r>
              <w:rPr>
                <w:rFonts w:hint="eastAsia"/>
                <w:color w:val="auto"/>
                <w:sz w:val="24"/>
                <w:lang w:val="zh-CN"/>
              </w:rPr>
              <w:t>《大气污染物综合排放标准》（GB16297-1996）</w:t>
            </w:r>
            <w:r>
              <w:rPr>
                <w:color w:val="auto"/>
                <w:sz w:val="24"/>
              </w:rPr>
              <w:t>表2无组织排放监控</w:t>
            </w:r>
            <w:r>
              <w:rPr>
                <w:rFonts w:hint="eastAsia"/>
                <w:color w:val="auto"/>
                <w:sz w:val="24"/>
              </w:rPr>
              <w:t>浓度</w:t>
            </w:r>
            <w:r>
              <w:rPr>
                <w:color w:val="auto"/>
                <w:sz w:val="24"/>
              </w:rPr>
              <w:t>限值</w:t>
            </w:r>
            <w:r>
              <w:rPr>
                <w:rFonts w:hint="eastAsia"/>
                <w:color w:val="auto"/>
                <w:sz w:val="24"/>
                <w:lang w:eastAsia="zh-CN"/>
              </w:rPr>
              <w:t>；</w:t>
            </w:r>
            <w:r>
              <w:rPr>
                <w:rFonts w:hint="eastAsia"/>
                <w:color w:val="auto"/>
                <w:sz w:val="24"/>
              </w:rPr>
              <w:t>非甲烷总烃</w:t>
            </w:r>
            <w:r>
              <w:rPr>
                <w:rFonts w:hint="eastAsia" w:hAnsi="宋体"/>
                <w:color w:val="auto"/>
                <w:sz w:val="24"/>
              </w:rPr>
              <w:t>排放能满足</w:t>
            </w:r>
            <w:r>
              <w:rPr>
                <w:rFonts w:hint="eastAsia"/>
                <w:color w:val="auto"/>
                <w:sz w:val="24"/>
              </w:rPr>
              <w:t>《挥发性有机物无组织排放控制标准》（GB37822-2019）</w:t>
            </w:r>
            <w:r>
              <w:rPr>
                <w:rFonts w:hint="eastAsia"/>
                <w:color w:val="auto"/>
                <w:sz w:val="24"/>
                <w:lang w:val="en-US" w:eastAsia="zh-CN"/>
              </w:rPr>
              <w:t>中限值。</w:t>
            </w:r>
          </w:p>
          <w:p w14:paraId="6A6E0116">
            <w:pPr>
              <w:adjustRightInd w:val="0"/>
              <w:snapToGrid w:val="0"/>
              <w:spacing w:line="360" w:lineRule="auto"/>
              <w:ind w:firstLine="482" w:firstLineChars="200"/>
              <w:jc w:val="left"/>
              <w:rPr>
                <w:rFonts w:cs="宋体"/>
                <w:b/>
                <w:bCs/>
                <w:color w:val="auto"/>
                <w:sz w:val="24"/>
              </w:rPr>
            </w:pPr>
            <w:r>
              <w:rPr>
                <w:rFonts w:hint="eastAsia" w:cs="宋体"/>
                <w:b/>
                <w:bCs/>
                <w:color w:val="auto"/>
                <w:sz w:val="24"/>
              </w:rPr>
              <w:t>5、</w:t>
            </w:r>
            <w:r>
              <w:rPr>
                <w:rFonts w:cs="宋体"/>
                <w:b/>
                <w:bCs/>
                <w:color w:val="auto"/>
                <w:sz w:val="24"/>
              </w:rPr>
              <w:t>卫生防护距离</w:t>
            </w:r>
          </w:p>
          <w:p w14:paraId="48BA641D">
            <w:pPr>
              <w:pStyle w:val="42"/>
              <w:spacing w:line="360" w:lineRule="auto"/>
              <w:ind w:firstLine="480" w:firstLineChars="200"/>
              <w:jc w:val="both"/>
              <w:rPr>
                <w:rFonts w:hint="default" w:ascii="Times New Roman" w:hAnsi="Times New Roman"/>
                <w:color w:val="auto"/>
                <w:kern w:val="2"/>
                <w:sz w:val="24"/>
              </w:rPr>
            </w:pPr>
            <w:r>
              <w:rPr>
                <w:rFonts w:ascii="Times New Roman" w:hAnsi="Times New Roman"/>
                <w:color w:val="auto"/>
                <w:kern w:val="2"/>
                <w:sz w:val="24"/>
              </w:rPr>
              <w:t>本次评价根据《大气有害物质无组织排放卫生防护距离推导技术导则》(GB/T39499-2020)进行卫生防护距离计算。</w:t>
            </w:r>
          </w:p>
          <w:p w14:paraId="13B76778">
            <w:pPr>
              <w:pStyle w:val="42"/>
              <w:spacing w:line="360" w:lineRule="auto"/>
              <w:ind w:firstLine="480" w:firstLineChars="200"/>
              <w:rPr>
                <w:rFonts w:hint="default" w:ascii="Times New Roman" w:hAnsi="Times New Roman"/>
                <w:color w:val="auto"/>
                <w:kern w:val="2"/>
                <w:sz w:val="24"/>
              </w:rPr>
            </w:pPr>
            <w:r>
              <w:rPr>
                <w:rFonts w:cs="宋体"/>
                <w:color w:val="auto"/>
                <w:kern w:val="2"/>
                <w:sz w:val="24"/>
              </w:rPr>
              <w:t>①</w:t>
            </w:r>
            <w:r>
              <w:rPr>
                <w:rFonts w:ascii="Times New Roman" w:hAnsi="Times New Roman"/>
                <w:color w:val="auto"/>
                <w:kern w:val="2"/>
                <w:sz w:val="24"/>
              </w:rPr>
              <w:t>确定计算因子</w:t>
            </w:r>
          </w:p>
          <w:p w14:paraId="26BE7EA8">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项目无组织面源为7#车间和9#车间，因两栋车间距离相近故视为一个无组织面源，</w:t>
            </w:r>
            <w:r>
              <w:rPr>
                <w:rFonts w:hint="eastAsia" w:ascii="Times New Roman" w:hAnsi="Times New Roman"/>
                <w:color w:val="auto"/>
                <w:kern w:val="2"/>
                <w:sz w:val="24"/>
                <w:lang w:eastAsia="zh-CN"/>
              </w:rPr>
              <w:t>涉及的</w:t>
            </w:r>
            <w:r>
              <w:rPr>
                <w:rFonts w:ascii="Times New Roman" w:hAnsi="Times New Roman"/>
                <w:color w:val="auto"/>
                <w:kern w:val="2"/>
                <w:sz w:val="24"/>
              </w:rPr>
              <w:t>污染因子为颗粒物、非甲烷总烃，卫生防护距离计算因子确定结果见表4-</w:t>
            </w:r>
            <w:r>
              <w:rPr>
                <w:rFonts w:hint="eastAsia" w:ascii="Times New Roman" w:hAnsi="Times New Roman"/>
                <w:color w:val="auto"/>
                <w:kern w:val="2"/>
                <w:sz w:val="24"/>
                <w:lang w:val="en-US" w:eastAsia="zh-CN"/>
              </w:rPr>
              <w:t>6</w:t>
            </w:r>
            <w:r>
              <w:rPr>
                <w:rFonts w:ascii="Times New Roman" w:hAnsi="Times New Roman"/>
                <w:color w:val="auto"/>
                <w:kern w:val="2"/>
                <w:sz w:val="24"/>
              </w:rPr>
              <w:t>。</w:t>
            </w:r>
          </w:p>
          <w:p w14:paraId="6A8B2D4C">
            <w:pPr>
              <w:ind w:firstLine="482"/>
              <w:jc w:val="center"/>
              <w:rPr>
                <w:rFonts w:hAnsi="宋体"/>
                <w:color w:val="auto"/>
                <w:sz w:val="24"/>
              </w:rPr>
            </w:pPr>
            <w:r>
              <w:rPr>
                <w:rFonts w:hint="eastAsia"/>
                <w:b/>
                <w:color w:val="auto"/>
                <w:sz w:val="24"/>
              </w:rPr>
              <w:t>表4</w:t>
            </w:r>
            <w:r>
              <w:rPr>
                <w:b/>
                <w:color w:val="auto"/>
                <w:sz w:val="24"/>
              </w:rPr>
              <w:t>-</w:t>
            </w:r>
            <w:r>
              <w:rPr>
                <w:rFonts w:hint="eastAsia"/>
                <w:b/>
                <w:color w:val="auto"/>
                <w:sz w:val="24"/>
                <w:lang w:val="en-US" w:eastAsia="zh-CN"/>
              </w:rPr>
              <w:t>6</w:t>
            </w:r>
            <w:r>
              <w:rPr>
                <w:rFonts w:hint="eastAsia"/>
                <w:b/>
                <w:color w:val="auto"/>
                <w:sz w:val="24"/>
              </w:rPr>
              <w:t>卫生防护距离计算因子确定结果表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1"/>
              <w:gridCol w:w="890"/>
              <w:gridCol w:w="799"/>
              <w:gridCol w:w="968"/>
              <w:gridCol w:w="736"/>
              <w:gridCol w:w="1448"/>
              <w:gridCol w:w="1450"/>
              <w:gridCol w:w="1427"/>
            </w:tblGrid>
            <w:tr w14:paraId="3EF3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71" w:type="dxa"/>
                  <w:vAlign w:val="center"/>
                </w:tcPr>
                <w:p w14:paraId="2B32AA79">
                  <w:pPr>
                    <w:adjustRightInd w:val="0"/>
                    <w:snapToGrid w:val="0"/>
                    <w:jc w:val="center"/>
                    <w:rPr>
                      <w:b/>
                      <w:color w:val="auto"/>
                      <w:szCs w:val="21"/>
                    </w:rPr>
                  </w:pPr>
                  <w:r>
                    <w:rPr>
                      <w:rFonts w:hint="eastAsia"/>
                      <w:b/>
                      <w:color w:val="auto"/>
                      <w:szCs w:val="21"/>
                    </w:rPr>
                    <w:t>面源名称</w:t>
                  </w:r>
                </w:p>
              </w:tc>
              <w:tc>
                <w:tcPr>
                  <w:tcW w:w="890" w:type="dxa"/>
                  <w:vAlign w:val="center"/>
                </w:tcPr>
                <w:p w14:paraId="3389252B">
                  <w:pPr>
                    <w:adjustRightInd w:val="0"/>
                    <w:snapToGrid w:val="0"/>
                    <w:jc w:val="center"/>
                    <w:rPr>
                      <w:b/>
                      <w:color w:val="auto"/>
                      <w:szCs w:val="21"/>
                    </w:rPr>
                  </w:pPr>
                  <w:r>
                    <w:rPr>
                      <w:rFonts w:hint="eastAsia"/>
                      <w:b/>
                      <w:color w:val="auto"/>
                      <w:szCs w:val="21"/>
                    </w:rPr>
                    <w:t>污染物</w:t>
                  </w:r>
                </w:p>
              </w:tc>
              <w:tc>
                <w:tcPr>
                  <w:tcW w:w="799" w:type="dxa"/>
                  <w:vAlign w:val="center"/>
                </w:tcPr>
                <w:p w14:paraId="7931598C">
                  <w:pPr>
                    <w:pStyle w:val="59"/>
                    <w:pBdr>
                      <w:top w:val="none" w:color="auto" w:sz="0" w:space="1"/>
                      <w:left w:val="none" w:color="auto" w:sz="0" w:space="4"/>
                      <w:bottom w:val="none" w:color="auto" w:sz="0" w:space="1"/>
                      <w:right w:val="none" w:color="auto" w:sz="0" w:space="4"/>
                    </w:pBdr>
                    <w:overflowPunct w:val="0"/>
                    <w:topLinePunct/>
                    <w:adjustRightInd w:val="0"/>
                    <w:snapToGrid w:val="0"/>
                    <w:rPr>
                      <w:rFonts w:ascii="Times New Roman" w:hAnsi="Times New Roman" w:eastAsia="宋体" w:cs="Times New Roman"/>
                      <w:b/>
                      <w:color w:val="auto"/>
                      <w:sz w:val="18"/>
                      <w:szCs w:val="18"/>
                    </w:rPr>
                  </w:pPr>
                  <w:r>
                    <w:rPr>
                      <w:rFonts w:hint="eastAsia" w:ascii="Times New Roman" w:hAnsi="Times New Roman" w:eastAsia="宋体" w:cs="Times New Roman"/>
                      <w:b/>
                      <w:color w:val="auto"/>
                      <w:szCs w:val="21"/>
                    </w:rPr>
                    <w:t>Qc</w:t>
                  </w:r>
                </w:p>
              </w:tc>
              <w:tc>
                <w:tcPr>
                  <w:tcW w:w="968" w:type="dxa"/>
                  <w:vAlign w:val="center"/>
                </w:tcPr>
                <w:p w14:paraId="752E43EC">
                  <w:pPr>
                    <w:pStyle w:val="59"/>
                    <w:pBdr>
                      <w:top w:val="none" w:color="auto" w:sz="0" w:space="1"/>
                      <w:left w:val="none" w:color="auto" w:sz="0" w:space="4"/>
                      <w:bottom w:val="none" w:color="auto" w:sz="0" w:space="1"/>
                      <w:right w:val="none" w:color="auto" w:sz="0" w:space="4"/>
                    </w:pBdr>
                    <w:overflowPunct w:val="0"/>
                    <w:topLinePunct/>
                    <w:adjustRightInd w:val="0"/>
                    <w:snapToGrid w:val="0"/>
                    <w:rPr>
                      <w:rFonts w:ascii="Times New Roman" w:hAnsi="Times New Roman" w:eastAsia="宋体" w:cs="Times New Roman"/>
                      <w:b/>
                      <w:color w:val="auto"/>
                      <w:szCs w:val="21"/>
                    </w:rPr>
                  </w:pPr>
                  <w:r>
                    <w:rPr>
                      <w:rFonts w:ascii="Times New Roman" w:hAnsi="Times New Roman" w:eastAsia="宋体" w:cs="Times New Roman"/>
                      <w:b/>
                      <w:color w:val="auto"/>
                      <w:szCs w:val="21"/>
                    </w:rPr>
                    <w:t>C</w:t>
                  </w:r>
                  <w:r>
                    <w:rPr>
                      <w:rFonts w:hint="eastAsia" w:ascii="Times New Roman" w:hAnsi="Times New Roman" w:eastAsia="宋体" w:cs="Times New Roman"/>
                      <w:b/>
                      <w:color w:val="auto"/>
                      <w:szCs w:val="21"/>
                      <w:vertAlign w:val="subscript"/>
                    </w:rPr>
                    <w:t>m</w:t>
                  </w:r>
                </w:p>
              </w:tc>
              <w:tc>
                <w:tcPr>
                  <w:tcW w:w="736" w:type="dxa"/>
                  <w:vAlign w:val="center"/>
                </w:tcPr>
                <w:p w14:paraId="1BD618AA">
                  <w:pPr>
                    <w:pStyle w:val="59"/>
                    <w:pBdr>
                      <w:top w:val="none" w:color="auto" w:sz="0" w:space="1"/>
                      <w:left w:val="none" w:color="auto" w:sz="0" w:space="4"/>
                      <w:bottom w:val="none" w:color="auto" w:sz="0" w:space="1"/>
                      <w:right w:val="none" w:color="auto" w:sz="0" w:space="4"/>
                    </w:pBdr>
                    <w:overflowPunct w:val="0"/>
                    <w:topLinePunct/>
                    <w:adjustRightInd w:val="0"/>
                    <w:snapToGrid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Qc/</w:t>
                  </w:r>
                  <w:r>
                    <w:rPr>
                      <w:rFonts w:ascii="Times New Roman" w:hAnsi="Times New Roman" w:eastAsia="宋体" w:cs="Times New Roman"/>
                      <w:b/>
                      <w:color w:val="auto"/>
                      <w:szCs w:val="21"/>
                    </w:rPr>
                    <w:t>C</w:t>
                  </w:r>
                  <w:r>
                    <w:rPr>
                      <w:rFonts w:hint="eastAsia" w:ascii="Times New Roman" w:hAnsi="Times New Roman" w:eastAsia="宋体" w:cs="Times New Roman"/>
                      <w:b/>
                      <w:color w:val="auto"/>
                      <w:szCs w:val="21"/>
                      <w:vertAlign w:val="subscript"/>
                    </w:rPr>
                    <w:t>m</w:t>
                  </w:r>
                </w:p>
              </w:tc>
              <w:tc>
                <w:tcPr>
                  <w:tcW w:w="1448" w:type="dxa"/>
                  <w:vAlign w:val="center"/>
                </w:tcPr>
                <w:p w14:paraId="6063163B">
                  <w:pPr>
                    <w:adjustRightInd w:val="0"/>
                    <w:snapToGrid w:val="0"/>
                    <w:jc w:val="center"/>
                    <w:rPr>
                      <w:b/>
                      <w:color w:val="auto"/>
                      <w:szCs w:val="21"/>
                    </w:rPr>
                  </w:pPr>
                  <w:r>
                    <w:rPr>
                      <w:rFonts w:hint="eastAsia"/>
                      <w:b/>
                      <w:color w:val="auto"/>
                      <w:szCs w:val="21"/>
                    </w:rPr>
                    <w:t>是否为初</w:t>
                  </w:r>
                </w:p>
                <w:p w14:paraId="1294D96C">
                  <w:pPr>
                    <w:adjustRightInd w:val="0"/>
                    <w:snapToGrid w:val="0"/>
                    <w:jc w:val="center"/>
                    <w:rPr>
                      <w:b/>
                      <w:color w:val="auto"/>
                      <w:szCs w:val="21"/>
                    </w:rPr>
                  </w:pPr>
                  <w:r>
                    <w:rPr>
                      <w:rFonts w:hint="eastAsia"/>
                      <w:b/>
                      <w:color w:val="auto"/>
                      <w:szCs w:val="21"/>
                    </w:rPr>
                    <w:t>选因子</w:t>
                  </w:r>
                </w:p>
              </w:tc>
              <w:tc>
                <w:tcPr>
                  <w:tcW w:w="1450" w:type="dxa"/>
                  <w:vAlign w:val="center"/>
                </w:tcPr>
                <w:p w14:paraId="018A986B">
                  <w:pPr>
                    <w:adjustRightInd w:val="0"/>
                    <w:snapToGrid w:val="0"/>
                    <w:jc w:val="center"/>
                    <w:rPr>
                      <w:b/>
                      <w:color w:val="auto"/>
                      <w:szCs w:val="21"/>
                    </w:rPr>
                  </w:pPr>
                  <w:r>
                    <w:rPr>
                      <w:rFonts w:hint="eastAsia"/>
                      <w:b/>
                      <w:color w:val="auto"/>
                      <w:szCs w:val="21"/>
                    </w:rPr>
                    <w:t>等标排放量差值占比（%）</w:t>
                  </w:r>
                </w:p>
              </w:tc>
              <w:tc>
                <w:tcPr>
                  <w:tcW w:w="1427" w:type="dxa"/>
                  <w:vAlign w:val="center"/>
                </w:tcPr>
                <w:p w14:paraId="40D35B69">
                  <w:pPr>
                    <w:adjustRightInd w:val="0"/>
                    <w:snapToGrid w:val="0"/>
                    <w:jc w:val="center"/>
                    <w:rPr>
                      <w:b/>
                      <w:color w:val="auto"/>
                      <w:szCs w:val="21"/>
                    </w:rPr>
                  </w:pPr>
                  <w:r>
                    <w:rPr>
                      <w:rFonts w:hint="eastAsia"/>
                      <w:b/>
                      <w:color w:val="auto"/>
                      <w:szCs w:val="21"/>
                    </w:rPr>
                    <w:t>是否为最终计算因子</w:t>
                  </w:r>
                </w:p>
              </w:tc>
            </w:tr>
            <w:tr w14:paraId="47D8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trPr>
              <w:tc>
                <w:tcPr>
                  <w:tcW w:w="771" w:type="dxa"/>
                  <w:vMerge w:val="restart"/>
                  <w:vAlign w:val="center"/>
                </w:tcPr>
                <w:p w14:paraId="727D99BD">
                  <w:pPr>
                    <w:adjustRightInd w:val="0"/>
                    <w:snapToGrid w:val="0"/>
                    <w:jc w:val="center"/>
                    <w:rPr>
                      <w:color w:val="auto"/>
                      <w:szCs w:val="21"/>
                    </w:rPr>
                  </w:pPr>
                  <w:r>
                    <w:rPr>
                      <w:rFonts w:hint="eastAsia"/>
                      <w:color w:val="auto"/>
                      <w:szCs w:val="21"/>
                    </w:rPr>
                    <w:t>7#车间和</w:t>
                  </w:r>
                </w:p>
                <w:p w14:paraId="2F0D5344">
                  <w:pPr>
                    <w:adjustRightInd w:val="0"/>
                    <w:snapToGrid w:val="0"/>
                    <w:jc w:val="center"/>
                    <w:rPr>
                      <w:color w:val="auto"/>
                      <w:szCs w:val="21"/>
                    </w:rPr>
                  </w:pPr>
                  <w:r>
                    <w:rPr>
                      <w:rFonts w:hint="eastAsia"/>
                      <w:color w:val="auto"/>
                      <w:szCs w:val="21"/>
                    </w:rPr>
                    <w:t>9#车间</w:t>
                  </w:r>
                </w:p>
              </w:tc>
              <w:tc>
                <w:tcPr>
                  <w:tcW w:w="890" w:type="dxa"/>
                  <w:shd w:val="clear" w:color="auto" w:fill="auto"/>
                  <w:vAlign w:val="center"/>
                </w:tcPr>
                <w:p w14:paraId="49949A61">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非甲烷总烃</w:t>
                  </w:r>
                </w:p>
              </w:tc>
              <w:tc>
                <w:tcPr>
                  <w:tcW w:w="799" w:type="dxa"/>
                  <w:shd w:val="clear" w:color="auto" w:fill="auto"/>
                  <w:vAlign w:val="center"/>
                </w:tcPr>
                <w:p w14:paraId="377E5029">
                  <w:pPr>
                    <w:widowControl/>
                    <w:jc w:val="center"/>
                    <w:textAlignment w:val="center"/>
                    <w:rPr>
                      <w:color w:val="auto"/>
                    </w:rPr>
                  </w:pPr>
                  <w:r>
                    <w:rPr>
                      <w:rFonts w:hint="eastAsia"/>
                      <w:color w:val="auto"/>
                    </w:rPr>
                    <w:t>0.039</w:t>
                  </w:r>
                </w:p>
              </w:tc>
              <w:tc>
                <w:tcPr>
                  <w:tcW w:w="968" w:type="dxa"/>
                  <w:shd w:val="clear" w:color="auto" w:fill="auto"/>
                  <w:vAlign w:val="center"/>
                </w:tcPr>
                <w:p w14:paraId="52800C7D">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2.0</w:t>
                  </w:r>
                </w:p>
              </w:tc>
              <w:tc>
                <w:tcPr>
                  <w:tcW w:w="736" w:type="dxa"/>
                  <w:shd w:val="clear" w:color="auto" w:fill="auto"/>
                  <w:vAlign w:val="center"/>
                </w:tcPr>
                <w:p w14:paraId="6D89685C">
                  <w:pPr>
                    <w:widowControl/>
                    <w:jc w:val="center"/>
                    <w:textAlignment w:val="center"/>
                    <w:rPr>
                      <w:color w:val="auto"/>
                    </w:rPr>
                  </w:pPr>
                  <w:r>
                    <w:rPr>
                      <w:color w:val="auto"/>
                      <w:kern w:val="0"/>
                      <w:sz w:val="22"/>
                      <w:szCs w:val="22"/>
                      <w:lang w:bidi="ar"/>
                    </w:rPr>
                    <w:t>0.009</w:t>
                  </w:r>
                </w:p>
              </w:tc>
              <w:tc>
                <w:tcPr>
                  <w:tcW w:w="1448" w:type="dxa"/>
                  <w:shd w:val="clear" w:color="auto" w:fill="auto"/>
                  <w:vAlign w:val="center"/>
                </w:tcPr>
                <w:p w14:paraId="3C65569F">
                  <w:pPr>
                    <w:adjustRightInd w:val="0"/>
                    <w:snapToGrid w:val="0"/>
                    <w:jc w:val="center"/>
                    <w:rPr>
                      <w:color w:val="auto"/>
                      <w:szCs w:val="21"/>
                    </w:rPr>
                  </w:pPr>
                  <w:r>
                    <w:rPr>
                      <w:rFonts w:hint="eastAsia"/>
                      <w:color w:val="auto"/>
                      <w:szCs w:val="21"/>
                    </w:rPr>
                    <w:t>是</w:t>
                  </w:r>
                </w:p>
              </w:tc>
              <w:tc>
                <w:tcPr>
                  <w:tcW w:w="1450" w:type="dxa"/>
                  <w:vMerge w:val="restart"/>
                  <w:vAlign w:val="center"/>
                </w:tcPr>
                <w:p w14:paraId="096ED12F">
                  <w:pPr>
                    <w:adjustRightInd w:val="0"/>
                    <w:snapToGrid w:val="0"/>
                    <w:jc w:val="center"/>
                    <w:rPr>
                      <w:bCs/>
                      <w:color w:val="auto"/>
                      <w:kern w:val="0"/>
                      <w:sz w:val="20"/>
                      <w:szCs w:val="20"/>
                    </w:rPr>
                  </w:pPr>
                  <w:r>
                    <w:rPr>
                      <w:rFonts w:hint="eastAsia"/>
                      <w:bCs/>
                      <w:color w:val="auto"/>
                      <w:kern w:val="0"/>
                      <w:sz w:val="20"/>
                      <w:szCs w:val="20"/>
                      <w:lang w:val="en-US" w:eastAsia="zh-CN"/>
                    </w:rPr>
                    <w:t>93.43</w:t>
                  </w:r>
                  <w:r>
                    <w:rPr>
                      <w:bCs/>
                      <w:color w:val="auto"/>
                      <w:kern w:val="0"/>
                      <w:sz w:val="20"/>
                      <w:szCs w:val="20"/>
                    </w:rPr>
                    <w:t>%</w:t>
                  </w:r>
                </w:p>
                <w:p w14:paraId="1093FA3F">
                  <w:pPr>
                    <w:adjustRightInd w:val="0"/>
                    <w:snapToGrid w:val="0"/>
                    <w:jc w:val="center"/>
                    <w:rPr>
                      <w:color w:val="auto"/>
                      <w:szCs w:val="21"/>
                    </w:rPr>
                  </w:pPr>
                  <w:r>
                    <w:rPr>
                      <w:rFonts w:hint="eastAsia" w:ascii="宋体" w:hAnsi="宋体" w:eastAsia="宋体" w:cs="宋体"/>
                      <w:bCs/>
                      <w:color w:val="auto"/>
                      <w:kern w:val="0"/>
                    </w:rPr>
                    <w:t>＞</w:t>
                  </w:r>
                  <w:r>
                    <w:rPr>
                      <w:bCs/>
                      <w:color w:val="auto"/>
                      <w:kern w:val="0"/>
                    </w:rPr>
                    <w:t>10%</w:t>
                  </w:r>
                </w:p>
              </w:tc>
              <w:tc>
                <w:tcPr>
                  <w:tcW w:w="1427" w:type="dxa"/>
                  <w:vAlign w:val="center"/>
                </w:tcPr>
                <w:p w14:paraId="07C37FAA">
                  <w:pPr>
                    <w:adjustRightInd w:val="0"/>
                    <w:snapToGrid w:val="0"/>
                    <w:jc w:val="center"/>
                    <w:rPr>
                      <w:rFonts w:hint="eastAsia" w:eastAsia="宋体"/>
                      <w:color w:val="auto"/>
                      <w:szCs w:val="21"/>
                      <w:lang w:eastAsia="zh-CN"/>
                    </w:rPr>
                  </w:pPr>
                  <w:r>
                    <w:rPr>
                      <w:rFonts w:hint="eastAsia"/>
                      <w:color w:val="auto"/>
                      <w:szCs w:val="21"/>
                      <w:lang w:val="en-US" w:eastAsia="zh-CN"/>
                    </w:rPr>
                    <w:t>否</w:t>
                  </w:r>
                </w:p>
              </w:tc>
            </w:tr>
            <w:tr w14:paraId="06D3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trPr>
              <w:tc>
                <w:tcPr>
                  <w:tcW w:w="771" w:type="dxa"/>
                  <w:vMerge w:val="continue"/>
                  <w:vAlign w:val="center"/>
                </w:tcPr>
                <w:p w14:paraId="34A06C00">
                  <w:pPr>
                    <w:adjustRightInd w:val="0"/>
                    <w:snapToGrid w:val="0"/>
                    <w:jc w:val="center"/>
                    <w:rPr>
                      <w:color w:val="auto"/>
                      <w:szCs w:val="21"/>
                    </w:rPr>
                  </w:pPr>
                </w:p>
              </w:tc>
              <w:tc>
                <w:tcPr>
                  <w:tcW w:w="890" w:type="dxa"/>
                  <w:shd w:val="clear" w:color="auto" w:fill="auto"/>
                  <w:vAlign w:val="center"/>
                </w:tcPr>
                <w:p w14:paraId="490E9781">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颗粒物</w:t>
                  </w:r>
                </w:p>
              </w:tc>
              <w:tc>
                <w:tcPr>
                  <w:tcW w:w="799" w:type="dxa"/>
                  <w:vAlign w:val="center"/>
                </w:tcPr>
                <w:p w14:paraId="6A276D83">
                  <w:pPr>
                    <w:widowControl/>
                    <w:jc w:val="center"/>
                    <w:textAlignment w:val="center"/>
                    <w:rPr>
                      <w:rFonts w:hint="default" w:eastAsia="宋体"/>
                      <w:color w:val="auto"/>
                      <w:lang w:val="en-US" w:eastAsia="zh-CN"/>
                    </w:rPr>
                  </w:pPr>
                  <w:r>
                    <w:rPr>
                      <w:color w:val="auto"/>
                      <w:kern w:val="0"/>
                      <w:szCs w:val="21"/>
                      <w:lang w:bidi="ar"/>
                    </w:rPr>
                    <w:t>0.</w:t>
                  </w:r>
                  <w:r>
                    <w:rPr>
                      <w:rFonts w:hint="eastAsia"/>
                      <w:color w:val="auto"/>
                      <w:kern w:val="0"/>
                      <w:szCs w:val="21"/>
                      <w:lang w:val="en-US" w:eastAsia="zh-CN" w:bidi="ar"/>
                    </w:rPr>
                    <w:t>267</w:t>
                  </w:r>
                </w:p>
              </w:tc>
              <w:tc>
                <w:tcPr>
                  <w:tcW w:w="968" w:type="dxa"/>
                  <w:shd w:val="clear" w:color="auto" w:fill="auto"/>
                  <w:vAlign w:val="center"/>
                </w:tcPr>
                <w:p w14:paraId="6C936D2F">
                  <w:pPr>
                    <w:pStyle w:val="59"/>
                    <w:overflowPunct w:val="0"/>
                    <w:topLinePunct/>
                    <w:rPr>
                      <w:rFonts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0.9</w:t>
                  </w:r>
                </w:p>
              </w:tc>
              <w:tc>
                <w:tcPr>
                  <w:tcW w:w="736" w:type="dxa"/>
                  <w:vAlign w:val="center"/>
                </w:tcPr>
                <w:p w14:paraId="37DA19AC">
                  <w:pPr>
                    <w:widowControl/>
                    <w:jc w:val="center"/>
                    <w:textAlignment w:val="center"/>
                    <w:rPr>
                      <w:rFonts w:hint="default" w:eastAsia="宋体"/>
                      <w:color w:val="auto"/>
                      <w:lang w:val="en-US" w:eastAsia="zh-CN"/>
                    </w:rPr>
                  </w:pPr>
                  <w:r>
                    <w:rPr>
                      <w:color w:val="auto"/>
                      <w:kern w:val="0"/>
                      <w:sz w:val="22"/>
                      <w:szCs w:val="22"/>
                      <w:lang w:bidi="ar"/>
                    </w:rPr>
                    <w:t>0.</w:t>
                  </w:r>
                  <w:r>
                    <w:rPr>
                      <w:rFonts w:hint="eastAsia"/>
                      <w:color w:val="auto"/>
                      <w:kern w:val="0"/>
                      <w:sz w:val="22"/>
                      <w:szCs w:val="22"/>
                      <w:lang w:val="en-US" w:eastAsia="zh-CN" w:bidi="ar"/>
                    </w:rPr>
                    <w:t>297</w:t>
                  </w:r>
                </w:p>
              </w:tc>
              <w:tc>
                <w:tcPr>
                  <w:tcW w:w="1448" w:type="dxa"/>
                  <w:vAlign w:val="center"/>
                </w:tcPr>
                <w:p w14:paraId="0918FFFF">
                  <w:pPr>
                    <w:adjustRightInd w:val="0"/>
                    <w:snapToGrid w:val="0"/>
                    <w:jc w:val="center"/>
                    <w:rPr>
                      <w:color w:val="auto"/>
                      <w:szCs w:val="21"/>
                    </w:rPr>
                  </w:pPr>
                  <w:r>
                    <w:rPr>
                      <w:rFonts w:hint="eastAsia"/>
                      <w:color w:val="auto"/>
                      <w:szCs w:val="21"/>
                    </w:rPr>
                    <w:t>是</w:t>
                  </w:r>
                </w:p>
              </w:tc>
              <w:tc>
                <w:tcPr>
                  <w:tcW w:w="1450" w:type="dxa"/>
                  <w:vMerge w:val="continue"/>
                  <w:vAlign w:val="center"/>
                </w:tcPr>
                <w:p w14:paraId="6D4EF442">
                  <w:pPr>
                    <w:adjustRightInd w:val="0"/>
                    <w:snapToGrid w:val="0"/>
                    <w:jc w:val="center"/>
                    <w:rPr>
                      <w:color w:val="auto"/>
                      <w:szCs w:val="21"/>
                    </w:rPr>
                  </w:pPr>
                </w:p>
              </w:tc>
              <w:tc>
                <w:tcPr>
                  <w:tcW w:w="1427" w:type="dxa"/>
                  <w:vAlign w:val="center"/>
                </w:tcPr>
                <w:p w14:paraId="168F99D9">
                  <w:pPr>
                    <w:adjustRightInd w:val="0"/>
                    <w:snapToGrid w:val="0"/>
                    <w:jc w:val="center"/>
                    <w:rPr>
                      <w:color w:val="auto"/>
                      <w:szCs w:val="21"/>
                    </w:rPr>
                  </w:pPr>
                  <w:r>
                    <w:rPr>
                      <w:rFonts w:hint="eastAsia"/>
                      <w:color w:val="auto"/>
                      <w:szCs w:val="21"/>
                    </w:rPr>
                    <w:t>是</w:t>
                  </w:r>
                </w:p>
              </w:tc>
            </w:tr>
          </w:tbl>
          <w:p w14:paraId="7B2B495A">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由上表可知，本次评价选择7#车间和9#车间选用颗粒物进行卫生防护距离计算。</w:t>
            </w:r>
          </w:p>
          <w:p w14:paraId="2D25AF32">
            <w:pPr>
              <w:pStyle w:val="42"/>
              <w:spacing w:line="360" w:lineRule="auto"/>
              <w:ind w:firstLine="480" w:firstLineChars="200"/>
              <w:rPr>
                <w:rFonts w:hint="default" w:ascii="Times New Roman" w:hAnsi="Times New Roman"/>
                <w:color w:val="auto"/>
                <w:kern w:val="2"/>
                <w:sz w:val="24"/>
              </w:rPr>
            </w:pPr>
            <w:r>
              <w:rPr>
                <w:rFonts w:cs="宋体"/>
                <w:color w:val="auto"/>
                <w:kern w:val="2"/>
                <w:sz w:val="24"/>
              </w:rPr>
              <w:t>②</w:t>
            </w:r>
            <w:r>
              <w:rPr>
                <w:rFonts w:ascii="Times New Roman" w:hAnsi="Times New Roman"/>
                <w:color w:val="auto"/>
                <w:kern w:val="2"/>
                <w:sz w:val="24"/>
              </w:rPr>
              <w:t>卫生防护距离计算</w:t>
            </w:r>
          </w:p>
          <w:p w14:paraId="51D78C04">
            <w:pPr>
              <w:pStyle w:val="42"/>
              <w:spacing w:line="360" w:lineRule="auto"/>
              <w:ind w:firstLine="480" w:firstLineChars="200"/>
              <w:jc w:val="both"/>
              <w:rPr>
                <w:rFonts w:hint="default" w:ascii="Times New Roman" w:hAnsi="Times New Roman"/>
                <w:color w:val="auto"/>
                <w:kern w:val="2"/>
                <w:sz w:val="24"/>
              </w:rPr>
            </w:pPr>
            <w:r>
              <w:rPr>
                <w:rFonts w:ascii="Times New Roman" w:hAnsi="Times New Roman"/>
                <w:color w:val="auto"/>
                <w:kern w:val="2"/>
                <w:sz w:val="24"/>
              </w:rPr>
              <w:t>根据《大气有害物质无组织排放卫生防护距离推导技术导则》(GB/T39499-2020)，卫生防护距离初值计算公式如下：</w:t>
            </w:r>
          </w:p>
          <w:p w14:paraId="6D77E335">
            <w:pPr>
              <w:pStyle w:val="42"/>
              <w:spacing w:line="360" w:lineRule="auto"/>
              <w:ind w:firstLine="480" w:firstLineChars="200"/>
              <w:jc w:val="center"/>
              <w:rPr>
                <w:rFonts w:hint="default" w:ascii="Times New Roman" w:hAnsi="Times New Roman"/>
                <w:color w:val="auto"/>
                <w:kern w:val="2"/>
                <w:sz w:val="24"/>
              </w:rPr>
            </w:pPr>
            <w:r>
              <w:rPr>
                <w:rFonts w:ascii="Times New Roman" w:hAnsi="Times New Roman"/>
                <w:color w:val="auto"/>
                <w:kern w:val="2"/>
                <w:sz w:val="24"/>
              </w:rPr>
              <w:drawing>
                <wp:inline distT="0" distB="0" distL="114300" distR="114300">
                  <wp:extent cx="1819275" cy="428625"/>
                  <wp:effectExtent l="0" t="0" r="9525" b="8890"/>
                  <wp:docPr id="5" name="图片 77" descr="C:\Users\ADMINI~1\AppData\Local\Temp\ksohtml\wpsFCA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7" descr="C:\Users\ADMINI~1\AppData\Local\Temp\ksohtml\wpsFCA8.tmp.png"/>
                          <pic:cNvPicPr>
                            <a:picLocks noChangeAspect="1"/>
                          </pic:cNvPicPr>
                        </pic:nvPicPr>
                        <pic:blipFill>
                          <a:blip r:embed="rId29"/>
                          <a:stretch>
                            <a:fillRect/>
                          </a:stretch>
                        </pic:blipFill>
                        <pic:spPr>
                          <a:xfrm>
                            <a:off x="0" y="0"/>
                            <a:ext cx="1819275" cy="428625"/>
                          </a:xfrm>
                          <a:prstGeom prst="rect">
                            <a:avLst/>
                          </a:prstGeom>
                          <a:noFill/>
                          <a:ln>
                            <a:noFill/>
                          </a:ln>
                        </pic:spPr>
                      </pic:pic>
                    </a:graphicData>
                  </a:graphic>
                </wp:inline>
              </w:drawing>
            </w:r>
          </w:p>
          <w:p w14:paraId="53856069">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式中：Cm—大气有害物质环境空气质量的标准限值，mg/m</w:t>
            </w:r>
            <w:r>
              <w:rPr>
                <w:rFonts w:ascii="Times New Roman" w:hAnsi="Times New Roman"/>
                <w:color w:val="auto"/>
                <w:kern w:val="2"/>
                <w:sz w:val="24"/>
                <w:vertAlign w:val="superscript"/>
              </w:rPr>
              <w:t>3</w:t>
            </w:r>
            <w:r>
              <w:rPr>
                <w:rFonts w:ascii="Times New Roman" w:hAnsi="Times New Roman"/>
                <w:color w:val="auto"/>
                <w:kern w:val="2"/>
                <w:sz w:val="24"/>
              </w:rPr>
              <w:t>；</w:t>
            </w:r>
          </w:p>
          <w:p w14:paraId="797689BB">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L—大气有害物质卫生防护距离初值，m；</w:t>
            </w:r>
          </w:p>
          <w:p w14:paraId="2B79DF2C">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r—大气有害物质无组织排放源所在生产单元的等效半径，m；</w:t>
            </w:r>
          </w:p>
          <w:p w14:paraId="4E17797F">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A、B、C、D—卫生防护距离计算系数，从GB/T39499-2020中查取；</w:t>
            </w:r>
          </w:p>
          <w:p w14:paraId="1957F90F">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Qc—大气有害物质的无组织排放量，kg/h。</w:t>
            </w:r>
          </w:p>
          <w:p w14:paraId="3848EABA">
            <w:pPr>
              <w:topLinePunct/>
              <w:snapToGrid w:val="0"/>
              <w:ind w:firstLine="1205" w:firstLineChars="500"/>
              <w:jc w:val="center"/>
              <w:rPr>
                <w:b/>
                <w:bCs/>
                <w:color w:val="auto"/>
                <w:kern w:val="0"/>
                <w:sz w:val="24"/>
              </w:rPr>
            </w:pPr>
            <w:r>
              <w:rPr>
                <w:rFonts w:hint="eastAsia"/>
                <w:b/>
                <w:bCs/>
                <w:color w:val="auto"/>
                <w:kern w:val="0"/>
                <w:sz w:val="24"/>
              </w:rPr>
              <w:t>表4-</w:t>
            </w:r>
            <w:r>
              <w:rPr>
                <w:rFonts w:hint="eastAsia"/>
                <w:b/>
                <w:bCs/>
                <w:color w:val="auto"/>
                <w:kern w:val="0"/>
                <w:sz w:val="24"/>
                <w:lang w:val="en-US" w:eastAsia="zh-CN"/>
              </w:rPr>
              <w:t>7</w:t>
            </w:r>
            <w:r>
              <w:rPr>
                <w:rFonts w:hint="eastAsia"/>
                <w:b/>
                <w:bCs/>
                <w:color w:val="auto"/>
                <w:kern w:val="0"/>
                <w:sz w:val="24"/>
              </w:rPr>
              <w:t>卫生防护距离初值计算系数</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116"/>
              <w:gridCol w:w="712"/>
              <w:gridCol w:w="712"/>
              <w:gridCol w:w="714"/>
              <w:gridCol w:w="710"/>
              <w:gridCol w:w="712"/>
              <w:gridCol w:w="717"/>
              <w:gridCol w:w="713"/>
              <w:gridCol w:w="713"/>
              <w:gridCol w:w="719"/>
            </w:tblGrid>
            <w:tr w14:paraId="4BA9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Merge w:val="restart"/>
                  <w:vAlign w:val="center"/>
                </w:tcPr>
                <w:p w14:paraId="31AB8D1D">
                  <w:pPr>
                    <w:topLinePunct/>
                    <w:snapToGrid w:val="0"/>
                    <w:jc w:val="center"/>
                    <w:rPr>
                      <w:b/>
                      <w:bCs/>
                      <w:color w:val="auto"/>
                      <w:kern w:val="0"/>
                      <w:szCs w:val="21"/>
                    </w:rPr>
                  </w:pPr>
                  <w:r>
                    <w:rPr>
                      <w:b/>
                      <w:bCs/>
                      <w:color w:val="auto"/>
                      <w:kern w:val="0"/>
                      <w:szCs w:val="21"/>
                    </w:rPr>
                    <w:t>卫生防护距离初值计算系数</w:t>
                  </w:r>
                </w:p>
              </w:tc>
              <w:tc>
                <w:tcPr>
                  <w:tcW w:w="1108" w:type="dxa"/>
                  <w:vMerge w:val="restart"/>
                  <w:vAlign w:val="center"/>
                </w:tcPr>
                <w:p w14:paraId="27405D0A">
                  <w:pPr>
                    <w:topLinePunct/>
                    <w:snapToGrid w:val="0"/>
                    <w:rPr>
                      <w:b/>
                      <w:bCs/>
                      <w:color w:val="auto"/>
                      <w:kern w:val="0"/>
                      <w:szCs w:val="21"/>
                    </w:rPr>
                  </w:pPr>
                  <w:r>
                    <w:rPr>
                      <w:b/>
                      <w:bCs/>
                      <w:color w:val="auto"/>
                      <w:kern w:val="0"/>
                      <w:szCs w:val="21"/>
                    </w:rPr>
                    <w:t>工业企业所在地区近5年平均风速/(m/s)</w:t>
                  </w:r>
                </w:p>
              </w:tc>
              <w:tc>
                <w:tcPr>
                  <w:tcW w:w="6369" w:type="dxa"/>
                  <w:gridSpan w:val="9"/>
                  <w:vAlign w:val="center"/>
                </w:tcPr>
                <w:p w14:paraId="5666A3E4">
                  <w:pPr>
                    <w:topLinePunct/>
                    <w:snapToGrid w:val="0"/>
                    <w:jc w:val="center"/>
                    <w:rPr>
                      <w:b/>
                      <w:bCs/>
                      <w:color w:val="auto"/>
                      <w:kern w:val="0"/>
                      <w:szCs w:val="21"/>
                    </w:rPr>
                  </w:pPr>
                  <w:r>
                    <w:rPr>
                      <w:b/>
                      <w:bCs/>
                      <w:color w:val="auto"/>
                      <w:kern w:val="0"/>
                      <w:szCs w:val="21"/>
                    </w:rPr>
                    <w:t>卫生防护距离L/m</w:t>
                  </w:r>
                </w:p>
              </w:tc>
            </w:tr>
            <w:tr w14:paraId="409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Merge w:val="continue"/>
                  <w:vAlign w:val="center"/>
                </w:tcPr>
                <w:p w14:paraId="55EC0CEF">
                  <w:pPr>
                    <w:topLinePunct/>
                    <w:snapToGrid w:val="0"/>
                    <w:jc w:val="center"/>
                    <w:rPr>
                      <w:b/>
                      <w:bCs/>
                      <w:color w:val="auto"/>
                      <w:kern w:val="0"/>
                      <w:szCs w:val="21"/>
                    </w:rPr>
                  </w:pPr>
                </w:p>
              </w:tc>
              <w:tc>
                <w:tcPr>
                  <w:tcW w:w="1108" w:type="dxa"/>
                  <w:vMerge w:val="continue"/>
                  <w:vAlign w:val="center"/>
                </w:tcPr>
                <w:p w14:paraId="1BF74366">
                  <w:pPr>
                    <w:topLinePunct/>
                    <w:snapToGrid w:val="0"/>
                    <w:jc w:val="center"/>
                    <w:rPr>
                      <w:b/>
                      <w:bCs/>
                      <w:color w:val="auto"/>
                      <w:kern w:val="0"/>
                      <w:szCs w:val="21"/>
                    </w:rPr>
                  </w:pPr>
                </w:p>
              </w:tc>
              <w:tc>
                <w:tcPr>
                  <w:tcW w:w="2123" w:type="dxa"/>
                  <w:gridSpan w:val="3"/>
                  <w:vAlign w:val="center"/>
                </w:tcPr>
                <w:p w14:paraId="7F5B9081">
                  <w:pPr>
                    <w:topLinePunct/>
                    <w:snapToGrid w:val="0"/>
                    <w:jc w:val="center"/>
                    <w:rPr>
                      <w:b/>
                      <w:bCs/>
                      <w:color w:val="auto"/>
                      <w:kern w:val="0"/>
                      <w:szCs w:val="21"/>
                    </w:rPr>
                  </w:pPr>
                  <w:r>
                    <w:rPr>
                      <w:b/>
                      <w:bCs/>
                      <w:color w:val="auto"/>
                      <w:kern w:val="0"/>
                      <w:szCs w:val="21"/>
                    </w:rPr>
                    <w:t>L≤1000</w:t>
                  </w:r>
                </w:p>
              </w:tc>
              <w:tc>
                <w:tcPr>
                  <w:tcW w:w="2123" w:type="dxa"/>
                  <w:gridSpan w:val="3"/>
                  <w:vAlign w:val="center"/>
                </w:tcPr>
                <w:p w14:paraId="70EB9A6C">
                  <w:pPr>
                    <w:topLinePunct/>
                    <w:snapToGrid w:val="0"/>
                    <w:jc w:val="center"/>
                    <w:rPr>
                      <w:b/>
                      <w:bCs/>
                      <w:color w:val="auto"/>
                      <w:kern w:val="0"/>
                      <w:szCs w:val="21"/>
                    </w:rPr>
                  </w:pPr>
                  <w:r>
                    <w:rPr>
                      <w:b/>
                      <w:bCs/>
                      <w:color w:val="auto"/>
                      <w:kern w:val="0"/>
                      <w:szCs w:val="21"/>
                    </w:rPr>
                    <w:t>1000＜L≤2000</w:t>
                  </w:r>
                </w:p>
              </w:tc>
              <w:tc>
                <w:tcPr>
                  <w:tcW w:w="2123" w:type="dxa"/>
                  <w:gridSpan w:val="3"/>
                  <w:vAlign w:val="center"/>
                </w:tcPr>
                <w:p w14:paraId="6399C33D">
                  <w:pPr>
                    <w:topLinePunct/>
                    <w:snapToGrid w:val="0"/>
                    <w:jc w:val="center"/>
                    <w:rPr>
                      <w:b/>
                      <w:bCs/>
                      <w:color w:val="auto"/>
                      <w:kern w:val="0"/>
                      <w:szCs w:val="21"/>
                    </w:rPr>
                  </w:pPr>
                  <w:r>
                    <w:rPr>
                      <w:b/>
                      <w:bCs/>
                      <w:color w:val="auto"/>
                      <w:kern w:val="0"/>
                      <w:szCs w:val="21"/>
                    </w:rPr>
                    <w:t>L＞2000</w:t>
                  </w:r>
                </w:p>
              </w:tc>
            </w:tr>
            <w:tr w14:paraId="3880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Merge w:val="continue"/>
                  <w:vAlign w:val="center"/>
                </w:tcPr>
                <w:p w14:paraId="5D21C4A7">
                  <w:pPr>
                    <w:topLinePunct/>
                    <w:snapToGrid w:val="0"/>
                    <w:jc w:val="center"/>
                    <w:rPr>
                      <w:b/>
                      <w:bCs/>
                      <w:color w:val="auto"/>
                      <w:kern w:val="0"/>
                      <w:szCs w:val="21"/>
                    </w:rPr>
                  </w:pPr>
                </w:p>
              </w:tc>
              <w:tc>
                <w:tcPr>
                  <w:tcW w:w="1108" w:type="dxa"/>
                  <w:vMerge w:val="continue"/>
                  <w:vAlign w:val="center"/>
                </w:tcPr>
                <w:p w14:paraId="45E3A663">
                  <w:pPr>
                    <w:topLinePunct/>
                    <w:snapToGrid w:val="0"/>
                    <w:jc w:val="center"/>
                    <w:rPr>
                      <w:b/>
                      <w:bCs/>
                      <w:color w:val="auto"/>
                      <w:kern w:val="0"/>
                      <w:szCs w:val="21"/>
                    </w:rPr>
                  </w:pPr>
                </w:p>
              </w:tc>
              <w:tc>
                <w:tcPr>
                  <w:tcW w:w="6369" w:type="dxa"/>
                  <w:gridSpan w:val="9"/>
                  <w:vAlign w:val="center"/>
                </w:tcPr>
                <w:p w14:paraId="43AB137B">
                  <w:pPr>
                    <w:topLinePunct/>
                    <w:snapToGrid w:val="0"/>
                    <w:jc w:val="center"/>
                    <w:rPr>
                      <w:b/>
                      <w:bCs/>
                      <w:color w:val="auto"/>
                      <w:kern w:val="0"/>
                      <w:szCs w:val="21"/>
                    </w:rPr>
                  </w:pPr>
                  <w:r>
                    <w:rPr>
                      <w:b/>
                      <w:bCs/>
                      <w:color w:val="auto"/>
                      <w:kern w:val="0"/>
                      <w:szCs w:val="21"/>
                    </w:rPr>
                    <w:t>工业企业大气污染源构成类型</w:t>
                  </w:r>
                </w:p>
              </w:tc>
            </w:tr>
            <w:tr w14:paraId="3663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Merge w:val="continue"/>
                  <w:vAlign w:val="center"/>
                </w:tcPr>
                <w:p w14:paraId="7945C06A">
                  <w:pPr>
                    <w:topLinePunct/>
                    <w:snapToGrid w:val="0"/>
                    <w:jc w:val="center"/>
                    <w:rPr>
                      <w:b/>
                      <w:bCs/>
                      <w:color w:val="auto"/>
                      <w:kern w:val="0"/>
                      <w:szCs w:val="21"/>
                    </w:rPr>
                  </w:pPr>
                </w:p>
              </w:tc>
              <w:tc>
                <w:tcPr>
                  <w:tcW w:w="1108" w:type="dxa"/>
                  <w:vMerge w:val="continue"/>
                  <w:vAlign w:val="center"/>
                </w:tcPr>
                <w:p w14:paraId="0B20C18A">
                  <w:pPr>
                    <w:topLinePunct/>
                    <w:snapToGrid w:val="0"/>
                    <w:jc w:val="center"/>
                    <w:rPr>
                      <w:b/>
                      <w:bCs/>
                      <w:color w:val="auto"/>
                      <w:kern w:val="0"/>
                      <w:szCs w:val="21"/>
                    </w:rPr>
                  </w:pPr>
                </w:p>
              </w:tc>
              <w:tc>
                <w:tcPr>
                  <w:tcW w:w="707" w:type="dxa"/>
                  <w:vAlign w:val="center"/>
                </w:tcPr>
                <w:p w14:paraId="3E7E1FFA">
                  <w:pPr>
                    <w:topLinePunct/>
                    <w:snapToGrid w:val="0"/>
                    <w:jc w:val="center"/>
                    <w:rPr>
                      <w:b/>
                      <w:bCs/>
                      <w:color w:val="auto"/>
                      <w:kern w:val="0"/>
                      <w:szCs w:val="21"/>
                    </w:rPr>
                  </w:pPr>
                  <w:r>
                    <w:rPr>
                      <w:b/>
                      <w:bCs/>
                      <w:color w:val="auto"/>
                      <w:kern w:val="0"/>
                      <w:szCs w:val="21"/>
                    </w:rPr>
                    <w:t>Ⅰ</w:t>
                  </w:r>
                </w:p>
              </w:tc>
              <w:tc>
                <w:tcPr>
                  <w:tcW w:w="707" w:type="dxa"/>
                  <w:vAlign w:val="center"/>
                </w:tcPr>
                <w:p w14:paraId="4D442F20">
                  <w:pPr>
                    <w:topLinePunct/>
                    <w:snapToGrid w:val="0"/>
                    <w:jc w:val="center"/>
                    <w:rPr>
                      <w:b/>
                      <w:bCs/>
                      <w:color w:val="auto"/>
                      <w:kern w:val="0"/>
                      <w:szCs w:val="21"/>
                    </w:rPr>
                  </w:pPr>
                  <w:r>
                    <w:rPr>
                      <w:b/>
                      <w:bCs/>
                      <w:color w:val="auto"/>
                      <w:kern w:val="0"/>
                      <w:szCs w:val="21"/>
                    </w:rPr>
                    <w:t>Ⅱ</w:t>
                  </w:r>
                </w:p>
              </w:tc>
              <w:tc>
                <w:tcPr>
                  <w:tcW w:w="709" w:type="dxa"/>
                  <w:vAlign w:val="center"/>
                </w:tcPr>
                <w:p w14:paraId="34FA62B2">
                  <w:pPr>
                    <w:topLinePunct/>
                    <w:snapToGrid w:val="0"/>
                    <w:jc w:val="center"/>
                    <w:rPr>
                      <w:b/>
                      <w:bCs/>
                      <w:color w:val="auto"/>
                      <w:kern w:val="0"/>
                      <w:szCs w:val="21"/>
                    </w:rPr>
                  </w:pPr>
                  <w:r>
                    <w:rPr>
                      <w:b/>
                      <w:bCs/>
                      <w:color w:val="auto"/>
                      <w:kern w:val="0"/>
                      <w:szCs w:val="21"/>
                    </w:rPr>
                    <w:t>Ⅲ</w:t>
                  </w:r>
                </w:p>
              </w:tc>
              <w:tc>
                <w:tcPr>
                  <w:tcW w:w="705" w:type="dxa"/>
                  <w:vAlign w:val="center"/>
                </w:tcPr>
                <w:p w14:paraId="36B58392">
                  <w:pPr>
                    <w:topLinePunct/>
                    <w:snapToGrid w:val="0"/>
                    <w:jc w:val="center"/>
                    <w:rPr>
                      <w:b/>
                      <w:bCs/>
                      <w:color w:val="auto"/>
                      <w:kern w:val="0"/>
                      <w:szCs w:val="21"/>
                    </w:rPr>
                  </w:pPr>
                  <w:r>
                    <w:rPr>
                      <w:b/>
                      <w:bCs/>
                      <w:color w:val="auto"/>
                      <w:kern w:val="0"/>
                      <w:szCs w:val="21"/>
                    </w:rPr>
                    <w:t>Ⅰ</w:t>
                  </w:r>
                </w:p>
              </w:tc>
              <w:tc>
                <w:tcPr>
                  <w:tcW w:w="707" w:type="dxa"/>
                  <w:vAlign w:val="center"/>
                </w:tcPr>
                <w:p w14:paraId="37946942">
                  <w:pPr>
                    <w:topLinePunct/>
                    <w:snapToGrid w:val="0"/>
                    <w:jc w:val="center"/>
                    <w:rPr>
                      <w:b/>
                      <w:bCs/>
                      <w:color w:val="auto"/>
                      <w:kern w:val="0"/>
                      <w:szCs w:val="21"/>
                    </w:rPr>
                  </w:pPr>
                  <w:r>
                    <w:rPr>
                      <w:b/>
                      <w:bCs/>
                      <w:color w:val="auto"/>
                      <w:kern w:val="0"/>
                      <w:szCs w:val="21"/>
                    </w:rPr>
                    <w:t>Ⅱ</w:t>
                  </w:r>
                </w:p>
              </w:tc>
              <w:tc>
                <w:tcPr>
                  <w:tcW w:w="707" w:type="dxa"/>
                  <w:vAlign w:val="center"/>
                </w:tcPr>
                <w:p w14:paraId="0531D131">
                  <w:pPr>
                    <w:topLinePunct/>
                    <w:snapToGrid w:val="0"/>
                    <w:jc w:val="center"/>
                    <w:rPr>
                      <w:b/>
                      <w:bCs/>
                      <w:color w:val="auto"/>
                      <w:kern w:val="0"/>
                      <w:szCs w:val="21"/>
                    </w:rPr>
                  </w:pPr>
                  <w:r>
                    <w:rPr>
                      <w:b/>
                      <w:bCs/>
                      <w:color w:val="auto"/>
                      <w:kern w:val="0"/>
                      <w:szCs w:val="21"/>
                    </w:rPr>
                    <w:t>Ⅲ</w:t>
                  </w:r>
                </w:p>
              </w:tc>
              <w:tc>
                <w:tcPr>
                  <w:tcW w:w="707" w:type="dxa"/>
                  <w:vAlign w:val="center"/>
                </w:tcPr>
                <w:p w14:paraId="6B416321">
                  <w:pPr>
                    <w:topLinePunct/>
                    <w:snapToGrid w:val="0"/>
                    <w:jc w:val="center"/>
                    <w:rPr>
                      <w:b/>
                      <w:bCs/>
                      <w:color w:val="auto"/>
                      <w:kern w:val="0"/>
                      <w:szCs w:val="21"/>
                    </w:rPr>
                  </w:pPr>
                  <w:r>
                    <w:rPr>
                      <w:b/>
                      <w:bCs/>
                      <w:color w:val="auto"/>
                      <w:kern w:val="0"/>
                      <w:szCs w:val="21"/>
                    </w:rPr>
                    <w:t>Ⅰ</w:t>
                  </w:r>
                </w:p>
              </w:tc>
              <w:tc>
                <w:tcPr>
                  <w:tcW w:w="707" w:type="dxa"/>
                  <w:vAlign w:val="center"/>
                </w:tcPr>
                <w:p w14:paraId="3BC02F80">
                  <w:pPr>
                    <w:topLinePunct/>
                    <w:snapToGrid w:val="0"/>
                    <w:jc w:val="center"/>
                    <w:rPr>
                      <w:b/>
                      <w:bCs/>
                      <w:color w:val="auto"/>
                      <w:kern w:val="0"/>
                      <w:szCs w:val="21"/>
                    </w:rPr>
                  </w:pPr>
                  <w:r>
                    <w:rPr>
                      <w:b/>
                      <w:bCs/>
                      <w:color w:val="auto"/>
                      <w:kern w:val="0"/>
                      <w:szCs w:val="21"/>
                    </w:rPr>
                    <w:t>Ⅱ</w:t>
                  </w:r>
                </w:p>
              </w:tc>
              <w:tc>
                <w:tcPr>
                  <w:tcW w:w="713" w:type="dxa"/>
                  <w:vAlign w:val="center"/>
                </w:tcPr>
                <w:p w14:paraId="6960C63D">
                  <w:pPr>
                    <w:topLinePunct/>
                    <w:snapToGrid w:val="0"/>
                    <w:jc w:val="center"/>
                    <w:rPr>
                      <w:b/>
                      <w:bCs/>
                      <w:color w:val="auto"/>
                      <w:kern w:val="0"/>
                      <w:szCs w:val="21"/>
                    </w:rPr>
                  </w:pPr>
                  <w:r>
                    <w:rPr>
                      <w:b/>
                      <w:bCs/>
                      <w:color w:val="auto"/>
                      <w:kern w:val="0"/>
                      <w:szCs w:val="21"/>
                    </w:rPr>
                    <w:t>Ⅲ</w:t>
                  </w:r>
                </w:p>
              </w:tc>
            </w:tr>
            <w:tr w14:paraId="26F0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Align w:val="center"/>
                </w:tcPr>
                <w:p w14:paraId="448A635A">
                  <w:pPr>
                    <w:topLinePunct/>
                    <w:snapToGrid w:val="0"/>
                    <w:jc w:val="center"/>
                    <w:rPr>
                      <w:color w:val="auto"/>
                      <w:kern w:val="0"/>
                      <w:szCs w:val="21"/>
                    </w:rPr>
                  </w:pPr>
                  <w:r>
                    <w:rPr>
                      <w:color w:val="auto"/>
                      <w:kern w:val="0"/>
                      <w:szCs w:val="21"/>
                    </w:rPr>
                    <w:t>A</w:t>
                  </w:r>
                </w:p>
              </w:tc>
              <w:tc>
                <w:tcPr>
                  <w:tcW w:w="1108" w:type="dxa"/>
                  <w:vAlign w:val="center"/>
                </w:tcPr>
                <w:p w14:paraId="2748CDA8">
                  <w:pPr>
                    <w:topLinePunct/>
                    <w:snapToGrid w:val="0"/>
                    <w:jc w:val="center"/>
                    <w:rPr>
                      <w:color w:val="auto"/>
                      <w:kern w:val="0"/>
                      <w:szCs w:val="21"/>
                    </w:rPr>
                  </w:pPr>
                  <w:r>
                    <w:rPr>
                      <w:color w:val="auto"/>
                      <w:kern w:val="0"/>
                      <w:szCs w:val="21"/>
                    </w:rPr>
                    <w:t>＜2</w:t>
                  </w:r>
                </w:p>
                <w:p w14:paraId="26BE3D27">
                  <w:pPr>
                    <w:topLinePunct/>
                    <w:snapToGrid w:val="0"/>
                    <w:jc w:val="center"/>
                    <w:rPr>
                      <w:color w:val="auto"/>
                      <w:kern w:val="0"/>
                      <w:szCs w:val="21"/>
                    </w:rPr>
                  </w:pPr>
                  <w:r>
                    <w:rPr>
                      <w:color w:val="auto"/>
                      <w:kern w:val="0"/>
                      <w:szCs w:val="21"/>
                    </w:rPr>
                    <w:t>2~4</w:t>
                  </w:r>
                </w:p>
                <w:p w14:paraId="141889D6">
                  <w:pPr>
                    <w:topLinePunct/>
                    <w:snapToGrid w:val="0"/>
                    <w:jc w:val="center"/>
                    <w:rPr>
                      <w:color w:val="auto"/>
                      <w:kern w:val="0"/>
                      <w:szCs w:val="21"/>
                    </w:rPr>
                  </w:pPr>
                  <w:r>
                    <w:rPr>
                      <w:color w:val="auto"/>
                      <w:kern w:val="0"/>
                      <w:szCs w:val="21"/>
                    </w:rPr>
                    <w:t>＞4</w:t>
                  </w:r>
                </w:p>
              </w:tc>
              <w:tc>
                <w:tcPr>
                  <w:tcW w:w="707" w:type="dxa"/>
                  <w:vAlign w:val="center"/>
                </w:tcPr>
                <w:p w14:paraId="6C42F12F">
                  <w:pPr>
                    <w:topLinePunct/>
                    <w:snapToGrid w:val="0"/>
                    <w:jc w:val="center"/>
                    <w:rPr>
                      <w:color w:val="auto"/>
                      <w:kern w:val="0"/>
                      <w:szCs w:val="21"/>
                    </w:rPr>
                  </w:pPr>
                  <w:r>
                    <w:rPr>
                      <w:color w:val="auto"/>
                      <w:kern w:val="0"/>
                      <w:szCs w:val="21"/>
                    </w:rPr>
                    <w:t>400</w:t>
                  </w:r>
                </w:p>
                <w:p w14:paraId="07A775E9">
                  <w:pPr>
                    <w:topLinePunct/>
                    <w:snapToGrid w:val="0"/>
                    <w:jc w:val="center"/>
                    <w:rPr>
                      <w:color w:val="auto"/>
                      <w:kern w:val="0"/>
                      <w:szCs w:val="21"/>
                    </w:rPr>
                  </w:pPr>
                  <w:r>
                    <w:rPr>
                      <w:color w:val="auto"/>
                      <w:kern w:val="0"/>
                      <w:szCs w:val="21"/>
                    </w:rPr>
                    <w:t>700</w:t>
                  </w:r>
                </w:p>
                <w:p w14:paraId="2D274FBB">
                  <w:pPr>
                    <w:topLinePunct/>
                    <w:snapToGrid w:val="0"/>
                    <w:jc w:val="center"/>
                    <w:rPr>
                      <w:color w:val="auto"/>
                      <w:kern w:val="0"/>
                      <w:szCs w:val="21"/>
                    </w:rPr>
                  </w:pPr>
                  <w:r>
                    <w:rPr>
                      <w:color w:val="auto"/>
                      <w:kern w:val="0"/>
                      <w:szCs w:val="21"/>
                    </w:rPr>
                    <w:t>530</w:t>
                  </w:r>
                </w:p>
              </w:tc>
              <w:tc>
                <w:tcPr>
                  <w:tcW w:w="707" w:type="dxa"/>
                  <w:vAlign w:val="center"/>
                </w:tcPr>
                <w:p w14:paraId="596C43D8">
                  <w:pPr>
                    <w:topLinePunct/>
                    <w:snapToGrid w:val="0"/>
                    <w:jc w:val="center"/>
                    <w:rPr>
                      <w:color w:val="auto"/>
                      <w:kern w:val="0"/>
                      <w:szCs w:val="21"/>
                    </w:rPr>
                  </w:pPr>
                  <w:r>
                    <w:rPr>
                      <w:color w:val="auto"/>
                      <w:kern w:val="0"/>
                      <w:szCs w:val="21"/>
                    </w:rPr>
                    <w:t>400</w:t>
                  </w:r>
                </w:p>
                <w:p w14:paraId="3BC27DD4">
                  <w:pPr>
                    <w:topLinePunct/>
                    <w:snapToGrid w:val="0"/>
                    <w:jc w:val="center"/>
                    <w:rPr>
                      <w:color w:val="auto"/>
                      <w:kern w:val="0"/>
                      <w:szCs w:val="21"/>
                    </w:rPr>
                  </w:pPr>
                  <w:r>
                    <w:rPr>
                      <w:color w:val="auto"/>
                      <w:kern w:val="0"/>
                      <w:szCs w:val="21"/>
                    </w:rPr>
                    <w:t>470</w:t>
                  </w:r>
                </w:p>
                <w:p w14:paraId="5D6F81C2">
                  <w:pPr>
                    <w:topLinePunct/>
                    <w:snapToGrid w:val="0"/>
                    <w:jc w:val="center"/>
                    <w:rPr>
                      <w:color w:val="auto"/>
                      <w:kern w:val="0"/>
                      <w:szCs w:val="21"/>
                    </w:rPr>
                  </w:pPr>
                  <w:r>
                    <w:rPr>
                      <w:color w:val="auto"/>
                      <w:kern w:val="0"/>
                      <w:szCs w:val="21"/>
                    </w:rPr>
                    <w:t>350</w:t>
                  </w:r>
                </w:p>
              </w:tc>
              <w:tc>
                <w:tcPr>
                  <w:tcW w:w="709" w:type="dxa"/>
                  <w:vAlign w:val="center"/>
                </w:tcPr>
                <w:p w14:paraId="2584717F">
                  <w:pPr>
                    <w:topLinePunct/>
                    <w:snapToGrid w:val="0"/>
                    <w:jc w:val="center"/>
                    <w:rPr>
                      <w:color w:val="auto"/>
                      <w:kern w:val="0"/>
                      <w:szCs w:val="21"/>
                    </w:rPr>
                  </w:pPr>
                  <w:r>
                    <w:rPr>
                      <w:color w:val="auto"/>
                      <w:kern w:val="0"/>
                      <w:szCs w:val="21"/>
                    </w:rPr>
                    <w:t>400</w:t>
                  </w:r>
                </w:p>
                <w:p w14:paraId="1BF49CFC">
                  <w:pPr>
                    <w:topLinePunct/>
                    <w:snapToGrid w:val="0"/>
                    <w:jc w:val="center"/>
                    <w:rPr>
                      <w:color w:val="auto"/>
                      <w:kern w:val="0"/>
                      <w:szCs w:val="21"/>
                    </w:rPr>
                  </w:pPr>
                  <w:r>
                    <w:rPr>
                      <w:color w:val="auto"/>
                      <w:kern w:val="0"/>
                      <w:szCs w:val="21"/>
                    </w:rPr>
                    <w:t>350</w:t>
                  </w:r>
                </w:p>
                <w:p w14:paraId="58521E4B">
                  <w:pPr>
                    <w:topLinePunct/>
                    <w:snapToGrid w:val="0"/>
                    <w:jc w:val="center"/>
                    <w:rPr>
                      <w:color w:val="auto"/>
                      <w:kern w:val="0"/>
                      <w:szCs w:val="21"/>
                    </w:rPr>
                  </w:pPr>
                  <w:r>
                    <w:rPr>
                      <w:color w:val="auto"/>
                      <w:kern w:val="0"/>
                      <w:szCs w:val="21"/>
                    </w:rPr>
                    <w:t>260</w:t>
                  </w:r>
                </w:p>
              </w:tc>
              <w:tc>
                <w:tcPr>
                  <w:tcW w:w="705" w:type="dxa"/>
                  <w:vAlign w:val="center"/>
                </w:tcPr>
                <w:p w14:paraId="6F7AB72E">
                  <w:pPr>
                    <w:topLinePunct/>
                    <w:snapToGrid w:val="0"/>
                    <w:jc w:val="center"/>
                    <w:rPr>
                      <w:color w:val="auto"/>
                      <w:kern w:val="0"/>
                      <w:szCs w:val="21"/>
                    </w:rPr>
                  </w:pPr>
                  <w:r>
                    <w:rPr>
                      <w:color w:val="auto"/>
                      <w:kern w:val="0"/>
                      <w:szCs w:val="21"/>
                    </w:rPr>
                    <w:t>400</w:t>
                  </w:r>
                </w:p>
                <w:p w14:paraId="38163C38">
                  <w:pPr>
                    <w:topLinePunct/>
                    <w:snapToGrid w:val="0"/>
                    <w:jc w:val="center"/>
                    <w:rPr>
                      <w:color w:val="auto"/>
                      <w:kern w:val="0"/>
                      <w:szCs w:val="21"/>
                    </w:rPr>
                  </w:pPr>
                  <w:r>
                    <w:rPr>
                      <w:color w:val="auto"/>
                      <w:kern w:val="0"/>
                      <w:szCs w:val="21"/>
                    </w:rPr>
                    <w:t>700</w:t>
                  </w:r>
                </w:p>
                <w:p w14:paraId="44F12846">
                  <w:pPr>
                    <w:topLinePunct/>
                    <w:snapToGrid w:val="0"/>
                    <w:jc w:val="center"/>
                    <w:rPr>
                      <w:color w:val="auto"/>
                      <w:kern w:val="0"/>
                      <w:szCs w:val="21"/>
                    </w:rPr>
                  </w:pPr>
                  <w:r>
                    <w:rPr>
                      <w:color w:val="auto"/>
                      <w:kern w:val="0"/>
                      <w:szCs w:val="21"/>
                    </w:rPr>
                    <w:t>530</w:t>
                  </w:r>
                </w:p>
              </w:tc>
              <w:tc>
                <w:tcPr>
                  <w:tcW w:w="707" w:type="dxa"/>
                  <w:vAlign w:val="center"/>
                </w:tcPr>
                <w:p w14:paraId="1E2D6657">
                  <w:pPr>
                    <w:topLinePunct/>
                    <w:snapToGrid w:val="0"/>
                    <w:jc w:val="center"/>
                    <w:rPr>
                      <w:color w:val="auto"/>
                      <w:kern w:val="0"/>
                      <w:szCs w:val="21"/>
                    </w:rPr>
                  </w:pPr>
                  <w:r>
                    <w:rPr>
                      <w:color w:val="auto"/>
                      <w:kern w:val="0"/>
                      <w:szCs w:val="21"/>
                    </w:rPr>
                    <w:t>400</w:t>
                  </w:r>
                </w:p>
                <w:p w14:paraId="7AC8FC6C">
                  <w:pPr>
                    <w:topLinePunct/>
                    <w:snapToGrid w:val="0"/>
                    <w:jc w:val="center"/>
                    <w:rPr>
                      <w:color w:val="auto"/>
                      <w:kern w:val="0"/>
                      <w:szCs w:val="21"/>
                    </w:rPr>
                  </w:pPr>
                  <w:r>
                    <w:rPr>
                      <w:color w:val="auto"/>
                      <w:kern w:val="0"/>
                      <w:szCs w:val="21"/>
                    </w:rPr>
                    <w:t>470</w:t>
                  </w:r>
                </w:p>
                <w:p w14:paraId="64117909">
                  <w:pPr>
                    <w:topLinePunct/>
                    <w:snapToGrid w:val="0"/>
                    <w:jc w:val="center"/>
                    <w:rPr>
                      <w:color w:val="auto"/>
                      <w:kern w:val="0"/>
                      <w:szCs w:val="21"/>
                    </w:rPr>
                  </w:pPr>
                  <w:r>
                    <w:rPr>
                      <w:color w:val="auto"/>
                      <w:kern w:val="0"/>
                      <w:szCs w:val="21"/>
                    </w:rPr>
                    <w:t>350</w:t>
                  </w:r>
                </w:p>
              </w:tc>
              <w:tc>
                <w:tcPr>
                  <w:tcW w:w="707" w:type="dxa"/>
                  <w:vAlign w:val="center"/>
                </w:tcPr>
                <w:p w14:paraId="135FD8DD">
                  <w:pPr>
                    <w:topLinePunct/>
                    <w:snapToGrid w:val="0"/>
                    <w:jc w:val="center"/>
                    <w:rPr>
                      <w:color w:val="auto"/>
                      <w:kern w:val="0"/>
                      <w:szCs w:val="21"/>
                    </w:rPr>
                  </w:pPr>
                  <w:r>
                    <w:rPr>
                      <w:color w:val="auto"/>
                      <w:kern w:val="0"/>
                      <w:szCs w:val="21"/>
                    </w:rPr>
                    <w:t>400</w:t>
                  </w:r>
                </w:p>
                <w:p w14:paraId="7D60CB25">
                  <w:pPr>
                    <w:topLinePunct/>
                    <w:snapToGrid w:val="0"/>
                    <w:jc w:val="center"/>
                    <w:rPr>
                      <w:color w:val="auto"/>
                      <w:kern w:val="0"/>
                      <w:szCs w:val="21"/>
                    </w:rPr>
                  </w:pPr>
                  <w:r>
                    <w:rPr>
                      <w:color w:val="auto"/>
                      <w:kern w:val="0"/>
                      <w:szCs w:val="21"/>
                    </w:rPr>
                    <w:t>350</w:t>
                  </w:r>
                </w:p>
                <w:p w14:paraId="2FD05737">
                  <w:pPr>
                    <w:topLinePunct/>
                    <w:snapToGrid w:val="0"/>
                    <w:jc w:val="center"/>
                    <w:rPr>
                      <w:color w:val="auto"/>
                      <w:kern w:val="0"/>
                      <w:szCs w:val="21"/>
                    </w:rPr>
                  </w:pPr>
                  <w:r>
                    <w:rPr>
                      <w:color w:val="auto"/>
                      <w:kern w:val="0"/>
                      <w:szCs w:val="21"/>
                    </w:rPr>
                    <w:t>260</w:t>
                  </w:r>
                </w:p>
              </w:tc>
              <w:tc>
                <w:tcPr>
                  <w:tcW w:w="707" w:type="dxa"/>
                  <w:vAlign w:val="center"/>
                </w:tcPr>
                <w:p w14:paraId="6A0EB3E4">
                  <w:pPr>
                    <w:topLinePunct/>
                    <w:snapToGrid w:val="0"/>
                    <w:jc w:val="center"/>
                    <w:rPr>
                      <w:color w:val="auto"/>
                      <w:kern w:val="0"/>
                      <w:szCs w:val="21"/>
                    </w:rPr>
                  </w:pPr>
                  <w:r>
                    <w:rPr>
                      <w:color w:val="auto"/>
                      <w:kern w:val="0"/>
                      <w:szCs w:val="21"/>
                    </w:rPr>
                    <w:t>80</w:t>
                  </w:r>
                </w:p>
                <w:p w14:paraId="273196D7">
                  <w:pPr>
                    <w:topLinePunct/>
                    <w:snapToGrid w:val="0"/>
                    <w:jc w:val="center"/>
                    <w:rPr>
                      <w:color w:val="auto"/>
                      <w:kern w:val="0"/>
                      <w:szCs w:val="21"/>
                    </w:rPr>
                  </w:pPr>
                  <w:r>
                    <w:rPr>
                      <w:color w:val="auto"/>
                      <w:kern w:val="0"/>
                      <w:szCs w:val="21"/>
                    </w:rPr>
                    <w:t>380</w:t>
                  </w:r>
                </w:p>
                <w:p w14:paraId="364FF3E1">
                  <w:pPr>
                    <w:topLinePunct/>
                    <w:snapToGrid w:val="0"/>
                    <w:jc w:val="center"/>
                    <w:rPr>
                      <w:color w:val="auto"/>
                      <w:kern w:val="0"/>
                      <w:szCs w:val="21"/>
                    </w:rPr>
                  </w:pPr>
                  <w:r>
                    <w:rPr>
                      <w:color w:val="auto"/>
                      <w:kern w:val="0"/>
                      <w:szCs w:val="21"/>
                    </w:rPr>
                    <w:t>290</w:t>
                  </w:r>
                </w:p>
              </w:tc>
              <w:tc>
                <w:tcPr>
                  <w:tcW w:w="707" w:type="dxa"/>
                  <w:vAlign w:val="center"/>
                </w:tcPr>
                <w:p w14:paraId="2FC131A2">
                  <w:pPr>
                    <w:topLinePunct/>
                    <w:snapToGrid w:val="0"/>
                    <w:jc w:val="center"/>
                    <w:rPr>
                      <w:color w:val="auto"/>
                      <w:kern w:val="0"/>
                      <w:szCs w:val="21"/>
                    </w:rPr>
                  </w:pPr>
                  <w:r>
                    <w:rPr>
                      <w:color w:val="auto"/>
                      <w:kern w:val="0"/>
                      <w:szCs w:val="21"/>
                    </w:rPr>
                    <w:t>80</w:t>
                  </w:r>
                </w:p>
                <w:p w14:paraId="52DC1629">
                  <w:pPr>
                    <w:topLinePunct/>
                    <w:snapToGrid w:val="0"/>
                    <w:jc w:val="center"/>
                    <w:rPr>
                      <w:color w:val="auto"/>
                      <w:kern w:val="0"/>
                      <w:szCs w:val="21"/>
                    </w:rPr>
                  </w:pPr>
                  <w:r>
                    <w:rPr>
                      <w:color w:val="auto"/>
                      <w:kern w:val="0"/>
                      <w:szCs w:val="21"/>
                    </w:rPr>
                    <w:t>250</w:t>
                  </w:r>
                </w:p>
                <w:p w14:paraId="5672D25C">
                  <w:pPr>
                    <w:topLinePunct/>
                    <w:snapToGrid w:val="0"/>
                    <w:jc w:val="center"/>
                    <w:rPr>
                      <w:color w:val="auto"/>
                      <w:kern w:val="0"/>
                      <w:szCs w:val="21"/>
                    </w:rPr>
                  </w:pPr>
                  <w:r>
                    <w:rPr>
                      <w:color w:val="auto"/>
                      <w:kern w:val="0"/>
                      <w:szCs w:val="21"/>
                    </w:rPr>
                    <w:t>190</w:t>
                  </w:r>
                </w:p>
              </w:tc>
              <w:tc>
                <w:tcPr>
                  <w:tcW w:w="713" w:type="dxa"/>
                  <w:vAlign w:val="center"/>
                </w:tcPr>
                <w:p w14:paraId="05C87A73">
                  <w:pPr>
                    <w:topLinePunct/>
                    <w:snapToGrid w:val="0"/>
                    <w:jc w:val="center"/>
                    <w:rPr>
                      <w:color w:val="auto"/>
                      <w:kern w:val="0"/>
                      <w:szCs w:val="21"/>
                    </w:rPr>
                  </w:pPr>
                  <w:r>
                    <w:rPr>
                      <w:color w:val="auto"/>
                      <w:kern w:val="0"/>
                      <w:szCs w:val="21"/>
                    </w:rPr>
                    <w:t>80</w:t>
                  </w:r>
                </w:p>
                <w:p w14:paraId="5ABE4295">
                  <w:pPr>
                    <w:topLinePunct/>
                    <w:snapToGrid w:val="0"/>
                    <w:jc w:val="center"/>
                    <w:rPr>
                      <w:color w:val="auto"/>
                      <w:kern w:val="0"/>
                      <w:szCs w:val="21"/>
                    </w:rPr>
                  </w:pPr>
                  <w:r>
                    <w:rPr>
                      <w:color w:val="auto"/>
                      <w:kern w:val="0"/>
                      <w:szCs w:val="21"/>
                    </w:rPr>
                    <w:t>190</w:t>
                  </w:r>
                </w:p>
                <w:p w14:paraId="4C9B19BE">
                  <w:pPr>
                    <w:topLinePunct/>
                    <w:snapToGrid w:val="0"/>
                    <w:jc w:val="center"/>
                    <w:rPr>
                      <w:color w:val="auto"/>
                      <w:kern w:val="0"/>
                      <w:szCs w:val="21"/>
                    </w:rPr>
                  </w:pPr>
                  <w:r>
                    <w:rPr>
                      <w:color w:val="auto"/>
                      <w:kern w:val="0"/>
                      <w:szCs w:val="21"/>
                    </w:rPr>
                    <w:t>110</w:t>
                  </w:r>
                </w:p>
              </w:tc>
            </w:tr>
            <w:tr w14:paraId="5C4D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Align w:val="center"/>
                </w:tcPr>
                <w:p w14:paraId="201A87C8">
                  <w:pPr>
                    <w:topLinePunct/>
                    <w:snapToGrid w:val="0"/>
                    <w:jc w:val="center"/>
                    <w:rPr>
                      <w:color w:val="auto"/>
                      <w:kern w:val="0"/>
                      <w:szCs w:val="21"/>
                    </w:rPr>
                  </w:pPr>
                  <w:r>
                    <w:rPr>
                      <w:color w:val="auto"/>
                      <w:kern w:val="0"/>
                      <w:szCs w:val="21"/>
                    </w:rPr>
                    <w:t>B</w:t>
                  </w:r>
                </w:p>
              </w:tc>
              <w:tc>
                <w:tcPr>
                  <w:tcW w:w="1108" w:type="dxa"/>
                  <w:vAlign w:val="center"/>
                </w:tcPr>
                <w:p w14:paraId="597EBFAA">
                  <w:pPr>
                    <w:topLinePunct/>
                    <w:snapToGrid w:val="0"/>
                    <w:jc w:val="center"/>
                    <w:rPr>
                      <w:color w:val="auto"/>
                      <w:kern w:val="0"/>
                      <w:szCs w:val="21"/>
                    </w:rPr>
                  </w:pPr>
                  <w:r>
                    <w:rPr>
                      <w:color w:val="auto"/>
                      <w:kern w:val="0"/>
                      <w:szCs w:val="21"/>
                    </w:rPr>
                    <w:t>＜2</w:t>
                  </w:r>
                </w:p>
                <w:p w14:paraId="1C94C6E2">
                  <w:pPr>
                    <w:topLinePunct/>
                    <w:snapToGrid w:val="0"/>
                    <w:jc w:val="center"/>
                    <w:rPr>
                      <w:color w:val="auto"/>
                      <w:kern w:val="0"/>
                      <w:szCs w:val="21"/>
                    </w:rPr>
                  </w:pPr>
                  <w:r>
                    <w:rPr>
                      <w:color w:val="auto"/>
                      <w:kern w:val="0"/>
                      <w:szCs w:val="21"/>
                    </w:rPr>
                    <w:t>＞2</w:t>
                  </w:r>
                </w:p>
              </w:tc>
              <w:tc>
                <w:tcPr>
                  <w:tcW w:w="2123" w:type="dxa"/>
                  <w:gridSpan w:val="3"/>
                  <w:vAlign w:val="center"/>
                </w:tcPr>
                <w:p w14:paraId="6F2E0561">
                  <w:pPr>
                    <w:topLinePunct/>
                    <w:snapToGrid w:val="0"/>
                    <w:jc w:val="center"/>
                    <w:rPr>
                      <w:color w:val="auto"/>
                      <w:kern w:val="0"/>
                      <w:szCs w:val="21"/>
                    </w:rPr>
                  </w:pPr>
                  <w:r>
                    <w:rPr>
                      <w:color w:val="auto"/>
                      <w:kern w:val="0"/>
                      <w:szCs w:val="21"/>
                    </w:rPr>
                    <w:t>0.01</w:t>
                  </w:r>
                </w:p>
                <w:p w14:paraId="57F90594">
                  <w:pPr>
                    <w:topLinePunct/>
                    <w:snapToGrid w:val="0"/>
                    <w:jc w:val="center"/>
                    <w:rPr>
                      <w:color w:val="auto"/>
                      <w:kern w:val="0"/>
                      <w:szCs w:val="21"/>
                    </w:rPr>
                  </w:pPr>
                  <w:r>
                    <w:rPr>
                      <w:color w:val="auto"/>
                      <w:kern w:val="0"/>
                      <w:szCs w:val="21"/>
                    </w:rPr>
                    <w:t>0.021</w:t>
                  </w:r>
                </w:p>
              </w:tc>
              <w:tc>
                <w:tcPr>
                  <w:tcW w:w="2123" w:type="dxa"/>
                  <w:gridSpan w:val="3"/>
                  <w:vAlign w:val="center"/>
                </w:tcPr>
                <w:p w14:paraId="7D78B6CD">
                  <w:pPr>
                    <w:topLinePunct/>
                    <w:snapToGrid w:val="0"/>
                    <w:jc w:val="center"/>
                    <w:rPr>
                      <w:color w:val="auto"/>
                      <w:kern w:val="0"/>
                      <w:szCs w:val="21"/>
                    </w:rPr>
                  </w:pPr>
                  <w:r>
                    <w:rPr>
                      <w:color w:val="auto"/>
                      <w:kern w:val="0"/>
                      <w:szCs w:val="21"/>
                    </w:rPr>
                    <w:t>0.015</w:t>
                  </w:r>
                </w:p>
                <w:p w14:paraId="2A221588">
                  <w:pPr>
                    <w:topLinePunct/>
                    <w:snapToGrid w:val="0"/>
                    <w:jc w:val="center"/>
                    <w:rPr>
                      <w:color w:val="auto"/>
                      <w:kern w:val="0"/>
                      <w:szCs w:val="21"/>
                    </w:rPr>
                  </w:pPr>
                  <w:r>
                    <w:rPr>
                      <w:color w:val="auto"/>
                      <w:kern w:val="0"/>
                      <w:szCs w:val="21"/>
                    </w:rPr>
                    <w:t>0.036</w:t>
                  </w:r>
                </w:p>
              </w:tc>
              <w:tc>
                <w:tcPr>
                  <w:tcW w:w="2123" w:type="dxa"/>
                  <w:gridSpan w:val="3"/>
                  <w:vAlign w:val="center"/>
                </w:tcPr>
                <w:p w14:paraId="759A7C1C">
                  <w:pPr>
                    <w:topLinePunct/>
                    <w:snapToGrid w:val="0"/>
                    <w:jc w:val="center"/>
                    <w:rPr>
                      <w:color w:val="auto"/>
                      <w:kern w:val="0"/>
                      <w:szCs w:val="21"/>
                    </w:rPr>
                  </w:pPr>
                  <w:r>
                    <w:rPr>
                      <w:color w:val="auto"/>
                      <w:kern w:val="0"/>
                      <w:szCs w:val="21"/>
                    </w:rPr>
                    <w:t>0.015</w:t>
                  </w:r>
                </w:p>
                <w:p w14:paraId="7A1C8A10">
                  <w:pPr>
                    <w:topLinePunct/>
                    <w:snapToGrid w:val="0"/>
                    <w:jc w:val="center"/>
                    <w:rPr>
                      <w:color w:val="auto"/>
                      <w:kern w:val="0"/>
                      <w:szCs w:val="21"/>
                    </w:rPr>
                  </w:pPr>
                  <w:r>
                    <w:rPr>
                      <w:color w:val="auto"/>
                      <w:kern w:val="0"/>
                      <w:szCs w:val="21"/>
                    </w:rPr>
                    <w:t>0.036</w:t>
                  </w:r>
                </w:p>
              </w:tc>
            </w:tr>
            <w:tr w14:paraId="55BC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Align w:val="center"/>
                </w:tcPr>
                <w:p w14:paraId="2E99F0F5">
                  <w:pPr>
                    <w:topLinePunct/>
                    <w:snapToGrid w:val="0"/>
                    <w:jc w:val="center"/>
                    <w:rPr>
                      <w:color w:val="auto"/>
                      <w:kern w:val="0"/>
                      <w:szCs w:val="21"/>
                    </w:rPr>
                  </w:pPr>
                  <w:r>
                    <w:rPr>
                      <w:color w:val="auto"/>
                      <w:kern w:val="0"/>
                      <w:szCs w:val="21"/>
                    </w:rPr>
                    <w:t>C</w:t>
                  </w:r>
                </w:p>
              </w:tc>
              <w:tc>
                <w:tcPr>
                  <w:tcW w:w="1108" w:type="dxa"/>
                  <w:vAlign w:val="center"/>
                </w:tcPr>
                <w:p w14:paraId="05007C7A">
                  <w:pPr>
                    <w:topLinePunct/>
                    <w:snapToGrid w:val="0"/>
                    <w:jc w:val="center"/>
                    <w:rPr>
                      <w:color w:val="auto"/>
                      <w:kern w:val="0"/>
                      <w:szCs w:val="21"/>
                    </w:rPr>
                  </w:pPr>
                  <w:r>
                    <w:rPr>
                      <w:color w:val="auto"/>
                      <w:kern w:val="0"/>
                      <w:szCs w:val="21"/>
                    </w:rPr>
                    <w:t>＜2</w:t>
                  </w:r>
                </w:p>
                <w:p w14:paraId="2E1EDA1F">
                  <w:pPr>
                    <w:topLinePunct/>
                    <w:snapToGrid w:val="0"/>
                    <w:jc w:val="center"/>
                    <w:rPr>
                      <w:color w:val="auto"/>
                      <w:kern w:val="0"/>
                      <w:szCs w:val="21"/>
                    </w:rPr>
                  </w:pPr>
                  <w:r>
                    <w:rPr>
                      <w:color w:val="auto"/>
                      <w:kern w:val="0"/>
                      <w:szCs w:val="21"/>
                    </w:rPr>
                    <w:t>＞2</w:t>
                  </w:r>
                </w:p>
              </w:tc>
              <w:tc>
                <w:tcPr>
                  <w:tcW w:w="2123" w:type="dxa"/>
                  <w:gridSpan w:val="3"/>
                  <w:vAlign w:val="center"/>
                </w:tcPr>
                <w:p w14:paraId="57690DCB">
                  <w:pPr>
                    <w:topLinePunct/>
                    <w:snapToGrid w:val="0"/>
                    <w:jc w:val="center"/>
                    <w:rPr>
                      <w:color w:val="auto"/>
                      <w:kern w:val="0"/>
                      <w:szCs w:val="21"/>
                    </w:rPr>
                  </w:pPr>
                  <w:r>
                    <w:rPr>
                      <w:color w:val="auto"/>
                      <w:kern w:val="0"/>
                      <w:szCs w:val="21"/>
                    </w:rPr>
                    <w:t>1.85</w:t>
                  </w:r>
                </w:p>
                <w:p w14:paraId="6CF4680C">
                  <w:pPr>
                    <w:topLinePunct/>
                    <w:snapToGrid w:val="0"/>
                    <w:jc w:val="center"/>
                    <w:rPr>
                      <w:color w:val="auto"/>
                      <w:kern w:val="0"/>
                      <w:szCs w:val="21"/>
                    </w:rPr>
                  </w:pPr>
                  <w:r>
                    <w:rPr>
                      <w:color w:val="auto"/>
                      <w:kern w:val="0"/>
                      <w:szCs w:val="21"/>
                    </w:rPr>
                    <w:t>1.85</w:t>
                  </w:r>
                </w:p>
              </w:tc>
              <w:tc>
                <w:tcPr>
                  <w:tcW w:w="2123" w:type="dxa"/>
                  <w:gridSpan w:val="3"/>
                  <w:vAlign w:val="center"/>
                </w:tcPr>
                <w:p w14:paraId="6A68D9EA">
                  <w:pPr>
                    <w:topLinePunct/>
                    <w:snapToGrid w:val="0"/>
                    <w:jc w:val="center"/>
                    <w:rPr>
                      <w:color w:val="auto"/>
                      <w:kern w:val="0"/>
                      <w:szCs w:val="21"/>
                    </w:rPr>
                  </w:pPr>
                  <w:r>
                    <w:rPr>
                      <w:color w:val="auto"/>
                      <w:kern w:val="0"/>
                      <w:szCs w:val="21"/>
                    </w:rPr>
                    <w:t>1.79</w:t>
                  </w:r>
                </w:p>
                <w:p w14:paraId="44153354">
                  <w:pPr>
                    <w:topLinePunct/>
                    <w:snapToGrid w:val="0"/>
                    <w:jc w:val="center"/>
                    <w:rPr>
                      <w:color w:val="auto"/>
                      <w:kern w:val="0"/>
                      <w:szCs w:val="21"/>
                    </w:rPr>
                  </w:pPr>
                  <w:r>
                    <w:rPr>
                      <w:color w:val="auto"/>
                      <w:kern w:val="0"/>
                      <w:szCs w:val="21"/>
                    </w:rPr>
                    <w:t>1.77</w:t>
                  </w:r>
                </w:p>
              </w:tc>
              <w:tc>
                <w:tcPr>
                  <w:tcW w:w="2123" w:type="dxa"/>
                  <w:gridSpan w:val="3"/>
                  <w:vAlign w:val="center"/>
                </w:tcPr>
                <w:p w14:paraId="27AA9C07">
                  <w:pPr>
                    <w:topLinePunct/>
                    <w:snapToGrid w:val="0"/>
                    <w:jc w:val="center"/>
                    <w:rPr>
                      <w:color w:val="auto"/>
                      <w:kern w:val="0"/>
                      <w:szCs w:val="21"/>
                    </w:rPr>
                  </w:pPr>
                  <w:r>
                    <w:rPr>
                      <w:color w:val="auto"/>
                      <w:kern w:val="0"/>
                      <w:szCs w:val="21"/>
                    </w:rPr>
                    <w:t>1.79</w:t>
                  </w:r>
                </w:p>
                <w:p w14:paraId="416BD5B3">
                  <w:pPr>
                    <w:topLinePunct/>
                    <w:snapToGrid w:val="0"/>
                    <w:jc w:val="center"/>
                    <w:rPr>
                      <w:color w:val="auto"/>
                      <w:kern w:val="0"/>
                      <w:szCs w:val="21"/>
                    </w:rPr>
                  </w:pPr>
                  <w:r>
                    <w:rPr>
                      <w:color w:val="auto"/>
                      <w:kern w:val="0"/>
                      <w:szCs w:val="21"/>
                    </w:rPr>
                    <w:t>1.77</w:t>
                  </w:r>
                </w:p>
              </w:tc>
            </w:tr>
            <w:tr w14:paraId="1EB6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Align w:val="center"/>
                </w:tcPr>
                <w:p w14:paraId="258FCA95">
                  <w:pPr>
                    <w:topLinePunct/>
                    <w:snapToGrid w:val="0"/>
                    <w:jc w:val="center"/>
                    <w:rPr>
                      <w:color w:val="auto"/>
                      <w:kern w:val="0"/>
                      <w:szCs w:val="21"/>
                    </w:rPr>
                  </w:pPr>
                  <w:r>
                    <w:rPr>
                      <w:color w:val="auto"/>
                      <w:kern w:val="0"/>
                      <w:szCs w:val="21"/>
                    </w:rPr>
                    <w:t>D</w:t>
                  </w:r>
                </w:p>
              </w:tc>
              <w:tc>
                <w:tcPr>
                  <w:tcW w:w="1108" w:type="dxa"/>
                  <w:vAlign w:val="center"/>
                </w:tcPr>
                <w:p w14:paraId="646C9C0B">
                  <w:pPr>
                    <w:topLinePunct/>
                    <w:snapToGrid w:val="0"/>
                    <w:jc w:val="center"/>
                    <w:rPr>
                      <w:color w:val="auto"/>
                      <w:kern w:val="0"/>
                      <w:szCs w:val="21"/>
                    </w:rPr>
                  </w:pPr>
                  <w:r>
                    <w:rPr>
                      <w:color w:val="auto"/>
                      <w:kern w:val="0"/>
                      <w:szCs w:val="21"/>
                    </w:rPr>
                    <w:t>＜2</w:t>
                  </w:r>
                </w:p>
                <w:p w14:paraId="479C6482">
                  <w:pPr>
                    <w:topLinePunct/>
                    <w:snapToGrid w:val="0"/>
                    <w:jc w:val="center"/>
                    <w:rPr>
                      <w:color w:val="auto"/>
                      <w:kern w:val="0"/>
                      <w:szCs w:val="21"/>
                    </w:rPr>
                  </w:pPr>
                  <w:r>
                    <w:rPr>
                      <w:color w:val="auto"/>
                      <w:kern w:val="0"/>
                      <w:szCs w:val="21"/>
                    </w:rPr>
                    <w:t>＞2</w:t>
                  </w:r>
                </w:p>
              </w:tc>
              <w:tc>
                <w:tcPr>
                  <w:tcW w:w="2123" w:type="dxa"/>
                  <w:gridSpan w:val="3"/>
                  <w:vAlign w:val="center"/>
                </w:tcPr>
                <w:p w14:paraId="11408391">
                  <w:pPr>
                    <w:topLinePunct/>
                    <w:snapToGrid w:val="0"/>
                    <w:jc w:val="center"/>
                    <w:rPr>
                      <w:color w:val="auto"/>
                      <w:kern w:val="0"/>
                      <w:szCs w:val="21"/>
                    </w:rPr>
                  </w:pPr>
                  <w:r>
                    <w:rPr>
                      <w:color w:val="auto"/>
                      <w:kern w:val="0"/>
                      <w:szCs w:val="21"/>
                    </w:rPr>
                    <w:t>0.78</w:t>
                  </w:r>
                </w:p>
                <w:p w14:paraId="594FC9DE">
                  <w:pPr>
                    <w:topLinePunct/>
                    <w:snapToGrid w:val="0"/>
                    <w:jc w:val="center"/>
                    <w:rPr>
                      <w:color w:val="auto"/>
                      <w:kern w:val="0"/>
                      <w:szCs w:val="21"/>
                    </w:rPr>
                  </w:pPr>
                  <w:r>
                    <w:rPr>
                      <w:color w:val="auto"/>
                      <w:kern w:val="0"/>
                      <w:szCs w:val="21"/>
                    </w:rPr>
                    <w:t>0.84</w:t>
                  </w:r>
                </w:p>
              </w:tc>
              <w:tc>
                <w:tcPr>
                  <w:tcW w:w="2123" w:type="dxa"/>
                  <w:gridSpan w:val="3"/>
                  <w:vAlign w:val="center"/>
                </w:tcPr>
                <w:p w14:paraId="561B7453">
                  <w:pPr>
                    <w:topLinePunct/>
                    <w:snapToGrid w:val="0"/>
                    <w:jc w:val="center"/>
                    <w:rPr>
                      <w:color w:val="auto"/>
                      <w:kern w:val="0"/>
                      <w:szCs w:val="21"/>
                    </w:rPr>
                  </w:pPr>
                  <w:r>
                    <w:rPr>
                      <w:color w:val="auto"/>
                      <w:kern w:val="0"/>
                      <w:szCs w:val="21"/>
                    </w:rPr>
                    <w:t>0.78</w:t>
                  </w:r>
                </w:p>
                <w:p w14:paraId="2F62439C">
                  <w:pPr>
                    <w:topLinePunct/>
                    <w:snapToGrid w:val="0"/>
                    <w:jc w:val="center"/>
                    <w:rPr>
                      <w:color w:val="auto"/>
                      <w:kern w:val="0"/>
                      <w:szCs w:val="21"/>
                    </w:rPr>
                  </w:pPr>
                  <w:r>
                    <w:rPr>
                      <w:color w:val="auto"/>
                      <w:kern w:val="0"/>
                      <w:szCs w:val="21"/>
                    </w:rPr>
                    <w:t>0.84</w:t>
                  </w:r>
                </w:p>
              </w:tc>
              <w:tc>
                <w:tcPr>
                  <w:tcW w:w="2123" w:type="dxa"/>
                  <w:gridSpan w:val="3"/>
                  <w:vAlign w:val="center"/>
                </w:tcPr>
                <w:p w14:paraId="5651C349">
                  <w:pPr>
                    <w:topLinePunct/>
                    <w:snapToGrid w:val="0"/>
                    <w:jc w:val="center"/>
                    <w:rPr>
                      <w:color w:val="auto"/>
                      <w:kern w:val="0"/>
                      <w:szCs w:val="21"/>
                    </w:rPr>
                  </w:pPr>
                  <w:r>
                    <w:rPr>
                      <w:color w:val="auto"/>
                      <w:kern w:val="0"/>
                      <w:szCs w:val="21"/>
                    </w:rPr>
                    <w:t>0.57</w:t>
                  </w:r>
                </w:p>
                <w:p w14:paraId="1E9AD27E">
                  <w:pPr>
                    <w:topLinePunct/>
                    <w:snapToGrid w:val="0"/>
                    <w:jc w:val="center"/>
                    <w:rPr>
                      <w:color w:val="auto"/>
                      <w:kern w:val="0"/>
                      <w:szCs w:val="21"/>
                    </w:rPr>
                  </w:pPr>
                  <w:r>
                    <w:rPr>
                      <w:color w:val="auto"/>
                      <w:kern w:val="0"/>
                      <w:szCs w:val="21"/>
                    </w:rPr>
                    <w:t>0.76</w:t>
                  </w:r>
                </w:p>
              </w:tc>
            </w:tr>
            <w:tr w14:paraId="6BB0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19" w:type="dxa"/>
                  <w:gridSpan w:val="11"/>
                  <w:vAlign w:val="center"/>
                </w:tcPr>
                <w:p w14:paraId="7DEA4E38">
                  <w:pPr>
                    <w:topLinePunct/>
                    <w:snapToGrid w:val="0"/>
                    <w:rPr>
                      <w:color w:val="auto"/>
                      <w:kern w:val="0"/>
                      <w:szCs w:val="21"/>
                    </w:rPr>
                  </w:pPr>
                  <w:r>
                    <w:rPr>
                      <w:b/>
                      <w:bCs/>
                      <w:color w:val="auto"/>
                      <w:kern w:val="0"/>
                      <w:szCs w:val="21"/>
                    </w:rPr>
                    <w:t>注：</w:t>
                  </w:r>
                  <w:r>
                    <w:rPr>
                      <w:color w:val="auto"/>
                      <w:kern w:val="0"/>
                      <w:szCs w:val="21"/>
                    </w:rPr>
                    <w:t>Ⅰ类：与无组织排放源共存的排放同种有害气体的排气筒的排放量，大于或等于标准规定的允许排放量的1/3者；</w:t>
                  </w:r>
                </w:p>
                <w:p w14:paraId="59478DB6">
                  <w:pPr>
                    <w:topLinePunct/>
                    <w:snapToGrid w:val="0"/>
                    <w:ind w:firstLine="420" w:firstLineChars="200"/>
                    <w:rPr>
                      <w:color w:val="auto"/>
                      <w:kern w:val="0"/>
                      <w:szCs w:val="21"/>
                    </w:rPr>
                  </w:pPr>
                  <w:r>
                    <w:rPr>
                      <w:color w:val="auto"/>
                      <w:kern w:val="0"/>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208FA142">
                  <w:pPr>
                    <w:topLinePunct/>
                    <w:snapToGrid w:val="0"/>
                    <w:ind w:firstLine="420" w:firstLineChars="200"/>
                    <w:rPr>
                      <w:color w:val="auto"/>
                      <w:kern w:val="0"/>
                      <w:szCs w:val="21"/>
                    </w:rPr>
                  </w:pPr>
                  <w:r>
                    <w:rPr>
                      <w:color w:val="auto"/>
                      <w:kern w:val="0"/>
                      <w:szCs w:val="21"/>
                    </w:rPr>
                    <w:t>Ⅲ类：无排放同种有害物质的排气筒与无组织排放源共存，但无组织排放的有害物质的容许浓度是按慢性反应指标确定者。</w:t>
                  </w:r>
                </w:p>
              </w:tc>
            </w:tr>
          </w:tbl>
          <w:p w14:paraId="2012F768">
            <w:pPr>
              <w:pStyle w:val="42"/>
              <w:spacing w:line="360" w:lineRule="auto"/>
              <w:ind w:firstLine="480" w:firstLineChars="200"/>
              <w:rPr>
                <w:rFonts w:hint="default" w:ascii="Times New Roman" w:hAnsi="Times New Roman"/>
                <w:color w:val="auto"/>
                <w:kern w:val="2"/>
                <w:sz w:val="24"/>
              </w:rPr>
            </w:pPr>
            <w:r>
              <w:rPr>
                <w:rFonts w:ascii="Times New Roman" w:hAnsi="Times New Roman"/>
                <w:color w:val="auto"/>
                <w:kern w:val="2"/>
                <w:sz w:val="24"/>
              </w:rPr>
              <w:t>项目卫生防护距离结果详见表4-</w:t>
            </w:r>
            <w:r>
              <w:rPr>
                <w:rFonts w:hint="eastAsia" w:ascii="Times New Roman" w:hAnsi="Times New Roman"/>
                <w:color w:val="auto"/>
                <w:kern w:val="2"/>
                <w:sz w:val="24"/>
                <w:lang w:val="en-US" w:eastAsia="zh-CN"/>
              </w:rPr>
              <w:t>8</w:t>
            </w:r>
            <w:r>
              <w:rPr>
                <w:rFonts w:ascii="Times New Roman" w:hAnsi="Times New Roman"/>
                <w:color w:val="auto"/>
                <w:kern w:val="2"/>
                <w:sz w:val="24"/>
              </w:rPr>
              <w:t>。</w:t>
            </w:r>
          </w:p>
          <w:p w14:paraId="530AC486">
            <w:pPr>
              <w:pStyle w:val="42"/>
              <w:ind w:firstLine="482" w:firstLineChars="200"/>
              <w:jc w:val="center"/>
              <w:rPr>
                <w:rFonts w:hint="default" w:ascii="Times New Roman" w:hAnsi="Times New Roman"/>
                <w:b/>
                <w:bCs/>
                <w:color w:val="auto"/>
                <w:kern w:val="2"/>
                <w:sz w:val="24"/>
              </w:rPr>
            </w:pPr>
            <w:r>
              <w:rPr>
                <w:rFonts w:ascii="Times New Roman" w:hAnsi="Times New Roman"/>
                <w:b/>
                <w:bCs/>
                <w:color w:val="auto"/>
                <w:kern w:val="2"/>
                <w:sz w:val="24"/>
              </w:rPr>
              <w:t>表4-</w:t>
            </w:r>
            <w:r>
              <w:rPr>
                <w:rFonts w:hint="eastAsia" w:ascii="Times New Roman" w:hAnsi="Times New Roman"/>
                <w:b/>
                <w:bCs/>
                <w:color w:val="auto"/>
                <w:kern w:val="2"/>
                <w:sz w:val="24"/>
                <w:lang w:val="en-US" w:eastAsia="zh-CN"/>
              </w:rPr>
              <w:t>8</w:t>
            </w:r>
            <w:r>
              <w:rPr>
                <w:rFonts w:ascii="Times New Roman" w:hAnsi="Times New Roman"/>
                <w:b/>
                <w:bCs/>
                <w:color w:val="auto"/>
                <w:kern w:val="2"/>
                <w:sz w:val="24"/>
              </w:rPr>
              <w:t>项目卫生防护距离一览表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643"/>
              <w:gridCol w:w="2308"/>
              <w:gridCol w:w="2309"/>
            </w:tblGrid>
            <w:tr w14:paraId="0D73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pct"/>
                  <w:vAlign w:val="center"/>
                </w:tcPr>
                <w:p w14:paraId="5BD1614B">
                  <w:pPr>
                    <w:pStyle w:val="42"/>
                    <w:jc w:val="center"/>
                    <w:rPr>
                      <w:rFonts w:hint="default" w:ascii="Times New Roman" w:hAnsi="Times New Roman"/>
                      <w:b/>
                      <w:bCs/>
                      <w:color w:val="auto"/>
                      <w:kern w:val="2"/>
                      <w:szCs w:val="21"/>
                    </w:rPr>
                  </w:pPr>
                  <w:r>
                    <w:rPr>
                      <w:rFonts w:ascii="Times New Roman" w:hAnsi="Times New Roman"/>
                      <w:b/>
                      <w:bCs/>
                      <w:color w:val="auto"/>
                      <w:kern w:val="2"/>
                      <w:szCs w:val="21"/>
                    </w:rPr>
                    <w:t>无组织面源</w:t>
                  </w:r>
                </w:p>
              </w:tc>
              <w:tc>
                <w:tcPr>
                  <w:tcW w:w="968" w:type="pct"/>
                  <w:vAlign w:val="center"/>
                </w:tcPr>
                <w:p w14:paraId="7FAE818A">
                  <w:pPr>
                    <w:pStyle w:val="42"/>
                    <w:jc w:val="center"/>
                    <w:rPr>
                      <w:rFonts w:hint="default" w:ascii="Times New Roman" w:hAnsi="Times New Roman"/>
                      <w:b/>
                      <w:bCs/>
                      <w:color w:val="auto"/>
                      <w:kern w:val="2"/>
                      <w:szCs w:val="21"/>
                    </w:rPr>
                  </w:pPr>
                  <w:r>
                    <w:rPr>
                      <w:rFonts w:ascii="Times New Roman" w:hAnsi="Times New Roman"/>
                      <w:b/>
                      <w:bCs/>
                      <w:color w:val="auto"/>
                      <w:kern w:val="2"/>
                      <w:szCs w:val="21"/>
                    </w:rPr>
                    <w:t>计算因子</w:t>
                  </w:r>
                </w:p>
              </w:tc>
              <w:tc>
                <w:tcPr>
                  <w:tcW w:w="1360" w:type="pct"/>
                  <w:vAlign w:val="center"/>
                </w:tcPr>
                <w:p w14:paraId="0A6D015F">
                  <w:pPr>
                    <w:pStyle w:val="42"/>
                    <w:jc w:val="center"/>
                    <w:rPr>
                      <w:rFonts w:hint="default" w:ascii="Times New Roman" w:hAnsi="Times New Roman"/>
                      <w:b/>
                      <w:bCs/>
                      <w:color w:val="auto"/>
                      <w:kern w:val="2"/>
                      <w:szCs w:val="21"/>
                    </w:rPr>
                  </w:pPr>
                  <w:r>
                    <w:rPr>
                      <w:rFonts w:ascii="Times New Roman" w:hAnsi="Times New Roman"/>
                      <w:b/>
                      <w:bCs/>
                      <w:color w:val="auto"/>
                      <w:kern w:val="2"/>
                      <w:szCs w:val="21"/>
                    </w:rPr>
                    <w:t>卫生防护距离初值（m）</w:t>
                  </w:r>
                </w:p>
              </w:tc>
              <w:tc>
                <w:tcPr>
                  <w:tcW w:w="1360" w:type="pct"/>
                  <w:vAlign w:val="center"/>
                </w:tcPr>
                <w:p w14:paraId="3DF6ED48">
                  <w:pPr>
                    <w:snapToGrid w:val="0"/>
                    <w:jc w:val="center"/>
                    <w:rPr>
                      <w:b/>
                      <w:color w:val="auto"/>
                      <w:kern w:val="21"/>
                      <w:szCs w:val="21"/>
                    </w:rPr>
                  </w:pPr>
                  <w:r>
                    <w:rPr>
                      <w:b/>
                      <w:bCs/>
                      <w:color w:val="auto"/>
                      <w:szCs w:val="21"/>
                    </w:rPr>
                    <w:t>卫生防护距离终值（m）</w:t>
                  </w:r>
                </w:p>
              </w:tc>
            </w:tr>
            <w:tr w14:paraId="4BD0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10" w:type="pct"/>
                  <w:vAlign w:val="center"/>
                </w:tcPr>
                <w:p w14:paraId="57AE5277">
                  <w:pPr>
                    <w:adjustRightInd w:val="0"/>
                    <w:snapToGrid w:val="0"/>
                    <w:jc w:val="center"/>
                    <w:rPr>
                      <w:color w:val="auto"/>
                      <w:szCs w:val="21"/>
                    </w:rPr>
                  </w:pPr>
                  <w:r>
                    <w:rPr>
                      <w:rFonts w:hint="eastAsia"/>
                      <w:color w:val="auto"/>
                      <w:szCs w:val="21"/>
                    </w:rPr>
                    <w:t>7#车间和9#车间</w:t>
                  </w:r>
                </w:p>
              </w:tc>
              <w:tc>
                <w:tcPr>
                  <w:tcW w:w="968" w:type="pct"/>
                  <w:shd w:val="clear" w:color="auto" w:fill="auto"/>
                  <w:vAlign w:val="center"/>
                </w:tcPr>
                <w:p w14:paraId="37780042">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颗粒物</w:t>
                  </w:r>
                </w:p>
              </w:tc>
              <w:tc>
                <w:tcPr>
                  <w:tcW w:w="1360" w:type="pct"/>
                  <w:shd w:val="clear" w:color="auto" w:fill="auto"/>
                  <w:vAlign w:val="center"/>
                </w:tcPr>
                <w:p w14:paraId="230D2E02">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15.149</w:t>
                  </w:r>
                </w:p>
              </w:tc>
              <w:tc>
                <w:tcPr>
                  <w:tcW w:w="1360" w:type="pct"/>
                  <w:shd w:val="clear" w:color="auto" w:fill="auto"/>
                  <w:vAlign w:val="center"/>
                </w:tcPr>
                <w:p w14:paraId="5B6929F6">
                  <w:pPr>
                    <w:jc w:val="center"/>
                    <w:rPr>
                      <w:rFonts w:ascii="Times New Roman" w:hAnsi="Times New Roman" w:eastAsia="宋体" w:cs="Times New Roman"/>
                      <w:color w:val="auto"/>
                      <w:kern w:val="2"/>
                      <w:sz w:val="21"/>
                      <w:szCs w:val="24"/>
                      <w:lang w:val="en-US" w:eastAsia="zh-CN" w:bidi="ar-SA"/>
                    </w:rPr>
                  </w:pPr>
                  <w:r>
                    <w:rPr>
                      <w:rFonts w:hint="eastAsia"/>
                      <w:color w:val="auto"/>
                    </w:rPr>
                    <w:t>50</w:t>
                  </w:r>
                </w:p>
              </w:tc>
            </w:tr>
          </w:tbl>
          <w:p w14:paraId="7C650272">
            <w:pPr>
              <w:pStyle w:val="42"/>
              <w:spacing w:line="360" w:lineRule="auto"/>
              <w:ind w:firstLine="480" w:firstLineChars="200"/>
              <w:rPr>
                <w:rFonts w:hint="default"/>
                <w:color w:val="auto"/>
                <w:sz w:val="24"/>
                <w:szCs w:val="20"/>
              </w:rPr>
            </w:pPr>
            <w:r>
              <w:rPr>
                <w:rFonts w:ascii="Times New Roman" w:hAnsi="Times New Roman"/>
                <w:color w:val="auto"/>
                <w:kern w:val="2"/>
                <w:sz w:val="24"/>
              </w:rPr>
              <w:t>综上分析，确定本项目卫生防护距离为项目以7#车间和9#车间边界外50m。根据项目周围环境，厂房边界外50m范围内无村庄、居民区等敏感点及医药、食品等对环境要求较高的企业，符合卫生防护距离要求。</w:t>
            </w:r>
            <w:r>
              <w:rPr>
                <w:color w:val="auto"/>
                <w:sz w:val="24"/>
                <w:szCs w:val="20"/>
              </w:rPr>
              <w:t>项目卫生防护距离包络线图详见附图</w:t>
            </w:r>
            <w:r>
              <w:rPr>
                <w:rFonts w:ascii="Times New Roman" w:hAnsi="Times New Roman"/>
                <w:color w:val="auto"/>
                <w:sz w:val="24"/>
                <w:szCs w:val="20"/>
              </w:rPr>
              <w:t>9</w:t>
            </w:r>
            <w:r>
              <w:rPr>
                <w:color w:val="auto"/>
                <w:sz w:val="24"/>
                <w:szCs w:val="20"/>
              </w:rPr>
              <w:t>。</w:t>
            </w:r>
          </w:p>
          <w:p w14:paraId="2F801F4F">
            <w:pPr>
              <w:adjustRightInd w:val="0"/>
              <w:snapToGrid w:val="0"/>
              <w:spacing w:line="360" w:lineRule="auto"/>
              <w:ind w:firstLine="442" w:firstLineChars="200"/>
              <w:rPr>
                <w:rFonts w:ascii="宋体" w:hAnsi="宋体" w:cs="宋体"/>
                <w:b/>
                <w:color w:val="auto"/>
                <w:spacing w:val="-10"/>
                <w:sz w:val="24"/>
              </w:rPr>
            </w:pPr>
            <w:r>
              <w:rPr>
                <w:b/>
                <w:color w:val="auto"/>
                <w:spacing w:val="-10"/>
                <w:sz w:val="24"/>
              </w:rPr>
              <w:t>6</w:t>
            </w:r>
            <w:r>
              <w:rPr>
                <w:rFonts w:hint="eastAsia" w:ascii="宋体" w:hAnsi="宋体" w:cs="宋体"/>
                <w:b/>
                <w:color w:val="auto"/>
                <w:spacing w:val="-10"/>
                <w:sz w:val="24"/>
              </w:rPr>
              <w:t>、</w:t>
            </w:r>
            <w:r>
              <w:rPr>
                <w:rFonts w:ascii="宋体" w:hAnsi="宋体" w:cs="宋体"/>
                <w:b/>
                <w:color w:val="auto"/>
                <w:spacing w:val="-10"/>
                <w:sz w:val="24"/>
              </w:rPr>
              <w:t>废气监测计划</w:t>
            </w:r>
          </w:p>
          <w:p w14:paraId="360A7D69">
            <w:pPr>
              <w:adjustRightInd w:val="0"/>
              <w:snapToGrid w:val="0"/>
              <w:spacing w:line="360" w:lineRule="auto"/>
              <w:ind w:firstLine="480" w:firstLineChars="200"/>
              <w:rPr>
                <w:rFonts w:cs="宋体"/>
                <w:color w:val="auto"/>
                <w:sz w:val="24"/>
              </w:rPr>
            </w:pPr>
            <w:r>
              <w:rPr>
                <w:rFonts w:hint="eastAsia" w:cs="宋体"/>
                <w:color w:val="auto"/>
                <w:sz w:val="24"/>
              </w:rPr>
              <w:t>根据《排污单位自行监测技术指南电子工业》（HJ1253-2022）中自行监测要求。项目废气监测计划安排如下表4-</w:t>
            </w:r>
            <w:r>
              <w:rPr>
                <w:rFonts w:hint="eastAsia" w:cs="宋体"/>
                <w:color w:val="auto"/>
                <w:sz w:val="24"/>
                <w:lang w:val="en-US" w:eastAsia="zh-CN"/>
              </w:rPr>
              <w:t>9</w:t>
            </w:r>
            <w:r>
              <w:rPr>
                <w:rFonts w:hint="eastAsia" w:cs="宋体"/>
                <w:color w:val="auto"/>
                <w:sz w:val="24"/>
              </w:rPr>
              <w:t>。</w:t>
            </w:r>
          </w:p>
          <w:p w14:paraId="67F89936">
            <w:pPr>
              <w:pStyle w:val="7"/>
              <w:topLinePunct/>
              <w:spacing w:after="0"/>
              <w:ind w:left="0" w:leftChars="0"/>
              <w:jc w:val="center"/>
              <w:rPr>
                <w:color w:val="auto"/>
              </w:rPr>
            </w:pPr>
            <w:r>
              <w:rPr>
                <w:rFonts w:hint="eastAsia"/>
                <w:b/>
                <w:bCs/>
                <w:color w:val="auto"/>
              </w:rPr>
              <w:t>表4-</w:t>
            </w:r>
            <w:r>
              <w:rPr>
                <w:rFonts w:hint="eastAsia"/>
                <w:b/>
                <w:bCs/>
                <w:color w:val="auto"/>
                <w:lang w:val="en-US" w:eastAsia="zh-CN"/>
              </w:rPr>
              <w:t>9</w:t>
            </w:r>
            <w:r>
              <w:rPr>
                <w:rFonts w:hint="eastAsia"/>
                <w:b/>
                <w:bCs/>
                <w:color w:val="auto"/>
              </w:rPr>
              <w:t>废气监测情况一览表</w:t>
            </w:r>
          </w:p>
          <w:tbl>
            <w:tblPr>
              <w:tblStyle w:val="24"/>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1"/>
              <w:gridCol w:w="2129"/>
              <w:gridCol w:w="3558"/>
              <w:gridCol w:w="1986"/>
            </w:tblGrid>
            <w:tr w14:paraId="56E5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21" w:type="dxa"/>
                  <w:vAlign w:val="center"/>
                </w:tcPr>
                <w:p w14:paraId="19DC9C64">
                  <w:pPr>
                    <w:topLinePunct/>
                    <w:adjustRightInd w:val="0"/>
                    <w:snapToGrid w:val="0"/>
                    <w:jc w:val="center"/>
                    <w:rPr>
                      <w:b/>
                      <w:color w:val="auto"/>
                      <w:spacing w:val="4"/>
                      <w:kern w:val="18"/>
                      <w:szCs w:val="21"/>
                    </w:rPr>
                  </w:pPr>
                  <w:r>
                    <w:rPr>
                      <w:b/>
                      <w:color w:val="auto"/>
                      <w:spacing w:val="4"/>
                      <w:kern w:val="18"/>
                      <w:szCs w:val="21"/>
                    </w:rPr>
                    <w:t>项目</w:t>
                  </w:r>
                </w:p>
              </w:tc>
              <w:tc>
                <w:tcPr>
                  <w:tcW w:w="2129" w:type="dxa"/>
                  <w:vAlign w:val="center"/>
                </w:tcPr>
                <w:p w14:paraId="5FB4A264">
                  <w:pPr>
                    <w:topLinePunct/>
                    <w:adjustRightInd w:val="0"/>
                    <w:snapToGrid w:val="0"/>
                    <w:jc w:val="center"/>
                    <w:rPr>
                      <w:b/>
                      <w:color w:val="auto"/>
                      <w:spacing w:val="4"/>
                      <w:kern w:val="18"/>
                      <w:szCs w:val="21"/>
                    </w:rPr>
                  </w:pPr>
                  <w:r>
                    <w:rPr>
                      <w:b/>
                      <w:color w:val="auto"/>
                      <w:spacing w:val="4"/>
                      <w:kern w:val="18"/>
                      <w:szCs w:val="21"/>
                    </w:rPr>
                    <w:t>监测</w:t>
                  </w:r>
                  <w:r>
                    <w:rPr>
                      <w:rFonts w:hint="eastAsia"/>
                      <w:b/>
                      <w:color w:val="auto"/>
                      <w:spacing w:val="4"/>
                      <w:kern w:val="18"/>
                      <w:szCs w:val="21"/>
                    </w:rPr>
                    <w:t>点位</w:t>
                  </w:r>
                </w:p>
              </w:tc>
              <w:tc>
                <w:tcPr>
                  <w:tcW w:w="3558" w:type="dxa"/>
                  <w:vAlign w:val="center"/>
                </w:tcPr>
                <w:p w14:paraId="610D5EB3">
                  <w:pPr>
                    <w:topLinePunct/>
                    <w:adjustRightInd w:val="0"/>
                    <w:snapToGrid w:val="0"/>
                    <w:jc w:val="center"/>
                    <w:rPr>
                      <w:b/>
                      <w:color w:val="auto"/>
                      <w:spacing w:val="4"/>
                      <w:kern w:val="18"/>
                      <w:szCs w:val="21"/>
                    </w:rPr>
                  </w:pPr>
                  <w:r>
                    <w:rPr>
                      <w:b/>
                      <w:color w:val="auto"/>
                      <w:spacing w:val="4"/>
                      <w:kern w:val="18"/>
                      <w:szCs w:val="21"/>
                    </w:rPr>
                    <w:t>监测</w:t>
                  </w:r>
                  <w:r>
                    <w:rPr>
                      <w:rFonts w:hint="eastAsia"/>
                      <w:b/>
                      <w:color w:val="auto"/>
                      <w:spacing w:val="4"/>
                      <w:kern w:val="18"/>
                      <w:szCs w:val="21"/>
                    </w:rPr>
                    <w:t>因子</w:t>
                  </w:r>
                </w:p>
              </w:tc>
              <w:tc>
                <w:tcPr>
                  <w:tcW w:w="1986" w:type="dxa"/>
                  <w:vAlign w:val="center"/>
                </w:tcPr>
                <w:p w14:paraId="2D1CFD71">
                  <w:pPr>
                    <w:topLinePunct/>
                    <w:adjustRightInd w:val="0"/>
                    <w:snapToGrid w:val="0"/>
                    <w:jc w:val="center"/>
                    <w:rPr>
                      <w:b/>
                      <w:color w:val="auto"/>
                      <w:spacing w:val="4"/>
                      <w:kern w:val="18"/>
                      <w:szCs w:val="21"/>
                    </w:rPr>
                  </w:pPr>
                  <w:r>
                    <w:rPr>
                      <w:b/>
                      <w:color w:val="auto"/>
                      <w:spacing w:val="4"/>
                      <w:kern w:val="18"/>
                      <w:szCs w:val="21"/>
                    </w:rPr>
                    <w:t>监测频次</w:t>
                  </w:r>
                </w:p>
              </w:tc>
            </w:tr>
            <w:tr w14:paraId="3CB4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21" w:type="dxa"/>
                  <w:vAlign w:val="center"/>
                </w:tcPr>
                <w:p w14:paraId="112D395A">
                  <w:pPr>
                    <w:topLinePunct/>
                    <w:adjustRightInd w:val="0"/>
                    <w:snapToGrid w:val="0"/>
                    <w:jc w:val="center"/>
                    <w:rPr>
                      <w:bCs/>
                      <w:color w:val="auto"/>
                      <w:spacing w:val="4"/>
                      <w:kern w:val="18"/>
                      <w:szCs w:val="21"/>
                    </w:rPr>
                  </w:pPr>
                  <w:r>
                    <w:rPr>
                      <w:rFonts w:hint="eastAsia"/>
                      <w:bCs/>
                      <w:color w:val="auto"/>
                      <w:spacing w:val="4"/>
                      <w:kern w:val="18"/>
                      <w:szCs w:val="21"/>
                    </w:rPr>
                    <w:t>废气</w:t>
                  </w:r>
                </w:p>
              </w:tc>
              <w:tc>
                <w:tcPr>
                  <w:tcW w:w="2129" w:type="dxa"/>
                  <w:shd w:val="clear" w:color="auto" w:fill="auto"/>
                  <w:vAlign w:val="center"/>
                </w:tcPr>
                <w:p w14:paraId="345C0BEC">
                  <w:pPr>
                    <w:topLinePunct/>
                    <w:adjustRightInd w:val="0"/>
                    <w:snapToGrid w:val="0"/>
                    <w:jc w:val="center"/>
                    <w:rPr>
                      <w:bCs/>
                      <w:color w:val="auto"/>
                      <w:spacing w:val="4"/>
                      <w:kern w:val="18"/>
                      <w:szCs w:val="21"/>
                    </w:rPr>
                  </w:pPr>
                  <w:r>
                    <w:rPr>
                      <w:rFonts w:hint="eastAsia"/>
                      <w:bCs/>
                      <w:color w:val="auto"/>
                      <w:spacing w:val="4"/>
                      <w:kern w:val="18"/>
                      <w:szCs w:val="21"/>
                    </w:rPr>
                    <w:t>厂界</w:t>
                  </w:r>
                </w:p>
              </w:tc>
              <w:tc>
                <w:tcPr>
                  <w:tcW w:w="3558" w:type="dxa"/>
                  <w:shd w:val="clear" w:color="auto" w:fill="auto"/>
                  <w:vAlign w:val="center"/>
                </w:tcPr>
                <w:p w14:paraId="41B6F66E">
                  <w:pPr>
                    <w:topLinePunct/>
                    <w:adjustRightInd w:val="0"/>
                    <w:snapToGrid w:val="0"/>
                    <w:jc w:val="center"/>
                    <w:rPr>
                      <w:bCs/>
                      <w:color w:val="auto"/>
                      <w:spacing w:val="4"/>
                      <w:kern w:val="18"/>
                      <w:szCs w:val="21"/>
                    </w:rPr>
                  </w:pPr>
                  <w:r>
                    <w:rPr>
                      <w:rFonts w:hint="eastAsia"/>
                      <w:bCs/>
                      <w:color w:val="auto"/>
                      <w:spacing w:val="4"/>
                      <w:kern w:val="18"/>
                      <w:szCs w:val="21"/>
                    </w:rPr>
                    <w:t>颗粒物、非甲烷总烃</w:t>
                  </w:r>
                </w:p>
              </w:tc>
              <w:tc>
                <w:tcPr>
                  <w:tcW w:w="1986" w:type="dxa"/>
                  <w:shd w:val="clear" w:color="auto" w:fill="auto"/>
                  <w:vAlign w:val="center"/>
                </w:tcPr>
                <w:p w14:paraId="7C5A222F">
                  <w:pPr>
                    <w:pStyle w:val="50"/>
                    <w:tabs>
                      <w:tab w:val="left" w:pos="1021"/>
                    </w:tabs>
                    <w:topLinePunct/>
                    <w:spacing w:beforeLines="0" w:afterLines="0" w:line="240" w:lineRule="auto"/>
                    <w:rPr>
                      <w:rFonts w:ascii="Times New Roman"/>
                      <w:color w:val="auto"/>
                      <w:szCs w:val="21"/>
                    </w:rPr>
                  </w:pPr>
                  <w:r>
                    <w:rPr>
                      <w:rFonts w:hint="eastAsia" w:ascii="Times New Roman"/>
                      <w:color w:val="auto"/>
                      <w:szCs w:val="21"/>
                    </w:rPr>
                    <w:t>1</w:t>
                  </w:r>
                  <w:r>
                    <w:rPr>
                      <w:rFonts w:ascii="Times New Roman"/>
                      <w:color w:val="auto"/>
                      <w:szCs w:val="21"/>
                    </w:rPr>
                    <w:t>次</w:t>
                  </w:r>
                  <w:r>
                    <w:rPr>
                      <w:rFonts w:hint="eastAsia" w:ascii="Times New Roman"/>
                      <w:color w:val="auto"/>
                      <w:szCs w:val="21"/>
                    </w:rPr>
                    <w:t>/年</w:t>
                  </w:r>
                </w:p>
              </w:tc>
            </w:tr>
          </w:tbl>
          <w:p w14:paraId="294A61BE">
            <w:pPr>
              <w:adjustRightInd w:val="0"/>
              <w:snapToGrid w:val="0"/>
              <w:spacing w:line="360" w:lineRule="auto"/>
              <w:ind w:firstLine="482" w:firstLineChars="200"/>
              <w:rPr>
                <w:rFonts w:cs="宋体"/>
                <w:b/>
                <w:bCs/>
                <w:color w:val="auto"/>
                <w:sz w:val="24"/>
              </w:rPr>
            </w:pPr>
            <w:r>
              <w:rPr>
                <w:rFonts w:hint="eastAsia" w:cs="宋体"/>
                <w:b/>
                <w:bCs/>
                <w:color w:val="auto"/>
                <w:sz w:val="24"/>
              </w:rPr>
              <w:t>9、废气排放影响结论</w:t>
            </w:r>
          </w:p>
          <w:p w14:paraId="141AF1BB">
            <w:pPr>
              <w:adjustRightInd w:val="0"/>
              <w:snapToGrid w:val="0"/>
              <w:spacing w:line="360" w:lineRule="auto"/>
              <w:ind w:firstLine="480" w:firstLineChars="200"/>
              <w:rPr>
                <w:rFonts w:cs="宋体"/>
                <w:color w:val="auto"/>
                <w:sz w:val="24"/>
              </w:rPr>
            </w:pPr>
            <w:r>
              <w:rPr>
                <w:rFonts w:hint="eastAsia" w:cs="宋体"/>
                <w:color w:val="auto"/>
                <w:sz w:val="24"/>
              </w:rPr>
              <w:t>本项目评价区域内环境空气现状质量良好，</w:t>
            </w:r>
            <w:r>
              <w:rPr>
                <w:rFonts w:cs="宋体"/>
                <w:color w:val="auto"/>
                <w:sz w:val="24"/>
              </w:rPr>
              <w:t>符合功能区划要求，项目</w:t>
            </w:r>
            <w:r>
              <w:rPr>
                <w:rFonts w:hint="eastAsia" w:cs="宋体"/>
                <w:color w:val="auto"/>
                <w:sz w:val="24"/>
              </w:rPr>
              <w:t>500米范围内无居民区</w:t>
            </w:r>
            <w:r>
              <w:rPr>
                <w:rFonts w:cs="宋体"/>
                <w:color w:val="auto"/>
                <w:sz w:val="24"/>
              </w:rPr>
              <w:t>，</w:t>
            </w:r>
            <w:r>
              <w:rPr>
                <w:rFonts w:hint="eastAsia" w:cs="宋体"/>
                <w:color w:val="auto"/>
                <w:sz w:val="24"/>
              </w:rPr>
              <w:t>项目运营期产生的废气各污染因子均能达标排放。因此，本项目建成后大气环境影响可接受，项目大气污染物排放方案可行。</w:t>
            </w:r>
          </w:p>
          <w:p w14:paraId="7461C3B1">
            <w:pPr>
              <w:pBdr>
                <w:top w:val="none" w:color="auto" w:sz="0" w:space="1"/>
                <w:left w:val="none" w:color="auto" w:sz="0" w:space="4"/>
                <w:bottom w:val="none" w:color="auto" w:sz="0" w:space="1"/>
                <w:right w:val="none" w:color="auto" w:sz="0" w:space="4"/>
              </w:pBdr>
              <w:topLinePunct/>
              <w:spacing w:line="360" w:lineRule="auto"/>
              <w:ind w:firstLine="482" w:firstLineChars="200"/>
              <w:rPr>
                <w:b/>
                <w:bCs/>
                <w:color w:val="auto"/>
                <w:sz w:val="24"/>
              </w:rPr>
            </w:pPr>
            <w:r>
              <w:rPr>
                <w:rFonts w:hint="eastAsia"/>
                <w:b/>
                <w:bCs/>
                <w:color w:val="auto"/>
                <w:sz w:val="24"/>
              </w:rPr>
              <w:t>二、</w:t>
            </w:r>
            <w:r>
              <w:rPr>
                <w:b/>
                <w:bCs/>
                <w:color w:val="auto"/>
                <w:sz w:val="24"/>
              </w:rPr>
              <w:t>水污染物环境影响和防治措施</w:t>
            </w:r>
          </w:p>
          <w:p w14:paraId="46E1395A">
            <w:pPr>
              <w:adjustRightInd w:val="0"/>
              <w:snapToGrid w:val="0"/>
              <w:spacing w:line="360" w:lineRule="auto"/>
              <w:ind w:firstLine="480" w:firstLineChars="200"/>
              <w:rPr>
                <w:rFonts w:cs="宋体"/>
                <w:color w:val="auto"/>
                <w:sz w:val="24"/>
              </w:rPr>
            </w:pPr>
            <w:r>
              <w:rPr>
                <w:rFonts w:hint="eastAsia" w:cs="宋体"/>
                <w:color w:val="auto"/>
                <w:sz w:val="24"/>
              </w:rPr>
              <w:t>本项目运营期间产生的废水主要为生活污水、机加工产品的生产废水。</w:t>
            </w:r>
          </w:p>
          <w:p w14:paraId="564BC75F">
            <w:pPr>
              <w:adjustRightInd w:val="0"/>
              <w:snapToGrid w:val="0"/>
              <w:spacing w:line="360" w:lineRule="auto"/>
              <w:ind w:firstLine="482" w:firstLineChars="200"/>
              <w:rPr>
                <w:rFonts w:cs="宋体"/>
                <w:b/>
                <w:bCs/>
                <w:color w:val="auto"/>
                <w:sz w:val="24"/>
              </w:rPr>
            </w:pPr>
            <w:r>
              <w:rPr>
                <w:rFonts w:hint="eastAsia" w:cs="宋体"/>
                <w:b/>
                <w:bCs/>
                <w:color w:val="auto"/>
                <w:sz w:val="24"/>
              </w:rPr>
              <w:t>（1）生活污水</w:t>
            </w:r>
          </w:p>
          <w:p w14:paraId="78B6359A">
            <w:pPr>
              <w:adjustRightInd w:val="0"/>
              <w:snapToGrid w:val="0"/>
              <w:spacing w:line="360" w:lineRule="auto"/>
              <w:ind w:firstLine="480" w:firstLineChars="200"/>
              <w:rPr>
                <w:rStyle w:val="31"/>
                <w:color w:val="auto"/>
                <w:sz w:val="24"/>
              </w:rPr>
            </w:pPr>
            <w:r>
              <w:rPr>
                <w:color w:val="auto"/>
                <w:sz w:val="24"/>
              </w:rPr>
              <w:t>本项目劳动定员员工人数为</w:t>
            </w:r>
            <w:r>
              <w:rPr>
                <w:rFonts w:hint="eastAsia"/>
                <w:color w:val="auto"/>
                <w:sz w:val="24"/>
              </w:rPr>
              <w:t>213</w:t>
            </w:r>
            <w:r>
              <w:rPr>
                <w:color w:val="auto"/>
                <w:sz w:val="24"/>
              </w:rPr>
              <w:t>人，根据《江西省生活用水定额》（DB36</w:t>
            </w:r>
            <w:r>
              <w:rPr>
                <w:rFonts w:hint="eastAsia"/>
                <w:color w:val="auto"/>
                <w:sz w:val="24"/>
              </w:rPr>
              <w:t>/</w:t>
            </w:r>
            <w:r>
              <w:rPr>
                <w:color w:val="auto"/>
                <w:sz w:val="24"/>
              </w:rPr>
              <w:t>T419-2017）</w:t>
            </w:r>
            <w:r>
              <w:rPr>
                <w:rFonts w:hint="eastAsia"/>
                <w:color w:val="auto"/>
                <w:sz w:val="24"/>
              </w:rPr>
              <w:t>及经开区用水现状</w:t>
            </w:r>
            <w:r>
              <w:rPr>
                <w:color w:val="auto"/>
                <w:sz w:val="24"/>
              </w:rPr>
              <w:t>，</w:t>
            </w:r>
            <w:r>
              <w:rPr>
                <w:rFonts w:hint="eastAsia"/>
                <w:color w:val="auto"/>
                <w:sz w:val="24"/>
              </w:rPr>
              <w:t>员工约60人在厂区内食宿，非食宿生活用水量按46</w:t>
            </w:r>
            <w:r>
              <w:rPr>
                <w:color w:val="auto"/>
                <w:sz w:val="24"/>
              </w:rPr>
              <w:t>L/人·d</w:t>
            </w:r>
            <w:r>
              <w:rPr>
                <w:rFonts w:hint="eastAsia"/>
                <w:color w:val="auto"/>
                <w:sz w:val="24"/>
              </w:rPr>
              <w:t>计，食宿</w:t>
            </w:r>
            <w:r>
              <w:rPr>
                <w:color w:val="auto"/>
                <w:sz w:val="24"/>
              </w:rPr>
              <w:t>生活用水量按</w:t>
            </w:r>
            <w:r>
              <w:rPr>
                <w:rFonts w:hint="eastAsia"/>
                <w:color w:val="auto"/>
                <w:sz w:val="24"/>
              </w:rPr>
              <w:t>137</w:t>
            </w:r>
            <w:r>
              <w:rPr>
                <w:color w:val="auto"/>
                <w:sz w:val="24"/>
              </w:rPr>
              <w:t>L/人·d</w:t>
            </w:r>
            <w:r>
              <w:rPr>
                <w:rFonts w:hint="eastAsia"/>
                <w:color w:val="auto"/>
                <w:sz w:val="24"/>
              </w:rPr>
              <w:t>计</w:t>
            </w:r>
            <w:r>
              <w:rPr>
                <w:color w:val="auto"/>
                <w:sz w:val="24"/>
              </w:rPr>
              <w:t>，则生活</w:t>
            </w:r>
            <w:r>
              <w:rPr>
                <w:rFonts w:hint="eastAsia"/>
                <w:color w:val="auto"/>
                <w:sz w:val="24"/>
              </w:rPr>
              <w:t>用水</w:t>
            </w:r>
            <w:r>
              <w:rPr>
                <w:color w:val="auto"/>
                <w:sz w:val="24"/>
              </w:rPr>
              <w:t>产生量为</w:t>
            </w:r>
            <w:bookmarkStart w:id="25" w:name="OLE_LINK10"/>
            <w:r>
              <w:rPr>
                <w:rFonts w:hint="eastAsia"/>
                <w:color w:val="auto"/>
                <w:sz w:val="24"/>
              </w:rPr>
              <w:t>15.258</w:t>
            </w:r>
            <w:bookmarkEnd w:id="25"/>
            <w:r>
              <w:rPr>
                <w:color w:val="auto"/>
                <w:sz w:val="24"/>
              </w:rPr>
              <w:t>m</w:t>
            </w:r>
            <w:r>
              <w:rPr>
                <w:color w:val="auto"/>
                <w:sz w:val="24"/>
                <w:vertAlign w:val="superscript"/>
              </w:rPr>
              <w:t>3</w:t>
            </w:r>
            <w:r>
              <w:rPr>
                <w:color w:val="auto"/>
                <w:sz w:val="24"/>
              </w:rPr>
              <w:t>/d</w:t>
            </w:r>
            <w:r>
              <w:rPr>
                <w:rFonts w:hint="eastAsia"/>
                <w:color w:val="auto"/>
                <w:sz w:val="24"/>
              </w:rPr>
              <w:t>（4577.4</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）。生活污水中各种污染物浓度分别为CODcr250mg/L、BOD</w:t>
            </w:r>
            <w:r>
              <w:rPr>
                <w:color w:val="auto"/>
                <w:sz w:val="24"/>
                <w:vertAlign w:val="subscript"/>
              </w:rPr>
              <w:t>5</w:t>
            </w:r>
            <w:r>
              <w:rPr>
                <w:color w:val="auto"/>
                <w:sz w:val="24"/>
              </w:rPr>
              <w:t>1</w:t>
            </w:r>
            <w:r>
              <w:rPr>
                <w:rFonts w:hint="eastAsia"/>
                <w:color w:val="auto"/>
                <w:sz w:val="24"/>
                <w:lang w:val="en-US" w:eastAsia="zh-CN"/>
              </w:rPr>
              <w:t>5</w:t>
            </w:r>
            <w:r>
              <w:rPr>
                <w:color w:val="auto"/>
                <w:sz w:val="24"/>
              </w:rPr>
              <w:t>0mg/L、SS200mg/L、NH</w:t>
            </w:r>
            <w:r>
              <w:rPr>
                <w:color w:val="auto"/>
                <w:sz w:val="24"/>
                <w:vertAlign w:val="subscript"/>
              </w:rPr>
              <w:t>3</w:t>
            </w:r>
            <w:r>
              <w:rPr>
                <w:color w:val="auto"/>
                <w:sz w:val="24"/>
              </w:rPr>
              <w:t>-N2</w:t>
            </w:r>
            <w:r>
              <w:rPr>
                <w:rFonts w:hint="eastAsia"/>
                <w:color w:val="auto"/>
                <w:sz w:val="24"/>
              </w:rPr>
              <w:t>5</w:t>
            </w:r>
            <w:r>
              <w:rPr>
                <w:color w:val="auto"/>
                <w:sz w:val="24"/>
              </w:rPr>
              <w:t>mg/L。排污系数按0.8计，则生活污水产生量为</w:t>
            </w:r>
            <w:bookmarkStart w:id="26" w:name="OLE_LINK11"/>
            <w:r>
              <w:rPr>
                <w:rFonts w:hint="eastAsia"/>
                <w:color w:val="auto"/>
                <w:sz w:val="24"/>
              </w:rPr>
              <w:t>12.206</w:t>
            </w:r>
            <w:bookmarkEnd w:id="26"/>
            <w:r>
              <w:rPr>
                <w:color w:val="auto"/>
                <w:sz w:val="24"/>
              </w:rPr>
              <w:t>m</w:t>
            </w:r>
            <w:r>
              <w:rPr>
                <w:color w:val="auto"/>
                <w:sz w:val="24"/>
                <w:vertAlign w:val="superscript"/>
              </w:rPr>
              <w:t>3</w:t>
            </w:r>
            <w:r>
              <w:rPr>
                <w:color w:val="auto"/>
                <w:sz w:val="24"/>
              </w:rPr>
              <w:t>/d（</w:t>
            </w:r>
            <w:r>
              <w:rPr>
                <w:rFonts w:hint="eastAsia"/>
                <w:color w:val="auto"/>
                <w:sz w:val="24"/>
              </w:rPr>
              <w:t>3661.92</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w:t>
            </w:r>
            <w:r>
              <w:rPr>
                <w:rFonts w:hint="eastAsia"/>
                <w:color w:val="auto"/>
                <w:sz w:val="24"/>
              </w:rPr>
              <w:t>。本项目生活污水依托</w:t>
            </w:r>
            <w:r>
              <w:rPr>
                <w:rStyle w:val="31"/>
                <w:rFonts w:hint="eastAsia"/>
                <w:color w:val="auto"/>
                <w:sz w:val="24"/>
              </w:rPr>
              <w:t>一期工程中化粪池+混合废水处理系统（TW012）+中水回用系统（TW013）处理后进入排水池与一期废水通过园区污水管网接入新能源汽车科技城污水处理厂（一期）进一步处理，经新能源汽车科技城污水处理厂（一期）处理达《城镇污水处理厂污染物排放标准》（GB18918-2002）一级A标准后通过市政污水管网接入白塔污水处理厂（城市生活污水处理厂），尾水最终排入赣江。</w:t>
            </w:r>
          </w:p>
          <w:p w14:paraId="0193C9D4">
            <w:pPr>
              <w:adjustRightInd w:val="0"/>
              <w:snapToGrid w:val="0"/>
              <w:spacing w:line="360" w:lineRule="auto"/>
              <w:ind w:firstLine="482" w:firstLineChars="200"/>
              <w:rPr>
                <w:rFonts w:cs="宋体"/>
                <w:b/>
                <w:bCs/>
                <w:color w:val="auto"/>
                <w:sz w:val="24"/>
              </w:rPr>
            </w:pPr>
            <w:r>
              <w:rPr>
                <w:rFonts w:hint="eastAsia" w:cs="宋体"/>
                <w:b/>
                <w:bCs/>
                <w:color w:val="auto"/>
                <w:sz w:val="24"/>
              </w:rPr>
              <w:t>（2）机加工生产废水产生环节、产排浓度和产排量</w:t>
            </w:r>
          </w:p>
          <w:p w14:paraId="74B61C4A">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①粗磨、切割、精磨、成型用水</w:t>
            </w:r>
          </w:p>
          <w:p w14:paraId="7A7798D5">
            <w:pPr>
              <w:adjustRightInd w:val="0"/>
              <w:snapToGrid w:val="0"/>
              <w:spacing w:line="360" w:lineRule="auto"/>
              <w:ind w:firstLine="480" w:firstLineChars="200"/>
              <w:rPr>
                <w:rFonts w:cs="宋体"/>
                <w:color w:val="auto"/>
                <w:sz w:val="24"/>
              </w:rPr>
            </w:pPr>
            <w:r>
              <w:rPr>
                <w:rFonts w:hint="eastAsia" w:cs="宋体"/>
                <w:color w:val="auto"/>
                <w:sz w:val="24"/>
              </w:rPr>
              <w:t>项目在粗磨、多线切割、倒边精磨、振动倒角（成型）共配有7个循环水池进行湿法作业和降温，水池均位于7#车间1F，粗磨、切割、精磨、成型磨废水循环使用，不外排，</w:t>
            </w:r>
            <w:r>
              <w:rPr>
                <w:rFonts w:hint="eastAsia"/>
                <w:color w:val="auto"/>
                <w:kern w:val="0"/>
                <w:sz w:val="24"/>
              </w:rPr>
              <w:t>循环水在循环和使用的过程中水会产生损耗，定期补充新鲜水，根据建设单位提供资料，损耗本项目按3%计。</w:t>
            </w:r>
          </w:p>
          <w:p w14:paraId="0EBCAD57">
            <w:pPr>
              <w:adjustRightInd w:val="0"/>
              <w:snapToGrid w:val="0"/>
              <w:jc w:val="center"/>
              <w:rPr>
                <w:b/>
                <w:bCs/>
                <w:snapToGrid w:val="0"/>
                <w:color w:val="auto"/>
                <w:kern w:val="0"/>
                <w:sz w:val="24"/>
              </w:rPr>
            </w:pPr>
            <w:r>
              <w:rPr>
                <w:rFonts w:hint="eastAsia"/>
                <w:b/>
                <w:bCs/>
                <w:snapToGrid w:val="0"/>
                <w:color w:val="auto"/>
                <w:kern w:val="0"/>
                <w:sz w:val="24"/>
              </w:rPr>
              <w:t>表4-</w:t>
            </w:r>
            <w:r>
              <w:rPr>
                <w:rFonts w:hint="eastAsia"/>
                <w:b/>
                <w:bCs/>
                <w:snapToGrid w:val="0"/>
                <w:color w:val="auto"/>
                <w:kern w:val="0"/>
                <w:sz w:val="24"/>
                <w:lang w:val="en-US" w:eastAsia="zh-CN"/>
              </w:rPr>
              <w:t>10</w:t>
            </w:r>
            <w:r>
              <w:rPr>
                <w:rFonts w:hint="eastAsia"/>
                <w:b/>
                <w:bCs/>
                <w:snapToGrid w:val="0"/>
                <w:color w:val="auto"/>
                <w:kern w:val="0"/>
                <w:sz w:val="24"/>
              </w:rPr>
              <w:t>项目水池用水情况表</w:t>
            </w:r>
          </w:p>
          <w:tbl>
            <w:tblPr>
              <w:tblStyle w:val="24"/>
              <w:tblW w:w="8494" w:type="dxa"/>
              <w:tblInd w:w="0" w:type="dxa"/>
              <w:tblLayout w:type="fixed"/>
              <w:tblCellMar>
                <w:top w:w="0" w:type="dxa"/>
                <w:left w:w="108" w:type="dxa"/>
                <w:bottom w:w="0" w:type="dxa"/>
                <w:right w:w="108" w:type="dxa"/>
              </w:tblCellMar>
            </w:tblPr>
            <w:tblGrid>
              <w:gridCol w:w="1055"/>
              <w:gridCol w:w="1764"/>
              <w:gridCol w:w="1060"/>
              <w:gridCol w:w="760"/>
              <w:gridCol w:w="1286"/>
              <w:gridCol w:w="1283"/>
              <w:gridCol w:w="1286"/>
            </w:tblGrid>
            <w:tr w14:paraId="3F1B5C6A">
              <w:tblPrEx>
                <w:tblCellMar>
                  <w:top w:w="0" w:type="dxa"/>
                  <w:left w:w="108" w:type="dxa"/>
                  <w:bottom w:w="0" w:type="dxa"/>
                  <w:right w:w="108" w:type="dxa"/>
                </w:tblCellMar>
              </w:tblPrEx>
              <w:trPr>
                <w:trHeight w:val="260"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4DD62A9C">
                  <w:pPr>
                    <w:jc w:val="center"/>
                    <w:textAlignment w:val="center"/>
                    <w:rPr>
                      <w:b/>
                      <w:bCs/>
                      <w:color w:val="auto"/>
                      <w:szCs w:val="21"/>
                    </w:rPr>
                  </w:pPr>
                  <w:r>
                    <w:rPr>
                      <w:rFonts w:hint="eastAsia"/>
                      <w:b/>
                      <w:bCs/>
                      <w:color w:val="auto"/>
                      <w:kern w:val="0"/>
                      <w:szCs w:val="21"/>
                      <w:lang w:bidi="ar"/>
                    </w:rPr>
                    <w:t>名称</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1ED5E5DF">
                  <w:pPr>
                    <w:jc w:val="center"/>
                    <w:textAlignment w:val="center"/>
                    <w:rPr>
                      <w:b/>
                      <w:bCs/>
                      <w:color w:val="auto"/>
                      <w:szCs w:val="21"/>
                    </w:rPr>
                  </w:pPr>
                  <w:r>
                    <w:rPr>
                      <w:rFonts w:hint="eastAsia"/>
                      <w:b/>
                      <w:bCs/>
                      <w:color w:val="auto"/>
                      <w:kern w:val="0"/>
                      <w:szCs w:val="21"/>
                      <w:lang w:bidi="ar"/>
                    </w:rPr>
                    <w:t>水池尺寸</w:t>
                  </w:r>
                </w:p>
              </w:tc>
              <w:tc>
                <w:tcPr>
                  <w:tcW w:w="624" w:type="pct"/>
                  <w:tcBorders>
                    <w:top w:val="single" w:color="000000" w:sz="4" w:space="0"/>
                    <w:left w:val="single" w:color="000000" w:sz="4" w:space="0"/>
                    <w:bottom w:val="single" w:color="000000" w:sz="4" w:space="0"/>
                    <w:right w:val="single" w:color="auto" w:sz="4" w:space="0"/>
                  </w:tcBorders>
                  <w:vAlign w:val="center"/>
                </w:tcPr>
                <w:p w14:paraId="283DF0C3">
                  <w:pPr>
                    <w:jc w:val="center"/>
                    <w:textAlignment w:val="center"/>
                    <w:rPr>
                      <w:b/>
                      <w:bCs/>
                      <w:color w:val="auto"/>
                      <w:szCs w:val="21"/>
                    </w:rPr>
                  </w:pPr>
                  <w:r>
                    <w:rPr>
                      <w:rFonts w:hint="eastAsia"/>
                      <w:b/>
                      <w:bCs/>
                      <w:color w:val="auto"/>
                      <w:kern w:val="0"/>
                      <w:szCs w:val="21"/>
                      <w:lang w:bidi="ar"/>
                    </w:rPr>
                    <w:t>单个水池的有效容积</w:t>
                  </w:r>
                  <w:r>
                    <w:rPr>
                      <w:rFonts w:hint="eastAsia"/>
                      <w:color w:val="auto"/>
                      <w:szCs w:val="21"/>
                    </w:rPr>
                    <w:t>m</w:t>
                  </w:r>
                  <w:r>
                    <w:rPr>
                      <w:rFonts w:hint="eastAsia"/>
                      <w:color w:val="auto"/>
                      <w:szCs w:val="21"/>
                      <w:vertAlign w:val="superscript"/>
                    </w:rPr>
                    <w:t>3</w:t>
                  </w:r>
                </w:p>
              </w:tc>
              <w:tc>
                <w:tcPr>
                  <w:tcW w:w="447" w:type="pct"/>
                  <w:tcBorders>
                    <w:top w:val="single" w:color="auto" w:sz="4" w:space="0"/>
                    <w:left w:val="single" w:color="auto" w:sz="4" w:space="0"/>
                    <w:bottom w:val="single" w:color="auto" w:sz="4" w:space="0"/>
                    <w:right w:val="single" w:color="auto" w:sz="4" w:space="0"/>
                  </w:tcBorders>
                  <w:noWrap/>
                  <w:vAlign w:val="center"/>
                </w:tcPr>
                <w:p w14:paraId="0817CDB8">
                  <w:pPr>
                    <w:jc w:val="center"/>
                    <w:textAlignment w:val="center"/>
                    <w:rPr>
                      <w:b/>
                      <w:bCs/>
                      <w:color w:val="auto"/>
                      <w:szCs w:val="21"/>
                    </w:rPr>
                  </w:pPr>
                  <w:r>
                    <w:rPr>
                      <w:rFonts w:hint="eastAsia"/>
                      <w:b/>
                      <w:bCs/>
                      <w:color w:val="auto"/>
                      <w:kern w:val="0"/>
                      <w:szCs w:val="21"/>
                      <w:lang w:bidi="ar"/>
                    </w:rPr>
                    <w:t>个数</w:t>
                  </w:r>
                </w:p>
              </w:tc>
              <w:tc>
                <w:tcPr>
                  <w:tcW w:w="755" w:type="pct"/>
                  <w:tcBorders>
                    <w:top w:val="single" w:color="000000" w:sz="4" w:space="0"/>
                    <w:left w:val="single" w:color="000000" w:sz="4" w:space="0"/>
                    <w:bottom w:val="single" w:color="000000" w:sz="4" w:space="0"/>
                    <w:right w:val="single" w:color="000000" w:sz="4" w:space="0"/>
                  </w:tcBorders>
                  <w:vAlign w:val="center"/>
                </w:tcPr>
                <w:p w14:paraId="6320543A">
                  <w:pPr>
                    <w:jc w:val="center"/>
                    <w:textAlignment w:val="center"/>
                    <w:rPr>
                      <w:b/>
                      <w:bCs/>
                      <w:color w:val="auto"/>
                      <w:kern w:val="0"/>
                      <w:szCs w:val="21"/>
                      <w:lang w:bidi="ar"/>
                    </w:rPr>
                  </w:pPr>
                  <w:r>
                    <w:rPr>
                      <w:rFonts w:hint="eastAsia"/>
                      <w:b/>
                      <w:bCs/>
                      <w:color w:val="auto"/>
                      <w:kern w:val="0"/>
                      <w:szCs w:val="21"/>
                      <w:lang w:bidi="ar"/>
                    </w:rPr>
                    <w:t>水池总有效容积</w:t>
                  </w:r>
                </w:p>
              </w:tc>
              <w:tc>
                <w:tcPr>
                  <w:tcW w:w="755" w:type="pct"/>
                  <w:tcBorders>
                    <w:top w:val="single" w:color="000000" w:sz="4" w:space="0"/>
                    <w:left w:val="single" w:color="000000" w:sz="4" w:space="0"/>
                    <w:bottom w:val="single" w:color="000000" w:sz="4" w:space="0"/>
                    <w:right w:val="single" w:color="000000" w:sz="4" w:space="0"/>
                  </w:tcBorders>
                  <w:vAlign w:val="center"/>
                </w:tcPr>
                <w:p w14:paraId="31C8ADE4">
                  <w:pPr>
                    <w:jc w:val="center"/>
                    <w:textAlignment w:val="center"/>
                    <w:rPr>
                      <w:b/>
                      <w:bCs/>
                      <w:color w:val="auto"/>
                      <w:kern w:val="0"/>
                      <w:szCs w:val="21"/>
                      <w:lang w:bidi="ar"/>
                    </w:rPr>
                  </w:pPr>
                  <w:r>
                    <w:rPr>
                      <w:rFonts w:hint="eastAsia"/>
                      <w:b/>
                      <w:bCs/>
                      <w:color w:val="auto"/>
                      <w:kern w:val="0"/>
                      <w:szCs w:val="21"/>
                      <w:lang w:bidi="ar"/>
                    </w:rPr>
                    <w:t>补充蒸发损耗量（</w:t>
                  </w:r>
                  <w:r>
                    <w:rPr>
                      <w:b/>
                      <w:bCs/>
                      <w:color w:val="auto"/>
                      <w:kern w:val="0"/>
                      <w:szCs w:val="21"/>
                      <w:lang w:bidi="ar"/>
                    </w:rPr>
                    <w:t>m</w:t>
                  </w:r>
                  <w:r>
                    <w:rPr>
                      <w:b/>
                      <w:bCs/>
                      <w:color w:val="auto"/>
                      <w:kern w:val="0"/>
                      <w:szCs w:val="21"/>
                      <w:vertAlign w:val="superscript"/>
                      <w:lang w:bidi="ar"/>
                    </w:rPr>
                    <w:t>3</w:t>
                  </w:r>
                  <w:r>
                    <w:rPr>
                      <w:b/>
                      <w:bCs/>
                      <w:color w:val="auto"/>
                      <w:kern w:val="0"/>
                      <w:szCs w:val="21"/>
                      <w:lang w:bidi="ar"/>
                    </w:rPr>
                    <w:t>/</w:t>
                  </w:r>
                  <w:r>
                    <w:rPr>
                      <w:rFonts w:hint="eastAsia"/>
                      <w:b/>
                      <w:bCs/>
                      <w:color w:val="auto"/>
                      <w:kern w:val="0"/>
                      <w:szCs w:val="21"/>
                      <w:lang w:bidi="ar"/>
                    </w:rPr>
                    <w:t>d）</w:t>
                  </w:r>
                </w:p>
              </w:tc>
              <w:tc>
                <w:tcPr>
                  <w:tcW w:w="756" w:type="pct"/>
                  <w:tcBorders>
                    <w:top w:val="single" w:color="000000" w:sz="4" w:space="0"/>
                    <w:left w:val="single" w:color="000000" w:sz="4" w:space="0"/>
                    <w:bottom w:val="single" w:color="000000" w:sz="4" w:space="0"/>
                    <w:right w:val="single" w:color="000000" w:sz="4" w:space="0"/>
                  </w:tcBorders>
                  <w:vAlign w:val="center"/>
                </w:tcPr>
                <w:p w14:paraId="4F84DC98">
                  <w:pPr>
                    <w:jc w:val="center"/>
                    <w:textAlignment w:val="center"/>
                    <w:rPr>
                      <w:b/>
                      <w:bCs/>
                      <w:color w:val="auto"/>
                      <w:szCs w:val="21"/>
                    </w:rPr>
                  </w:pPr>
                  <w:r>
                    <w:rPr>
                      <w:rFonts w:hint="eastAsia"/>
                      <w:b/>
                      <w:bCs/>
                      <w:color w:val="auto"/>
                      <w:kern w:val="0"/>
                      <w:szCs w:val="21"/>
                      <w:lang w:bidi="ar"/>
                    </w:rPr>
                    <w:t>补充蒸发损耗量（</w:t>
                  </w:r>
                  <w:r>
                    <w:rPr>
                      <w:b/>
                      <w:bCs/>
                      <w:color w:val="auto"/>
                      <w:kern w:val="0"/>
                      <w:szCs w:val="21"/>
                      <w:lang w:bidi="ar"/>
                    </w:rPr>
                    <w:t>m</w:t>
                  </w:r>
                  <w:r>
                    <w:rPr>
                      <w:b/>
                      <w:bCs/>
                      <w:color w:val="auto"/>
                      <w:kern w:val="0"/>
                      <w:szCs w:val="21"/>
                      <w:vertAlign w:val="superscript"/>
                      <w:lang w:bidi="ar"/>
                    </w:rPr>
                    <w:t>3</w:t>
                  </w:r>
                  <w:r>
                    <w:rPr>
                      <w:b/>
                      <w:bCs/>
                      <w:color w:val="auto"/>
                      <w:kern w:val="0"/>
                      <w:szCs w:val="21"/>
                      <w:lang w:bidi="ar"/>
                    </w:rPr>
                    <w:t>/a</w:t>
                  </w:r>
                  <w:r>
                    <w:rPr>
                      <w:rFonts w:hint="eastAsia"/>
                      <w:b/>
                      <w:bCs/>
                      <w:color w:val="auto"/>
                      <w:kern w:val="0"/>
                      <w:szCs w:val="21"/>
                      <w:lang w:bidi="ar"/>
                    </w:rPr>
                    <w:t>）</w:t>
                  </w:r>
                </w:p>
              </w:tc>
            </w:tr>
            <w:tr w14:paraId="5D1ACFC8">
              <w:tblPrEx>
                <w:tblCellMar>
                  <w:top w:w="0" w:type="dxa"/>
                  <w:left w:w="108" w:type="dxa"/>
                  <w:bottom w:w="0" w:type="dxa"/>
                  <w:right w:w="108" w:type="dxa"/>
                </w:tblCellMar>
              </w:tblPrEx>
              <w:trPr>
                <w:trHeight w:val="616"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080C31B1">
                  <w:pPr>
                    <w:jc w:val="center"/>
                    <w:textAlignment w:val="center"/>
                    <w:rPr>
                      <w:color w:val="auto"/>
                      <w:szCs w:val="21"/>
                    </w:rPr>
                  </w:pPr>
                  <w:r>
                    <w:rPr>
                      <w:rFonts w:hint="eastAsia"/>
                      <w:color w:val="auto"/>
                      <w:szCs w:val="21"/>
                    </w:rPr>
                    <w:t>粗磨水池1</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792B4DFB">
                  <w:pPr>
                    <w:jc w:val="center"/>
                    <w:textAlignment w:val="center"/>
                    <w:rPr>
                      <w:color w:val="auto"/>
                      <w:szCs w:val="21"/>
                    </w:rPr>
                  </w:pPr>
                  <w:r>
                    <w:rPr>
                      <w:rFonts w:hint="eastAsia"/>
                      <w:color w:val="auto"/>
                      <w:szCs w:val="21"/>
                    </w:rPr>
                    <w:t>3.05m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73702582">
                  <w:pPr>
                    <w:widowControl/>
                    <w:jc w:val="center"/>
                    <w:textAlignment w:val="center"/>
                    <w:rPr>
                      <w:color w:val="auto"/>
                      <w:szCs w:val="21"/>
                    </w:rPr>
                  </w:pPr>
                  <w:r>
                    <w:rPr>
                      <w:color w:val="auto"/>
                      <w:kern w:val="0"/>
                      <w:szCs w:val="21"/>
                      <w:lang w:bidi="ar"/>
                    </w:rPr>
                    <w:t>64.05</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670D9913">
                  <w:pPr>
                    <w:widowControl/>
                    <w:jc w:val="center"/>
                    <w:textAlignment w:val="center"/>
                    <w:rPr>
                      <w:color w:val="auto"/>
                      <w:szCs w:val="21"/>
                    </w:rPr>
                  </w:pPr>
                  <w:r>
                    <w:rPr>
                      <w:color w:val="auto"/>
                      <w:kern w:val="0"/>
                      <w:szCs w:val="21"/>
                      <w:lang w:bidi="ar"/>
                    </w:rPr>
                    <w:t>1</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837FC">
                  <w:pPr>
                    <w:jc w:val="center"/>
                    <w:rPr>
                      <w:color w:val="auto"/>
                    </w:rPr>
                  </w:pPr>
                  <w:r>
                    <w:rPr>
                      <w:color w:val="auto"/>
                    </w:rPr>
                    <w:t>64.05</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BADACFD">
                  <w:pPr>
                    <w:jc w:val="center"/>
                    <w:rPr>
                      <w:color w:val="auto"/>
                    </w:rPr>
                  </w:pPr>
                  <w:r>
                    <w:rPr>
                      <w:rFonts w:hint="eastAsia"/>
                      <w:color w:val="auto"/>
                    </w:rPr>
                    <w:t>1.922</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3A8A083D">
                  <w:pPr>
                    <w:jc w:val="center"/>
                    <w:rPr>
                      <w:color w:val="auto"/>
                    </w:rPr>
                  </w:pPr>
                  <w:r>
                    <w:rPr>
                      <w:color w:val="auto"/>
                    </w:rPr>
                    <w:t>576.45</w:t>
                  </w:r>
                </w:p>
              </w:tc>
            </w:tr>
            <w:tr w14:paraId="294DC2F7">
              <w:tblPrEx>
                <w:tblCellMar>
                  <w:top w:w="0" w:type="dxa"/>
                  <w:left w:w="108" w:type="dxa"/>
                  <w:bottom w:w="0" w:type="dxa"/>
                  <w:right w:w="108" w:type="dxa"/>
                </w:tblCellMar>
              </w:tblPrEx>
              <w:trPr>
                <w:trHeight w:val="616"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06D75397">
                  <w:pPr>
                    <w:jc w:val="center"/>
                    <w:textAlignment w:val="center"/>
                    <w:rPr>
                      <w:color w:val="auto"/>
                      <w:kern w:val="0"/>
                      <w:szCs w:val="21"/>
                      <w:lang w:bidi="ar"/>
                    </w:rPr>
                  </w:pPr>
                  <w:r>
                    <w:rPr>
                      <w:rFonts w:hint="eastAsia"/>
                      <w:color w:val="auto"/>
                      <w:szCs w:val="21"/>
                    </w:rPr>
                    <w:t>粗磨水池2</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7E27BA10">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3C0BAFC0">
                  <w:pPr>
                    <w:widowControl/>
                    <w:jc w:val="center"/>
                    <w:textAlignment w:val="center"/>
                    <w:rPr>
                      <w:color w:val="auto"/>
                      <w:szCs w:val="21"/>
                    </w:rPr>
                  </w:pPr>
                  <w:r>
                    <w:rPr>
                      <w:color w:val="auto"/>
                      <w:kern w:val="0"/>
                      <w:szCs w:val="21"/>
                      <w:lang w:bidi="ar"/>
                    </w:rPr>
                    <w:t>60.9</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0A219053">
                  <w:pPr>
                    <w:widowControl/>
                    <w:jc w:val="center"/>
                    <w:textAlignment w:val="center"/>
                    <w:rPr>
                      <w:color w:val="auto"/>
                      <w:szCs w:val="21"/>
                    </w:rPr>
                  </w:pPr>
                  <w:r>
                    <w:rPr>
                      <w:color w:val="auto"/>
                      <w:kern w:val="0"/>
                      <w:szCs w:val="21"/>
                      <w:lang w:bidi="ar"/>
                    </w:rPr>
                    <w:t>1</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4751">
                  <w:pPr>
                    <w:jc w:val="center"/>
                    <w:rPr>
                      <w:color w:val="auto"/>
                    </w:rPr>
                  </w:pPr>
                  <w:r>
                    <w:rPr>
                      <w:color w:val="auto"/>
                    </w:rPr>
                    <w:t>60.9</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1FFFD30">
                  <w:pPr>
                    <w:jc w:val="center"/>
                    <w:rPr>
                      <w:color w:val="auto"/>
                    </w:rPr>
                  </w:pPr>
                  <w:r>
                    <w:rPr>
                      <w:rFonts w:hint="eastAsia"/>
                      <w:color w:val="auto"/>
                    </w:rPr>
                    <w:t>1.827</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7765DBF9">
                  <w:pPr>
                    <w:jc w:val="center"/>
                    <w:rPr>
                      <w:color w:val="auto"/>
                    </w:rPr>
                  </w:pPr>
                  <w:r>
                    <w:rPr>
                      <w:color w:val="auto"/>
                    </w:rPr>
                    <w:t>548.1</w:t>
                  </w:r>
                </w:p>
              </w:tc>
            </w:tr>
            <w:tr w14:paraId="7D96D046">
              <w:tblPrEx>
                <w:tblCellMar>
                  <w:top w:w="0" w:type="dxa"/>
                  <w:left w:w="108" w:type="dxa"/>
                  <w:bottom w:w="0" w:type="dxa"/>
                  <w:right w:w="108" w:type="dxa"/>
                </w:tblCellMar>
              </w:tblPrEx>
              <w:trPr>
                <w:trHeight w:val="649"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534D6171">
                  <w:pPr>
                    <w:jc w:val="center"/>
                    <w:textAlignment w:val="center"/>
                    <w:rPr>
                      <w:color w:val="auto"/>
                      <w:kern w:val="0"/>
                      <w:szCs w:val="21"/>
                      <w:lang w:bidi="ar"/>
                    </w:rPr>
                  </w:pPr>
                  <w:r>
                    <w:rPr>
                      <w:rFonts w:hint="eastAsia"/>
                      <w:color w:val="auto"/>
                      <w:kern w:val="0"/>
                      <w:szCs w:val="21"/>
                      <w:lang w:bidi="ar"/>
                    </w:rPr>
                    <w:t>多线水池</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07D2CE1A">
                  <w:pPr>
                    <w:jc w:val="center"/>
                    <w:textAlignment w:val="center"/>
                    <w:rPr>
                      <w:color w:val="auto"/>
                      <w:szCs w:val="21"/>
                    </w:rPr>
                  </w:pPr>
                  <w:r>
                    <w:rPr>
                      <w:rFonts w:hint="eastAsia"/>
                      <w:color w:val="auto"/>
                      <w:szCs w:val="21"/>
                    </w:rPr>
                    <w:t>3.6m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253D7FA8">
                  <w:pPr>
                    <w:widowControl/>
                    <w:jc w:val="center"/>
                    <w:textAlignment w:val="center"/>
                    <w:rPr>
                      <w:color w:val="auto"/>
                      <w:szCs w:val="21"/>
                    </w:rPr>
                  </w:pPr>
                  <w:r>
                    <w:rPr>
                      <w:color w:val="auto"/>
                      <w:kern w:val="0"/>
                      <w:szCs w:val="21"/>
                      <w:lang w:bidi="ar"/>
                    </w:rPr>
                    <w:t>75.6</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0B06C312">
                  <w:pPr>
                    <w:widowControl/>
                    <w:jc w:val="center"/>
                    <w:textAlignment w:val="center"/>
                    <w:rPr>
                      <w:color w:val="auto"/>
                      <w:szCs w:val="21"/>
                    </w:rPr>
                  </w:pPr>
                  <w:r>
                    <w:rPr>
                      <w:color w:val="auto"/>
                      <w:kern w:val="0"/>
                      <w:szCs w:val="21"/>
                      <w:lang w:bidi="ar"/>
                    </w:rPr>
                    <w:t>3</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3BE1DB1B">
                  <w:pPr>
                    <w:jc w:val="center"/>
                    <w:rPr>
                      <w:color w:val="auto"/>
                    </w:rPr>
                  </w:pPr>
                  <w:r>
                    <w:rPr>
                      <w:color w:val="auto"/>
                    </w:rPr>
                    <w:t>226.8</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A41B88C">
                  <w:pPr>
                    <w:jc w:val="center"/>
                    <w:rPr>
                      <w:color w:val="auto"/>
                    </w:rPr>
                  </w:pPr>
                  <w:r>
                    <w:rPr>
                      <w:rFonts w:hint="eastAsia"/>
                      <w:color w:val="auto"/>
                    </w:rPr>
                    <w:t>6.804</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1733F316">
                  <w:pPr>
                    <w:jc w:val="center"/>
                    <w:rPr>
                      <w:color w:val="auto"/>
                    </w:rPr>
                  </w:pPr>
                  <w:r>
                    <w:rPr>
                      <w:color w:val="auto"/>
                    </w:rPr>
                    <w:t>2041.2</w:t>
                  </w:r>
                </w:p>
              </w:tc>
            </w:tr>
            <w:tr w14:paraId="46FA2ABD">
              <w:tblPrEx>
                <w:tblCellMar>
                  <w:top w:w="0" w:type="dxa"/>
                  <w:left w:w="108" w:type="dxa"/>
                  <w:bottom w:w="0" w:type="dxa"/>
                  <w:right w:w="108" w:type="dxa"/>
                </w:tblCellMar>
              </w:tblPrEx>
              <w:trPr>
                <w:trHeight w:val="853"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3633B697">
                  <w:pPr>
                    <w:jc w:val="center"/>
                    <w:textAlignment w:val="center"/>
                    <w:rPr>
                      <w:color w:val="auto"/>
                      <w:kern w:val="0"/>
                      <w:szCs w:val="21"/>
                      <w:lang w:bidi="ar"/>
                    </w:rPr>
                  </w:pPr>
                  <w:r>
                    <w:rPr>
                      <w:rFonts w:hint="eastAsia"/>
                      <w:color w:val="auto"/>
                      <w:kern w:val="0"/>
                      <w:szCs w:val="21"/>
                      <w:lang w:bidi="ar"/>
                    </w:rPr>
                    <w:t>渗前水池</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57EFC09D">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6E1311B0">
                  <w:pPr>
                    <w:widowControl/>
                    <w:jc w:val="center"/>
                    <w:textAlignment w:val="center"/>
                    <w:rPr>
                      <w:color w:val="auto"/>
                      <w:szCs w:val="21"/>
                    </w:rPr>
                  </w:pPr>
                  <w:r>
                    <w:rPr>
                      <w:color w:val="auto"/>
                      <w:kern w:val="0"/>
                      <w:szCs w:val="21"/>
                      <w:lang w:bidi="ar"/>
                    </w:rPr>
                    <w:t>60.9</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4536C158">
                  <w:pPr>
                    <w:widowControl/>
                    <w:jc w:val="center"/>
                    <w:textAlignment w:val="center"/>
                    <w:rPr>
                      <w:color w:val="auto"/>
                      <w:szCs w:val="21"/>
                    </w:rPr>
                  </w:pPr>
                  <w:r>
                    <w:rPr>
                      <w:color w:val="auto"/>
                      <w:kern w:val="0"/>
                      <w:szCs w:val="21"/>
                      <w:lang w:bidi="ar"/>
                    </w:rPr>
                    <w:t>2</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2EB5079C">
                  <w:pPr>
                    <w:jc w:val="center"/>
                    <w:rPr>
                      <w:color w:val="auto"/>
                    </w:rPr>
                  </w:pPr>
                  <w:r>
                    <w:rPr>
                      <w:color w:val="auto"/>
                    </w:rPr>
                    <w:t>121.8</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8D1C774">
                  <w:pPr>
                    <w:jc w:val="center"/>
                    <w:rPr>
                      <w:color w:val="auto"/>
                    </w:rPr>
                  </w:pPr>
                  <w:r>
                    <w:rPr>
                      <w:rFonts w:hint="eastAsia"/>
                      <w:color w:val="auto"/>
                    </w:rPr>
                    <w:t>3.654</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4FB82738">
                  <w:pPr>
                    <w:jc w:val="center"/>
                    <w:rPr>
                      <w:color w:val="auto"/>
                    </w:rPr>
                  </w:pPr>
                  <w:r>
                    <w:rPr>
                      <w:color w:val="auto"/>
                    </w:rPr>
                    <w:t>1096.2</w:t>
                  </w:r>
                </w:p>
              </w:tc>
            </w:tr>
            <w:tr w14:paraId="000D7742">
              <w:tblPrEx>
                <w:tblCellMar>
                  <w:top w:w="0" w:type="dxa"/>
                  <w:left w:w="108" w:type="dxa"/>
                  <w:bottom w:w="0" w:type="dxa"/>
                  <w:right w:w="108" w:type="dxa"/>
                </w:tblCellMar>
              </w:tblPrEx>
              <w:trPr>
                <w:trHeight w:val="684"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098EACFF">
                  <w:pPr>
                    <w:jc w:val="center"/>
                    <w:textAlignment w:val="center"/>
                    <w:rPr>
                      <w:color w:val="auto"/>
                      <w:kern w:val="0"/>
                      <w:szCs w:val="21"/>
                      <w:lang w:bidi="ar"/>
                    </w:rPr>
                  </w:pPr>
                  <w:r>
                    <w:rPr>
                      <w:rFonts w:hint="eastAsia"/>
                      <w:color w:val="auto"/>
                      <w:kern w:val="0"/>
                      <w:szCs w:val="21"/>
                      <w:lang w:bidi="ar"/>
                    </w:rPr>
                    <w:t>渗后水池</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05432A25">
                  <w:pPr>
                    <w:jc w:val="center"/>
                    <w:textAlignment w:val="center"/>
                    <w:rPr>
                      <w:color w:val="auto"/>
                      <w:szCs w:val="21"/>
                    </w:rPr>
                  </w:pPr>
                  <w:r>
                    <w:rPr>
                      <w:rFonts w:hint="eastAsia"/>
                      <w:color w:val="auto"/>
                      <w:szCs w:val="21"/>
                    </w:rPr>
                    <w:t>3.1m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627C3F3D">
                  <w:pPr>
                    <w:widowControl/>
                    <w:jc w:val="center"/>
                    <w:textAlignment w:val="center"/>
                    <w:rPr>
                      <w:color w:val="auto"/>
                      <w:szCs w:val="21"/>
                    </w:rPr>
                  </w:pPr>
                  <w:r>
                    <w:rPr>
                      <w:color w:val="auto"/>
                      <w:kern w:val="0"/>
                      <w:szCs w:val="21"/>
                      <w:lang w:bidi="ar"/>
                    </w:rPr>
                    <w:t>65.1</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0A8A2021">
                  <w:pPr>
                    <w:widowControl/>
                    <w:jc w:val="center"/>
                    <w:textAlignment w:val="center"/>
                    <w:rPr>
                      <w:color w:val="auto"/>
                      <w:szCs w:val="21"/>
                    </w:rPr>
                  </w:pPr>
                  <w:r>
                    <w:rPr>
                      <w:color w:val="auto"/>
                      <w:kern w:val="0"/>
                      <w:szCs w:val="21"/>
                      <w:lang w:bidi="ar"/>
                    </w:rPr>
                    <w:t>2</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5834B163">
                  <w:pPr>
                    <w:jc w:val="center"/>
                    <w:rPr>
                      <w:color w:val="auto"/>
                    </w:rPr>
                  </w:pPr>
                  <w:r>
                    <w:rPr>
                      <w:color w:val="auto"/>
                    </w:rPr>
                    <w:t>130.2</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E73D160">
                  <w:pPr>
                    <w:jc w:val="center"/>
                    <w:rPr>
                      <w:color w:val="auto"/>
                    </w:rPr>
                  </w:pPr>
                  <w:r>
                    <w:rPr>
                      <w:rFonts w:hint="eastAsia"/>
                      <w:color w:val="auto"/>
                    </w:rPr>
                    <w:t>3.906</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2CD70094">
                  <w:pPr>
                    <w:jc w:val="center"/>
                    <w:rPr>
                      <w:color w:val="auto"/>
                    </w:rPr>
                  </w:pPr>
                  <w:r>
                    <w:rPr>
                      <w:color w:val="auto"/>
                    </w:rPr>
                    <w:t>1171.8</w:t>
                  </w:r>
                </w:p>
              </w:tc>
            </w:tr>
            <w:tr w14:paraId="58A61A62">
              <w:trPr>
                <w:trHeight w:val="853"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771CDBFD">
                  <w:pPr>
                    <w:jc w:val="center"/>
                    <w:textAlignment w:val="center"/>
                    <w:rPr>
                      <w:color w:val="auto"/>
                      <w:kern w:val="0"/>
                      <w:szCs w:val="21"/>
                      <w:lang w:bidi="ar"/>
                    </w:rPr>
                  </w:pPr>
                  <w:r>
                    <w:rPr>
                      <w:rFonts w:hint="eastAsia"/>
                      <w:color w:val="auto"/>
                      <w:kern w:val="0"/>
                      <w:szCs w:val="21"/>
                      <w:lang w:bidi="ar"/>
                    </w:rPr>
                    <w:t>成型磨水池1</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4825">
                  <w:pPr>
                    <w:jc w:val="center"/>
                    <w:textAlignment w:val="center"/>
                    <w:rPr>
                      <w:color w:val="auto"/>
                      <w:szCs w:val="21"/>
                    </w:rPr>
                  </w:pPr>
                  <w:r>
                    <w:rPr>
                      <w:rFonts w:hint="eastAsia"/>
                      <w:color w:val="auto"/>
                      <w:szCs w:val="21"/>
                    </w:rPr>
                    <w:t>2.9m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18E5AF71">
                  <w:pPr>
                    <w:widowControl/>
                    <w:jc w:val="center"/>
                    <w:textAlignment w:val="center"/>
                    <w:rPr>
                      <w:color w:val="auto"/>
                      <w:szCs w:val="21"/>
                    </w:rPr>
                  </w:pPr>
                  <w:r>
                    <w:rPr>
                      <w:color w:val="auto"/>
                      <w:kern w:val="0"/>
                      <w:szCs w:val="21"/>
                      <w:lang w:bidi="ar"/>
                    </w:rPr>
                    <w:t>60.9</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3D73722D">
                  <w:pPr>
                    <w:widowControl/>
                    <w:jc w:val="center"/>
                    <w:textAlignment w:val="center"/>
                    <w:rPr>
                      <w:color w:val="auto"/>
                      <w:szCs w:val="21"/>
                    </w:rPr>
                  </w:pPr>
                  <w:r>
                    <w:rPr>
                      <w:color w:val="auto"/>
                      <w:kern w:val="0"/>
                      <w:szCs w:val="21"/>
                      <w:lang w:bidi="ar"/>
                    </w:rPr>
                    <w:t>1</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2D066C22">
                  <w:pPr>
                    <w:jc w:val="center"/>
                    <w:rPr>
                      <w:color w:val="auto"/>
                    </w:rPr>
                  </w:pPr>
                  <w:r>
                    <w:rPr>
                      <w:color w:val="auto"/>
                    </w:rPr>
                    <w:t>60.9</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9C58BFB">
                  <w:pPr>
                    <w:jc w:val="center"/>
                    <w:rPr>
                      <w:color w:val="auto"/>
                    </w:rPr>
                  </w:pPr>
                  <w:r>
                    <w:rPr>
                      <w:rFonts w:hint="eastAsia"/>
                      <w:color w:val="auto"/>
                    </w:rPr>
                    <w:t>1.827</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03269373">
                  <w:pPr>
                    <w:jc w:val="center"/>
                    <w:rPr>
                      <w:color w:val="auto"/>
                    </w:rPr>
                  </w:pPr>
                  <w:r>
                    <w:rPr>
                      <w:color w:val="auto"/>
                    </w:rPr>
                    <w:t>548.1</w:t>
                  </w:r>
                </w:p>
              </w:tc>
            </w:tr>
            <w:tr w14:paraId="0C95F682">
              <w:tblPrEx>
                <w:tblCellMar>
                  <w:top w:w="0" w:type="dxa"/>
                  <w:left w:w="108" w:type="dxa"/>
                  <w:bottom w:w="0" w:type="dxa"/>
                  <w:right w:w="108" w:type="dxa"/>
                </w:tblCellMar>
              </w:tblPrEx>
              <w:trPr>
                <w:trHeight w:val="853" w:hRule="atLeast"/>
              </w:trPr>
              <w:tc>
                <w:tcPr>
                  <w:tcW w:w="621" w:type="pct"/>
                  <w:tcBorders>
                    <w:top w:val="single" w:color="000000" w:sz="4" w:space="0"/>
                    <w:left w:val="single" w:color="000000" w:sz="4" w:space="0"/>
                    <w:bottom w:val="single" w:color="000000" w:sz="4" w:space="0"/>
                    <w:right w:val="single" w:color="000000" w:sz="4" w:space="0"/>
                  </w:tcBorders>
                  <w:vAlign w:val="center"/>
                </w:tcPr>
                <w:p w14:paraId="47FF19F2">
                  <w:pPr>
                    <w:jc w:val="center"/>
                    <w:textAlignment w:val="center"/>
                    <w:rPr>
                      <w:color w:val="auto"/>
                      <w:kern w:val="0"/>
                      <w:szCs w:val="21"/>
                      <w:lang w:bidi="ar"/>
                    </w:rPr>
                  </w:pPr>
                  <w:r>
                    <w:rPr>
                      <w:rFonts w:hint="eastAsia"/>
                      <w:color w:val="auto"/>
                      <w:kern w:val="0"/>
                      <w:szCs w:val="21"/>
                      <w:lang w:bidi="ar"/>
                    </w:rPr>
                    <w:t>成型磨水池2</w:t>
                  </w:r>
                </w:p>
              </w:tc>
              <w:tc>
                <w:tcPr>
                  <w:tcW w:w="1038" w:type="pct"/>
                  <w:tcBorders>
                    <w:top w:val="single" w:color="000000" w:sz="4" w:space="0"/>
                    <w:left w:val="single" w:color="000000" w:sz="4" w:space="0"/>
                    <w:bottom w:val="single" w:color="000000" w:sz="4" w:space="0"/>
                    <w:right w:val="single" w:color="000000" w:sz="4" w:space="0"/>
                  </w:tcBorders>
                  <w:noWrap/>
                  <w:vAlign w:val="center"/>
                </w:tcPr>
                <w:p w14:paraId="75CA8D62">
                  <w:pPr>
                    <w:jc w:val="center"/>
                    <w:textAlignment w:val="center"/>
                    <w:rPr>
                      <w:color w:val="auto"/>
                      <w:szCs w:val="21"/>
                    </w:rPr>
                  </w:pPr>
                  <w:r>
                    <w:rPr>
                      <w:rFonts w:hint="eastAsia"/>
                      <w:color w:val="auto"/>
                      <w:szCs w:val="21"/>
                    </w:rPr>
                    <w:t>2.85m</w:t>
                  </w:r>
                  <w:r>
                    <w:rPr>
                      <w:color w:val="auto"/>
                      <w:kern w:val="0"/>
                      <w:szCs w:val="21"/>
                      <w:lang w:bidi="ar"/>
                    </w:rPr>
                    <w:t>×</w:t>
                  </w:r>
                  <w:r>
                    <w:rPr>
                      <w:rFonts w:hint="eastAsia"/>
                      <w:color w:val="auto"/>
                      <w:kern w:val="0"/>
                      <w:szCs w:val="21"/>
                      <w:lang w:bidi="ar"/>
                    </w:rPr>
                    <w:t>6</w:t>
                  </w:r>
                  <w:r>
                    <w:rPr>
                      <w:rFonts w:hint="eastAsia"/>
                      <w:color w:val="auto"/>
                      <w:szCs w:val="21"/>
                    </w:rPr>
                    <w:t>m</w:t>
                  </w:r>
                  <w:r>
                    <w:rPr>
                      <w:color w:val="auto"/>
                      <w:kern w:val="0"/>
                      <w:szCs w:val="21"/>
                      <w:lang w:bidi="ar"/>
                    </w:rPr>
                    <w:t>×</w:t>
                  </w:r>
                  <w:r>
                    <w:rPr>
                      <w:rFonts w:hint="eastAsia"/>
                      <w:color w:val="auto"/>
                      <w:kern w:val="0"/>
                      <w:szCs w:val="21"/>
                      <w:lang w:bidi="ar"/>
                    </w:rPr>
                    <w:t>5</w:t>
                  </w:r>
                  <w:r>
                    <w:rPr>
                      <w:rFonts w:hint="eastAsia"/>
                      <w:color w:val="auto"/>
                      <w:szCs w:val="21"/>
                    </w:rPr>
                    <w:t>m</w:t>
                  </w:r>
                </w:p>
              </w:tc>
              <w:tc>
                <w:tcPr>
                  <w:tcW w:w="624" w:type="pct"/>
                  <w:tcBorders>
                    <w:top w:val="single" w:color="000000" w:sz="4" w:space="0"/>
                    <w:left w:val="single" w:color="000000" w:sz="4" w:space="0"/>
                    <w:bottom w:val="single" w:color="000000" w:sz="4" w:space="0"/>
                    <w:right w:val="single" w:color="000000" w:sz="4" w:space="0"/>
                  </w:tcBorders>
                  <w:vAlign w:val="center"/>
                </w:tcPr>
                <w:p w14:paraId="37AFE253">
                  <w:pPr>
                    <w:widowControl/>
                    <w:jc w:val="center"/>
                    <w:textAlignment w:val="center"/>
                    <w:rPr>
                      <w:color w:val="auto"/>
                      <w:szCs w:val="21"/>
                    </w:rPr>
                  </w:pPr>
                  <w:r>
                    <w:rPr>
                      <w:color w:val="auto"/>
                      <w:kern w:val="0"/>
                      <w:szCs w:val="21"/>
                      <w:lang w:bidi="ar"/>
                    </w:rPr>
                    <w:t>59.85</w:t>
                  </w:r>
                </w:p>
              </w:tc>
              <w:tc>
                <w:tcPr>
                  <w:tcW w:w="447" w:type="pct"/>
                  <w:tcBorders>
                    <w:top w:val="single" w:color="auto" w:sz="4" w:space="0"/>
                    <w:left w:val="single" w:color="000000" w:sz="4" w:space="0"/>
                    <w:bottom w:val="single" w:color="auto" w:sz="4" w:space="0"/>
                    <w:right w:val="single" w:color="000000" w:sz="4" w:space="0"/>
                  </w:tcBorders>
                  <w:noWrap/>
                  <w:vAlign w:val="center"/>
                </w:tcPr>
                <w:p w14:paraId="71E3AA2D">
                  <w:pPr>
                    <w:widowControl/>
                    <w:jc w:val="center"/>
                    <w:textAlignment w:val="center"/>
                    <w:rPr>
                      <w:color w:val="auto"/>
                      <w:szCs w:val="21"/>
                    </w:rPr>
                  </w:pPr>
                  <w:r>
                    <w:rPr>
                      <w:rFonts w:hint="eastAsia"/>
                      <w:color w:val="auto"/>
                      <w:kern w:val="0"/>
                      <w:szCs w:val="21"/>
                      <w:lang w:bidi="ar"/>
                    </w:rPr>
                    <w:t>1</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66F6A41A">
                  <w:pPr>
                    <w:jc w:val="center"/>
                    <w:rPr>
                      <w:color w:val="auto"/>
                    </w:rPr>
                  </w:pPr>
                  <w:r>
                    <w:rPr>
                      <w:color w:val="auto"/>
                    </w:rPr>
                    <w:t>59.85</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7C25EC9">
                  <w:pPr>
                    <w:jc w:val="center"/>
                    <w:rPr>
                      <w:color w:val="auto"/>
                    </w:rPr>
                  </w:pPr>
                  <w:r>
                    <w:rPr>
                      <w:rFonts w:hint="eastAsia"/>
                      <w:color w:val="auto"/>
                    </w:rPr>
                    <w:t>1.796</w:t>
                  </w: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0E91A4F1">
                  <w:pPr>
                    <w:jc w:val="center"/>
                    <w:rPr>
                      <w:color w:val="auto"/>
                    </w:rPr>
                  </w:pPr>
                  <w:r>
                    <w:rPr>
                      <w:color w:val="auto"/>
                    </w:rPr>
                    <w:t>538.65</w:t>
                  </w:r>
                </w:p>
              </w:tc>
            </w:tr>
            <w:tr w14:paraId="327A4F5D">
              <w:tblPrEx>
                <w:tblCellMar>
                  <w:top w:w="0" w:type="dxa"/>
                  <w:left w:w="108" w:type="dxa"/>
                  <w:bottom w:w="0" w:type="dxa"/>
                  <w:right w:w="108" w:type="dxa"/>
                </w:tblCellMar>
              </w:tblPrEx>
              <w:trPr>
                <w:trHeight w:val="853" w:hRule="atLeast"/>
              </w:trPr>
              <w:tc>
                <w:tcPr>
                  <w:tcW w:w="3487" w:type="pct"/>
                  <w:gridSpan w:val="5"/>
                  <w:tcBorders>
                    <w:top w:val="single" w:color="000000" w:sz="4" w:space="0"/>
                    <w:left w:val="single" w:color="000000" w:sz="4" w:space="0"/>
                    <w:bottom w:val="single" w:color="000000" w:sz="4" w:space="0"/>
                    <w:right w:val="single" w:color="000000" w:sz="4" w:space="0"/>
                  </w:tcBorders>
                  <w:vAlign w:val="center"/>
                </w:tcPr>
                <w:p w14:paraId="45A8B04C">
                  <w:pPr>
                    <w:widowControl/>
                    <w:jc w:val="center"/>
                    <w:textAlignment w:val="center"/>
                    <w:rPr>
                      <w:color w:val="auto"/>
                      <w:kern w:val="0"/>
                      <w:szCs w:val="21"/>
                      <w:lang w:bidi="ar"/>
                    </w:rPr>
                  </w:pPr>
                  <w:r>
                    <w:rPr>
                      <w:rFonts w:hint="eastAsia"/>
                      <w:color w:val="auto"/>
                      <w:kern w:val="0"/>
                      <w:szCs w:val="21"/>
                      <w:lang w:bidi="ar"/>
                    </w:rPr>
                    <w:t>合计</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AA0B076">
                  <w:pPr>
                    <w:jc w:val="center"/>
                    <w:rPr>
                      <w:color w:val="auto"/>
                    </w:rPr>
                  </w:pPr>
                  <w:bookmarkStart w:id="27" w:name="OLE_LINK13"/>
                  <w:r>
                    <w:rPr>
                      <w:rFonts w:hint="eastAsia"/>
                      <w:color w:val="auto"/>
                    </w:rPr>
                    <w:t>21.735</w:t>
                  </w:r>
                  <w:bookmarkEnd w:id="27"/>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069CD476">
                  <w:pPr>
                    <w:jc w:val="center"/>
                    <w:rPr>
                      <w:color w:val="auto"/>
                    </w:rPr>
                  </w:pPr>
                  <w:r>
                    <w:rPr>
                      <w:rFonts w:hint="eastAsia"/>
                      <w:color w:val="auto"/>
                    </w:rPr>
                    <w:t>6520.5</w:t>
                  </w:r>
                </w:p>
              </w:tc>
            </w:tr>
          </w:tbl>
          <w:p w14:paraId="73A59ACC">
            <w:pPr>
              <w:spacing w:line="360" w:lineRule="auto"/>
              <w:ind w:firstLine="480" w:firstLineChars="20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rPr>
              <w:t>②</w:t>
            </w:r>
            <w:r>
              <w:rPr>
                <w:rFonts w:hint="eastAsia" w:ascii="Times New Roman" w:hAnsi="Times New Roman" w:eastAsia="宋体" w:cs="宋体"/>
                <w:color w:val="auto"/>
                <w:sz w:val="24"/>
                <w:lang w:val="en-US" w:eastAsia="zh-CN"/>
              </w:rPr>
              <w:t>煮胶蒸汽水喷淋用水</w:t>
            </w:r>
          </w:p>
          <w:p w14:paraId="3B564786">
            <w:pPr>
              <w:spacing w:line="360" w:lineRule="auto"/>
              <w:ind w:firstLine="480" w:firstLineChars="20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本项目在煮胶采用</w:t>
            </w:r>
            <w:r>
              <w:rPr>
                <w:rFonts w:hint="eastAsia" w:ascii="Times New Roman" w:hAnsi="Times New Roman" w:eastAsia="宋体" w:cs="仿宋"/>
                <w:color w:val="auto"/>
                <w:sz w:val="24"/>
              </w:rPr>
              <w:t>蒸汽</w:t>
            </w:r>
            <w:r>
              <w:rPr>
                <w:rFonts w:hint="eastAsia" w:ascii="Times New Roman" w:hAnsi="Times New Roman" w:eastAsia="宋体" w:cs="宋体"/>
                <w:color w:val="auto"/>
                <w:sz w:val="24"/>
                <w:lang w:val="en-US" w:eastAsia="zh-CN"/>
              </w:rPr>
              <w:t>进行煮胶，同时加入片碱进行脱胶，多余</w:t>
            </w:r>
            <w:r>
              <w:rPr>
                <w:rFonts w:hint="eastAsia" w:ascii="Times New Roman" w:hAnsi="Times New Roman" w:eastAsia="宋体" w:cs="仿宋"/>
                <w:color w:val="auto"/>
                <w:sz w:val="24"/>
              </w:rPr>
              <w:t>蒸汽</w:t>
            </w:r>
            <w:r>
              <w:rPr>
                <w:rFonts w:hint="eastAsia" w:ascii="Times New Roman" w:hAnsi="Times New Roman" w:eastAsia="宋体" w:cs="宋体"/>
                <w:color w:val="auto"/>
                <w:sz w:val="24"/>
                <w:lang w:val="en-US" w:eastAsia="zh-CN"/>
              </w:rPr>
              <w:t>中含碱，项目采用风机将蒸汽引至楼顶水喷淋进行稀释处理，水喷淋配有循环水箱</w:t>
            </w:r>
            <w:r>
              <w:rPr>
                <w:rFonts w:hint="eastAsia" w:cs="宋体"/>
                <w:color w:val="auto"/>
                <w:sz w:val="24"/>
                <w:lang w:val="en-US" w:eastAsia="zh-CN"/>
              </w:rPr>
              <w:t>4</w:t>
            </w:r>
            <w:r>
              <w:rPr>
                <w:rFonts w:hint="eastAsia" w:ascii="Times New Roman" w:hAnsi="Times New Roman" w:eastAsia="宋体" w:cs="宋体"/>
                <w:color w:val="auto"/>
                <w:sz w:val="24"/>
                <w:lang w:val="en-US" w:eastAsia="zh-CN"/>
              </w:rPr>
              <w:t>m</w:t>
            </w:r>
            <w:r>
              <w:rPr>
                <w:rFonts w:hint="eastAsia" w:ascii="Times New Roman" w:hAnsi="Times New Roman" w:eastAsia="宋体" w:cs="宋体"/>
                <w:color w:val="auto"/>
                <w:sz w:val="24"/>
                <w:vertAlign w:val="superscript"/>
                <w:lang w:val="en-US" w:eastAsia="zh-CN"/>
              </w:rPr>
              <w:t>3</w:t>
            </w:r>
            <w:r>
              <w:rPr>
                <w:rFonts w:hint="eastAsia" w:ascii="Times New Roman" w:hAnsi="Times New Roman" w:eastAsia="宋体" w:cs="宋体"/>
                <w:color w:val="auto"/>
                <w:sz w:val="24"/>
                <w:vertAlign w:val="baseline"/>
                <w:lang w:val="en-US" w:eastAsia="zh-CN"/>
              </w:rPr>
              <w:t>，循环水量为</w:t>
            </w:r>
            <w:r>
              <w:rPr>
                <w:rFonts w:hint="eastAsia" w:cs="宋体"/>
                <w:color w:val="auto"/>
                <w:sz w:val="24"/>
                <w:vertAlign w:val="baseline"/>
                <w:lang w:val="en-US" w:eastAsia="zh-CN"/>
              </w:rPr>
              <w:t>4</w:t>
            </w:r>
            <w:r>
              <w:rPr>
                <w:rFonts w:hint="eastAsia" w:ascii="Times New Roman" w:hAnsi="Times New Roman" w:eastAsia="宋体" w:cs="宋体"/>
                <w:color w:val="auto"/>
                <w:sz w:val="24"/>
                <w:vertAlign w:val="baseline"/>
                <w:lang w:val="en-US" w:eastAsia="zh-CN"/>
              </w:rPr>
              <w:t>t，循环使用</w:t>
            </w:r>
            <w:r>
              <w:rPr>
                <w:rFonts w:hint="eastAsia" w:cs="宋体"/>
                <w:color w:val="auto"/>
                <w:sz w:val="24"/>
              </w:rPr>
              <w:t>，不外排</w:t>
            </w:r>
            <w:r>
              <w:rPr>
                <w:rFonts w:hint="eastAsia" w:cs="宋体"/>
                <w:color w:val="auto"/>
                <w:sz w:val="24"/>
                <w:lang w:eastAsia="zh-CN"/>
              </w:rPr>
              <w:t>；</w:t>
            </w:r>
            <w:r>
              <w:rPr>
                <w:rFonts w:hint="eastAsia"/>
                <w:color w:val="auto"/>
                <w:kern w:val="0"/>
                <w:sz w:val="24"/>
              </w:rPr>
              <w:t>在循环和使用的过程中水会产生损耗，定期补充新鲜水，</w:t>
            </w:r>
            <w:r>
              <w:rPr>
                <w:rFonts w:hint="eastAsia"/>
                <w:color w:val="auto"/>
                <w:kern w:val="0"/>
                <w:sz w:val="24"/>
                <w:lang w:val="en-US" w:eastAsia="zh-CN"/>
              </w:rPr>
              <w:t>损耗量按3%计，补充0.12t/d（36t/a）。</w:t>
            </w:r>
          </w:p>
          <w:p w14:paraId="2B90F767">
            <w:pPr>
              <w:spacing w:line="360" w:lineRule="auto"/>
              <w:ind w:firstLine="480" w:firstLineChars="200"/>
              <w:rPr>
                <w:rFonts w:cs="宋体"/>
                <w:color w:val="auto"/>
                <w:sz w:val="24"/>
              </w:rPr>
            </w:pPr>
            <w:r>
              <w:rPr>
                <w:rFonts w:hint="eastAsia" w:ascii="宋体" w:hAnsi="宋体" w:eastAsia="宋体" w:cs="宋体"/>
                <w:color w:val="auto"/>
                <w:sz w:val="24"/>
              </w:rPr>
              <w:t>③</w:t>
            </w:r>
            <w:r>
              <w:rPr>
                <w:rFonts w:hint="eastAsia" w:cs="宋体"/>
                <w:color w:val="auto"/>
                <w:sz w:val="24"/>
              </w:rPr>
              <w:t>清洗废水</w:t>
            </w:r>
          </w:p>
          <w:p w14:paraId="64A48C33">
            <w:pPr>
              <w:pStyle w:val="6"/>
              <w:snapToGrid/>
              <w:spacing w:before="0" w:after="0" w:line="360" w:lineRule="auto"/>
              <w:ind w:right="0" w:firstLine="480" w:firstLineChars="200"/>
              <w:rPr>
                <w:rStyle w:val="31"/>
                <w:rFonts w:hint="eastAsia"/>
                <w:color w:val="auto"/>
                <w:sz w:val="24"/>
                <w:szCs w:val="24"/>
              </w:rPr>
            </w:pPr>
            <w:r>
              <w:rPr>
                <w:rFonts w:hint="eastAsia" w:cs="宋体"/>
                <w:color w:val="auto"/>
                <w:sz w:val="24"/>
              </w:rPr>
              <w:t>项目在清洗工序会用来水进行清洗，清洗废水循环3天后进行更换，根据建设单位提供资料，</w:t>
            </w:r>
            <w:r>
              <w:rPr>
                <w:rFonts w:hint="eastAsia" w:cs="宋体"/>
                <w:color w:val="auto"/>
                <w:sz w:val="24"/>
                <w:lang w:val="en-US" w:eastAsia="zh-CN"/>
              </w:rPr>
              <w:t>清洗水总水量为</w:t>
            </w:r>
            <w:r>
              <w:rPr>
                <w:rFonts w:hint="eastAsia" w:cs="宋体"/>
                <w:color w:val="auto"/>
                <w:sz w:val="24"/>
              </w:rPr>
              <w:t>4吨</w:t>
            </w:r>
            <w:r>
              <w:rPr>
                <w:rFonts w:hint="eastAsia" w:cs="宋体"/>
                <w:color w:val="auto"/>
                <w:sz w:val="24"/>
                <w:lang w:eastAsia="zh-CN"/>
              </w:rPr>
              <w:t>，</w:t>
            </w:r>
            <w:r>
              <w:rPr>
                <w:rFonts w:hint="eastAsia" w:cs="宋体"/>
                <w:color w:val="auto"/>
                <w:sz w:val="24"/>
                <w:lang w:val="en-US" w:eastAsia="zh-CN"/>
              </w:rPr>
              <w:t>故</w:t>
            </w:r>
            <w:r>
              <w:rPr>
                <w:rFonts w:hint="eastAsia" w:cs="宋体"/>
                <w:color w:val="auto"/>
                <w:sz w:val="24"/>
              </w:rPr>
              <w:t>每次更换量为4吨，一年更换100次，则清洗废水产生量为400t/a（约1.333t/d）。</w:t>
            </w:r>
            <w:r>
              <w:rPr>
                <w:rFonts w:hint="eastAsia"/>
                <w:color w:val="auto"/>
                <w:sz w:val="24"/>
              </w:rPr>
              <w:t>损耗量按</w:t>
            </w:r>
            <w:r>
              <w:rPr>
                <w:rFonts w:hint="eastAsia"/>
                <w:color w:val="auto"/>
                <w:sz w:val="24"/>
                <w:lang w:val="en-US" w:eastAsia="zh-CN"/>
              </w:rPr>
              <w:t>清洗水总水量的</w:t>
            </w:r>
            <w:r>
              <w:rPr>
                <w:rFonts w:hint="eastAsia"/>
                <w:color w:val="auto"/>
                <w:sz w:val="24"/>
              </w:rPr>
              <w:t>3%计，定期补充新鲜水，补充水量为</w:t>
            </w:r>
            <w:r>
              <w:rPr>
                <w:rFonts w:hint="eastAsia"/>
                <w:color w:val="auto"/>
                <w:sz w:val="24"/>
                <w:lang w:val="en-US" w:eastAsia="zh-CN"/>
              </w:rPr>
              <w:t>4t*</w:t>
            </w:r>
            <w:r>
              <w:rPr>
                <w:rFonts w:hint="eastAsia"/>
                <w:color w:val="auto"/>
                <w:sz w:val="24"/>
              </w:rPr>
              <w:t>3%</w:t>
            </w:r>
            <w:r>
              <w:rPr>
                <w:rFonts w:hint="eastAsia"/>
                <w:color w:val="auto"/>
                <w:sz w:val="24"/>
                <w:lang w:val="en-US" w:eastAsia="zh-CN"/>
              </w:rPr>
              <w:t>=</w:t>
            </w:r>
            <w:r>
              <w:rPr>
                <w:rFonts w:hint="eastAsia"/>
                <w:color w:val="auto"/>
                <w:sz w:val="24"/>
              </w:rPr>
              <w:t>0.12t/d（36t/a）。</w:t>
            </w:r>
            <w:r>
              <w:rPr>
                <w:rFonts w:hint="eastAsia" w:cs="宋体"/>
                <w:color w:val="auto"/>
                <w:sz w:val="24"/>
              </w:rPr>
              <w:t>更换的清洗废水通过管道排入污水池收集，定期通过厂区管网排入一期污水处理站进行处理。清洗废水浓度引用</w:t>
            </w:r>
            <w:r>
              <w:rPr>
                <w:rStyle w:val="31"/>
                <w:rFonts w:hint="eastAsia"/>
                <w:color w:val="auto"/>
                <w:sz w:val="24"/>
                <w:szCs w:val="24"/>
              </w:rPr>
              <w:t>《江西劲诚永磁新材料有限公司高效节能电机用磁材基地项目》（赣环审〔2024〕6号）中磷化废水（含清洗）和倒角废水、前处理废水，该项目使用清洗剂与本项目类似引用可行，项目污染物浓度为pH6~9、CODcr300mg/L、总氮20mg/L、SS100mg/L、氨氮15mg/L、石油类50mg/L、LAS50mg/L。</w:t>
            </w:r>
          </w:p>
          <w:p w14:paraId="0E193706">
            <w:pPr>
              <w:pStyle w:val="56"/>
              <w:topLinePunct/>
              <w:spacing w:after="0"/>
              <w:rPr>
                <w:rFonts w:ascii="Times New Roman" w:hAnsi="Times New Roman" w:cs="Times New Roman"/>
                <w:b/>
                <w:color w:val="auto"/>
                <w:sz w:val="24"/>
              </w:rPr>
            </w:pPr>
            <w:r>
              <w:rPr>
                <w:rFonts w:ascii="Times New Roman" w:hAnsi="Times New Roman" w:cs="Times New Roman"/>
                <w:b/>
                <w:color w:val="auto"/>
                <w:sz w:val="24"/>
              </w:rPr>
              <w:t>表</w:t>
            </w:r>
            <w:r>
              <w:rPr>
                <w:rFonts w:hint="eastAsia" w:ascii="Times New Roman" w:hAnsi="Times New Roman" w:cs="Times New Roman"/>
                <w:b/>
                <w:color w:val="auto"/>
                <w:sz w:val="24"/>
              </w:rPr>
              <w:t>4</w:t>
            </w:r>
            <w:r>
              <w:rPr>
                <w:rFonts w:ascii="Times New Roman" w:hAnsi="Times New Roman" w:cs="Times New Roman"/>
                <w:b/>
                <w:color w:val="auto"/>
                <w:sz w:val="24"/>
              </w:rPr>
              <w:t>-</w:t>
            </w:r>
            <w:r>
              <w:rPr>
                <w:rFonts w:hint="eastAsia" w:ascii="Times New Roman" w:hAnsi="Times New Roman" w:cs="Times New Roman"/>
                <w:b/>
                <w:color w:val="auto"/>
                <w:sz w:val="24"/>
                <w:lang w:val="en-US" w:eastAsia="zh-CN"/>
              </w:rPr>
              <w:t>11</w:t>
            </w:r>
            <w:r>
              <w:rPr>
                <w:rFonts w:ascii="Times New Roman" w:hAnsi="Times New Roman" w:cs="Times New Roman"/>
                <w:b/>
                <w:color w:val="auto"/>
                <w:sz w:val="24"/>
              </w:rPr>
              <w:t>项目生产废水和生活污水产生及排放情况</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
              <w:gridCol w:w="692"/>
              <w:gridCol w:w="633"/>
              <w:gridCol w:w="627"/>
              <w:gridCol w:w="485"/>
              <w:gridCol w:w="1072"/>
              <w:gridCol w:w="609"/>
              <w:gridCol w:w="649"/>
              <w:gridCol w:w="590"/>
              <w:gridCol w:w="914"/>
              <w:gridCol w:w="856"/>
              <w:gridCol w:w="842"/>
            </w:tblGrid>
            <w:tr w14:paraId="2850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0" w:type="pct"/>
                  <w:vMerge w:val="restart"/>
                  <w:vAlign w:val="center"/>
                </w:tcPr>
                <w:p w14:paraId="0EAB3C19">
                  <w:pPr>
                    <w:adjustRightInd w:val="0"/>
                    <w:snapToGrid w:val="0"/>
                    <w:jc w:val="center"/>
                    <w:rPr>
                      <w:b/>
                      <w:bCs/>
                      <w:color w:val="auto"/>
                      <w:szCs w:val="21"/>
                    </w:rPr>
                  </w:pPr>
                  <w:r>
                    <w:rPr>
                      <w:rFonts w:hint="eastAsia"/>
                      <w:b/>
                      <w:bCs/>
                      <w:color w:val="auto"/>
                      <w:szCs w:val="21"/>
                    </w:rPr>
                    <w:t>废水类别</w:t>
                  </w:r>
                </w:p>
              </w:tc>
              <w:tc>
                <w:tcPr>
                  <w:tcW w:w="408" w:type="pct"/>
                  <w:vMerge w:val="restart"/>
                  <w:vAlign w:val="center"/>
                </w:tcPr>
                <w:p w14:paraId="4727A3AB">
                  <w:pPr>
                    <w:adjustRightInd w:val="0"/>
                    <w:snapToGrid w:val="0"/>
                    <w:jc w:val="center"/>
                    <w:rPr>
                      <w:b/>
                      <w:bCs/>
                      <w:color w:val="auto"/>
                      <w:szCs w:val="21"/>
                    </w:rPr>
                  </w:pPr>
                  <w:r>
                    <w:rPr>
                      <w:rFonts w:hint="eastAsia"/>
                      <w:b/>
                      <w:bCs/>
                      <w:color w:val="auto"/>
                      <w:szCs w:val="21"/>
                    </w:rPr>
                    <w:t>废水量</w:t>
                  </w:r>
                  <w:r>
                    <w:rPr>
                      <w:b/>
                      <w:bCs/>
                      <w:color w:val="auto"/>
                      <w:szCs w:val="21"/>
                    </w:rPr>
                    <w:t>m³/a</w:t>
                  </w:r>
                </w:p>
              </w:tc>
              <w:tc>
                <w:tcPr>
                  <w:tcW w:w="373" w:type="pct"/>
                  <w:vMerge w:val="restart"/>
                  <w:vAlign w:val="center"/>
                </w:tcPr>
                <w:p w14:paraId="724FFBB7">
                  <w:pPr>
                    <w:adjustRightInd w:val="0"/>
                    <w:snapToGrid w:val="0"/>
                    <w:jc w:val="center"/>
                    <w:rPr>
                      <w:b/>
                      <w:bCs/>
                      <w:color w:val="auto"/>
                      <w:szCs w:val="21"/>
                    </w:rPr>
                  </w:pPr>
                  <w:r>
                    <w:rPr>
                      <w:rFonts w:hint="eastAsia"/>
                      <w:b/>
                      <w:bCs/>
                      <w:color w:val="auto"/>
                      <w:szCs w:val="21"/>
                    </w:rPr>
                    <w:t>污染物名称</w:t>
                  </w:r>
                </w:p>
              </w:tc>
              <w:tc>
                <w:tcPr>
                  <w:tcW w:w="655" w:type="pct"/>
                  <w:gridSpan w:val="2"/>
                  <w:vAlign w:val="center"/>
                </w:tcPr>
                <w:p w14:paraId="502579AB">
                  <w:pPr>
                    <w:adjustRightInd w:val="0"/>
                    <w:snapToGrid w:val="0"/>
                    <w:jc w:val="center"/>
                    <w:rPr>
                      <w:b/>
                      <w:bCs/>
                      <w:color w:val="auto"/>
                      <w:szCs w:val="21"/>
                    </w:rPr>
                  </w:pPr>
                  <w:r>
                    <w:rPr>
                      <w:rFonts w:hint="eastAsia"/>
                      <w:b/>
                      <w:bCs/>
                      <w:color w:val="auto"/>
                      <w:szCs w:val="21"/>
                    </w:rPr>
                    <w:t>污染物产生情况</w:t>
                  </w:r>
                </w:p>
              </w:tc>
              <w:tc>
                <w:tcPr>
                  <w:tcW w:w="632" w:type="pct"/>
                  <w:vMerge w:val="restart"/>
                  <w:vAlign w:val="center"/>
                </w:tcPr>
                <w:p w14:paraId="13D73E67">
                  <w:pPr>
                    <w:adjustRightInd w:val="0"/>
                    <w:snapToGrid w:val="0"/>
                    <w:jc w:val="center"/>
                    <w:rPr>
                      <w:b/>
                      <w:bCs/>
                      <w:color w:val="auto"/>
                      <w:szCs w:val="21"/>
                    </w:rPr>
                  </w:pPr>
                  <w:r>
                    <w:rPr>
                      <w:rFonts w:hint="eastAsia"/>
                      <w:b/>
                      <w:bCs/>
                      <w:color w:val="auto"/>
                      <w:szCs w:val="21"/>
                    </w:rPr>
                    <w:t>预处理设施</w:t>
                  </w:r>
                </w:p>
              </w:tc>
              <w:tc>
                <w:tcPr>
                  <w:tcW w:w="359" w:type="pct"/>
                  <w:vMerge w:val="restart"/>
                  <w:vAlign w:val="center"/>
                </w:tcPr>
                <w:p w14:paraId="154873D2">
                  <w:pPr>
                    <w:adjustRightInd w:val="0"/>
                    <w:snapToGrid w:val="0"/>
                    <w:jc w:val="center"/>
                    <w:rPr>
                      <w:b/>
                      <w:bCs/>
                      <w:color w:val="auto"/>
                      <w:szCs w:val="21"/>
                    </w:rPr>
                  </w:pPr>
                  <w:r>
                    <w:rPr>
                      <w:rFonts w:hint="eastAsia"/>
                      <w:b/>
                      <w:bCs/>
                      <w:color w:val="auto"/>
                      <w:szCs w:val="21"/>
                    </w:rPr>
                    <w:t>治理效率</w:t>
                  </w:r>
                </w:p>
              </w:tc>
              <w:tc>
                <w:tcPr>
                  <w:tcW w:w="730" w:type="pct"/>
                  <w:gridSpan w:val="2"/>
                  <w:vAlign w:val="center"/>
                </w:tcPr>
                <w:p w14:paraId="10EAF77C">
                  <w:pPr>
                    <w:adjustRightInd w:val="0"/>
                    <w:snapToGrid w:val="0"/>
                    <w:jc w:val="center"/>
                    <w:rPr>
                      <w:b/>
                      <w:bCs/>
                      <w:color w:val="auto"/>
                      <w:szCs w:val="21"/>
                    </w:rPr>
                  </w:pPr>
                  <w:r>
                    <w:rPr>
                      <w:rFonts w:hint="eastAsia"/>
                      <w:b/>
                      <w:bCs/>
                      <w:color w:val="auto"/>
                      <w:szCs w:val="21"/>
                    </w:rPr>
                    <w:t>排放情况</w:t>
                  </w:r>
                </w:p>
              </w:tc>
              <w:tc>
                <w:tcPr>
                  <w:tcW w:w="538" w:type="pct"/>
                  <w:vMerge w:val="restart"/>
                  <w:vAlign w:val="center"/>
                </w:tcPr>
                <w:p w14:paraId="133F4AD3">
                  <w:pPr>
                    <w:adjustRightInd w:val="0"/>
                    <w:snapToGrid w:val="0"/>
                    <w:jc w:val="center"/>
                    <w:rPr>
                      <w:b/>
                      <w:bCs/>
                      <w:color w:val="auto"/>
                      <w:szCs w:val="21"/>
                    </w:rPr>
                  </w:pPr>
                  <w:r>
                    <w:rPr>
                      <w:rFonts w:hint="eastAsia"/>
                      <w:b/>
                      <w:bCs/>
                      <w:color w:val="auto"/>
                      <w:szCs w:val="21"/>
                    </w:rPr>
                    <w:t>排放方式</w:t>
                  </w:r>
                </w:p>
              </w:tc>
              <w:tc>
                <w:tcPr>
                  <w:tcW w:w="504" w:type="pct"/>
                  <w:vMerge w:val="restart"/>
                  <w:vAlign w:val="center"/>
                </w:tcPr>
                <w:p w14:paraId="6E21FD7D">
                  <w:pPr>
                    <w:adjustRightInd w:val="0"/>
                    <w:snapToGrid w:val="0"/>
                    <w:jc w:val="center"/>
                    <w:rPr>
                      <w:b/>
                      <w:bCs/>
                      <w:color w:val="auto"/>
                      <w:szCs w:val="21"/>
                    </w:rPr>
                  </w:pPr>
                  <w:r>
                    <w:rPr>
                      <w:rFonts w:hint="eastAsia"/>
                      <w:b/>
                      <w:bCs/>
                      <w:color w:val="auto"/>
                      <w:szCs w:val="21"/>
                    </w:rPr>
                    <w:t>外排环境浓度</w:t>
                  </w:r>
                </w:p>
              </w:tc>
              <w:tc>
                <w:tcPr>
                  <w:tcW w:w="496" w:type="pct"/>
                  <w:vMerge w:val="restart"/>
                  <w:vAlign w:val="center"/>
                </w:tcPr>
                <w:p w14:paraId="2FF2F874">
                  <w:pPr>
                    <w:adjustRightInd w:val="0"/>
                    <w:snapToGrid w:val="0"/>
                    <w:jc w:val="center"/>
                    <w:rPr>
                      <w:b/>
                      <w:bCs/>
                      <w:color w:val="auto"/>
                      <w:szCs w:val="21"/>
                    </w:rPr>
                  </w:pPr>
                  <w:r>
                    <w:rPr>
                      <w:rFonts w:hint="eastAsia"/>
                      <w:b/>
                      <w:bCs/>
                      <w:color w:val="auto"/>
                      <w:szCs w:val="21"/>
                    </w:rPr>
                    <w:t>外排环境</w:t>
                  </w:r>
                </w:p>
                <w:p w14:paraId="72B3ECF3">
                  <w:pPr>
                    <w:adjustRightInd w:val="0"/>
                    <w:snapToGrid w:val="0"/>
                    <w:jc w:val="center"/>
                    <w:rPr>
                      <w:b/>
                      <w:bCs/>
                      <w:color w:val="auto"/>
                      <w:szCs w:val="21"/>
                    </w:rPr>
                  </w:pPr>
                  <w:r>
                    <w:rPr>
                      <w:rFonts w:hint="eastAsia"/>
                      <w:b/>
                      <w:bCs/>
                      <w:color w:val="auto"/>
                      <w:szCs w:val="21"/>
                    </w:rPr>
                    <w:t>量（t/a）</w:t>
                  </w:r>
                </w:p>
              </w:tc>
            </w:tr>
            <w:tr w14:paraId="3737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0" w:type="pct"/>
                  <w:vMerge w:val="continue"/>
                  <w:vAlign w:val="center"/>
                </w:tcPr>
                <w:p w14:paraId="776012A2">
                  <w:pPr>
                    <w:adjustRightInd w:val="0"/>
                    <w:snapToGrid w:val="0"/>
                    <w:jc w:val="center"/>
                    <w:rPr>
                      <w:b/>
                      <w:bCs/>
                      <w:color w:val="auto"/>
                      <w:szCs w:val="21"/>
                    </w:rPr>
                  </w:pPr>
                </w:p>
              </w:tc>
              <w:tc>
                <w:tcPr>
                  <w:tcW w:w="408" w:type="pct"/>
                  <w:vMerge w:val="continue"/>
                  <w:vAlign w:val="center"/>
                </w:tcPr>
                <w:p w14:paraId="5E18953A">
                  <w:pPr>
                    <w:adjustRightInd w:val="0"/>
                    <w:snapToGrid w:val="0"/>
                    <w:jc w:val="center"/>
                    <w:rPr>
                      <w:b/>
                      <w:bCs/>
                      <w:color w:val="auto"/>
                      <w:szCs w:val="21"/>
                    </w:rPr>
                  </w:pPr>
                </w:p>
              </w:tc>
              <w:tc>
                <w:tcPr>
                  <w:tcW w:w="373" w:type="pct"/>
                  <w:vMerge w:val="continue"/>
                  <w:vAlign w:val="center"/>
                </w:tcPr>
                <w:p w14:paraId="12B707E2">
                  <w:pPr>
                    <w:adjustRightInd w:val="0"/>
                    <w:snapToGrid w:val="0"/>
                    <w:jc w:val="center"/>
                    <w:rPr>
                      <w:b/>
                      <w:bCs/>
                      <w:color w:val="auto"/>
                      <w:szCs w:val="21"/>
                    </w:rPr>
                  </w:pPr>
                </w:p>
              </w:tc>
              <w:tc>
                <w:tcPr>
                  <w:tcW w:w="369" w:type="pct"/>
                  <w:vAlign w:val="center"/>
                </w:tcPr>
                <w:p w14:paraId="1B411531">
                  <w:pPr>
                    <w:adjustRightInd w:val="0"/>
                    <w:snapToGrid w:val="0"/>
                    <w:jc w:val="center"/>
                    <w:rPr>
                      <w:b/>
                      <w:bCs/>
                      <w:color w:val="auto"/>
                      <w:szCs w:val="21"/>
                    </w:rPr>
                  </w:pPr>
                  <w:r>
                    <w:rPr>
                      <w:rFonts w:hint="eastAsia"/>
                      <w:b/>
                      <w:bCs/>
                      <w:color w:val="auto"/>
                      <w:szCs w:val="21"/>
                    </w:rPr>
                    <w:t>浓度</w:t>
                  </w:r>
                </w:p>
                <w:p w14:paraId="2F4C6AF2">
                  <w:pPr>
                    <w:adjustRightInd w:val="0"/>
                    <w:snapToGrid w:val="0"/>
                    <w:jc w:val="center"/>
                    <w:rPr>
                      <w:b/>
                      <w:bCs/>
                      <w:color w:val="auto"/>
                      <w:szCs w:val="21"/>
                    </w:rPr>
                  </w:pPr>
                  <w:r>
                    <w:rPr>
                      <w:b/>
                      <w:bCs/>
                      <w:color w:val="auto"/>
                      <w:szCs w:val="21"/>
                    </w:rPr>
                    <w:t>(mg/L)</w:t>
                  </w:r>
                </w:p>
              </w:tc>
              <w:tc>
                <w:tcPr>
                  <w:tcW w:w="286" w:type="pct"/>
                  <w:vAlign w:val="center"/>
                </w:tcPr>
                <w:p w14:paraId="30E78E5A">
                  <w:pPr>
                    <w:adjustRightInd w:val="0"/>
                    <w:snapToGrid w:val="0"/>
                    <w:jc w:val="center"/>
                    <w:rPr>
                      <w:b/>
                      <w:bCs/>
                      <w:color w:val="auto"/>
                      <w:szCs w:val="21"/>
                    </w:rPr>
                  </w:pPr>
                  <w:r>
                    <w:rPr>
                      <w:rFonts w:hint="eastAsia"/>
                      <w:b/>
                      <w:bCs/>
                      <w:color w:val="auto"/>
                      <w:szCs w:val="21"/>
                    </w:rPr>
                    <w:t>产生量</w:t>
                  </w:r>
                </w:p>
                <w:p w14:paraId="5DEF6418">
                  <w:pPr>
                    <w:adjustRightInd w:val="0"/>
                    <w:snapToGrid w:val="0"/>
                    <w:jc w:val="center"/>
                    <w:rPr>
                      <w:b/>
                      <w:bCs/>
                      <w:color w:val="auto"/>
                      <w:szCs w:val="21"/>
                    </w:rPr>
                  </w:pPr>
                  <w:r>
                    <w:rPr>
                      <w:b/>
                      <w:bCs/>
                      <w:color w:val="auto"/>
                      <w:szCs w:val="21"/>
                    </w:rPr>
                    <w:t>(t/a)</w:t>
                  </w:r>
                </w:p>
              </w:tc>
              <w:tc>
                <w:tcPr>
                  <w:tcW w:w="632" w:type="pct"/>
                  <w:vMerge w:val="continue"/>
                  <w:vAlign w:val="center"/>
                </w:tcPr>
                <w:p w14:paraId="023EB0DF">
                  <w:pPr>
                    <w:adjustRightInd w:val="0"/>
                    <w:snapToGrid w:val="0"/>
                    <w:jc w:val="center"/>
                    <w:rPr>
                      <w:b/>
                      <w:bCs/>
                      <w:color w:val="auto"/>
                      <w:szCs w:val="21"/>
                    </w:rPr>
                  </w:pPr>
                </w:p>
              </w:tc>
              <w:tc>
                <w:tcPr>
                  <w:tcW w:w="359" w:type="pct"/>
                  <w:vMerge w:val="continue"/>
                  <w:vAlign w:val="center"/>
                </w:tcPr>
                <w:p w14:paraId="2B4AF454">
                  <w:pPr>
                    <w:adjustRightInd w:val="0"/>
                    <w:snapToGrid w:val="0"/>
                    <w:jc w:val="center"/>
                    <w:rPr>
                      <w:b/>
                      <w:bCs/>
                      <w:color w:val="auto"/>
                      <w:szCs w:val="21"/>
                    </w:rPr>
                  </w:pPr>
                </w:p>
              </w:tc>
              <w:tc>
                <w:tcPr>
                  <w:tcW w:w="382" w:type="pct"/>
                  <w:vAlign w:val="center"/>
                </w:tcPr>
                <w:p w14:paraId="18F50E32">
                  <w:pPr>
                    <w:adjustRightInd w:val="0"/>
                    <w:snapToGrid w:val="0"/>
                    <w:jc w:val="center"/>
                    <w:rPr>
                      <w:b/>
                      <w:bCs/>
                      <w:color w:val="auto"/>
                      <w:szCs w:val="21"/>
                    </w:rPr>
                  </w:pPr>
                  <w:r>
                    <w:rPr>
                      <w:rFonts w:hint="eastAsia"/>
                      <w:b/>
                      <w:bCs/>
                      <w:color w:val="auto"/>
                      <w:szCs w:val="21"/>
                    </w:rPr>
                    <w:t>浓度</w:t>
                  </w:r>
                </w:p>
                <w:p w14:paraId="1581B52F">
                  <w:pPr>
                    <w:adjustRightInd w:val="0"/>
                    <w:snapToGrid w:val="0"/>
                    <w:jc w:val="center"/>
                    <w:rPr>
                      <w:b/>
                      <w:bCs/>
                      <w:color w:val="auto"/>
                      <w:szCs w:val="21"/>
                    </w:rPr>
                  </w:pPr>
                  <w:r>
                    <w:rPr>
                      <w:b/>
                      <w:bCs/>
                      <w:color w:val="auto"/>
                      <w:szCs w:val="21"/>
                    </w:rPr>
                    <w:t>(mg/L)</w:t>
                  </w:r>
                </w:p>
              </w:tc>
              <w:tc>
                <w:tcPr>
                  <w:tcW w:w="347" w:type="pct"/>
                  <w:vAlign w:val="center"/>
                </w:tcPr>
                <w:p w14:paraId="42701C3B">
                  <w:pPr>
                    <w:adjustRightInd w:val="0"/>
                    <w:snapToGrid w:val="0"/>
                    <w:jc w:val="center"/>
                    <w:rPr>
                      <w:b/>
                      <w:bCs/>
                      <w:color w:val="auto"/>
                      <w:szCs w:val="21"/>
                    </w:rPr>
                  </w:pPr>
                  <w:r>
                    <w:rPr>
                      <w:rFonts w:hint="eastAsia"/>
                      <w:b/>
                      <w:bCs/>
                      <w:color w:val="auto"/>
                      <w:szCs w:val="21"/>
                    </w:rPr>
                    <w:t>排放量</w:t>
                  </w:r>
                </w:p>
                <w:p w14:paraId="776FBA3A">
                  <w:pPr>
                    <w:adjustRightInd w:val="0"/>
                    <w:snapToGrid w:val="0"/>
                    <w:jc w:val="center"/>
                    <w:rPr>
                      <w:b/>
                      <w:bCs/>
                      <w:color w:val="auto"/>
                      <w:szCs w:val="21"/>
                    </w:rPr>
                  </w:pPr>
                  <w:r>
                    <w:rPr>
                      <w:b/>
                      <w:bCs/>
                      <w:color w:val="auto"/>
                      <w:szCs w:val="21"/>
                    </w:rPr>
                    <w:t>(t/a)</w:t>
                  </w:r>
                </w:p>
              </w:tc>
              <w:tc>
                <w:tcPr>
                  <w:tcW w:w="538" w:type="pct"/>
                  <w:vMerge w:val="continue"/>
                  <w:vAlign w:val="center"/>
                </w:tcPr>
                <w:p w14:paraId="454DBB8D">
                  <w:pPr>
                    <w:adjustRightInd w:val="0"/>
                    <w:snapToGrid w:val="0"/>
                    <w:jc w:val="center"/>
                    <w:rPr>
                      <w:b/>
                      <w:bCs/>
                      <w:color w:val="auto"/>
                      <w:szCs w:val="21"/>
                    </w:rPr>
                  </w:pPr>
                </w:p>
              </w:tc>
              <w:tc>
                <w:tcPr>
                  <w:tcW w:w="504" w:type="pct"/>
                  <w:vMerge w:val="continue"/>
                  <w:vAlign w:val="center"/>
                </w:tcPr>
                <w:p w14:paraId="60C1D740">
                  <w:pPr>
                    <w:adjustRightInd w:val="0"/>
                    <w:snapToGrid w:val="0"/>
                    <w:jc w:val="center"/>
                    <w:rPr>
                      <w:b/>
                      <w:bCs/>
                      <w:color w:val="auto"/>
                      <w:szCs w:val="21"/>
                    </w:rPr>
                  </w:pPr>
                </w:p>
              </w:tc>
              <w:tc>
                <w:tcPr>
                  <w:tcW w:w="496" w:type="pct"/>
                  <w:vMerge w:val="continue"/>
                  <w:vAlign w:val="center"/>
                </w:tcPr>
                <w:p w14:paraId="7E76A1EB">
                  <w:pPr>
                    <w:adjustRightInd w:val="0"/>
                    <w:snapToGrid w:val="0"/>
                    <w:jc w:val="center"/>
                    <w:rPr>
                      <w:b/>
                      <w:bCs/>
                      <w:color w:val="auto"/>
                      <w:szCs w:val="21"/>
                    </w:rPr>
                  </w:pPr>
                </w:p>
              </w:tc>
            </w:tr>
            <w:tr w14:paraId="6260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0" w:type="pct"/>
                  <w:vMerge w:val="restart"/>
                  <w:vAlign w:val="center"/>
                </w:tcPr>
                <w:p w14:paraId="61347305">
                  <w:pPr>
                    <w:adjustRightInd w:val="0"/>
                    <w:snapToGrid w:val="0"/>
                    <w:jc w:val="center"/>
                    <w:rPr>
                      <w:color w:val="auto"/>
                      <w:szCs w:val="21"/>
                    </w:rPr>
                  </w:pPr>
                  <w:r>
                    <w:rPr>
                      <w:rFonts w:hint="eastAsia"/>
                      <w:color w:val="auto"/>
                      <w:szCs w:val="21"/>
                    </w:rPr>
                    <w:t>生活污水</w:t>
                  </w:r>
                </w:p>
              </w:tc>
              <w:tc>
                <w:tcPr>
                  <w:tcW w:w="408" w:type="pct"/>
                  <w:vMerge w:val="restart"/>
                  <w:vAlign w:val="center"/>
                </w:tcPr>
                <w:p w14:paraId="408435B5">
                  <w:pPr>
                    <w:adjustRightInd w:val="0"/>
                    <w:snapToGrid w:val="0"/>
                    <w:jc w:val="center"/>
                    <w:rPr>
                      <w:color w:val="auto"/>
                      <w:szCs w:val="21"/>
                    </w:rPr>
                  </w:pPr>
                  <w:r>
                    <w:rPr>
                      <w:rFonts w:hint="eastAsia"/>
                      <w:color w:val="auto"/>
                      <w:szCs w:val="21"/>
                    </w:rPr>
                    <w:t>3661.92</w:t>
                  </w:r>
                </w:p>
              </w:tc>
              <w:tc>
                <w:tcPr>
                  <w:tcW w:w="373" w:type="pct"/>
                  <w:vAlign w:val="center"/>
                </w:tcPr>
                <w:p w14:paraId="7C3ACA5B">
                  <w:pPr>
                    <w:topLinePunct/>
                    <w:jc w:val="center"/>
                    <w:rPr>
                      <w:color w:val="auto"/>
                      <w:szCs w:val="21"/>
                    </w:rPr>
                  </w:pPr>
                  <w:r>
                    <w:rPr>
                      <w:color w:val="auto"/>
                      <w:szCs w:val="21"/>
                    </w:rPr>
                    <w:t>COD</w:t>
                  </w:r>
                </w:p>
              </w:tc>
              <w:tc>
                <w:tcPr>
                  <w:tcW w:w="369" w:type="pct"/>
                  <w:vAlign w:val="center"/>
                </w:tcPr>
                <w:p w14:paraId="74E7B862">
                  <w:pPr>
                    <w:jc w:val="center"/>
                    <w:rPr>
                      <w:color w:val="auto"/>
                    </w:rPr>
                  </w:pPr>
                  <w:r>
                    <w:rPr>
                      <w:color w:val="auto"/>
                    </w:rPr>
                    <w:t>250</w:t>
                  </w:r>
                </w:p>
              </w:tc>
              <w:tc>
                <w:tcPr>
                  <w:tcW w:w="286" w:type="pct"/>
                  <w:vAlign w:val="center"/>
                </w:tcPr>
                <w:p w14:paraId="45BD43F4">
                  <w:pPr>
                    <w:jc w:val="center"/>
                    <w:rPr>
                      <w:color w:val="auto"/>
                    </w:rPr>
                  </w:pPr>
                  <w:r>
                    <w:rPr>
                      <w:color w:val="auto"/>
                    </w:rPr>
                    <w:t>0.915</w:t>
                  </w:r>
                </w:p>
              </w:tc>
              <w:tc>
                <w:tcPr>
                  <w:tcW w:w="632" w:type="pct"/>
                  <w:vMerge w:val="restart"/>
                  <w:vAlign w:val="center"/>
                </w:tcPr>
                <w:p w14:paraId="2653B0C0">
                  <w:pPr>
                    <w:adjustRightInd w:val="0"/>
                    <w:snapToGrid w:val="0"/>
                    <w:jc w:val="center"/>
                    <w:rPr>
                      <w:color w:val="auto"/>
                      <w:szCs w:val="21"/>
                    </w:rPr>
                  </w:pPr>
                  <w:r>
                    <w:rPr>
                      <w:rFonts w:hint="eastAsia"/>
                      <w:color w:val="auto"/>
                      <w:szCs w:val="21"/>
                    </w:rPr>
                    <w:t>一期污水处理工艺（化粪池+混合废水处理系统（TW012）+中水回用系统（TW013）+排水池）</w:t>
                  </w:r>
                </w:p>
              </w:tc>
              <w:tc>
                <w:tcPr>
                  <w:tcW w:w="359" w:type="pct"/>
                  <w:vAlign w:val="center"/>
                </w:tcPr>
                <w:p w14:paraId="5A133A8E">
                  <w:pPr>
                    <w:widowControl/>
                    <w:jc w:val="center"/>
                    <w:textAlignment w:val="center"/>
                    <w:rPr>
                      <w:color w:val="auto"/>
                      <w:szCs w:val="21"/>
                    </w:rPr>
                  </w:pPr>
                  <w:r>
                    <w:rPr>
                      <w:rFonts w:hint="eastAsia"/>
                      <w:color w:val="auto"/>
                      <w:szCs w:val="21"/>
                    </w:rPr>
                    <w:t>45%</w:t>
                  </w:r>
                </w:p>
              </w:tc>
              <w:tc>
                <w:tcPr>
                  <w:tcW w:w="382" w:type="pct"/>
                  <w:vAlign w:val="center"/>
                </w:tcPr>
                <w:p w14:paraId="57EF8D75">
                  <w:pPr>
                    <w:jc w:val="center"/>
                    <w:rPr>
                      <w:color w:val="auto"/>
                    </w:rPr>
                  </w:pPr>
                  <w:r>
                    <w:rPr>
                      <w:rFonts w:hint="eastAsia"/>
                      <w:color w:val="auto"/>
                    </w:rPr>
                    <w:t>137.5</w:t>
                  </w:r>
                </w:p>
              </w:tc>
              <w:tc>
                <w:tcPr>
                  <w:tcW w:w="347" w:type="pct"/>
                  <w:vAlign w:val="center"/>
                </w:tcPr>
                <w:p w14:paraId="159DCE61">
                  <w:pPr>
                    <w:jc w:val="center"/>
                    <w:rPr>
                      <w:color w:val="auto"/>
                    </w:rPr>
                  </w:pPr>
                  <w:r>
                    <w:rPr>
                      <w:color w:val="auto"/>
                    </w:rPr>
                    <w:t>0.504</w:t>
                  </w:r>
                </w:p>
              </w:tc>
              <w:tc>
                <w:tcPr>
                  <w:tcW w:w="538" w:type="pct"/>
                  <w:vMerge w:val="restart"/>
                  <w:vAlign w:val="center"/>
                </w:tcPr>
                <w:p w14:paraId="6DE34BF8">
                  <w:pPr>
                    <w:jc w:val="center"/>
                    <w:rPr>
                      <w:color w:val="auto"/>
                    </w:rPr>
                  </w:pPr>
                  <w:bookmarkStart w:id="28" w:name="OLE_LINK14"/>
                  <w:r>
                    <w:rPr>
                      <w:rFonts w:hint="eastAsia"/>
                      <w:color w:val="auto"/>
                    </w:rPr>
                    <w:t>排入赣州新能源汽车科技城污水处理厂</w:t>
                  </w:r>
                  <w:bookmarkEnd w:id="28"/>
                  <w:r>
                    <w:rPr>
                      <w:rFonts w:hint="eastAsia"/>
                      <w:color w:val="auto"/>
                    </w:rPr>
                    <w:t>处理后排入赣州市中心城区白塔污水处理厂处理后</w:t>
                  </w:r>
                  <w:r>
                    <w:rPr>
                      <w:color w:val="auto"/>
                    </w:rPr>
                    <w:t>，尾水</w:t>
                  </w:r>
                  <w:r>
                    <w:rPr>
                      <w:rFonts w:hint="eastAsia"/>
                      <w:color w:val="auto"/>
                    </w:rPr>
                    <w:t>最终汇入赣江</w:t>
                  </w:r>
                </w:p>
              </w:tc>
              <w:tc>
                <w:tcPr>
                  <w:tcW w:w="504" w:type="pct"/>
                  <w:vAlign w:val="center"/>
                </w:tcPr>
                <w:p w14:paraId="2DD5A15E">
                  <w:pPr>
                    <w:jc w:val="center"/>
                    <w:rPr>
                      <w:color w:val="auto"/>
                    </w:rPr>
                  </w:pPr>
                  <w:r>
                    <w:rPr>
                      <w:rFonts w:hint="eastAsia"/>
                      <w:color w:val="auto"/>
                    </w:rPr>
                    <w:t>50</w:t>
                  </w:r>
                </w:p>
              </w:tc>
              <w:tc>
                <w:tcPr>
                  <w:tcW w:w="496" w:type="pct"/>
                  <w:vAlign w:val="center"/>
                </w:tcPr>
                <w:p w14:paraId="6F5109D7">
                  <w:pPr>
                    <w:jc w:val="center"/>
                    <w:rPr>
                      <w:color w:val="auto"/>
                    </w:rPr>
                  </w:pPr>
                  <w:r>
                    <w:rPr>
                      <w:color w:val="auto"/>
                    </w:rPr>
                    <w:t>0.183</w:t>
                  </w:r>
                </w:p>
              </w:tc>
            </w:tr>
            <w:tr w14:paraId="5FD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300" w:type="pct"/>
                  <w:vMerge w:val="continue"/>
                  <w:vAlign w:val="center"/>
                </w:tcPr>
                <w:p w14:paraId="3C09C04B">
                  <w:pPr>
                    <w:adjustRightInd w:val="0"/>
                    <w:snapToGrid w:val="0"/>
                    <w:jc w:val="center"/>
                    <w:rPr>
                      <w:color w:val="auto"/>
                      <w:szCs w:val="21"/>
                    </w:rPr>
                  </w:pPr>
                </w:p>
              </w:tc>
              <w:tc>
                <w:tcPr>
                  <w:tcW w:w="408" w:type="pct"/>
                  <w:vMerge w:val="continue"/>
                  <w:vAlign w:val="center"/>
                </w:tcPr>
                <w:p w14:paraId="4B82778B">
                  <w:pPr>
                    <w:adjustRightInd w:val="0"/>
                    <w:snapToGrid w:val="0"/>
                    <w:jc w:val="center"/>
                    <w:rPr>
                      <w:color w:val="auto"/>
                      <w:szCs w:val="21"/>
                    </w:rPr>
                  </w:pPr>
                </w:p>
              </w:tc>
              <w:tc>
                <w:tcPr>
                  <w:tcW w:w="373" w:type="pct"/>
                  <w:vAlign w:val="center"/>
                </w:tcPr>
                <w:p w14:paraId="051E2CF4">
                  <w:pPr>
                    <w:topLinePunct/>
                    <w:jc w:val="center"/>
                    <w:rPr>
                      <w:color w:val="auto"/>
                      <w:szCs w:val="21"/>
                    </w:rPr>
                  </w:pPr>
                  <w:r>
                    <w:rPr>
                      <w:color w:val="auto"/>
                      <w:szCs w:val="21"/>
                    </w:rPr>
                    <w:t>BOD</w:t>
                  </w:r>
                  <w:r>
                    <w:rPr>
                      <w:color w:val="auto"/>
                      <w:szCs w:val="21"/>
                      <w:vertAlign w:val="subscript"/>
                    </w:rPr>
                    <w:t>5</w:t>
                  </w:r>
                </w:p>
              </w:tc>
              <w:tc>
                <w:tcPr>
                  <w:tcW w:w="369" w:type="pct"/>
                  <w:vAlign w:val="center"/>
                </w:tcPr>
                <w:p w14:paraId="78A2E921">
                  <w:pPr>
                    <w:jc w:val="center"/>
                    <w:rPr>
                      <w:color w:val="auto"/>
                    </w:rPr>
                  </w:pPr>
                  <w:r>
                    <w:rPr>
                      <w:color w:val="auto"/>
                    </w:rPr>
                    <w:t>1</w:t>
                  </w:r>
                  <w:r>
                    <w:rPr>
                      <w:rFonts w:hint="eastAsia"/>
                      <w:color w:val="auto"/>
                      <w:lang w:val="en-US" w:eastAsia="zh-CN"/>
                    </w:rPr>
                    <w:t>5</w:t>
                  </w:r>
                  <w:r>
                    <w:rPr>
                      <w:color w:val="auto"/>
                    </w:rPr>
                    <w:t>0</w:t>
                  </w:r>
                </w:p>
              </w:tc>
              <w:tc>
                <w:tcPr>
                  <w:tcW w:w="286" w:type="pct"/>
                  <w:vAlign w:val="center"/>
                </w:tcPr>
                <w:p w14:paraId="61006DBF">
                  <w:pPr>
                    <w:jc w:val="center"/>
                    <w:rPr>
                      <w:color w:val="auto"/>
                    </w:rPr>
                  </w:pPr>
                  <w:r>
                    <w:rPr>
                      <w:color w:val="auto"/>
                    </w:rPr>
                    <w:t>0.549</w:t>
                  </w:r>
                </w:p>
              </w:tc>
              <w:tc>
                <w:tcPr>
                  <w:tcW w:w="632" w:type="pct"/>
                  <w:vMerge w:val="continue"/>
                  <w:vAlign w:val="center"/>
                </w:tcPr>
                <w:p w14:paraId="109F1446">
                  <w:pPr>
                    <w:adjustRightInd w:val="0"/>
                    <w:snapToGrid w:val="0"/>
                    <w:jc w:val="center"/>
                    <w:rPr>
                      <w:color w:val="auto"/>
                      <w:szCs w:val="21"/>
                    </w:rPr>
                  </w:pPr>
                </w:p>
              </w:tc>
              <w:tc>
                <w:tcPr>
                  <w:tcW w:w="359" w:type="pct"/>
                  <w:vAlign w:val="center"/>
                </w:tcPr>
                <w:p w14:paraId="2D9B8975">
                  <w:pPr>
                    <w:widowControl/>
                    <w:jc w:val="center"/>
                    <w:textAlignment w:val="center"/>
                    <w:rPr>
                      <w:color w:val="auto"/>
                      <w:szCs w:val="21"/>
                    </w:rPr>
                  </w:pPr>
                  <w:r>
                    <w:rPr>
                      <w:rFonts w:hint="eastAsia"/>
                      <w:color w:val="auto"/>
                      <w:szCs w:val="21"/>
                    </w:rPr>
                    <w:t>15%</w:t>
                  </w:r>
                </w:p>
              </w:tc>
              <w:tc>
                <w:tcPr>
                  <w:tcW w:w="382" w:type="pct"/>
                  <w:vAlign w:val="center"/>
                </w:tcPr>
                <w:p w14:paraId="06B6F9BA">
                  <w:pPr>
                    <w:jc w:val="center"/>
                    <w:rPr>
                      <w:color w:val="auto"/>
                    </w:rPr>
                  </w:pPr>
                  <w:r>
                    <w:rPr>
                      <w:rFonts w:hint="eastAsia"/>
                      <w:color w:val="auto"/>
                    </w:rPr>
                    <w:t>127.5</w:t>
                  </w:r>
                </w:p>
              </w:tc>
              <w:tc>
                <w:tcPr>
                  <w:tcW w:w="347" w:type="pct"/>
                  <w:vAlign w:val="center"/>
                </w:tcPr>
                <w:p w14:paraId="763D912C">
                  <w:pPr>
                    <w:jc w:val="center"/>
                    <w:rPr>
                      <w:color w:val="auto"/>
                    </w:rPr>
                  </w:pPr>
                  <w:r>
                    <w:rPr>
                      <w:color w:val="auto"/>
                    </w:rPr>
                    <w:t>0.467</w:t>
                  </w:r>
                </w:p>
              </w:tc>
              <w:tc>
                <w:tcPr>
                  <w:tcW w:w="538" w:type="pct"/>
                  <w:vMerge w:val="continue"/>
                  <w:vAlign w:val="center"/>
                </w:tcPr>
                <w:p w14:paraId="2D1E92C9">
                  <w:pPr>
                    <w:jc w:val="center"/>
                    <w:rPr>
                      <w:color w:val="auto"/>
                    </w:rPr>
                  </w:pPr>
                </w:p>
              </w:tc>
              <w:tc>
                <w:tcPr>
                  <w:tcW w:w="504" w:type="pct"/>
                  <w:vAlign w:val="center"/>
                </w:tcPr>
                <w:p w14:paraId="35DDDFE8">
                  <w:pPr>
                    <w:jc w:val="center"/>
                    <w:rPr>
                      <w:color w:val="auto"/>
                    </w:rPr>
                  </w:pPr>
                  <w:r>
                    <w:rPr>
                      <w:rFonts w:hint="eastAsia"/>
                      <w:color w:val="auto"/>
                    </w:rPr>
                    <w:t>10</w:t>
                  </w:r>
                </w:p>
              </w:tc>
              <w:tc>
                <w:tcPr>
                  <w:tcW w:w="496" w:type="pct"/>
                  <w:vAlign w:val="center"/>
                </w:tcPr>
                <w:p w14:paraId="4C159FF8">
                  <w:pPr>
                    <w:jc w:val="center"/>
                    <w:rPr>
                      <w:color w:val="auto"/>
                    </w:rPr>
                  </w:pPr>
                  <w:r>
                    <w:rPr>
                      <w:color w:val="auto"/>
                    </w:rPr>
                    <w:t>0.037</w:t>
                  </w:r>
                </w:p>
              </w:tc>
            </w:tr>
            <w:tr w14:paraId="7C15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300" w:type="pct"/>
                  <w:vMerge w:val="continue"/>
                  <w:vAlign w:val="center"/>
                </w:tcPr>
                <w:p w14:paraId="036EEF2B">
                  <w:pPr>
                    <w:adjustRightInd w:val="0"/>
                    <w:snapToGrid w:val="0"/>
                    <w:jc w:val="center"/>
                    <w:rPr>
                      <w:color w:val="auto"/>
                      <w:szCs w:val="21"/>
                    </w:rPr>
                  </w:pPr>
                </w:p>
              </w:tc>
              <w:tc>
                <w:tcPr>
                  <w:tcW w:w="408" w:type="pct"/>
                  <w:vMerge w:val="continue"/>
                  <w:vAlign w:val="center"/>
                </w:tcPr>
                <w:p w14:paraId="1E51CF5B">
                  <w:pPr>
                    <w:adjustRightInd w:val="0"/>
                    <w:snapToGrid w:val="0"/>
                    <w:jc w:val="center"/>
                    <w:rPr>
                      <w:color w:val="auto"/>
                      <w:szCs w:val="21"/>
                    </w:rPr>
                  </w:pPr>
                </w:p>
              </w:tc>
              <w:tc>
                <w:tcPr>
                  <w:tcW w:w="373" w:type="pct"/>
                  <w:vAlign w:val="center"/>
                </w:tcPr>
                <w:p w14:paraId="1EA47341">
                  <w:pPr>
                    <w:pStyle w:val="63"/>
                    <w:rPr>
                      <w:color w:val="auto"/>
                    </w:rPr>
                  </w:pPr>
                  <w:r>
                    <w:rPr>
                      <w:rFonts w:hint="eastAsia"/>
                      <w:color w:val="auto"/>
                    </w:rPr>
                    <w:t>SS</w:t>
                  </w:r>
                </w:p>
              </w:tc>
              <w:tc>
                <w:tcPr>
                  <w:tcW w:w="369" w:type="pct"/>
                  <w:vAlign w:val="center"/>
                </w:tcPr>
                <w:p w14:paraId="119C29C9">
                  <w:pPr>
                    <w:jc w:val="center"/>
                    <w:rPr>
                      <w:color w:val="auto"/>
                    </w:rPr>
                  </w:pPr>
                  <w:r>
                    <w:rPr>
                      <w:color w:val="auto"/>
                    </w:rPr>
                    <w:t>200</w:t>
                  </w:r>
                </w:p>
              </w:tc>
              <w:tc>
                <w:tcPr>
                  <w:tcW w:w="286" w:type="pct"/>
                  <w:vAlign w:val="center"/>
                </w:tcPr>
                <w:p w14:paraId="65B2404B">
                  <w:pPr>
                    <w:jc w:val="center"/>
                    <w:rPr>
                      <w:color w:val="auto"/>
                    </w:rPr>
                  </w:pPr>
                  <w:r>
                    <w:rPr>
                      <w:color w:val="auto"/>
                    </w:rPr>
                    <w:t>0.732</w:t>
                  </w:r>
                </w:p>
              </w:tc>
              <w:tc>
                <w:tcPr>
                  <w:tcW w:w="632" w:type="pct"/>
                  <w:vMerge w:val="continue"/>
                  <w:vAlign w:val="center"/>
                </w:tcPr>
                <w:p w14:paraId="23A781D3">
                  <w:pPr>
                    <w:adjustRightInd w:val="0"/>
                    <w:snapToGrid w:val="0"/>
                    <w:jc w:val="center"/>
                    <w:rPr>
                      <w:color w:val="auto"/>
                      <w:szCs w:val="21"/>
                    </w:rPr>
                  </w:pPr>
                </w:p>
              </w:tc>
              <w:tc>
                <w:tcPr>
                  <w:tcW w:w="359" w:type="pct"/>
                  <w:vAlign w:val="center"/>
                </w:tcPr>
                <w:p w14:paraId="77D3D50D">
                  <w:pPr>
                    <w:widowControl/>
                    <w:jc w:val="center"/>
                    <w:textAlignment w:val="center"/>
                    <w:rPr>
                      <w:color w:val="auto"/>
                      <w:szCs w:val="21"/>
                    </w:rPr>
                  </w:pPr>
                  <w:r>
                    <w:rPr>
                      <w:rFonts w:hint="eastAsia"/>
                      <w:color w:val="auto"/>
                      <w:szCs w:val="21"/>
                    </w:rPr>
                    <w:t>10%</w:t>
                  </w:r>
                </w:p>
              </w:tc>
              <w:tc>
                <w:tcPr>
                  <w:tcW w:w="382" w:type="pct"/>
                  <w:vAlign w:val="center"/>
                </w:tcPr>
                <w:p w14:paraId="7A73CDD2">
                  <w:pPr>
                    <w:jc w:val="center"/>
                    <w:rPr>
                      <w:color w:val="auto"/>
                    </w:rPr>
                  </w:pPr>
                  <w:r>
                    <w:rPr>
                      <w:rFonts w:hint="eastAsia"/>
                      <w:color w:val="auto"/>
                    </w:rPr>
                    <w:t>180</w:t>
                  </w:r>
                </w:p>
              </w:tc>
              <w:tc>
                <w:tcPr>
                  <w:tcW w:w="347" w:type="pct"/>
                  <w:vAlign w:val="center"/>
                </w:tcPr>
                <w:p w14:paraId="1C54F0BD">
                  <w:pPr>
                    <w:jc w:val="center"/>
                    <w:rPr>
                      <w:color w:val="auto"/>
                    </w:rPr>
                  </w:pPr>
                  <w:r>
                    <w:rPr>
                      <w:color w:val="auto"/>
                    </w:rPr>
                    <w:t>0.659</w:t>
                  </w:r>
                </w:p>
              </w:tc>
              <w:tc>
                <w:tcPr>
                  <w:tcW w:w="538" w:type="pct"/>
                  <w:vMerge w:val="continue"/>
                  <w:vAlign w:val="center"/>
                </w:tcPr>
                <w:p w14:paraId="3CC54761">
                  <w:pPr>
                    <w:jc w:val="center"/>
                    <w:rPr>
                      <w:color w:val="auto"/>
                    </w:rPr>
                  </w:pPr>
                </w:p>
              </w:tc>
              <w:tc>
                <w:tcPr>
                  <w:tcW w:w="504" w:type="pct"/>
                  <w:vAlign w:val="center"/>
                </w:tcPr>
                <w:p w14:paraId="7C980DE3">
                  <w:pPr>
                    <w:jc w:val="center"/>
                    <w:rPr>
                      <w:color w:val="auto"/>
                    </w:rPr>
                  </w:pPr>
                  <w:r>
                    <w:rPr>
                      <w:rFonts w:hint="eastAsia"/>
                      <w:color w:val="auto"/>
                    </w:rPr>
                    <w:t>10</w:t>
                  </w:r>
                </w:p>
              </w:tc>
              <w:tc>
                <w:tcPr>
                  <w:tcW w:w="496" w:type="pct"/>
                  <w:vAlign w:val="center"/>
                </w:tcPr>
                <w:p w14:paraId="006DC247">
                  <w:pPr>
                    <w:jc w:val="center"/>
                    <w:rPr>
                      <w:color w:val="auto"/>
                    </w:rPr>
                  </w:pPr>
                  <w:r>
                    <w:rPr>
                      <w:color w:val="auto"/>
                    </w:rPr>
                    <w:t>0.037</w:t>
                  </w:r>
                </w:p>
              </w:tc>
            </w:tr>
            <w:tr w14:paraId="113C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1757AC69">
                  <w:pPr>
                    <w:adjustRightInd w:val="0"/>
                    <w:snapToGrid w:val="0"/>
                    <w:jc w:val="center"/>
                    <w:rPr>
                      <w:color w:val="auto"/>
                      <w:szCs w:val="21"/>
                    </w:rPr>
                  </w:pPr>
                </w:p>
              </w:tc>
              <w:tc>
                <w:tcPr>
                  <w:tcW w:w="408" w:type="pct"/>
                  <w:vMerge w:val="continue"/>
                  <w:vAlign w:val="center"/>
                </w:tcPr>
                <w:p w14:paraId="702E3DD5">
                  <w:pPr>
                    <w:adjustRightInd w:val="0"/>
                    <w:snapToGrid w:val="0"/>
                    <w:jc w:val="center"/>
                    <w:rPr>
                      <w:color w:val="auto"/>
                      <w:szCs w:val="21"/>
                    </w:rPr>
                  </w:pPr>
                </w:p>
              </w:tc>
              <w:tc>
                <w:tcPr>
                  <w:tcW w:w="373" w:type="pct"/>
                  <w:vAlign w:val="center"/>
                </w:tcPr>
                <w:p w14:paraId="1363F802">
                  <w:pPr>
                    <w:pStyle w:val="63"/>
                    <w:rPr>
                      <w:color w:val="auto"/>
                    </w:rPr>
                  </w:pPr>
                  <w:r>
                    <w:rPr>
                      <w:rFonts w:hint="eastAsia"/>
                      <w:color w:val="auto"/>
                    </w:rPr>
                    <w:t>NH</w:t>
                  </w:r>
                  <w:r>
                    <w:rPr>
                      <w:color w:val="auto"/>
                      <w:vertAlign w:val="subscript"/>
                    </w:rPr>
                    <w:t>3</w:t>
                  </w:r>
                  <w:r>
                    <w:rPr>
                      <w:color w:val="auto"/>
                    </w:rPr>
                    <w:t>-N</w:t>
                  </w:r>
                </w:p>
              </w:tc>
              <w:tc>
                <w:tcPr>
                  <w:tcW w:w="369" w:type="pct"/>
                  <w:vAlign w:val="center"/>
                </w:tcPr>
                <w:p w14:paraId="40E0077C">
                  <w:pPr>
                    <w:jc w:val="center"/>
                    <w:rPr>
                      <w:color w:val="auto"/>
                    </w:rPr>
                  </w:pPr>
                  <w:r>
                    <w:rPr>
                      <w:color w:val="auto"/>
                    </w:rPr>
                    <w:t>25</w:t>
                  </w:r>
                </w:p>
              </w:tc>
              <w:tc>
                <w:tcPr>
                  <w:tcW w:w="286" w:type="pct"/>
                  <w:vAlign w:val="center"/>
                </w:tcPr>
                <w:p w14:paraId="18FC047B">
                  <w:pPr>
                    <w:jc w:val="center"/>
                    <w:rPr>
                      <w:color w:val="auto"/>
                    </w:rPr>
                  </w:pPr>
                  <w:r>
                    <w:rPr>
                      <w:color w:val="auto"/>
                    </w:rPr>
                    <w:t>0.092</w:t>
                  </w:r>
                </w:p>
              </w:tc>
              <w:tc>
                <w:tcPr>
                  <w:tcW w:w="632" w:type="pct"/>
                  <w:vMerge w:val="continue"/>
                  <w:vAlign w:val="center"/>
                </w:tcPr>
                <w:p w14:paraId="355A6F1D">
                  <w:pPr>
                    <w:adjustRightInd w:val="0"/>
                    <w:snapToGrid w:val="0"/>
                    <w:jc w:val="center"/>
                    <w:rPr>
                      <w:color w:val="auto"/>
                      <w:szCs w:val="21"/>
                    </w:rPr>
                  </w:pPr>
                </w:p>
              </w:tc>
              <w:tc>
                <w:tcPr>
                  <w:tcW w:w="359" w:type="pct"/>
                  <w:vAlign w:val="center"/>
                </w:tcPr>
                <w:p w14:paraId="4C4BEB77">
                  <w:pPr>
                    <w:widowControl/>
                    <w:jc w:val="center"/>
                    <w:textAlignment w:val="center"/>
                    <w:rPr>
                      <w:color w:val="auto"/>
                      <w:szCs w:val="21"/>
                    </w:rPr>
                  </w:pPr>
                  <w:r>
                    <w:rPr>
                      <w:rFonts w:hint="eastAsia"/>
                      <w:color w:val="auto"/>
                      <w:szCs w:val="21"/>
                    </w:rPr>
                    <w:t>35%</w:t>
                  </w:r>
                </w:p>
              </w:tc>
              <w:tc>
                <w:tcPr>
                  <w:tcW w:w="382" w:type="pct"/>
                  <w:vAlign w:val="center"/>
                </w:tcPr>
                <w:p w14:paraId="749DCF2B">
                  <w:pPr>
                    <w:jc w:val="center"/>
                    <w:rPr>
                      <w:color w:val="auto"/>
                    </w:rPr>
                  </w:pPr>
                  <w:r>
                    <w:rPr>
                      <w:rFonts w:hint="eastAsia"/>
                      <w:color w:val="auto"/>
                    </w:rPr>
                    <w:t>16.25</w:t>
                  </w:r>
                </w:p>
              </w:tc>
              <w:tc>
                <w:tcPr>
                  <w:tcW w:w="347" w:type="pct"/>
                  <w:vAlign w:val="center"/>
                </w:tcPr>
                <w:p w14:paraId="71DA6AE4">
                  <w:pPr>
                    <w:jc w:val="center"/>
                    <w:rPr>
                      <w:color w:val="auto"/>
                    </w:rPr>
                  </w:pPr>
                  <w:r>
                    <w:rPr>
                      <w:color w:val="auto"/>
                    </w:rPr>
                    <w:t>0.060</w:t>
                  </w:r>
                </w:p>
              </w:tc>
              <w:tc>
                <w:tcPr>
                  <w:tcW w:w="538" w:type="pct"/>
                  <w:vMerge w:val="continue"/>
                  <w:vAlign w:val="center"/>
                </w:tcPr>
                <w:p w14:paraId="0A236798">
                  <w:pPr>
                    <w:jc w:val="center"/>
                    <w:rPr>
                      <w:color w:val="auto"/>
                    </w:rPr>
                  </w:pPr>
                </w:p>
              </w:tc>
              <w:tc>
                <w:tcPr>
                  <w:tcW w:w="504" w:type="pct"/>
                  <w:vAlign w:val="center"/>
                </w:tcPr>
                <w:p w14:paraId="3E9C91A8">
                  <w:pPr>
                    <w:jc w:val="center"/>
                    <w:rPr>
                      <w:color w:val="auto"/>
                    </w:rPr>
                  </w:pPr>
                  <w:r>
                    <w:rPr>
                      <w:rFonts w:hint="eastAsia"/>
                      <w:color w:val="auto"/>
                    </w:rPr>
                    <w:t>5</w:t>
                  </w:r>
                </w:p>
              </w:tc>
              <w:tc>
                <w:tcPr>
                  <w:tcW w:w="496" w:type="pct"/>
                  <w:vAlign w:val="center"/>
                </w:tcPr>
                <w:p w14:paraId="65A41F7D">
                  <w:pPr>
                    <w:jc w:val="center"/>
                    <w:rPr>
                      <w:color w:val="auto"/>
                    </w:rPr>
                  </w:pPr>
                  <w:r>
                    <w:rPr>
                      <w:color w:val="auto"/>
                    </w:rPr>
                    <w:t>0.018</w:t>
                  </w:r>
                </w:p>
              </w:tc>
            </w:tr>
            <w:tr w14:paraId="287D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restart"/>
                  <w:vAlign w:val="center"/>
                </w:tcPr>
                <w:p w14:paraId="0D5497E4">
                  <w:pPr>
                    <w:adjustRightInd w:val="0"/>
                    <w:snapToGrid w:val="0"/>
                    <w:jc w:val="center"/>
                    <w:rPr>
                      <w:color w:val="auto"/>
                      <w:szCs w:val="21"/>
                    </w:rPr>
                  </w:pPr>
                  <w:r>
                    <w:rPr>
                      <w:rFonts w:hint="eastAsia"/>
                      <w:color w:val="auto"/>
                      <w:szCs w:val="21"/>
                    </w:rPr>
                    <w:t>清洗废水</w:t>
                  </w:r>
                </w:p>
              </w:tc>
              <w:tc>
                <w:tcPr>
                  <w:tcW w:w="408" w:type="pct"/>
                  <w:vMerge w:val="restart"/>
                  <w:vAlign w:val="center"/>
                </w:tcPr>
                <w:p w14:paraId="2D7A6401">
                  <w:pPr>
                    <w:adjustRightInd w:val="0"/>
                    <w:snapToGrid w:val="0"/>
                    <w:jc w:val="center"/>
                    <w:rPr>
                      <w:color w:val="auto"/>
                      <w:szCs w:val="21"/>
                    </w:rPr>
                  </w:pPr>
                  <w:r>
                    <w:rPr>
                      <w:rFonts w:hint="eastAsia"/>
                      <w:color w:val="auto"/>
                      <w:szCs w:val="21"/>
                    </w:rPr>
                    <w:t>400</w:t>
                  </w:r>
                </w:p>
              </w:tc>
              <w:tc>
                <w:tcPr>
                  <w:tcW w:w="373" w:type="pct"/>
                  <w:shd w:val="clear" w:color="auto" w:fill="auto"/>
                  <w:vAlign w:val="center"/>
                </w:tcPr>
                <w:p w14:paraId="1475EFF9">
                  <w:pPr>
                    <w:topLinePunct/>
                    <w:jc w:val="center"/>
                    <w:rPr>
                      <w:color w:val="auto"/>
                      <w:szCs w:val="21"/>
                    </w:rPr>
                  </w:pPr>
                  <w:r>
                    <w:rPr>
                      <w:color w:val="auto"/>
                      <w:szCs w:val="21"/>
                    </w:rPr>
                    <w:t>COD</w:t>
                  </w:r>
                </w:p>
              </w:tc>
              <w:tc>
                <w:tcPr>
                  <w:tcW w:w="369" w:type="pct"/>
                  <w:vAlign w:val="center"/>
                </w:tcPr>
                <w:p w14:paraId="04E486B7">
                  <w:pPr>
                    <w:jc w:val="center"/>
                    <w:rPr>
                      <w:color w:val="auto"/>
                    </w:rPr>
                  </w:pPr>
                  <w:r>
                    <w:rPr>
                      <w:color w:val="auto"/>
                    </w:rPr>
                    <w:t>300</w:t>
                  </w:r>
                </w:p>
              </w:tc>
              <w:tc>
                <w:tcPr>
                  <w:tcW w:w="286" w:type="pct"/>
                  <w:vAlign w:val="center"/>
                </w:tcPr>
                <w:p w14:paraId="32FA9B35">
                  <w:pPr>
                    <w:jc w:val="center"/>
                    <w:rPr>
                      <w:color w:val="auto"/>
                    </w:rPr>
                  </w:pPr>
                  <w:r>
                    <w:rPr>
                      <w:color w:val="auto"/>
                    </w:rPr>
                    <w:t>0.120</w:t>
                  </w:r>
                </w:p>
              </w:tc>
              <w:tc>
                <w:tcPr>
                  <w:tcW w:w="632" w:type="pct"/>
                  <w:vMerge w:val="restart"/>
                  <w:vAlign w:val="center"/>
                </w:tcPr>
                <w:p w14:paraId="75D0E59F">
                  <w:pPr>
                    <w:adjustRightInd w:val="0"/>
                    <w:snapToGrid w:val="0"/>
                    <w:jc w:val="center"/>
                    <w:rPr>
                      <w:color w:val="auto"/>
                      <w:szCs w:val="21"/>
                    </w:rPr>
                  </w:pPr>
                  <w:r>
                    <w:rPr>
                      <w:rFonts w:hint="eastAsia"/>
                      <w:color w:val="auto"/>
                      <w:szCs w:val="21"/>
                    </w:rPr>
                    <w:t>污水收集池+一期污水处理工艺（前处理废水（TW001）+混合废水处理系统（TW012）+中水回用系统（TW013）+排水池）</w:t>
                  </w:r>
                </w:p>
              </w:tc>
              <w:tc>
                <w:tcPr>
                  <w:tcW w:w="359" w:type="pct"/>
                  <w:vAlign w:val="center"/>
                </w:tcPr>
                <w:p w14:paraId="2BFAF224">
                  <w:pPr>
                    <w:widowControl/>
                    <w:jc w:val="center"/>
                    <w:textAlignment w:val="center"/>
                    <w:rPr>
                      <w:color w:val="auto"/>
                      <w:szCs w:val="21"/>
                    </w:rPr>
                  </w:pPr>
                  <w:r>
                    <w:rPr>
                      <w:rFonts w:eastAsia="Times New Roman"/>
                      <w:color w:val="auto"/>
                      <w:spacing w:val="-1"/>
                      <w:szCs w:val="21"/>
                    </w:rPr>
                    <w:t>45</w:t>
                  </w:r>
                  <w:r>
                    <w:rPr>
                      <w:rFonts w:hint="eastAsia"/>
                      <w:color w:val="auto"/>
                      <w:spacing w:val="-1"/>
                      <w:szCs w:val="21"/>
                    </w:rPr>
                    <w:t>%</w:t>
                  </w:r>
                </w:p>
              </w:tc>
              <w:tc>
                <w:tcPr>
                  <w:tcW w:w="382" w:type="pct"/>
                  <w:vAlign w:val="center"/>
                </w:tcPr>
                <w:p w14:paraId="4354C7F9">
                  <w:pPr>
                    <w:jc w:val="center"/>
                    <w:rPr>
                      <w:color w:val="auto"/>
                    </w:rPr>
                  </w:pPr>
                  <w:r>
                    <w:rPr>
                      <w:rFonts w:hint="eastAsia"/>
                      <w:color w:val="auto"/>
                    </w:rPr>
                    <w:t>165</w:t>
                  </w:r>
                </w:p>
              </w:tc>
              <w:tc>
                <w:tcPr>
                  <w:tcW w:w="347" w:type="pct"/>
                  <w:vAlign w:val="center"/>
                </w:tcPr>
                <w:p w14:paraId="4CE1C05D">
                  <w:pPr>
                    <w:jc w:val="center"/>
                    <w:rPr>
                      <w:color w:val="auto"/>
                    </w:rPr>
                  </w:pPr>
                  <w:r>
                    <w:rPr>
                      <w:color w:val="auto"/>
                    </w:rPr>
                    <w:t>0.066</w:t>
                  </w:r>
                </w:p>
              </w:tc>
              <w:tc>
                <w:tcPr>
                  <w:tcW w:w="538" w:type="pct"/>
                  <w:vMerge w:val="continue"/>
                  <w:vAlign w:val="center"/>
                </w:tcPr>
                <w:p w14:paraId="4153E5DF">
                  <w:pPr>
                    <w:jc w:val="center"/>
                    <w:rPr>
                      <w:color w:val="auto"/>
                    </w:rPr>
                  </w:pPr>
                </w:p>
              </w:tc>
              <w:tc>
                <w:tcPr>
                  <w:tcW w:w="504" w:type="pct"/>
                  <w:vAlign w:val="center"/>
                </w:tcPr>
                <w:p w14:paraId="687973DD">
                  <w:pPr>
                    <w:jc w:val="center"/>
                    <w:rPr>
                      <w:color w:val="auto"/>
                    </w:rPr>
                  </w:pPr>
                  <w:r>
                    <w:rPr>
                      <w:rFonts w:hint="eastAsia"/>
                      <w:color w:val="auto"/>
                    </w:rPr>
                    <w:t>50</w:t>
                  </w:r>
                </w:p>
              </w:tc>
              <w:tc>
                <w:tcPr>
                  <w:tcW w:w="496" w:type="pct"/>
                  <w:vAlign w:val="center"/>
                </w:tcPr>
                <w:p w14:paraId="17C722C5">
                  <w:pPr>
                    <w:jc w:val="center"/>
                    <w:rPr>
                      <w:color w:val="auto"/>
                    </w:rPr>
                  </w:pPr>
                  <w:r>
                    <w:rPr>
                      <w:color w:val="auto"/>
                    </w:rPr>
                    <w:t>0.020</w:t>
                  </w:r>
                </w:p>
              </w:tc>
            </w:tr>
            <w:tr w14:paraId="113B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3C538270">
                  <w:pPr>
                    <w:adjustRightInd w:val="0"/>
                    <w:snapToGrid w:val="0"/>
                    <w:jc w:val="center"/>
                    <w:rPr>
                      <w:color w:val="auto"/>
                      <w:szCs w:val="21"/>
                    </w:rPr>
                  </w:pPr>
                </w:p>
              </w:tc>
              <w:tc>
                <w:tcPr>
                  <w:tcW w:w="408" w:type="pct"/>
                  <w:vMerge w:val="continue"/>
                  <w:vAlign w:val="center"/>
                </w:tcPr>
                <w:p w14:paraId="06C3FE67">
                  <w:pPr>
                    <w:adjustRightInd w:val="0"/>
                    <w:snapToGrid w:val="0"/>
                    <w:jc w:val="center"/>
                    <w:rPr>
                      <w:color w:val="auto"/>
                      <w:szCs w:val="21"/>
                    </w:rPr>
                  </w:pPr>
                </w:p>
              </w:tc>
              <w:tc>
                <w:tcPr>
                  <w:tcW w:w="373" w:type="pct"/>
                  <w:shd w:val="clear" w:color="auto" w:fill="auto"/>
                  <w:vAlign w:val="center"/>
                </w:tcPr>
                <w:p w14:paraId="055A6A90">
                  <w:pPr>
                    <w:pStyle w:val="63"/>
                    <w:rPr>
                      <w:color w:val="auto"/>
                    </w:rPr>
                  </w:pPr>
                  <w:r>
                    <w:rPr>
                      <w:rFonts w:hint="eastAsia"/>
                      <w:color w:val="auto"/>
                    </w:rPr>
                    <w:t>总氮</w:t>
                  </w:r>
                </w:p>
              </w:tc>
              <w:tc>
                <w:tcPr>
                  <w:tcW w:w="369" w:type="pct"/>
                  <w:vAlign w:val="center"/>
                </w:tcPr>
                <w:p w14:paraId="2D725930">
                  <w:pPr>
                    <w:jc w:val="center"/>
                    <w:rPr>
                      <w:color w:val="auto"/>
                    </w:rPr>
                  </w:pPr>
                  <w:r>
                    <w:rPr>
                      <w:color w:val="auto"/>
                    </w:rPr>
                    <w:t>20</w:t>
                  </w:r>
                </w:p>
              </w:tc>
              <w:tc>
                <w:tcPr>
                  <w:tcW w:w="286" w:type="pct"/>
                  <w:vAlign w:val="center"/>
                </w:tcPr>
                <w:p w14:paraId="30CE4C4A">
                  <w:pPr>
                    <w:jc w:val="center"/>
                    <w:rPr>
                      <w:color w:val="auto"/>
                    </w:rPr>
                  </w:pPr>
                  <w:r>
                    <w:rPr>
                      <w:color w:val="auto"/>
                    </w:rPr>
                    <w:t>0.008</w:t>
                  </w:r>
                </w:p>
              </w:tc>
              <w:tc>
                <w:tcPr>
                  <w:tcW w:w="632" w:type="pct"/>
                  <w:vMerge w:val="continue"/>
                  <w:vAlign w:val="center"/>
                </w:tcPr>
                <w:p w14:paraId="4F711791">
                  <w:pPr>
                    <w:adjustRightInd w:val="0"/>
                    <w:snapToGrid w:val="0"/>
                    <w:jc w:val="center"/>
                    <w:rPr>
                      <w:color w:val="auto"/>
                      <w:szCs w:val="21"/>
                    </w:rPr>
                  </w:pPr>
                </w:p>
              </w:tc>
              <w:tc>
                <w:tcPr>
                  <w:tcW w:w="359" w:type="pct"/>
                  <w:vAlign w:val="center"/>
                </w:tcPr>
                <w:p w14:paraId="7D95A645">
                  <w:pPr>
                    <w:widowControl/>
                    <w:jc w:val="center"/>
                    <w:textAlignment w:val="center"/>
                    <w:rPr>
                      <w:color w:val="auto"/>
                      <w:szCs w:val="21"/>
                    </w:rPr>
                  </w:pPr>
                  <w:r>
                    <w:rPr>
                      <w:rFonts w:eastAsia="Times New Roman"/>
                      <w:color w:val="auto"/>
                      <w:spacing w:val="-2"/>
                      <w:szCs w:val="21"/>
                    </w:rPr>
                    <w:t>70</w:t>
                  </w:r>
                  <w:r>
                    <w:rPr>
                      <w:rFonts w:hint="eastAsia"/>
                      <w:color w:val="auto"/>
                      <w:spacing w:val="-1"/>
                      <w:szCs w:val="21"/>
                    </w:rPr>
                    <w:t>%</w:t>
                  </w:r>
                </w:p>
              </w:tc>
              <w:tc>
                <w:tcPr>
                  <w:tcW w:w="382" w:type="pct"/>
                  <w:vAlign w:val="center"/>
                </w:tcPr>
                <w:p w14:paraId="3A770325">
                  <w:pPr>
                    <w:jc w:val="center"/>
                    <w:rPr>
                      <w:color w:val="auto"/>
                    </w:rPr>
                  </w:pPr>
                  <w:r>
                    <w:rPr>
                      <w:rFonts w:hint="eastAsia"/>
                      <w:color w:val="auto"/>
                    </w:rPr>
                    <w:t>6</w:t>
                  </w:r>
                </w:p>
              </w:tc>
              <w:tc>
                <w:tcPr>
                  <w:tcW w:w="347" w:type="pct"/>
                  <w:vAlign w:val="center"/>
                </w:tcPr>
                <w:p w14:paraId="19FE69E2">
                  <w:pPr>
                    <w:jc w:val="center"/>
                    <w:rPr>
                      <w:color w:val="auto"/>
                    </w:rPr>
                  </w:pPr>
                  <w:r>
                    <w:rPr>
                      <w:color w:val="auto"/>
                    </w:rPr>
                    <w:t>0.002</w:t>
                  </w:r>
                </w:p>
              </w:tc>
              <w:tc>
                <w:tcPr>
                  <w:tcW w:w="538" w:type="pct"/>
                  <w:vMerge w:val="continue"/>
                  <w:vAlign w:val="center"/>
                </w:tcPr>
                <w:p w14:paraId="35DF4267">
                  <w:pPr>
                    <w:jc w:val="center"/>
                    <w:rPr>
                      <w:color w:val="auto"/>
                    </w:rPr>
                  </w:pPr>
                </w:p>
              </w:tc>
              <w:tc>
                <w:tcPr>
                  <w:tcW w:w="504" w:type="pct"/>
                  <w:vAlign w:val="center"/>
                </w:tcPr>
                <w:p w14:paraId="56C99EFA">
                  <w:pPr>
                    <w:jc w:val="center"/>
                    <w:rPr>
                      <w:color w:val="auto"/>
                    </w:rPr>
                  </w:pPr>
                  <w:r>
                    <w:rPr>
                      <w:rFonts w:hint="eastAsia"/>
                      <w:color w:val="auto"/>
                    </w:rPr>
                    <w:t>15</w:t>
                  </w:r>
                </w:p>
              </w:tc>
              <w:tc>
                <w:tcPr>
                  <w:tcW w:w="496" w:type="pct"/>
                  <w:vAlign w:val="center"/>
                </w:tcPr>
                <w:p w14:paraId="51CC0913">
                  <w:pPr>
                    <w:jc w:val="center"/>
                    <w:rPr>
                      <w:color w:val="auto"/>
                    </w:rPr>
                  </w:pPr>
                  <w:r>
                    <w:rPr>
                      <w:color w:val="auto"/>
                    </w:rPr>
                    <w:t>0.006</w:t>
                  </w:r>
                </w:p>
              </w:tc>
            </w:tr>
            <w:tr w14:paraId="60CE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2700841B">
                  <w:pPr>
                    <w:adjustRightInd w:val="0"/>
                    <w:snapToGrid w:val="0"/>
                    <w:jc w:val="center"/>
                    <w:rPr>
                      <w:color w:val="auto"/>
                      <w:szCs w:val="21"/>
                    </w:rPr>
                  </w:pPr>
                </w:p>
              </w:tc>
              <w:tc>
                <w:tcPr>
                  <w:tcW w:w="408" w:type="pct"/>
                  <w:vMerge w:val="continue"/>
                  <w:vAlign w:val="center"/>
                </w:tcPr>
                <w:p w14:paraId="64FE7906">
                  <w:pPr>
                    <w:adjustRightInd w:val="0"/>
                    <w:snapToGrid w:val="0"/>
                    <w:jc w:val="center"/>
                    <w:rPr>
                      <w:color w:val="auto"/>
                      <w:szCs w:val="21"/>
                    </w:rPr>
                  </w:pPr>
                </w:p>
              </w:tc>
              <w:tc>
                <w:tcPr>
                  <w:tcW w:w="373" w:type="pct"/>
                  <w:shd w:val="clear" w:color="auto" w:fill="auto"/>
                  <w:vAlign w:val="center"/>
                </w:tcPr>
                <w:p w14:paraId="0247F8E3">
                  <w:pPr>
                    <w:pStyle w:val="63"/>
                    <w:rPr>
                      <w:color w:val="auto"/>
                    </w:rPr>
                  </w:pPr>
                  <w:r>
                    <w:rPr>
                      <w:rFonts w:hint="eastAsia"/>
                      <w:color w:val="auto"/>
                    </w:rPr>
                    <w:t>SS</w:t>
                  </w:r>
                </w:p>
              </w:tc>
              <w:tc>
                <w:tcPr>
                  <w:tcW w:w="369" w:type="pct"/>
                  <w:vAlign w:val="center"/>
                </w:tcPr>
                <w:p w14:paraId="15217811">
                  <w:pPr>
                    <w:jc w:val="center"/>
                    <w:rPr>
                      <w:color w:val="auto"/>
                    </w:rPr>
                  </w:pPr>
                  <w:r>
                    <w:rPr>
                      <w:color w:val="auto"/>
                    </w:rPr>
                    <w:t>100</w:t>
                  </w:r>
                </w:p>
              </w:tc>
              <w:tc>
                <w:tcPr>
                  <w:tcW w:w="286" w:type="pct"/>
                  <w:vAlign w:val="center"/>
                </w:tcPr>
                <w:p w14:paraId="02B02866">
                  <w:pPr>
                    <w:jc w:val="center"/>
                    <w:rPr>
                      <w:color w:val="auto"/>
                    </w:rPr>
                  </w:pPr>
                  <w:r>
                    <w:rPr>
                      <w:color w:val="auto"/>
                    </w:rPr>
                    <w:t>0.040</w:t>
                  </w:r>
                </w:p>
              </w:tc>
              <w:tc>
                <w:tcPr>
                  <w:tcW w:w="632" w:type="pct"/>
                  <w:vMerge w:val="continue"/>
                  <w:vAlign w:val="center"/>
                </w:tcPr>
                <w:p w14:paraId="384C25EF">
                  <w:pPr>
                    <w:adjustRightInd w:val="0"/>
                    <w:snapToGrid w:val="0"/>
                    <w:jc w:val="center"/>
                    <w:rPr>
                      <w:color w:val="auto"/>
                      <w:szCs w:val="21"/>
                    </w:rPr>
                  </w:pPr>
                </w:p>
              </w:tc>
              <w:tc>
                <w:tcPr>
                  <w:tcW w:w="359" w:type="pct"/>
                  <w:vAlign w:val="center"/>
                </w:tcPr>
                <w:p w14:paraId="1C1B8F0A">
                  <w:pPr>
                    <w:widowControl/>
                    <w:jc w:val="center"/>
                    <w:textAlignment w:val="center"/>
                    <w:rPr>
                      <w:color w:val="auto"/>
                      <w:szCs w:val="21"/>
                    </w:rPr>
                  </w:pPr>
                  <w:r>
                    <w:rPr>
                      <w:rFonts w:hint="eastAsia"/>
                      <w:color w:val="auto"/>
                      <w:szCs w:val="21"/>
                    </w:rPr>
                    <w:t>35</w:t>
                  </w:r>
                  <w:r>
                    <w:rPr>
                      <w:rFonts w:hint="eastAsia"/>
                      <w:color w:val="auto"/>
                      <w:spacing w:val="-1"/>
                      <w:szCs w:val="21"/>
                    </w:rPr>
                    <w:t>%</w:t>
                  </w:r>
                </w:p>
              </w:tc>
              <w:tc>
                <w:tcPr>
                  <w:tcW w:w="382" w:type="pct"/>
                  <w:vAlign w:val="center"/>
                </w:tcPr>
                <w:p w14:paraId="6C7A16C4">
                  <w:pPr>
                    <w:jc w:val="center"/>
                    <w:rPr>
                      <w:color w:val="auto"/>
                    </w:rPr>
                  </w:pPr>
                  <w:r>
                    <w:rPr>
                      <w:rFonts w:hint="eastAsia"/>
                      <w:color w:val="auto"/>
                    </w:rPr>
                    <w:t>65</w:t>
                  </w:r>
                </w:p>
              </w:tc>
              <w:tc>
                <w:tcPr>
                  <w:tcW w:w="347" w:type="pct"/>
                  <w:vAlign w:val="center"/>
                </w:tcPr>
                <w:p w14:paraId="34016C6B">
                  <w:pPr>
                    <w:jc w:val="center"/>
                    <w:rPr>
                      <w:color w:val="auto"/>
                    </w:rPr>
                  </w:pPr>
                  <w:r>
                    <w:rPr>
                      <w:color w:val="auto"/>
                    </w:rPr>
                    <w:t>0.026</w:t>
                  </w:r>
                </w:p>
              </w:tc>
              <w:tc>
                <w:tcPr>
                  <w:tcW w:w="538" w:type="pct"/>
                  <w:vMerge w:val="continue"/>
                  <w:vAlign w:val="center"/>
                </w:tcPr>
                <w:p w14:paraId="0D64BBDF">
                  <w:pPr>
                    <w:jc w:val="center"/>
                    <w:rPr>
                      <w:color w:val="auto"/>
                    </w:rPr>
                  </w:pPr>
                </w:p>
              </w:tc>
              <w:tc>
                <w:tcPr>
                  <w:tcW w:w="504" w:type="pct"/>
                  <w:vAlign w:val="center"/>
                </w:tcPr>
                <w:p w14:paraId="531CA24B">
                  <w:pPr>
                    <w:jc w:val="center"/>
                    <w:rPr>
                      <w:color w:val="auto"/>
                    </w:rPr>
                  </w:pPr>
                  <w:r>
                    <w:rPr>
                      <w:rFonts w:hint="eastAsia"/>
                      <w:color w:val="auto"/>
                    </w:rPr>
                    <w:t>10</w:t>
                  </w:r>
                </w:p>
              </w:tc>
              <w:tc>
                <w:tcPr>
                  <w:tcW w:w="496" w:type="pct"/>
                  <w:vAlign w:val="center"/>
                </w:tcPr>
                <w:p w14:paraId="0A744FEA">
                  <w:pPr>
                    <w:jc w:val="center"/>
                    <w:rPr>
                      <w:color w:val="auto"/>
                    </w:rPr>
                  </w:pPr>
                  <w:r>
                    <w:rPr>
                      <w:color w:val="auto"/>
                    </w:rPr>
                    <w:t>0.004</w:t>
                  </w:r>
                </w:p>
              </w:tc>
            </w:tr>
            <w:tr w14:paraId="565D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30055A93">
                  <w:pPr>
                    <w:adjustRightInd w:val="0"/>
                    <w:snapToGrid w:val="0"/>
                    <w:jc w:val="center"/>
                    <w:rPr>
                      <w:color w:val="auto"/>
                      <w:szCs w:val="21"/>
                    </w:rPr>
                  </w:pPr>
                </w:p>
              </w:tc>
              <w:tc>
                <w:tcPr>
                  <w:tcW w:w="408" w:type="pct"/>
                  <w:vMerge w:val="continue"/>
                  <w:vAlign w:val="center"/>
                </w:tcPr>
                <w:p w14:paraId="51543864">
                  <w:pPr>
                    <w:adjustRightInd w:val="0"/>
                    <w:snapToGrid w:val="0"/>
                    <w:jc w:val="center"/>
                    <w:rPr>
                      <w:color w:val="auto"/>
                      <w:szCs w:val="21"/>
                    </w:rPr>
                  </w:pPr>
                </w:p>
              </w:tc>
              <w:tc>
                <w:tcPr>
                  <w:tcW w:w="373" w:type="pct"/>
                  <w:shd w:val="clear" w:color="auto" w:fill="auto"/>
                  <w:vAlign w:val="center"/>
                </w:tcPr>
                <w:p w14:paraId="7AA459AC">
                  <w:pPr>
                    <w:pStyle w:val="63"/>
                    <w:rPr>
                      <w:color w:val="auto"/>
                    </w:rPr>
                  </w:pPr>
                  <w:r>
                    <w:rPr>
                      <w:rFonts w:hint="eastAsia"/>
                      <w:color w:val="auto"/>
                    </w:rPr>
                    <w:t>NH</w:t>
                  </w:r>
                  <w:r>
                    <w:rPr>
                      <w:color w:val="auto"/>
                      <w:vertAlign w:val="subscript"/>
                    </w:rPr>
                    <w:t>3</w:t>
                  </w:r>
                  <w:r>
                    <w:rPr>
                      <w:color w:val="auto"/>
                    </w:rPr>
                    <w:t>-N</w:t>
                  </w:r>
                </w:p>
              </w:tc>
              <w:tc>
                <w:tcPr>
                  <w:tcW w:w="369" w:type="pct"/>
                  <w:vAlign w:val="center"/>
                </w:tcPr>
                <w:p w14:paraId="11777761">
                  <w:pPr>
                    <w:jc w:val="center"/>
                    <w:rPr>
                      <w:color w:val="auto"/>
                    </w:rPr>
                  </w:pPr>
                  <w:r>
                    <w:rPr>
                      <w:color w:val="auto"/>
                    </w:rPr>
                    <w:t>15</w:t>
                  </w:r>
                </w:p>
              </w:tc>
              <w:tc>
                <w:tcPr>
                  <w:tcW w:w="286" w:type="pct"/>
                  <w:vAlign w:val="center"/>
                </w:tcPr>
                <w:p w14:paraId="62CA88BD">
                  <w:pPr>
                    <w:jc w:val="center"/>
                    <w:rPr>
                      <w:color w:val="auto"/>
                    </w:rPr>
                  </w:pPr>
                  <w:r>
                    <w:rPr>
                      <w:color w:val="auto"/>
                    </w:rPr>
                    <w:t>0.006</w:t>
                  </w:r>
                </w:p>
              </w:tc>
              <w:tc>
                <w:tcPr>
                  <w:tcW w:w="632" w:type="pct"/>
                  <w:vMerge w:val="continue"/>
                  <w:vAlign w:val="center"/>
                </w:tcPr>
                <w:p w14:paraId="7AF9FA64">
                  <w:pPr>
                    <w:adjustRightInd w:val="0"/>
                    <w:snapToGrid w:val="0"/>
                    <w:jc w:val="center"/>
                    <w:rPr>
                      <w:color w:val="auto"/>
                      <w:szCs w:val="21"/>
                    </w:rPr>
                  </w:pPr>
                </w:p>
              </w:tc>
              <w:tc>
                <w:tcPr>
                  <w:tcW w:w="359" w:type="pct"/>
                  <w:vAlign w:val="center"/>
                </w:tcPr>
                <w:p w14:paraId="7B2ABDFE">
                  <w:pPr>
                    <w:widowControl/>
                    <w:jc w:val="center"/>
                    <w:textAlignment w:val="center"/>
                    <w:rPr>
                      <w:color w:val="auto"/>
                      <w:szCs w:val="21"/>
                    </w:rPr>
                  </w:pPr>
                  <w:r>
                    <w:rPr>
                      <w:rFonts w:eastAsia="Times New Roman"/>
                      <w:color w:val="auto"/>
                      <w:spacing w:val="-6"/>
                      <w:szCs w:val="21"/>
                    </w:rPr>
                    <w:t>10</w:t>
                  </w:r>
                  <w:r>
                    <w:rPr>
                      <w:rFonts w:hint="eastAsia"/>
                      <w:color w:val="auto"/>
                      <w:spacing w:val="-1"/>
                      <w:szCs w:val="21"/>
                    </w:rPr>
                    <w:t>%</w:t>
                  </w:r>
                </w:p>
              </w:tc>
              <w:tc>
                <w:tcPr>
                  <w:tcW w:w="382" w:type="pct"/>
                  <w:vAlign w:val="center"/>
                </w:tcPr>
                <w:p w14:paraId="7F7FAF86">
                  <w:pPr>
                    <w:jc w:val="center"/>
                    <w:rPr>
                      <w:color w:val="auto"/>
                    </w:rPr>
                  </w:pPr>
                  <w:r>
                    <w:rPr>
                      <w:rFonts w:hint="eastAsia"/>
                      <w:color w:val="auto"/>
                    </w:rPr>
                    <w:t>13.5</w:t>
                  </w:r>
                </w:p>
              </w:tc>
              <w:tc>
                <w:tcPr>
                  <w:tcW w:w="347" w:type="pct"/>
                  <w:vAlign w:val="center"/>
                </w:tcPr>
                <w:p w14:paraId="5FACDCCF">
                  <w:pPr>
                    <w:jc w:val="center"/>
                    <w:rPr>
                      <w:color w:val="auto"/>
                    </w:rPr>
                  </w:pPr>
                  <w:r>
                    <w:rPr>
                      <w:color w:val="auto"/>
                    </w:rPr>
                    <w:t>0.005</w:t>
                  </w:r>
                </w:p>
              </w:tc>
              <w:tc>
                <w:tcPr>
                  <w:tcW w:w="538" w:type="pct"/>
                  <w:vMerge w:val="continue"/>
                  <w:vAlign w:val="center"/>
                </w:tcPr>
                <w:p w14:paraId="1B42F29F">
                  <w:pPr>
                    <w:jc w:val="center"/>
                    <w:rPr>
                      <w:color w:val="auto"/>
                    </w:rPr>
                  </w:pPr>
                </w:p>
              </w:tc>
              <w:tc>
                <w:tcPr>
                  <w:tcW w:w="504" w:type="pct"/>
                  <w:vAlign w:val="center"/>
                </w:tcPr>
                <w:p w14:paraId="3E44174B">
                  <w:pPr>
                    <w:jc w:val="center"/>
                    <w:rPr>
                      <w:color w:val="auto"/>
                    </w:rPr>
                  </w:pPr>
                  <w:r>
                    <w:rPr>
                      <w:rFonts w:hint="eastAsia"/>
                      <w:color w:val="auto"/>
                    </w:rPr>
                    <w:t>5</w:t>
                  </w:r>
                </w:p>
              </w:tc>
              <w:tc>
                <w:tcPr>
                  <w:tcW w:w="496" w:type="pct"/>
                  <w:vAlign w:val="center"/>
                </w:tcPr>
                <w:p w14:paraId="7420E9F6">
                  <w:pPr>
                    <w:jc w:val="center"/>
                    <w:rPr>
                      <w:color w:val="auto"/>
                    </w:rPr>
                  </w:pPr>
                  <w:r>
                    <w:rPr>
                      <w:color w:val="auto"/>
                    </w:rPr>
                    <w:t>0.002</w:t>
                  </w:r>
                </w:p>
              </w:tc>
            </w:tr>
            <w:tr w14:paraId="2369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4055F632">
                  <w:pPr>
                    <w:adjustRightInd w:val="0"/>
                    <w:snapToGrid w:val="0"/>
                    <w:jc w:val="center"/>
                    <w:rPr>
                      <w:color w:val="auto"/>
                      <w:szCs w:val="21"/>
                    </w:rPr>
                  </w:pPr>
                </w:p>
              </w:tc>
              <w:tc>
                <w:tcPr>
                  <w:tcW w:w="408" w:type="pct"/>
                  <w:vMerge w:val="continue"/>
                  <w:vAlign w:val="center"/>
                </w:tcPr>
                <w:p w14:paraId="0AF3BDAF">
                  <w:pPr>
                    <w:adjustRightInd w:val="0"/>
                    <w:snapToGrid w:val="0"/>
                    <w:jc w:val="center"/>
                    <w:rPr>
                      <w:color w:val="auto"/>
                      <w:szCs w:val="21"/>
                    </w:rPr>
                  </w:pPr>
                </w:p>
              </w:tc>
              <w:tc>
                <w:tcPr>
                  <w:tcW w:w="373" w:type="pct"/>
                  <w:shd w:val="clear" w:color="auto" w:fill="auto"/>
                  <w:vAlign w:val="center"/>
                </w:tcPr>
                <w:p w14:paraId="14ABEB6C">
                  <w:pPr>
                    <w:pStyle w:val="63"/>
                    <w:rPr>
                      <w:color w:val="auto"/>
                    </w:rPr>
                  </w:pPr>
                  <w:r>
                    <w:rPr>
                      <w:rStyle w:val="31"/>
                      <w:rFonts w:hint="eastAsia"/>
                      <w:color w:val="auto"/>
                    </w:rPr>
                    <w:t>石油类</w:t>
                  </w:r>
                </w:p>
              </w:tc>
              <w:tc>
                <w:tcPr>
                  <w:tcW w:w="369" w:type="pct"/>
                  <w:vAlign w:val="center"/>
                </w:tcPr>
                <w:p w14:paraId="041E91C0">
                  <w:pPr>
                    <w:jc w:val="center"/>
                    <w:rPr>
                      <w:color w:val="auto"/>
                    </w:rPr>
                  </w:pPr>
                  <w:r>
                    <w:rPr>
                      <w:color w:val="auto"/>
                    </w:rPr>
                    <w:t>50</w:t>
                  </w:r>
                </w:p>
              </w:tc>
              <w:tc>
                <w:tcPr>
                  <w:tcW w:w="286" w:type="pct"/>
                  <w:vAlign w:val="center"/>
                </w:tcPr>
                <w:p w14:paraId="1BB675A1">
                  <w:pPr>
                    <w:jc w:val="center"/>
                    <w:rPr>
                      <w:color w:val="auto"/>
                    </w:rPr>
                  </w:pPr>
                  <w:r>
                    <w:rPr>
                      <w:color w:val="auto"/>
                    </w:rPr>
                    <w:t>0.020</w:t>
                  </w:r>
                </w:p>
              </w:tc>
              <w:tc>
                <w:tcPr>
                  <w:tcW w:w="632" w:type="pct"/>
                  <w:vMerge w:val="continue"/>
                  <w:vAlign w:val="center"/>
                </w:tcPr>
                <w:p w14:paraId="48B6F142">
                  <w:pPr>
                    <w:adjustRightInd w:val="0"/>
                    <w:snapToGrid w:val="0"/>
                    <w:jc w:val="center"/>
                    <w:rPr>
                      <w:color w:val="auto"/>
                      <w:szCs w:val="21"/>
                    </w:rPr>
                  </w:pPr>
                </w:p>
              </w:tc>
              <w:tc>
                <w:tcPr>
                  <w:tcW w:w="359" w:type="pct"/>
                  <w:vAlign w:val="center"/>
                </w:tcPr>
                <w:p w14:paraId="5F932CC0">
                  <w:pPr>
                    <w:widowControl/>
                    <w:jc w:val="center"/>
                    <w:textAlignment w:val="center"/>
                    <w:rPr>
                      <w:color w:val="auto"/>
                      <w:szCs w:val="21"/>
                    </w:rPr>
                  </w:pPr>
                  <w:r>
                    <w:rPr>
                      <w:rFonts w:eastAsia="Times New Roman"/>
                      <w:color w:val="auto"/>
                      <w:spacing w:val="-2"/>
                      <w:szCs w:val="21"/>
                    </w:rPr>
                    <w:t>99</w:t>
                  </w:r>
                  <w:r>
                    <w:rPr>
                      <w:rFonts w:hint="eastAsia"/>
                      <w:color w:val="auto"/>
                      <w:spacing w:val="-1"/>
                      <w:szCs w:val="21"/>
                    </w:rPr>
                    <w:t>%</w:t>
                  </w:r>
                </w:p>
              </w:tc>
              <w:tc>
                <w:tcPr>
                  <w:tcW w:w="382" w:type="pct"/>
                  <w:vAlign w:val="center"/>
                </w:tcPr>
                <w:p w14:paraId="1CD168C8">
                  <w:pPr>
                    <w:jc w:val="center"/>
                    <w:rPr>
                      <w:color w:val="auto"/>
                    </w:rPr>
                  </w:pPr>
                  <w:r>
                    <w:rPr>
                      <w:rFonts w:hint="eastAsia"/>
                      <w:color w:val="auto"/>
                    </w:rPr>
                    <w:t>0.5</w:t>
                  </w:r>
                </w:p>
              </w:tc>
              <w:tc>
                <w:tcPr>
                  <w:tcW w:w="347" w:type="pct"/>
                  <w:vAlign w:val="center"/>
                </w:tcPr>
                <w:p w14:paraId="16C932DA">
                  <w:pPr>
                    <w:jc w:val="center"/>
                    <w:rPr>
                      <w:color w:val="auto"/>
                    </w:rPr>
                  </w:pPr>
                  <w:r>
                    <w:rPr>
                      <w:color w:val="auto"/>
                    </w:rPr>
                    <w:t>0.0002</w:t>
                  </w:r>
                </w:p>
              </w:tc>
              <w:tc>
                <w:tcPr>
                  <w:tcW w:w="538" w:type="pct"/>
                  <w:vMerge w:val="continue"/>
                  <w:vAlign w:val="center"/>
                </w:tcPr>
                <w:p w14:paraId="41323A8E">
                  <w:pPr>
                    <w:jc w:val="center"/>
                    <w:rPr>
                      <w:color w:val="auto"/>
                    </w:rPr>
                  </w:pPr>
                </w:p>
              </w:tc>
              <w:tc>
                <w:tcPr>
                  <w:tcW w:w="504" w:type="pct"/>
                  <w:vAlign w:val="center"/>
                </w:tcPr>
                <w:p w14:paraId="71EEABEA">
                  <w:pPr>
                    <w:jc w:val="center"/>
                    <w:rPr>
                      <w:color w:val="auto"/>
                    </w:rPr>
                  </w:pPr>
                  <w:r>
                    <w:rPr>
                      <w:rFonts w:hint="eastAsia"/>
                      <w:color w:val="auto"/>
                    </w:rPr>
                    <w:t>1</w:t>
                  </w:r>
                </w:p>
              </w:tc>
              <w:tc>
                <w:tcPr>
                  <w:tcW w:w="496" w:type="pct"/>
                  <w:vAlign w:val="center"/>
                </w:tcPr>
                <w:p w14:paraId="62FB9DA7">
                  <w:pPr>
                    <w:jc w:val="center"/>
                    <w:rPr>
                      <w:color w:val="auto"/>
                    </w:rPr>
                  </w:pPr>
                  <w:r>
                    <w:rPr>
                      <w:color w:val="auto"/>
                    </w:rPr>
                    <w:t>0.0004</w:t>
                  </w:r>
                </w:p>
              </w:tc>
            </w:tr>
            <w:tr w14:paraId="09F6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00" w:type="pct"/>
                  <w:vMerge w:val="continue"/>
                  <w:vAlign w:val="center"/>
                </w:tcPr>
                <w:p w14:paraId="4F8611A4">
                  <w:pPr>
                    <w:adjustRightInd w:val="0"/>
                    <w:snapToGrid w:val="0"/>
                    <w:jc w:val="center"/>
                    <w:rPr>
                      <w:color w:val="auto"/>
                      <w:szCs w:val="21"/>
                    </w:rPr>
                  </w:pPr>
                </w:p>
              </w:tc>
              <w:tc>
                <w:tcPr>
                  <w:tcW w:w="408" w:type="pct"/>
                  <w:vMerge w:val="continue"/>
                  <w:vAlign w:val="center"/>
                </w:tcPr>
                <w:p w14:paraId="65223B73">
                  <w:pPr>
                    <w:adjustRightInd w:val="0"/>
                    <w:snapToGrid w:val="0"/>
                    <w:jc w:val="center"/>
                    <w:rPr>
                      <w:color w:val="auto"/>
                      <w:szCs w:val="21"/>
                    </w:rPr>
                  </w:pPr>
                </w:p>
              </w:tc>
              <w:tc>
                <w:tcPr>
                  <w:tcW w:w="373" w:type="pct"/>
                  <w:shd w:val="clear" w:color="auto" w:fill="auto"/>
                  <w:vAlign w:val="center"/>
                </w:tcPr>
                <w:p w14:paraId="56A1D716">
                  <w:pPr>
                    <w:pStyle w:val="63"/>
                    <w:rPr>
                      <w:rStyle w:val="31"/>
                      <w:color w:val="auto"/>
                    </w:rPr>
                  </w:pPr>
                  <w:r>
                    <w:rPr>
                      <w:rStyle w:val="31"/>
                      <w:rFonts w:hint="eastAsia"/>
                      <w:color w:val="auto"/>
                    </w:rPr>
                    <w:t>LAS</w:t>
                  </w:r>
                </w:p>
              </w:tc>
              <w:tc>
                <w:tcPr>
                  <w:tcW w:w="369" w:type="pct"/>
                  <w:vAlign w:val="center"/>
                </w:tcPr>
                <w:p w14:paraId="7E65451E">
                  <w:pPr>
                    <w:jc w:val="center"/>
                    <w:rPr>
                      <w:color w:val="auto"/>
                    </w:rPr>
                  </w:pPr>
                  <w:r>
                    <w:rPr>
                      <w:rFonts w:hint="eastAsia"/>
                      <w:color w:val="auto"/>
                    </w:rPr>
                    <w:t>50</w:t>
                  </w:r>
                </w:p>
              </w:tc>
              <w:tc>
                <w:tcPr>
                  <w:tcW w:w="286" w:type="pct"/>
                  <w:shd w:val="clear" w:color="auto" w:fill="auto"/>
                  <w:vAlign w:val="center"/>
                </w:tcPr>
                <w:p w14:paraId="39B3303F">
                  <w:pPr>
                    <w:jc w:val="center"/>
                    <w:rPr>
                      <w:color w:val="auto"/>
                    </w:rPr>
                  </w:pPr>
                  <w:r>
                    <w:rPr>
                      <w:color w:val="auto"/>
                    </w:rPr>
                    <w:t>0.020</w:t>
                  </w:r>
                </w:p>
              </w:tc>
              <w:tc>
                <w:tcPr>
                  <w:tcW w:w="632" w:type="pct"/>
                  <w:vMerge w:val="continue"/>
                  <w:vAlign w:val="center"/>
                </w:tcPr>
                <w:p w14:paraId="690CD801">
                  <w:pPr>
                    <w:adjustRightInd w:val="0"/>
                    <w:snapToGrid w:val="0"/>
                    <w:jc w:val="center"/>
                    <w:rPr>
                      <w:color w:val="auto"/>
                      <w:szCs w:val="21"/>
                    </w:rPr>
                  </w:pPr>
                </w:p>
              </w:tc>
              <w:tc>
                <w:tcPr>
                  <w:tcW w:w="359" w:type="pct"/>
                  <w:vAlign w:val="center"/>
                </w:tcPr>
                <w:p w14:paraId="55549CC8">
                  <w:pPr>
                    <w:widowControl/>
                    <w:jc w:val="center"/>
                    <w:textAlignment w:val="center"/>
                    <w:rPr>
                      <w:color w:val="auto"/>
                      <w:spacing w:val="-2"/>
                      <w:szCs w:val="21"/>
                    </w:rPr>
                  </w:pPr>
                  <w:r>
                    <w:rPr>
                      <w:rFonts w:hint="eastAsia"/>
                      <w:color w:val="auto"/>
                      <w:spacing w:val="-2"/>
                      <w:szCs w:val="21"/>
                    </w:rPr>
                    <w:t>70%</w:t>
                  </w:r>
                </w:p>
              </w:tc>
              <w:tc>
                <w:tcPr>
                  <w:tcW w:w="382" w:type="pct"/>
                  <w:vAlign w:val="center"/>
                </w:tcPr>
                <w:p w14:paraId="4F132535">
                  <w:pPr>
                    <w:jc w:val="center"/>
                    <w:rPr>
                      <w:color w:val="auto"/>
                    </w:rPr>
                  </w:pPr>
                  <w:r>
                    <w:rPr>
                      <w:rFonts w:hint="eastAsia"/>
                      <w:color w:val="auto"/>
                    </w:rPr>
                    <w:t>15</w:t>
                  </w:r>
                </w:p>
              </w:tc>
              <w:tc>
                <w:tcPr>
                  <w:tcW w:w="347" w:type="pct"/>
                  <w:vAlign w:val="center"/>
                </w:tcPr>
                <w:p w14:paraId="72F25473">
                  <w:pPr>
                    <w:jc w:val="center"/>
                    <w:rPr>
                      <w:color w:val="auto"/>
                    </w:rPr>
                  </w:pPr>
                  <w:r>
                    <w:rPr>
                      <w:rFonts w:hint="eastAsia"/>
                      <w:color w:val="auto"/>
                    </w:rPr>
                    <w:t>0.</w:t>
                  </w:r>
                </w:p>
                <w:p w14:paraId="4E15744A">
                  <w:pPr>
                    <w:jc w:val="center"/>
                    <w:rPr>
                      <w:color w:val="auto"/>
                    </w:rPr>
                  </w:pPr>
                  <w:r>
                    <w:rPr>
                      <w:rFonts w:hint="eastAsia"/>
                      <w:color w:val="auto"/>
                    </w:rPr>
                    <w:t>006</w:t>
                  </w:r>
                </w:p>
              </w:tc>
              <w:tc>
                <w:tcPr>
                  <w:tcW w:w="538" w:type="pct"/>
                  <w:vMerge w:val="continue"/>
                  <w:vAlign w:val="center"/>
                </w:tcPr>
                <w:p w14:paraId="3484D9EF">
                  <w:pPr>
                    <w:jc w:val="center"/>
                    <w:rPr>
                      <w:color w:val="auto"/>
                    </w:rPr>
                  </w:pPr>
                </w:p>
              </w:tc>
              <w:tc>
                <w:tcPr>
                  <w:tcW w:w="504" w:type="pct"/>
                  <w:vAlign w:val="center"/>
                </w:tcPr>
                <w:p w14:paraId="22E2609B">
                  <w:pPr>
                    <w:jc w:val="center"/>
                    <w:rPr>
                      <w:color w:val="auto"/>
                    </w:rPr>
                  </w:pPr>
                  <w:r>
                    <w:rPr>
                      <w:rFonts w:hint="eastAsia"/>
                      <w:color w:val="auto"/>
                    </w:rPr>
                    <w:t>0.5</w:t>
                  </w:r>
                </w:p>
              </w:tc>
              <w:tc>
                <w:tcPr>
                  <w:tcW w:w="496" w:type="pct"/>
                  <w:vAlign w:val="center"/>
                </w:tcPr>
                <w:p w14:paraId="6A1E4F9A">
                  <w:pPr>
                    <w:jc w:val="center"/>
                    <w:rPr>
                      <w:color w:val="auto"/>
                    </w:rPr>
                  </w:pPr>
                  <w:r>
                    <w:rPr>
                      <w:rFonts w:hint="eastAsia"/>
                      <w:color w:val="auto"/>
                    </w:rPr>
                    <w:t>0.0002</w:t>
                  </w:r>
                </w:p>
              </w:tc>
            </w:tr>
            <w:tr w14:paraId="1076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restart"/>
                  <w:vAlign w:val="center"/>
                </w:tcPr>
                <w:p w14:paraId="513D4C6B">
                  <w:pPr>
                    <w:jc w:val="center"/>
                    <w:rPr>
                      <w:color w:val="auto"/>
                    </w:rPr>
                  </w:pPr>
                  <w:r>
                    <w:rPr>
                      <w:rFonts w:hint="eastAsia"/>
                      <w:color w:val="auto"/>
                    </w:rPr>
                    <w:t>总计</w:t>
                  </w:r>
                </w:p>
              </w:tc>
              <w:tc>
                <w:tcPr>
                  <w:tcW w:w="590" w:type="dxa"/>
                  <w:vAlign w:val="center"/>
                </w:tcPr>
                <w:p w14:paraId="64084F6C">
                  <w:pPr>
                    <w:jc w:val="center"/>
                    <w:rPr>
                      <w:rFonts w:hint="eastAsia"/>
                      <w:color w:val="auto"/>
                    </w:rPr>
                  </w:pPr>
                  <w:r>
                    <w:rPr>
                      <w:rFonts w:hint="default"/>
                      <w:color w:val="auto"/>
                      <w:lang w:val="en-US" w:eastAsia="zh-CN"/>
                    </w:rPr>
                    <w:t>0.570</w:t>
                  </w:r>
                </w:p>
              </w:tc>
              <w:tc>
                <w:tcPr>
                  <w:tcW w:w="538" w:type="pct"/>
                  <w:vMerge w:val="restart"/>
                  <w:vAlign w:val="center"/>
                </w:tcPr>
                <w:p w14:paraId="0F5A24FE">
                  <w:pPr>
                    <w:jc w:val="center"/>
                    <w:rPr>
                      <w:rFonts w:hint="eastAsia"/>
                      <w:color w:val="auto"/>
                    </w:rPr>
                  </w:pPr>
                  <w:r>
                    <w:rPr>
                      <w:rFonts w:hint="eastAsia"/>
                      <w:color w:val="auto"/>
                    </w:rPr>
                    <w:t>总计</w:t>
                  </w:r>
                </w:p>
              </w:tc>
              <w:tc>
                <w:tcPr>
                  <w:tcW w:w="504" w:type="pct"/>
                  <w:shd w:val="clear" w:color="auto" w:fill="auto"/>
                  <w:vAlign w:val="center"/>
                </w:tcPr>
                <w:p w14:paraId="0B99A9D2">
                  <w:pPr>
                    <w:topLinePunct/>
                    <w:jc w:val="center"/>
                    <w:rPr>
                      <w:color w:val="auto"/>
                      <w:szCs w:val="21"/>
                    </w:rPr>
                  </w:pPr>
                  <w:r>
                    <w:rPr>
                      <w:color w:val="auto"/>
                      <w:szCs w:val="21"/>
                    </w:rPr>
                    <w:t>COD</w:t>
                  </w:r>
                </w:p>
              </w:tc>
              <w:tc>
                <w:tcPr>
                  <w:tcW w:w="842" w:type="dxa"/>
                  <w:vAlign w:val="center"/>
                </w:tcPr>
                <w:p w14:paraId="665AD66A">
                  <w:pPr>
                    <w:jc w:val="center"/>
                    <w:rPr>
                      <w:color w:val="auto"/>
                    </w:rPr>
                  </w:pPr>
                  <w:r>
                    <w:rPr>
                      <w:rFonts w:hint="default"/>
                      <w:color w:val="auto"/>
                      <w:lang w:val="en-US" w:eastAsia="zh-CN"/>
                    </w:rPr>
                    <w:t>0.203</w:t>
                  </w:r>
                </w:p>
              </w:tc>
            </w:tr>
            <w:tr w14:paraId="664C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5E62ADA4">
                  <w:pPr>
                    <w:jc w:val="center"/>
                    <w:rPr>
                      <w:color w:val="auto"/>
                    </w:rPr>
                  </w:pPr>
                </w:p>
              </w:tc>
              <w:tc>
                <w:tcPr>
                  <w:tcW w:w="590" w:type="dxa"/>
                  <w:vAlign w:val="center"/>
                </w:tcPr>
                <w:p w14:paraId="60E1BDF6">
                  <w:pPr>
                    <w:jc w:val="center"/>
                    <w:rPr>
                      <w:color w:val="auto"/>
                    </w:rPr>
                  </w:pPr>
                  <w:r>
                    <w:rPr>
                      <w:rFonts w:hint="default"/>
                      <w:color w:val="auto"/>
                      <w:lang w:val="en-US" w:eastAsia="zh-CN"/>
                    </w:rPr>
                    <w:t>0.467</w:t>
                  </w:r>
                </w:p>
              </w:tc>
              <w:tc>
                <w:tcPr>
                  <w:tcW w:w="538" w:type="pct"/>
                  <w:vMerge w:val="continue"/>
                  <w:vAlign w:val="center"/>
                </w:tcPr>
                <w:p w14:paraId="21ED9FD7">
                  <w:pPr>
                    <w:jc w:val="center"/>
                    <w:rPr>
                      <w:color w:val="auto"/>
                    </w:rPr>
                  </w:pPr>
                </w:p>
              </w:tc>
              <w:tc>
                <w:tcPr>
                  <w:tcW w:w="504" w:type="pct"/>
                  <w:shd w:val="clear" w:color="auto" w:fill="auto"/>
                  <w:vAlign w:val="center"/>
                </w:tcPr>
                <w:p w14:paraId="1E9418B1">
                  <w:pPr>
                    <w:topLinePunct/>
                    <w:jc w:val="center"/>
                    <w:rPr>
                      <w:color w:val="auto"/>
                      <w:szCs w:val="21"/>
                    </w:rPr>
                  </w:pPr>
                  <w:r>
                    <w:rPr>
                      <w:color w:val="auto"/>
                      <w:szCs w:val="21"/>
                    </w:rPr>
                    <w:t>BOD</w:t>
                  </w:r>
                  <w:r>
                    <w:rPr>
                      <w:color w:val="auto"/>
                      <w:szCs w:val="21"/>
                      <w:vertAlign w:val="subscript"/>
                    </w:rPr>
                    <w:t>5</w:t>
                  </w:r>
                </w:p>
              </w:tc>
              <w:tc>
                <w:tcPr>
                  <w:tcW w:w="842" w:type="dxa"/>
                  <w:vAlign w:val="center"/>
                </w:tcPr>
                <w:p w14:paraId="4C12E911">
                  <w:pPr>
                    <w:jc w:val="center"/>
                    <w:rPr>
                      <w:color w:val="auto"/>
                    </w:rPr>
                  </w:pPr>
                  <w:r>
                    <w:rPr>
                      <w:rFonts w:hint="default"/>
                      <w:color w:val="auto"/>
                      <w:lang w:val="en-US" w:eastAsia="zh-CN"/>
                    </w:rPr>
                    <w:t>0.037</w:t>
                  </w:r>
                </w:p>
              </w:tc>
            </w:tr>
            <w:tr w14:paraId="2A21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6C8EEF90">
                  <w:pPr>
                    <w:jc w:val="center"/>
                    <w:rPr>
                      <w:color w:val="auto"/>
                    </w:rPr>
                  </w:pPr>
                </w:p>
              </w:tc>
              <w:tc>
                <w:tcPr>
                  <w:tcW w:w="590" w:type="dxa"/>
                  <w:vAlign w:val="center"/>
                </w:tcPr>
                <w:p w14:paraId="1369CB38">
                  <w:pPr>
                    <w:jc w:val="center"/>
                    <w:rPr>
                      <w:color w:val="auto"/>
                    </w:rPr>
                  </w:pPr>
                  <w:r>
                    <w:rPr>
                      <w:rFonts w:hint="eastAsia"/>
                      <w:color w:val="auto"/>
                      <w:lang w:val="en-US" w:eastAsia="zh-CN"/>
                    </w:rPr>
                    <w:t>0.659</w:t>
                  </w:r>
                </w:p>
              </w:tc>
              <w:tc>
                <w:tcPr>
                  <w:tcW w:w="538" w:type="pct"/>
                  <w:vMerge w:val="continue"/>
                  <w:vAlign w:val="center"/>
                </w:tcPr>
                <w:p w14:paraId="553CC5D9">
                  <w:pPr>
                    <w:jc w:val="center"/>
                    <w:rPr>
                      <w:color w:val="auto"/>
                    </w:rPr>
                  </w:pPr>
                </w:p>
              </w:tc>
              <w:tc>
                <w:tcPr>
                  <w:tcW w:w="504" w:type="pct"/>
                  <w:shd w:val="clear" w:color="auto" w:fill="auto"/>
                  <w:vAlign w:val="center"/>
                </w:tcPr>
                <w:p w14:paraId="43A26716">
                  <w:pPr>
                    <w:pStyle w:val="63"/>
                    <w:rPr>
                      <w:color w:val="auto"/>
                    </w:rPr>
                  </w:pPr>
                  <w:r>
                    <w:rPr>
                      <w:rFonts w:hint="eastAsia"/>
                      <w:color w:val="auto"/>
                    </w:rPr>
                    <w:t>SS</w:t>
                  </w:r>
                </w:p>
              </w:tc>
              <w:tc>
                <w:tcPr>
                  <w:tcW w:w="842" w:type="dxa"/>
                  <w:vAlign w:val="center"/>
                </w:tcPr>
                <w:p w14:paraId="3559022C">
                  <w:pPr>
                    <w:jc w:val="center"/>
                    <w:rPr>
                      <w:color w:val="auto"/>
                    </w:rPr>
                  </w:pPr>
                  <w:r>
                    <w:rPr>
                      <w:rFonts w:hint="eastAsia"/>
                      <w:color w:val="auto"/>
                      <w:lang w:val="en-US" w:eastAsia="zh-CN"/>
                    </w:rPr>
                    <w:t>0.037</w:t>
                  </w:r>
                </w:p>
              </w:tc>
            </w:tr>
            <w:tr w14:paraId="4BFD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5DA1F775">
                  <w:pPr>
                    <w:jc w:val="center"/>
                    <w:rPr>
                      <w:color w:val="auto"/>
                    </w:rPr>
                  </w:pPr>
                </w:p>
              </w:tc>
              <w:tc>
                <w:tcPr>
                  <w:tcW w:w="590" w:type="dxa"/>
                  <w:vAlign w:val="center"/>
                </w:tcPr>
                <w:p w14:paraId="75BE2B7F">
                  <w:pPr>
                    <w:jc w:val="center"/>
                    <w:rPr>
                      <w:color w:val="auto"/>
                    </w:rPr>
                  </w:pPr>
                  <w:r>
                    <w:rPr>
                      <w:rFonts w:hint="eastAsia"/>
                      <w:color w:val="auto"/>
                      <w:lang w:val="en-US" w:eastAsia="zh-CN"/>
                    </w:rPr>
                    <w:t>0.065</w:t>
                  </w:r>
                </w:p>
              </w:tc>
              <w:tc>
                <w:tcPr>
                  <w:tcW w:w="538" w:type="pct"/>
                  <w:vMerge w:val="continue"/>
                  <w:vAlign w:val="center"/>
                </w:tcPr>
                <w:p w14:paraId="09E2B8BD">
                  <w:pPr>
                    <w:jc w:val="center"/>
                    <w:rPr>
                      <w:color w:val="auto"/>
                    </w:rPr>
                  </w:pPr>
                </w:p>
              </w:tc>
              <w:tc>
                <w:tcPr>
                  <w:tcW w:w="504" w:type="pct"/>
                  <w:shd w:val="clear" w:color="auto" w:fill="auto"/>
                  <w:vAlign w:val="center"/>
                </w:tcPr>
                <w:p w14:paraId="393DBA5E">
                  <w:pPr>
                    <w:pStyle w:val="63"/>
                    <w:rPr>
                      <w:color w:val="auto"/>
                    </w:rPr>
                  </w:pPr>
                  <w:r>
                    <w:rPr>
                      <w:rFonts w:hint="eastAsia"/>
                      <w:color w:val="auto"/>
                    </w:rPr>
                    <w:t>NH</w:t>
                  </w:r>
                  <w:r>
                    <w:rPr>
                      <w:color w:val="auto"/>
                      <w:vertAlign w:val="subscript"/>
                    </w:rPr>
                    <w:t>3</w:t>
                  </w:r>
                  <w:r>
                    <w:rPr>
                      <w:color w:val="auto"/>
                    </w:rPr>
                    <w:t>-N</w:t>
                  </w:r>
                </w:p>
              </w:tc>
              <w:tc>
                <w:tcPr>
                  <w:tcW w:w="842" w:type="dxa"/>
                  <w:vAlign w:val="center"/>
                </w:tcPr>
                <w:p w14:paraId="296BD207">
                  <w:pPr>
                    <w:jc w:val="center"/>
                    <w:rPr>
                      <w:color w:val="auto"/>
                    </w:rPr>
                  </w:pPr>
                  <w:r>
                    <w:rPr>
                      <w:rFonts w:hint="eastAsia"/>
                      <w:color w:val="auto"/>
                      <w:lang w:val="en-US" w:eastAsia="zh-CN"/>
                    </w:rPr>
                    <w:t>0.020</w:t>
                  </w:r>
                </w:p>
              </w:tc>
            </w:tr>
            <w:tr w14:paraId="36E5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41098A17">
                  <w:pPr>
                    <w:jc w:val="center"/>
                    <w:rPr>
                      <w:color w:val="auto"/>
                    </w:rPr>
                  </w:pPr>
                </w:p>
              </w:tc>
              <w:tc>
                <w:tcPr>
                  <w:tcW w:w="590" w:type="dxa"/>
                  <w:vAlign w:val="center"/>
                </w:tcPr>
                <w:p w14:paraId="5AE51CC3">
                  <w:pPr>
                    <w:jc w:val="center"/>
                    <w:rPr>
                      <w:color w:val="auto"/>
                    </w:rPr>
                  </w:pPr>
                  <w:r>
                    <w:rPr>
                      <w:rFonts w:hint="eastAsia"/>
                      <w:color w:val="auto"/>
                      <w:lang w:val="en-US" w:eastAsia="zh-CN"/>
                    </w:rPr>
                    <w:t>0.002</w:t>
                  </w:r>
                </w:p>
              </w:tc>
              <w:tc>
                <w:tcPr>
                  <w:tcW w:w="538" w:type="pct"/>
                  <w:vMerge w:val="continue"/>
                  <w:vAlign w:val="center"/>
                </w:tcPr>
                <w:p w14:paraId="61EDB8F6">
                  <w:pPr>
                    <w:jc w:val="center"/>
                    <w:rPr>
                      <w:color w:val="auto"/>
                    </w:rPr>
                  </w:pPr>
                </w:p>
              </w:tc>
              <w:tc>
                <w:tcPr>
                  <w:tcW w:w="504" w:type="pct"/>
                  <w:vAlign w:val="center"/>
                </w:tcPr>
                <w:p w14:paraId="10FD6C08">
                  <w:pPr>
                    <w:jc w:val="center"/>
                    <w:rPr>
                      <w:color w:val="auto"/>
                    </w:rPr>
                  </w:pPr>
                  <w:r>
                    <w:rPr>
                      <w:rFonts w:hint="eastAsia"/>
                      <w:color w:val="auto"/>
                      <w:szCs w:val="21"/>
                    </w:rPr>
                    <w:t>总氮</w:t>
                  </w:r>
                </w:p>
              </w:tc>
              <w:tc>
                <w:tcPr>
                  <w:tcW w:w="842" w:type="dxa"/>
                  <w:vAlign w:val="center"/>
                </w:tcPr>
                <w:p w14:paraId="5A88D78E">
                  <w:pPr>
                    <w:jc w:val="center"/>
                    <w:rPr>
                      <w:color w:val="auto"/>
                    </w:rPr>
                  </w:pPr>
                  <w:r>
                    <w:rPr>
                      <w:rFonts w:hint="eastAsia"/>
                      <w:color w:val="auto"/>
                      <w:lang w:val="en-US" w:eastAsia="zh-CN"/>
                    </w:rPr>
                    <w:t>0.006</w:t>
                  </w:r>
                </w:p>
              </w:tc>
            </w:tr>
            <w:tr w14:paraId="183F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59AB917A">
                  <w:pPr>
                    <w:jc w:val="center"/>
                    <w:rPr>
                      <w:color w:val="auto"/>
                    </w:rPr>
                  </w:pPr>
                </w:p>
              </w:tc>
              <w:tc>
                <w:tcPr>
                  <w:tcW w:w="590" w:type="dxa"/>
                  <w:vAlign w:val="center"/>
                </w:tcPr>
                <w:p w14:paraId="32B2A28A">
                  <w:pPr>
                    <w:jc w:val="center"/>
                    <w:rPr>
                      <w:rFonts w:hint="default"/>
                      <w:color w:val="auto"/>
                      <w:lang w:val="en-US"/>
                    </w:rPr>
                  </w:pPr>
                  <w:r>
                    <w:rPr>
                      <w:rFonts w:hint="eastAsia"/>
                      <w:color w:val="auto"/>
                      <w:lang w:val="en-US" w:eastAsia="zh-CN"/>
                    </w:rPr>
                    <w:t>0.0002</w:t>
                  </w:r>
                </w:p>
              </w:tc>
              <w:tc>
                <w:tcPr>
                  <w:tcW w:w="538" w:type="pct"/>
                  <w:vMerge w:val="continue"/>
                  <w:vAlign w:val="center"/>
                </w:tcPr>
                <w:p w14:paraId="2F30FAB9">
                  <w:pPr>
                    <w:jc w:val="center"/>
                    <w:rPr>
                      <w:color w:val="auto"/>
                    </w:rPr>
                  </w:pPr>
                </w:p>
              </w:tc>
              <w:tc>
                <w:tcPr>
                  <w:tcW w:w="504" w:type="pct"/>
                  <w:vAlign w:val="center"/>
                </w:tcPr>
                <w:p w14:paraId="68D66CDC">
                  <w:pPr>
                    <w:jc w:val="center"/>
                    <w:rPr>
                      <w:color w:val="auto"/>
                    </w:rPr>
                  </w:pPr>
                  <w:r>
                    <w:rPr>
                      <w:rStyle w:val="31"/>
                      <w:rFonts w:hint="eastAsia"/>
                      <w:color w:val="auto"/>
                      <w:szCs w:val="21"/>
                    </w:rPr>
                    <w:t>石油类</w:t>
                  </w:r>
                </w:p>
              </w:tc>
              <w:tc>
                <w:tcPr>
                  <w:tcW w:w="842" w:type="dxa"/>
                  <w:vAlign w:val="center"/>
                </w:tcPr>
                <w:p w14:paraId="09051B10">
                  <w:pPr>
                    <w:jc w:val="center"/>
                    <w:rPr>
                      <w:color w:val="auto"/>
                    </w:rPr>
                  </w:pPr>
                  <w:r>
                    <w:rPr>
                      <w:rFonts w:hint="eastAsia"/>
                      <w:color w:val="auto"/>
                      <w:lang w:val="en-US" w:eastAsia="zh-CN"/>
                    </w:rPr>
                    <w:t>0.0004</w:t>
                  </w:r>
                </w:p>
              </w:tc>
            </w:tr>
            <w:tr w14:paraId="47FC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111" w:type="pct"/>
                  <w:gridSpan w:val="8"/>
                  <w:vMerge w:val="continue"/>
                  <w:vAlign w:val="center"/>
                </w:tcPr>
                <w:p w14:paraId="6E2DAA5F">
                  <w:pPr>
                    <w:jc w:val="center"/>
                    <w:rPr>
                      <w:color w:val="auto"/>
                    </w:rPr>
                  </w:pPr>
                </w:p>
              </w:tc>
              <w:tc>
                <w:tcPr>
                  <w:tcW w:w="590" w:type="dxa"/>
                  <w:vAlign w:val="center"/>
                </w:tcPr>
                <w:p w14:paraId="0ADD6091">
                  <w:pPr>
                    <w:jc w:val="center"/>
                    <w:rPr>
                      <w:color w:val="auto"/>
                    </w:rPr>
                  </w:pPr>
                  <w:r>
                    <w:rPr>
                      <w:rFonts w:hint="eastAsia"/>
                      <w:color w:val="auto"/>
                      <w:lang w:val="en-US" w:eastAsia="zh-CN"/>
                    </w:rPr>
                    <w:t>0.006</w:t>
                  </w:r>
                </w:p>
              </w:tc>
              <w:tc>
                <w:tcPr>
                  <w:tcW w:w="538" w:type="pct"/>
                  <w:vMerge w:val="continue"/>
                  <w:vAlign w:val="center"/>
                </w:tcPr>
                <w:p w14:paraId="6C25724C">
                  <w:pPr>
                    <w:jc w:val="center"/>
                    <w:rPr>
                      <w:color w:val="auto"/>
                    </w:rPr>
                  </w:pPr>
                </w:p>
              </w:tc>
              <w:tc>
                <w:tcPr>
                  <w:tcW w:w="504" w:type="pct"/>
                  <w:vAlign w:val="center"/>
                </w:tcPr>
                <w:p w14:paraId="75DD2AAD">
                  <w:pPr>
                    <w:jc w:val="center"/>
                    <w:rPr>
                      <w:rStyle w:val="31"/>
                      <w:color w:val="auto"/>
                      <w:szCs w:val="21"/>
                    </w:rPr>
                  </w:pPr>
                  <w:r>
                    <w:rPr>
                      <w:rStyle w:val="31"/>
                      <w:rFonts w:hint="eastAsia"/>
                      <w:color w:val="auto"/>
                      <w:szCs w:val="21"/>
                    </w:rPr>
                    <w:t>LAS</w:t>
                  </w:r>
                </w:p>
              </w:tc>
              <w:tc>
                <w:tcPr>
                  <w:tcW w:w="842" w:type="dxa"/>
                  <w:vAlign w:val="center"/>
                </w:tcPr>
                <w:p w14:paraId="329BEC9C">
                  <w:pPr>
                    <w:jc w:val="center"/>
                    <w:rPr>
                      <w:color w:val="auto"/>
                    </w:rPr>
                  </w:pPr>
                  <w:r>
                    <w:rPr>
                      <w:rFonts w:hint="eastAsia"/>
                      <w:color w:val="auto"/>
                      <w:lang w:val="en-US" w:eastAsia="zh-CN"/>
                    </w:rPr>
                    <w:t>0.0002</w:t>
                  </w:r>
                </w:p>
              </w:tc>
            </w:tr>
          </w:tbl>
          <w:p w14:paraId="7E1814C8">
            <w:pPr>
              <w:adjustRightInd w:val="0"/>
              <w:snapToGrid w:val="0"/>
              <w:spacing w:before="120" w:beforeLines="50" w:line="360" w:lineRule="auto"/>
              <w:ind w:firstLine="482" w:firstLineChars="200"/>
              <w:rPr>
                <w:b/>
                <w:bCs/>
                <w:color w:val="auto"/>
                <w:sz w:val="24"/>
              </w:rPr>
            </w:pPr>
            <w:r>
              <w:rPr>
                <w:rFonts w:hint="eastAsia"/>
                <w:b/>
                <w:bCs/>
                <w:color w:val="auto"/>
                <w:sz w:val="24"/>
              </w:rPr>
              <w:t>（</w:t>
            </w:r>
            <w:r>
              <w:rPr>
                <w:b/>
                <w:bCs/>
                <w:color w:val="auto"/>
                <w:sz w:val="24"/>
              </w:rPr>
              <w:t>2</w:t>
            </w:r>
            <w:r>
              <w:rPr>
                <w:rFonts w:hint="eastAsia"/>
                <w:b/>
                <w:bCs/>
                <w:color w:val="auto"/>
                <w:sz w:val="24"/>
              </w:rPr>
              <w:t>）依托一期废水处理设施可行性分析</w:t>
            </w:r>
          </w:p>
          <w:p w14:paraId="3434F24A">
            <w:pPr>
              <w:spacing w:line="360" w:lineRule="auto"/>
              <w:ind w:firstLine="480" w:firstLineChars="200"/>
              <w:rPr>
                <w:color w:val="auto"/>
                <w:sz w:val="24"/>
              </w:rPr>
            </w:pPr>
            <w:r>
              <w:rPr>
                <w:rFonts w:hint="eastAsia"/>
                <w:color w:val="auto"/>
                <w:sz w:val="24"/>
              </w:rPr>
              <w:t>项目生活污水和清洗废水排入一期污水处理站进行处理。生活污水排放量为12.206</w:t>
            </w:r>
            <w:r>
              <w:rPr>
                <w:color w:val="auto"/>
                <w:sz w:val="24"/>
              </w:rPr>
              <w:t>m</w:t>
            </w:r>
            <w:r>
              <w:rPr>
                <w:color w:val="auto"/>
                <w:sz w:val="24"/>
                <w:vertAlign w:val="superscript"/>
              </w:rPr>
              <w:t>3</w:t>
            </w:r>
            <w:r>
              <w:rPr>
                <w:color w:val="auto"/>
                <w:sz w:val="24"/>
              </w:rPr>
              <w:t>/d（</w:t>
            </w:r>
            <w:r>
              <w:rPr>
                <w:rFonts w:hint="eastAsia"/>
                <w:color w:val="auto"/>
                <w:sz w:val="24"/>
              </w:rPr>
              <w:t>3661.92</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w:t>
            </w:r>
            <w:r>
              <w:rPr>
                <w:rFonts w:hint="eastAsia"/>
                <w:color w:val="auto"/>
                <w:sz w:val="24"/>
              </w:rPr>
              <w:t>，采用通过一期污水处理工艺（化粪池+混合废水处理系统（TW012）+中水回用系统（TW013），根据一期工程分析一期生活污水产生量为</w:t>
            </w:r>
            <w:r>
              <w:rPr>
                <w:rFonts w:eastAsia="Times New Roman"/>
                <w:color w:val="auto"/>
                <w:spacing w:val="-3"/>
                <w:sz w:val="24"/>
              </w:rPr>
              <w:t>86.58</w:t>
            </w:r>
            <w:r>
              <w:rPr>
                <w:color w:val="auto"/>
                <w:sz w:val="24"/>
              </w:rPr>
              <w:t>m</w:t>
            </w:r>
            <w:r>
              <w:rPr>
                <w:color w:val="auto"/>
                <w:sz w:val="24"/>
                <w:vertAlign w:val="superscript"/>
              </w:rPr>
              <w:t>3</w:t>
            </w:r>
            <w:r>
              <w:rPr>
                <w:color w:val="auto"/>
                <w:sz w:val="24"/>
              </w:rPr>
              <w:t>/</w:t>
            </w:r>
            <w:r>
              <w:rPr>
                <w:rFonts w:hint="eastAsia"/>
                <w:color w:val="auto"/>
                <w:sz w:val="24"/>
              </w:rPr>
              <w:t>d，</w:t>
            </w:r>
            <w:r>
              <w:rPr>
                <w:rFonts w:ascii="宋体" w:hAnsi="宋体" w:cs="宋体"/>
                <w:color w:val="auto"/>
                <w:spacing w:val="-2"/>
                <w:sz w:val="24"/>
              </w:rPr>
              <w:t>设计处理规模</w:t>
            </w:r>
            <w:r>
              <w:rPr>
                <w:rFonts w:eastAsia="Times New Roman"/>
                <w:color w:val="auto"/>
                <w:spacing w:val="-2"/>
                <w:sz w:val="24"/>
              </w:rPr>
              <w:t>100m</w:t>
            </w:r>
            <w:r>
              <w:rPr>
                <w:rFonts w:eastAsia="Times New Roman"/>
                <w:color w:val="auto"/>
                <w:spacing w:val="-2"/>
                <w:position w:val="9"/>
                <w:sz w:val="16"/>
                <w:szCs w:val="16"/>
              </w:rPr>
              <w:t>3</w:t>
            </w:r>
            <w:r>
              <w:rPr>
                <w:rFonts w:eastAsia="Times New Roman"/>
                <w:color w:val="auto"/>
                <w:spacing w:val="-2"/>
                <w:sz w:val="24"/>
              </w:rPr>
              <w:t>/d</w:t>
            </w:r>
            <w:r>
              <w:rPr>
                <w:rFonts w:hint="eastAsia"/>
                <w:color w:val="auto"/>
                <w:spacing w:val="-2"/>
                <w:sz w:val="24"/>
              </w:rPr>
              <w:t>，剩余13.42</w:t>
            </w:r>
            <w:r>
              <w:rPr>
                <w:color w:val="auto"/>
                <w:sz w:val="24"/>
              </w:rPr>
              <w:t>m</w:t>
            </w:r>
            <w:r>
              <w:rPr>
                <w:color w:val="auto"/>
                <w:sz w:val="24"/>
                <w:vertAlign w:val="superscript"/>
              </w:rPr>
              <w:t>3</w:t>
            </w:r>
            <w:r>
              <w:rPr>
                <w:color w:val="auto"/>
                <w:sz w:val="24"/>
              </w:rPr>
              <w:t>/</w:t>
            </w:r>
            <w:r>
              <w:rPr>
                <w:rFonts w:hint="eastAsia"/>
                <w:color w:val="auto"/>
                <w:sz w:val="24"/>
              </w:rPr>
              <w:t>a，化粪池容积可满足本项目生活污水处理能力。</w:t>
            </w:r>
          </w:p>
          <w:p w14:paraId="61D5D7C3">
            <w:pPr>
              <w:pStyle w:val="6"/>
              <w:snapToGrid/>
              <w:spacing w:before="0" w:after="0" w:line="360" w:lineRule="auto"/>
              <w:ind w:right="0" w:firstLine="480" w:firstLineChars="200"/>
              <w:rPr>
                <w:color w:val="auto"/>
                <w:sz w:val="24"/>
              </w:rPr>
            </w:pPr>
            <w:r>
              <w:rPr>
                <w:rFonts w:hint="eastAsia"/>
                <w:color w:val="auto"/>
                <w:sz w:val="24"/>
              </w:rPr>
              <w:t>清洗废水排放量为</w:t>
            </w:r>
            <w:r>
              <w:rPr>
                <w:rFonts w:hint="eastAsia" w:cs="宋体"/>
                <w:color w:val="auto"/>
                <w:sz w:val="24"/>
              </w:rPr>
              <w:t>400t/a（约1.333t/d），经过污水收集池收集后排入</w:t>
            </w:r>
            <w:r>
              <w:rPr>
                <w:rFonts w:hint="eastAsia"/>
                <w:color w:val="auto"/>
                <w:sz w:val="24"/>
              </w:rPr>
              <w:t>一期污水处理工艺（前处理废水（TW001）+混合废水处理系统（TW012）+中水回用系统（TW013）+排水池），根据一期工程分析一期前处理废水产生了量</w:t>
            </w:r>
            <w:r>
              <w:rPr>
                <w:rFonts w:eastAsia="Times New Roman"/>
                <w:color w:val="auto"/>
                <w:spacing w:val="-4"/>
                <w:sz w:val="24"/>
                <w:szCs w:val="24"/>
              </w:rPr>
              <w:t>344.29m</w:t>
            </w:r>
            <w:r>
              <w:rPr>
                <w:rFonts w:eastAsia="Times New Roman"/>
                <w:color w:val="auto"/>
                <w:spacing w:val="-4"/>
                <w:position w:val="9"/>
                <w:sz w:val="16"/>
                <w:szCs w:val="16"/>
              </w:rPr>
              <w:t>3</w:t>
            </w:r>
            <w:r>
              <w:rPr>
                <w:rFonts w:eastAsia="Times New Roman"/>
                <w:color w:val="auto"/>
                <w:spacing w:val="-4"/>
                <w:sz w:val="24"/>
                <w:szCs w:val="24"/>
              </w:rPr>
              <w:t>/d</w:t>
            </w:r>
            <w:r>
              <w:rPr>
                <w:rFonts w:hint="eastAsia"/>
                <w:color w:val="auto"/>
                <w:spacing w:val="-4"/>
                <w:sz w:val="24"/>
                <w:szCs w:val="24"/>
              </w:rPr>
              <w:t>，</w:t>
            </w:r>
            <w:r>
              <w:rPr>
                <w:rFonts w:ascii="宋体" w:hAnsi="宋体" w:cs="宋体"/>
                <w:color w:val="auto"/>
                <w:spacing w:val="-2"/>
                <w:sz w:val="24"/>
                <w:szCs w:val="24"/>
              </w:rPr>
              <w:t>设计处理规模</w:t>
            </w:r>
            <w:r>
              <w:rPr>
                <w:rFonts w:hint="eastAsia"/>
                <w:color w:val="auto"/>
                <w:spacing w:val="-2"/>
                <w:sz w:val="24"/>
                <w:szCs w:val="24"/>
              </w:rPr>
              <w:t>4</w:t>
            </w:r>
            <w:r>
              <w:rPr>
                <w:rFonts w:eastAsia="Times New Roman"/>
                <w:color w:val="auto"/>
                <w:spacing w:val="-2"/>
                <w:sz w:val="24"/>
                <w:szCs w:val="24"/>
              </w:rPr>
              <w:t>00m</w:t>
            </w:r>
            <w:r>
              <w:rPr>
                <w:rFonts w:eastAsia="Times New Roman"/>
                <w:color w:val="auto"/>
                <w:spacing w:val="-2"/>
                <w:position w:val="9"/>
                <w:sz w:val="16"/>
                <w:szCs w:val="16"/>
              </w:rPr>
              <w:t>3</w:t>
            </w:r>
            <w:r>
              <w:rPr>
                <w:rFonts w:eastAsia="Times New Roman"/>
                <w:color w:val="auto"/>
                <w:spacing w:val="-2"/>
                <w:sz w:val="24"/>
                <w:szCs w:val="24"/>
              </w:rPr>
              <w:t>/d</w:t>
            </w:r>
            <w:r>
              <w:rPr>
                <w:rFonts w:hint="eastAsia"/>
                <w:color w:val="auto"/>
                <w:spacing w:val="-2"/>
                <w:sz w:val="24"/>
                <w:szCs w:val="24"/>
              </w:rPr>
              <w:t>，剩余55.71</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rFonts w:hint="eastAsia"/>
                <w:color w:val="auto"/>
                <w:sz w:val="24"/>
              </w:rPr>
              <w:t>，前处理废水处理能力可满足本项目清洗废水处理能力。</w:t>
            </w:r>
          </w:p>
          <w:p w14:paraId="1E2CDC22">
            <w:pPr>
              <w:spacing w:line="360" w:lineRule="auto"/>
              <w:ind w:firstLine="480" w:firstLineChars="200"/>
              <w:rPr>
                <w:color w:val="auto"/>
                <w:sz w:val="24"/>
              </w:rPr>
            </w:pPr>
            <w:r>
              <w:rPr>
                <w:rFonts w:hint="eastAsia"/>
                <w:color w:val="auto"/>
                <w:sz w:val="24"/>
              </w:rPr>
              <w:t>项目生活污水和清洗废水排放量为13.539</w:t>
            </w:r>
            <w:r>
              <w:rPr>
                <w:rFonts w:eastAsia="Times New Roman"/>
                <w:color w:val="auto"/>
                <w:spacing w:val="-2"/>
                <w:sz w:val="24"/>
              </w:rPr>
              <w:t>m</w:t>
            </w:r>
            <w:r>
              <w:rPr>
                <w:rFonts w:eastAsia="Times New Roman"/>
                <w:color w:val="auto"/>
                <w:spacing w:val="-2"/>
                <w:position w:val="9"/>
                <w:sz w:val="16"/>
                <w:szCs w:val="16"/>
              </w:rPr>
              <w:t>3</w:t>
            </w:r>
            <w:r>
              <w:rPr>
                <w:rFonts w:eastAsia="Times New Roman"/>
                <w:color w:val="auto"/>
                <w:spacing w:val="-2"/>
                <w:sz w:val="24"/>
              </w:rPr>
              <w:t>/d</w:t>
            </w:r>
            <w:r>
              <w:rPr>
                <w:rFonts w:hint="eastAsia"/>
                <w:color w:val="auto"/>
                <w:spacing w:val="-2"/>
                <w:sz w:val="24"/>
              </w:rPr>
              <w:t>，分别经化粪池和</w:t>
            </w:r>
            <w:r>
              <w:rPr>
                <w:rFonts w:hint="eastAsia"/>
                <w:color w:val="auto"/>
                <w:sz w:val="24"/>
              </w:rPr>
              <w:t>前处理废水处理设施处理后进入混合废水处理系统（TW012）+中水回用系统（TW013）+排水池进行处理，根据一期工程分析一期混合废水处理系统和中水回用系统，污水处理量为2231.91m</w:t>
            </w:r>
            <w:r>
              <w:rPr>
                <w:rFonts w:hint="eastAsia"/>
                <w:color w:val="auto"/>
                <w:sz w:val="24"/>
                <w:vertAlign w:val="superscript"/>
              </w:rPr>
              <w:t>3</w:t>
            </w:r>
            <w:r>
              <w:rPr>
                <w:rFonts w:hint="eastAsia"/>
                <w:color w:val="auto"/>
                <w:sz w:val="24"/>
              </w:rPr>
              <w:t>/d，</w:t>
            </w:r>
            <w:r>
              <w:rPr>
                <w:rFonts w:ascii="宋体" w:hAnsi="宋体" w:cs="宋体"/>
                <w:color w:val="auto"/>
                <w:spacing w:val="-2"/>
                <w:sz w:val="24"/>
              </w:rPr>
              <w:t>设计处理规模</w:t>
            </w:r>
            <w:r>
              <w:rPr>
                <w:rFonts w:hint="eastAsia"/>
                <w:color w:val="auto"/>
                <w:spacing w:val="-2"/>
                <w:sz w:val="24"/>
              </w:rPr>
              <w:t>30</w:t>
            </w:r>
            <w:r>
              <w:rPr>
                <w:rFonts w:eastAsia="Times New Roman"/>
                <w:color w:val="auto"/>
                <w:spacing w:val="-2"/>
                <w:sz w:val="24"/>
              </w:rPr>
              <w:t>00m</w:t>
            </w:r>
            <w:r>
              <w:rPr>
                <w:rFonts w:eastAsia="Times New Roman"/>
                <w:color w:val="auto"/>
                <w:spacing w:val="-2"/>
                <w:position w:val="9"/>
                <w:sz w:val="16"/>
                <w:szCs w:val="16"/>
              </w:rPr>
              <w:t>3</w:t>
            </w:r>
            <w:r>
              <w:rPr>
                <w:rFonts w:eastAsia="Times New Roman"/>
                <w:color w:val="auto"/>
                <w:spacing w:val="-2"/>
                <w:sz w:val="24"/>
              </w:rPr>
              <w:t>/d</w:t>
            </w:r>
            <w:r>
              <w:rPr>
                <w:rFonts w:hint="eastAsia"/>
                <w:color w:val="auto"/>
                <w:spacing w:val="-2"/>
                <w:sz w:val="24"/>
              </w:rPr>
              <w:t>，剩余处理能力为768.09</w:t>
            </w:r>
            <w:r>
              <w:rPr>
                <w:rFonts w:eastAsia="Times New Roman"/>
                <w:color w:val="auto"/>
                <w:spacing w:val="-2"/>
                <w:sz w:val="24"/>
              </w:rPr>
              <w:t>m</w:t>
            </w:r>
            <w:r>
              <w:rPr>
                <w:rFonts w:eastAsia="Times New Roman"/>
                <w:color w:val="auto"/>
                <w:spacing w:val="-2"/>
                <w:position w:val="9"/>
                <w:sz w:val="16"/>
                <w:szCs w:val="16"/>
              </w:rPr>
              <w:t>3</w:t>
            </w:r>
            <w:r>
              <w:rPr>
                <w:rFonts w:eastAsia="Times New Roman"/>
                <w:color w:val="auto"/>
                <w:spacing w:val="-2"/>
                <w:sz w:val="24"/>
              </w:rPr>
              <w:t>/d</w:t>
            </w:r>
            <w:r>
              <w:rPr>
                <w:rFonts w:hint="eastAsia"/>
                <w:color w:val="auto"/>
                <w:spacing w:val="-2"/>
                <w:sz w:val="24"/>
              </w:rPr>
              <w:t>，可满足生活污水和清洗废水的</w:t>
            </w:r>
            <w:r>
              <w:rPr>
                <w:rFonts w:hint="eastAsia"/>
                <w:color w:val="auto"/>
                <w:sz w:val="24"/>
              </w:rPr>
              <w:t>处理能力。</w:t>
            </w:r>
          </w:p>
          <w:p w14:paraId="2283BF4E">
            <w:pPr>
              <w:pStyle w:val="6"/>
              <w:snapToGrid/>
              <w:spacing w:before="0" w:after="0" w:line="260" w:lineRule="auto"/>
              <w:ind w:right="0"/>
              <w:jc w:val="center"/>
              <w:rPr>
                <w:rFonts w:hint="eastAsia"/>
                <w:b/>
                <w:bCs/>
                <w:color w:val="auto"/>
                <w:sz w:val="24"/>
                <w:lang w:val="en-US" w:eastAsia="zh-CN"/>
              </w:rPr>
            </w:pPr>
            <w:r>
              <w:rPr>
                <w:rFonts w:hint="eastAsia"/>
                <w:b/>
                <w:bCs/>
                <w:color w:val="auto"/>
                <w:sz w:val="24"/>
                <w:lang w:val="en-US" w:eastAsia="zh-CN"/>
              </w:rPr>
              <w:t>表4-12依托一期废水处理设施可行性一览表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293"/>
              <w:gridCol w:w="1333"/>
              <w:gridCol w:w="1391"/>
              <w:gridCol w:w="1321"/>
              <w:gridCol w:w="1455"/>
              <w:gridCol w:w="1157"/>
            </w:tblGrid>
            <w:tr w14:paraId="21A8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53B603D">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1293" w:type="dxa"/>
                  <w:vAlign w:val="center"/>
                </w:tcPr>
                <w:p w14:paraId="38251A17">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一期废水处理设施</w:t>
                  </w:r>
                </w:p>
              </w:tc>
              <w:tc>
                <w:tcPr>
                  <w:tcW w:w="1333" w:type="dxa"/>
                  <w:vAlign w:val="center"/>
                </w:tcPr>
                <w:p w14:paraId="54C55656">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设计处理量</w:t>
                  </w:r>
                </w:p>
              </w:tc>
              <w:tc>
                <w:tcPr>
                  <w:tcW w:w="1391" w:type="dxa"/>
                  <w:vAlign w:val="center"/>
                </w:tcPr>
                <w:p w14:paraId="1E21C0B3">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一期废水产生量</w:t>
                  </w:r>
                </w:p>
              </w:tc>
              <w:tc>
                <w:tcPr>
                  <w:tcW w:w="1321" w:type="dxa"/>
                  <w:vAlign w:val="center"/>
                </w:tcPr>
                <w:p w14:paraId="0CB2E3C4">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余量</w:t>
                  </w:r>
                </w:p>
              </w:tc>
              <w:tc>
                <w:tcPr>
                  <w:tcW w:w="1455" w:type="dxa"/>
                  <w:vAlign w:val="center"/>
                </w:tcPr>
                <w:p w14:paraId="7E19581E">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本项目废水量</w:t>
                  </w:r>
                </w:p>
              </w:tc>
              <w:tc>
                <w:tcPr>
                  <w:tcW w:w="1157" w:type="dxa"/>
                  <w:vAlign w:val="center"/>
                </w:tcPr>
                <w:p w14:paraId="62E2861B">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是否容纳</w:t>
                  </w:r>
                </w:p>
              </w:tc>
            </w:tr>
            <w:tr w14:paraId="416B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4E7E26C6">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w:t>
                  </w:r>
                </w:p>
              </w:tc>
              <w:tc>
                <w:tcPr>
                  <w:tcW w:w="1293" w:type="dxa"/>
                  <w:vAlign w:val="center"/>
                </w:tcPr>
                <w:p w14:paraId="7D919A98">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化粪池</w:t>
                  </w:r>
                </w:p>
              </w:tc>
              <w:tc>
                <w:tcPr>
                  <w:tcW w:w="1333" w:type="dxa"/>
                  <w:vAlign w:val="center"/>
                </w:tcPr>
                <w:p w14:paraId="07348EA3">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100m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91" w:type="dxa"/>
                  <w:vAlign w:val="center"/>
                </w:tcPr>
                <w:p w14:paraId="6270A28E">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3"/>
                      <w:sz w:val="21"/>
                      <w:szCs w:val="21"/>
                    </w:rPr>
                    <w:t>86.58</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21" w:type="dxa"/>
                  <w:vAlign w:val="center"/>
                </w:tcPr>
                <w:p w14:paraId="67F090E5">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13.42m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455" w:type="dxa"/>
                  <w:vAlign w:val="center"/>
                </w:tcPr>
                <w:p w14:paraId="0F6F18D3">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rPr>
                    <w:t>12.206</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157" w:type="dxa"/>
                  <w:vAlign w:val="center"/>
                </w:tcPr>
                <w:p w14:paraId="60C10D89">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是</w:t>
                  </w:r>
                </w:p>
              </w:tc>
            </w:tr>
            <w:tr w14:paraId="3F60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1418ACA">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w:t>
                  </w:r>
                </w:p>
              </w:tc>
              <w:tc>
                <w:tcPr>
                  <w:tcW w:w="1293" w:type="dxa"/>
                  <w:vAlign w:val="center"/>
                </w:tcPr>
                <w:p w14:paraId="620A1379">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rPr>
                    <w:t>前处理废水</w:t>
                  </w:r>
                </w:p>
              </w:tc>
              <w:tc>
                <w:tcPr>
                  <w:tcW w:w="1333" w:type="dxa"/>
                  <w:vAlign w:val="center"/>
                </w:tcPr>
                <w:p w14:paraId="70149064">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400m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91" w:type="dxa"/>
                  <w:vAlign w:val="center"/>
                </w:tcPr>
                <w:p w14:paraId="1F94F48C">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4"/>
                      <w:sz w:val="21"/>
                      <w:szCs w:val="21"/>
                    </w:rPr>
                    <w:t>344.29</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21" w:type="dxa"/>
                  <w:vAlign w:val="center"/>
                </w:tcPr>
                <w:p w14:paraId="07E5A2DD">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55.71m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455" w:type="dxa"/>
                  <w:vAlign w:val="center"/>
                </w:tcPr>
                <w:p w14:paraId="5FAD0335">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宋体"/>
                      <w:color w:val="auto"/>
                      <w:sz w:val="21"/>
                      <w:szCs w:val="21"/>
                    </w:rPr>
                    <w:t>1.333</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157" w:type="dxa"/>
                  <w:vAlign w:val="center"/>
                </w:tcPr>
                <w:p w14:paraId="6E8BEB9A">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是</w:t>
                  </w:r>
                </w:p>
              </w:tc>
            </w:tr>
            <w:tr w14:paraId="2891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3589FCCE">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w:t>
                  </w:r>
                </w:p>
              </w:tc>
              <w:tc>
                <w:tcPr>
                  <w:tcW w:w="1293" w:type="dxa"/>
                  <w:vAlign w:val="center"/>
                </w:tcPr>
                <w:p w14:paraId="38A6DD5D">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混合废水处理系统</w:t>
                  </w:r>
                  <w:r>
                    <w:rPr>
                      <w:rFonts w:hint="eastAsia" w:ascii="Times New Roman" w:hAnsi="Times New Roman" w:eastAsia="宋体"/>
                      <w:color w:val="auto"/>
                      <w:sz w:val="21"/>
                      <w:szCs w:val="21"/>
                      <w:vertAlign w:val="baseline"/>
                      <w:lang w:val="en-US" w:eastAsia="zh-CN"/>
                    </w:rPr>
                    <w:t>和</w:t>
                  </w:r>
                  <w:r>
                    <w:rPr>
                      <w:rFonts w:hint="default" w:ascii="Times New Roman" w:hAnsi="Times New Roman" w:eastAsia="宋体"/>
                      <w:color w:val="auto"/>
                      <w:sz w:val="21"/>
                      <w:szCs w:val="21"/>
                      <w:vertAlign w:val="baseline"/>
                      <w:lang w:val="en-US" w:eastAsia="zh-CN"/>
                    </w:rPr>
                    <w:t>中水回用系统</w:t>
                  </w:r>
                </w:p>
              </w:tc>
              <w:tc>
                <w:tcPr>
                  <w:tcW w:w="1333" w:type="dxa"/>
                  <w:vAlign w:val="center"/>
                </w:tcPr>
                <w:p w14:paraId="2F02F81F">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3000m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91" w:type="dxa"/>
                  <w:vAlign w:val="center"/>
                </w:tcPr>
                <w:p w14:paraId="38DBB60C">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rPr>
                    <w:t>2231.91</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321" w:type="dxa"/>
                  <w:vAlign w:val="center"/>
                </w:tcPr>
                <w:p w14:paraId="06B66FA5">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768.09m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455" w:type="dxa"/>
                  <w:vAlign w:val="center"/>
                </w:tcPr>
                <w:p w14:paraId="25C7979D">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13.539</w:t>
                  </w:r>
                  <w:r>
                    <w:rPr>
                      <w:rFonts w:hint="eastAsia" w:ascii="Times New Roman" w:hAnsi="Times New Roman" w:eastAsia="宋体"/>
                      <w:color w:val="auto"/>
                      <w:sz w:val="21"/>
                      <w:szCs w:val="21"/>
                      <w:vertAlign w:val="baseline"/>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/d</w:t>
                  </w:r>
                </w:p>
              </w:tc>
              <w:tc>
                <w:tcPr>
                  <w:tcW w:w="1157" w:type="dxa"/>
                  <w:vAlign w:val="center"/>
                </w:tcPr>
                <w:p w14:paraId="6A4AA414">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是</w:t>
                  </w:r>
                </w:p>
              </w:tc>
            </w:tr>
          </w:tbl>
          <w:p w14:paraId="3F35858B">
            <w:pPr>
              <w:pStyle w:val="6"/>
              <w:snapToGrid/>
              <w:spacing w:before="0" w:after="0" w:line="260" w:lineRule="auto"/>
              <w:ind w:right="0" w:firstLine="480" w:firstLineChars="200"/>
              <w:rPr>
                <w:rFonts w:hint="default" w:eastAsia="宋体"/>
                <w:color w:val="auto"/>
                <w:lang w:val="en-US" w:eastAsia="zh-CN"/>
              </w:rPr>
            </w:pPr>
            <w:r>
              <w:rPr>
                <w:rFonts w:hint="eastAsia"/>
                <w:color w:val="auto"/>
                <w:sz w:val="24"/>
              </w:rPr>
              <w:t>综上所述，一期工程各项污水处理措施容量能够接纳本项目废水，故依托可行。</w:t>
            </w:r>
          </w:p>
          <w:p w14:paraId="5DA69C55">
            <w:pPr>
              <w:spacing w:line="360" w:lineRule="auto"/>
              <w:ind w:firstLine="482" w:firstLineChars="200"/>
              <w:rPr>
                <w:b/>
                <w:bCs/>
                <w:color w:val="auto"/>
                <w:sz w:val="24"/>
              </w:rPr>
            </w:pPr>
            <w:r>
              <w:rPr>
                <w:rFonts w:hint="eastAsia"/>
                <w:b/>
                <w:bCs/>
                <w:color w:val="auto"/>
                <w:sz w:val="24"/>
              </w:rPr>
              <w:t>（3）排放口基本情况</w:t>
            </w:r>
          </w:p>
          <w:p w14:paraId="375979B6">
            <w:pPr>
              <w:adjustRightInd w:val="0"/>
              <w:snapToGrid w:val="0"/>
              <w:ind w:firstLine="482" w:firstLineChars="200"/>
              <w:jc w:val="center"/>
              <w:rPr>
                <w:rFonts w:cs="宋体"/>
                <w:b/>
                <w:bCs/>
                <w:color w:val="auto"/>
                <w:sz w:val="24"/>
              </w:rPr>
            </w:pPr>
            <w:r>
              <w:rPr>
                <w:rFonts w:hint="eastAsia" w:cs="宋体"/>
                <w:b/>
                <w:bCs/>
                <w:color w:val="auto"/>
                <w:sz w:val="24"/>
              </w:rPr>
              <w:t>表4-</w:t>
            </w:r>
            <w:r>
              <w:rPr>
                <w:rFonts w:hint="eastAsia" w:cs="宋体"/>
                <w:b/>
                <w:bCs/>
                <w:color w:val="auto"/>
                <w:sz w:val="24"/>
                <w:lang w:val="en-US" w:eastAsia="zh-CN"/>
              </w:rPr>
              <w:t>13</w:t>
            </w:r>
            <w:r>
              <w:rPr>
                <w:rFonts w:hint="eastAsia" w:cs="宋体"/>
                <w:b/>
                <w:bCs/>
                <w:color w:val="auto"/>
                <w:sz w:val="24"/>
              </w:rPr>
              <w:t>项目依托排放口基本信息表</w:t>
            </w:r>
          </w:p>
          <w:tbl>
            <w:tblPr>
              <w:tblStyle w:val="24"/>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62"/>
              <w:gridCol w:w="462"/>
              <w:gridCol w:w="1357"/>
              <w:gridCol w:w="1093"/>
              <w:gridCol w:w="1827"/>
              <w:gridCol w:w="1171"/>
              <w:gridCol w:w="1151"/>
            </w:tblGrid>
            <w:tr w14:paraId="1D27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5" w:type="pct"/>
                  <w:vAlign w:val="center"/>
                </w:tcPr>
                <w:p w14:paraId="0E5EFAF0">
                  <w:pPr>
                    <w:pStyle w:val="63"/>
                    <w:rPr>
                      <w:b/>
                      <w:bCs/>
                      <w:color w:val="auto"/>
                    </w:rPr>
                  </w:pPr>
                  <w:r>
                    <w:rPr>
                      <w:rFonts w:hint="eastAsia"/>
                      <w:b/>
                      <w:bCs/>
                      <w:color w:val="auto"/>
                    </w:rPr>
                    <w:t>排放口编号</w:t>
                  </w:r>
                </w:p>
              </w:tc>
              <w:tc>
                <w:tcPr>
                  <w:tcW w:w="272" w:type="pct"/>
                  <w:vAlign w:val="center"/>
                </w:tcPr>
                <w:p w14:paraId="36053B2B">
                  <w:pPr>
                    <w:pStyle w:val="63"/>
                    <w:rPr>
                      <w:b/>
                      <w:bCs/>
                      <w:color w:val="auto"/>
                    </w:rPr>
                  </w:pPr>
                  <w:r>
                    <w:rPr>
                      <w:rFonts w:hint="eastAsia"/>
                      <w:b/>
                      <w:bCs/>
                      <w:color w:val="auto"/>
                    </w:rPr>
                    <w:t>排放口名称</w:t>
                  </w:r>
                </w:p>
              </w:tc>
              <w:tc>
                <w:tcPr>
                  <w:tcW w:w="272" w:type="pct"/>
                  <w:vAlign w:val="center"/>
                </w:tcPr>
                <w:p w14:paraId="047B5CF3">
                  <w:pPr>
                    <w:pStyle w:val="63"/>
                    <w:rPr>
                      <w:b/>
                      <w:bCs/>
                      <w:color w:val="auto"/>
                    </w:rPr>
                  </w:pPr>
                  <w:r>
                    <w:rPr>
                      <w:rFonts w:hint="eastAsia"/>
                      <w:b/>
                      <w:bCs/>
                      <w:color w:val="auto"/>
                    </w:rPr>
                    <w:t>排放方式</w:t>
                  </w:r>
                </w:p>
              </w:tc>
              <w:tc>
                <w:tcPr>
                  <w:tcW w:w="799" w:type="pct"/>
                  <w:vAlign w:val="center"/>
                </w:tcPr>
                <w:p w14:paraId="24E38180">
                  <w:pPr>
                    <w:pStyle w:val="63"/>
                    <w:rPr>
                      <w:b/>
                      <w:bCs/>
                      <w:color w:val="auto"/>
                    </w:rPr>
                  </w:pPr>
                  <w:r>
                    <w:rPr>
                      <w:rFonts w:hint="eastAsia"/>
                      <w:b/>
                      <w:bCs/>
                      <w:color w:val="auto"/>
                    </w:rPr>
                    <w:t>排放规律</w:t>
                  </w:r>
                </w:p>
              </w:tc>
              <w:tc>
                <w:tcPr>
                  <w:tcW w:w="644" w:type="pct"/>
                  <w:vAlign w:val="center"/>
                </w:tcPr>
                <w:p w14:paraId="1AD5CEB5">
                  <w:pPr>
                    <w:pStyle w:val="63"/>
                    <w:rPr>
                      <w:b/>
                      <w:bCs/>
                      <w:color w:val="auto"/>
                    </w:rPr>
                  </w:pPr>
                  <w:r>
                    <w:rPr>
                      <w:rFonts w:hint="eastAsia"/>
                      <w:b/>
                      <w:bCs/>
                      <w:color w:val="auto"/>
                    </w:rPr>
                    <w:t>污染治理设施</w:t>
                  </w:r>
                </w:p>
              </w:tc>
              <w:tc>
                <w:tcPr>
                  <w:tcW w:w="1076" w:type="pct"/>
                  <w:vAlign w:val="center"/>
                </w:tcPr>
                <w:p w14:paraId="199C993F">
                  <w:pPr>
                    <w:pStyle w:val="63"/>
                    <w:rPr>
                      <w:b/>
                      <w:bCs/>
                      <w:color w:val="auto"/>
                    </w:rPr>
                  </w:pPr>
                  <w:r>
                    <w:rPr>
                      <w:rFonts w:hint="eastAsia"/>
                      <w:b/>
                      <w:bCs/>
                      <w:color w:val="auto"/>
                    </w:rPr>
                    <w:t>地理坐标</w:t>
                  </w:r>
                </w:p>
              </w:tc>
              <w:tc>
                <w:tcPr>
                  <w:tcW w:w="690" w:type="pct"/>
                  <w:vAlign w:val="center"/>
                </w:tcPr>
                <w:p w14:paraId="6964BC59">
                  <w:pPr>
                    <w:pStyle w:val="63"/>
                    <w:rPr>
                      <w:b/>
                      <w:bCs/>
                      <w:color w:val="auto"/>
                    </w:rPr>
                  </w:pPr>
                  <w:r>
                    <w:rPr>
                      <w:rFonts w:hint="eastAsia"/>
                      <w:b/>
                      <w:bCs/>
                      <w:color w:val="auto"/>
                    </w:rPr>
                    <w:t>排放去向</w:t>
                  </w:r>
                </w:p>
              </w:tc>
              <w:tc>
                <w:tcPr>
                  <w:tcW w:w="678" w:type="pct"/>
                  <w:vAlign w:val="center"/>
                </w:tcPr>
                <w:p w14:paraId="774DF0D1">
                  <w:pPr>
                    <w:pStyle w:val="63"/>
                    <w:rPr>
                      <w:b/>
                      <w:bCs/>
                      <w:color w:val="auto"/>
                    </w:rPr>
                  </w:pPr>
                  <w:r>
                    <w:rPr>
                      <w:rFonts w:hint="eastAsia"/>
                      <w:b/>
                      <w:bCs/>
                      <w:color w:val="auto"/>
                    </w:rPr>
                    <w:t>排放标准</w:t>
                  </w:r>
                </w:p>
              </w:tc>
            </w:tr>
            <w:tr w14:paraId="1B70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5" w:type="pct"/>
                  <w:vAlign w:val="center"/>
                </w:tcPr>
                <w:p w14:paraId="41118805">
                  <w:pPr>
                    <w:pStyle w:val="63"/>
                    <w:rPr>
                      <w:color w:val="auto"/>
                    </w:rPr>
                  </w:pPr>
                  <w:r>
                    <w:rPr>
                      <w:rFonts w:hint="eastAsia"/>
                      <w:color w:val="auto"/>
                    </w:rPr>
                    <w:t>DW003</w:t>
                  </w:r>
                </w:p>
              </w:tc>
              <w:tc>
                <w:tcPr>
                  <w:tcW w:w="272" w:type="pct"/>
                  <w:vAlign w:val="center"/>
                </w:tcPr>
                <w:p w14:paraId="1F7B81B6">
                  <w:pPr>
                    <w:pStyle w:val="63"/>
                    <w:rPr>
                      <w:color w:val="auto"/>
                    </w:rPr>
                  </w:pPr>
                  <w:r>
                    <w:rPr>
                      <w:color w:val="auto"/>
                    </w:rPr>
                    <w:t>废水总排口</w:t>
                  </w:r>
                </w:p>
              </w:tc>
              <w:tc>
                <w:tcPr>
                  <w:tcW w:w="272" w:type="pct"/>
                  <w:vAlign w:val="center"/>
                </w:tcPr>
                <w:p w14:paraId="529C2FDC">
                  <w:pPr>
                    <w:pStyle w:val="63"/>
                    <w:rPr>
                      <w:color w:val="auto"/>
                    </w:rPr>
                  </w:pPr>
                  <w:r>
                    <w:rPr>
                      <w:rFonts w:hint="eastAsia"/>
                      <w:color w:val="auto"/>
                    </w:rPr>
                    <w:t>间接排放</w:t>
                  </w:r>
                </w:p>
              </w:tc>
              <w:tc>
                <w:tcPr>
                  <w:tcW w:w="799" w:type="pct"/>
                  <w:vAlign w:val="center"/>
                </w:tcPr>
                <w:p w14:paraId="42DE6D89">
                  <w:pPr>
                    <w:pStyle w:val="63"/>
                    <w:rPr>
                      <w:color w:val="auto"/>
                    </w:rPr>
                  </w:pPr>
                  <w:r>
                    <w:rPr>
                      <w:rFonts w:hint="eastAsia"/>
                      <w:color w:val="auto"/>
                    </w:rPr>
                    <w:t>间断排放，排放期间流量不稳定且无规律，但不属于冲击型排放</w:t>
                  </w:r>
                </w:p>
              </w:tc>
              <w:tc>
                <w:tcPr>
                  <w:tcW w:w="644" w:type="pct"/>
                  <w:vAlign w:val="center"/>
                </w:tcPr>
                <w:p w14:paraId="42EFC1CE">
                  <w:pPr>
                    <w:pStyle w:val="63"/>
                    <w:rPr>
                      <w:color w:val="auto"/>
                    </w:rPr>
                  </w:pPr>
                  <w:r>
                    <w:rPr>
                      <w:rFonts w:hint="eastAsia"/>
                      <w:color w:val="auto"/>
                    </w:rPr>
                    <w:t>生活污水、清洗废水采用一期工程处理</w:t>
                  </w:r>
                </w:p>
              </w:tc>
              <w:tc>
                <w:tcPr>
                  <w:tcW w:w="1076" w:type="pct"/>
                  <w:vAlign w:val="center"/>
                </w:tcPr>
                <w:p w14:paraId="604CA5C9">
                  <w:pPr>
                    <w:pStyle w:val="63"/>
                    <w:jc w:val="left"/>
                    <w:rPr>
                      <w:color w:val="auto"/>
                    </w:rPr>
                  </w:pPr>
                  <w:r>
                    <w:rPr>
                      <w:color w:val="auto"/>
                    </w:rPr>
                    <w:t>东经：</w:t>
                  </w:r>
                  <w:r>
                    <w:rPr>
                      <w:rFonts w:eastAsia="Times New Roman"/>
                      <w:color w:val="auto"/>
                      <w:spacing w:val="-2"/>
                    </w:rPr>
                    <w:t>114°45′0.935</w:t>
                  </w:r>
                  <w:r>
                    <w:rPr>
                      <w:color w:val="auto"/>
                    </w:rPr>
                    <w:t>″；</w:t>
                  </w:r>
                </w:p>
                <w:p w14:paraId="0C10A5EC">
                  <w:pPr>
                    <w:pStyle w:val="63"/>
                    <w:jc w:val="left"/>
                    <w:rPr>
                      <w:color w:val="auto"/>
                    </w:rPr>
                  </w:pPr>
                  <w:r>
                    <w:rPr>
                      <w:color w:val="auto"/>
                    </w:rPr>
                    <w:t>北纬：</w:t>
                  </w:r>
                  <w:r>
                    <w:rPr>
                      <w:rFonts w:eastAsia="Times New Roman"/>
                      <w:color w:val="auto"/>
                      <w:spacing w:val="-1"/>
                    </w:rPr>
                    <w:t>25°46′32.887″</w:t>
                  </w:r>
                </w:p>
              </w:tc>
              <w:tc>
                <w:tcPr>
                  <w:tcW w:w="690" w:type="pct"/>
                  <w:vAlign w:val="center"/>
                </w:tcPr>
                <w:p w14:paraId="1D503DDC">
                  <w:pPr>
                    <w:pStyle w:val="63"/>
                    <w:rPr>
                      <w:color w:val="auto"/>
                    </w:rPr>
                  </w:pPr>
                  <w:r>
                    <w:rPr>
                      <w:rFonts w:hint="eastAsia"/>
                      <w:color w:val="auto"/>
                    </w:rPr>
                    <w:t>赣州新能源汽车科技城污水处理厂</w:t>
                  </w:r>
                </w:p>
              </w:tc>
              <w:tc>
                <w:tcPr>
                  <w:tcW w:w="678" w:type="pct"/>
                  <w:vAlign w:val="center"/>
                </w:tcPr>
                <w:p w14:paraId="0C8B67E5">
                  <w:pPr>
                    <w:pStyle w:val="63"/>
                    <w:rPr>
                      <w:color w:val="auto"/>
                    </w:rPr>
                  </w:pPr>
                  <w:r>
                    <w:rPr>
                      <w:rFonts w:hint="eastAsia"/>
                      <w:color w:val="auto"/>
                    </w:rPr>
                    <w:t>赣州新能源汽车科技城污水处理厂接管标准</w:t>
                  </w:r>
                </w:p>
              </w:tc>
            </w:tr>
          </w:tbl>
          <w:p w14:paraId="1C999709">
            <w:pPr>
              <w:adjustRightInd w:val="0"/>
              <w:snapToGrid w:val="0"/>
              <w:spacing w:before="120" w:beforeLines="50" w:line="360" w:lineRule="auto"/>
              <w:ind w:firstLine="482" w:firstLineChars="200"/>
              <w:rPr>
                <w:rFonts w:cs="宋体"/>
                <w:b/>
                <w:bCs/>
                <w:color w:val="auto"/>
                <w:sz w:val="24"/>
              </w:rPr>
            </w:pPr>
            <w:r>
              <w:rPr>
                <w:rFonts w:hint="eastAsia"/>
                <w:b/>
                <w:bCs/>
                <w:color w:val="auto"/>
                <w:sz w:val="24"/>
              </w:rPr>
              <w:t>（4）废水达标排放分析</w:t>
            </w:r>
          </w:p>
          <w:p w14:paraId="3456EE74">
            <w:pPr>
              <w:adjustRightInd w:val="0"/>
              <w:snapToGrid w:val="0"/>
              <w:spacing w:line="360" w:lineRule="auto"/>
              <w:ind w:firstLine="480" w:firstLineChars="200"/>
              <w:rPr>
                <w:color w:val="auto"/>
                <w:sz w:val="24"/>
              </w:rPr>
            </w:pPr>
            <w:r>
              <w:rPr>
                <w:rFonts w:hint="eastAsia"/>
                <w:color w:val="auto"/>
                <w:sz w:val="24"/>
              </w:rPr>
              <w:t>本项目外排废水主要为生活污水和清洗废水，主要污染物成分为pH、COD、BOD</w:t>
            </w:r>
            <w:r>
              <w:rPr>
                <w:rFonts w:hint="eastAsia"/>
                <w:color w:val="auto"/>
                <w:sz w:val="24"/>
                <w:vertAlign w:val="subscript"/>
              </w:rPr>
              <w:t>5</w:t>
            </w:r>
            <w:r>
              <w:rPr>
                <w:rFonts w:hint="eastAsia"/>
                <w:color w:val="auto"/>
                <w:sz w:val="24"/>
              </w:rPr>
              <w:t>、SS、NH</w:t>
            </w:r>
            <w:r>
              <w:rPr>
                <w:rFonts w:hint="eastAsia"/>
                <w:color w:val="auto"/>
                <w:sz w:val="24"/>
                <w:vertAlign w:val="subscript"/>
              </w:rPr>
              <w:t>3</w:t>
            </w:r>
            <w:r>
              <w:rPr>
                <w:rFonts w:hint="eastAsia"/>
                <w:color w:val="auto"/>
                <w:sz w:val="24"/>
              </w:rPr>
              <w:t>-N、总氮、石油类等，经一期工程预处理处理后可满足</w:t>
            </w:r>
            <w:r>
              <w:rPr>
                <w:rFonts w:hint="eastAsia"/>
                <w:color w:val="auto"/>
                <w:sz w:val="24"/>
                <w:lang w:val="zh-CN"/>
              </w:rPr>
              <w:t>《电子工业水污染物排放标准》（GB39731-2020）</w:t>
            </w:r>
            <w:r>
              <w:rPr>
                <w:rFonts w:hint="eastAsia"/>
                <w:color w:val="auto"/>
                <w:sz w:val="24"/>
              </w:rPr>
              <w:t>和</w:t>
            </w:r>
            <w:r>
              <w:rPr>
                <w:color w:val="auto"/>
                <w:sz w:val="24"/>
                <w:lang w:val="zh-CN"/>
              </w:rPr>
              <w:t>赣州新能源科技城污水处理厂接管标准</w:t>
            </w:r>
            <w:r>
              <w:rPr>
                <w:rFonts w:hint="eastAsia"/>
                <w:color w:val="auto"/>
                <w:sz w:val="24"/>
              </w:rPr>
              <w:t>中较严值。</w:t>
            </w:r>
          </w:p>
          <w:p w14:paraId="3DC1B1C3">
            <w:pPr>
              <w:widowControl/>
              <w:spacing w:line="360" w:lineRule="auto"/>
              <w:ind w:firstLine="482" w:firstLineChars="200"/>
              <w:jc w:val="left"/>
              <w:rPr>
                <w:b/>
                <w:bCs/>
                <w:color w:val="auto"/>
                <w:sz w:val="24"/>
              </w:rPr>
            </w:pPr>
            <w:r>
              <w:rPr>
                <w:rFonts w:hint="eastAsia" w:cs="宋体"/>
                <w:b/>
                <w:bCs/>
                <w:color w:val="auto"/>
                <w:sz w:val="24"/>
              </w:rPr>
              <w:t>（5）</w:t>
            </w:r>
            <w:r>
              <w:rPr>
                <w:rFonts w:hint="eastAsia"/>
                <w:b/>
                <w:bCs/>
                <w:color w:val="auto"/>
                <w:sz w:val="24"/>
              </w:rPr>
              <w:t>本项目废水纳入江西赣州新能源汽车科技城污水处理厂</w:t>
            </w:r>
            <w:r>
              <w:rPr>
                <w:rFonts w:hint="eastAsia" w:cs="宋体"/>
                <w:b/>
                <w:bCs/>
                <w:color w:val="auto"/>
                <w:kern w:val="0"/>
                <w:sz w:val="24"/>
                <w:lang w:bidi="ar"/>
              </w:rPr>
              <w:t>可行性分析</w:t>
            </w:r>
          </w:p>
          <w:p w14:paraId="594B409E">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①赣州新能源汽车科技城污水处理厂简介</w:t>
            </w:r>
          </w:p>
          <w:p w14:paraId="0A5CADB8">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赣州新能源汽车科技城污水处理厂</w:t>
            </w:r>
            <w:r>
              <w:rPr>
                <w:bCs/>
                <w:snapToGrid w:val="0"/>
                <w:color w:val="auto"/>
                <w:kern w:val="0"/>
                <w:sz w:val="24"/>
              </w:rPr>
              <w:t>位于赣州新能源汽车科技城—上犹江南侧，距离赣州市城区直线距离约14km。地理坐标为东</w:t>
            </w:r>
            <w:r>
              <w:rPr>
                <w:rFonts w:hint="eastAsia"/>
                <w:bCs/>
                <w:snapToGrid w:val="0"/>
                <w:color w:val="auto"/>
                <w:kern w:val="0"/>
                <w:sz w:val="24"/>
              </w:rPr>
              <w:t>经</w:t>
            </w:r>
            <w:r>
              <w:rPr>
                <w:bCs/>
                <w:snapToGrid w:val="0"/>
                <w:color w:val="auto"/>
                <w:kern w:val="0"/>
                <w:sz w:val="24"/>
              </w:rPr>
              <w:t>114°46'52"，北纬25°48'46"，总占地面积为3.54公顷，总投资</w:t>
            </w:r>
            <w:r>
              <w:rPr>
                <w:rFonts w:hint="eastAsia"/>
                <w:bCs/>
                <w:snapToGrid w:val="0"/>
                <w:color w:val="auto"/>
                <w:kern w:val="0"/>
                <w:sz w:val="24"/>
              </w:rPr>
              <w:t>9741.75万元</w:t>
            </w:r>
            <w:r>
              <w:rPr>
                <w:bCs/>
                <w:snapToGrid w:val="0"/>
                <w:color w:val="auto"/>
                <w:kern w:val="0"/>
                <w:sz w:val="24"/>
              </w:rPr>
              <w:t>，其中环保投资156.24</w:t>
            </w:r>
            <w:r>
              <w:rPr>
                <w:rFonts w:hint="eastAsia"/>
                <w:bCs/>
                <w:snapToGrid w:val="0"/>
                <w:color w:val="auto"/>
                <w:kern w:val="0"/>
                <w:sz w:val="24"/>
              </w:rPr>
              <w:t>万元</w:t>
            </w:r>
            <w:r>
              <w:rPr>
                <w:bCs/>
                <w:snapToGrid w:val="0"/>
                <w:color w:val="auto"/>
                <w:kern w:val="0"/>
                <w:sz w:val="24"/>
              </w:rPr>
              <w:t>，占总投资的</w:t>
            </w:r>
            <w:r>
              <w:rPr>
                <w:rFonts w:hint="eastAsia"/>
                <w:bCs/>
                <w:snapToGrid w:val="0"/>
                <w:color w:val="auto"/>
                <w:kern w:val="0"/>
                <w:sz w:val="24"/>
              </w:rPr>
              <w:t>1.6</w:t>
            </w:r>
            <w:r>
              <w:rPr>
                <w:bCs/>
                <w:snapToGrid w:val="0"/>
                <w:color w:val="auto"/>
                <w:kern w:val="0"/>
                <w:sz w:val="24"/>
              </w:rPr>
              <w:t>%。主要建设内容包括</w:t>
            </w:r>
            <w:r>
              <w:rPr>
                <w:rFonts w:hint="eastAsia"/>
                <w:bCs/>
                <w:snapToGrid w:val="0"/>
                <w:color w:val="auto"/>
                <w:kern w:val="0"/>
                <w:sz w:val="24"/>
              </w:rPr>
              <w:t>水泵房、细格栅及沉砂池、调节池及事故池、混合反应沉淀池、水解酸化池、</w:t>
            </w:r>
            <w:r>
              <w:rPr>
                <w:bCs/>
                <w:snapToGrid w:val="0"/>
                <w:color w:val="auto"/>
                <w:kern w:val="0"/>
                <w:sz w:val="24"/>
              </w:rPr>
              <w:t>SBR</w:t>
            </w:r>
            <w:r>
              <w:rPr>
                <w:rFonts w:hint="eastAsia"/>
                <w:bCs/>
                <w:snapToGrid w:val="0"/>
                <w:color w:val="auto"/>
                <w:kern w:val="0"/>
                <w:sz w:val="24"/>
              </w:rPr>
              <w:t>池、消毒接触池、生物磁高效沉淀池、出水分析室、综合楼等</w:t>
            </w:r>
            <w:r>
              <w:rPr>
                <w:bCs/>
                <w:snapToGrid w:val="0"/>
                <w:color w:val="auto"/>
                <w:kern w:val="0"/>
                <w:sz w:val="24"/>
              </w:rPr>
              <w:t>。</w:t>
            </w:r>
          </w:p>
          <w:p w14:paraId="60699237">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赣州新能源汽车科技城污水处理厂于2017年6月编制完成《赣州新能源汽车科技城污水处理厂（一期）项目环境影响报告书》，</w:t>
            </w:r>
            <w:r>
              <w:rPr>
                <w:bCs/>
                <w:snapToGrid w:val="0"/>
                <w:color w:val="auto"/>
                <w:kern w:val="0"/>
                <w:sz w:val="24"/>
              </w:rPr>
              <w:t>20</w:t>
            </w:r>
            <w:r>
              <w:rPr>
                <w:rFonts w:hint="eastAsia"/>
                <w:bCs/>
                <w:snapToGrid w:val="0"/>
                <w:color w:val="auto"/>
                <w:kern w:val="0"/>
                <w:sz w:val="24"/>
              </w:rPr>
              <w:t>17年8月10日得到赣州市环境保护局开发区分局办公室（现赣州市生态环境局赣州经济技术开发区分区）《关于赣州新能源汽车科技城建设开发有限公司赣州新能源汽车科技城污水处理厂（一期）项目环境影响报告书的批复》（赣市环开发〔2017〕62号）。</w:t>
            </w:r>
          </w:p>
          <w:p w14:paraId="209A9C32">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赣州新能源汽车科技城污水处理厂目前稳定达标运行，日处理废水15000吨，采用“细格栅+沉砂+调节+二次提升+混凝反应沉淀池+水解酸化池+SBR池+生物磁高效沉淀池+接触消毒池”工艺处理污水，出水水质满足《城镇污水处理厂污染物排放标准》（GB18918-2002）一级</w:t>
            </w:r>
            <w:r>
              <w:rPr>
                <w:bCs/>
                <w:snapToGrid w:val="0"/>
                <w:color w:val="auto"/>
                <w:kern w:val="0"/>
                <w:sz w:val="24"/>
              </w:rPr>
              <w:t>A</w:t>
            </w:r>
            <w:r>
              <w:rPr>
                <w:rFonts w:hint="eastAsia"/>
                <w:bCs/>
                <w:snapToGrid w:val="0"/>
                <w:color w:val="auto"/>
                <w:kern w:val="0"/>
                <w:sz w:val="24"/>
              </w:rPr>
              <w:t>标准要求，尾水排入赣州市中心城区白塔污水处理厂处理后，最终汇入赣江。具体污水处理工艺如下图</w:t>
            </w:r>
            <w:r>
              <w:rPr>
                <w:bCs/>
                <w:snapToGrid w:val="0"/>
                <w:color w:val="auto"/>
                <w:kern w:val="0"/>
                <w:sz w:val="24"/>
              </w:rPr>
              <w:t>4</w:t>
            </w:r>
            <w:r>
              <w:rPr>
                <w:rFonts w:hint="eastAsia"/>
                <w:bCs/>
                <w:snapToGrid w:val="0"/>
                <w:color w:val="auto"/>
                <w:kern w:val="0"/>
                <w:sz w:val="24"/>
              </w:rPr>
              <w:t>-1。</w:t>
            </w:r>
          </w:p>
          <w:p w14:paraId="74D8954D">
            <w:pPr>
              <w:rPr>
                <w:bCs/>
                <w:snapToGrid w:val="0"/>
                <w:color w:val="auto"/>
                <w:kern w:val="0"/>
                <w:sz w:val="24"/>
              </w:rPr>
            </w:pPr>
            <w:r>
              <w:rPr>
                <w:color w:val="auto"/>
              </w:rPr>
              <w:drawing>
                <wp:anchor distT="0" distB="0" distL="114300" distR="114300" simplePos="0" relativeHeight="251661312" behindDoc="0" locked="0" layoutInCell="1" allowOverlap="1">
                  <wp:simplePos x="0" y="0"/>
                  <wp:positionH relativeFrom="page">
                    <wp:posOffset>450215</wp:posOffset>
                  </wp:positionH>
                  <wp:positionV relativeFrom="paragraph">
                    <wp:posOffset>93980</wp:posOffset>
                  </wp:positionV>
                  <wp:extent cx="5215890" cy="1312545"/>
                  <wp:effectExtent l="0" t="0" r="3810" b="1905"/>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30"/>
                          <a:stretch>
                            <a:fillRect/>
                          </a:stretch>
                        </pic:blipFill>
                        <pic:spPr>
                          <a:xfrm>
                            <a:off x="0" y="0"/>
                            <a:ext cx="5215890" cy="1312545"/>
                          </a:xfrm>
                          <a:prstGeom prst="rect">
                            <a:avLst/>
                          </a:prstGeom>
                          <a:noFill/>
                          <a:ln>
                            <a:noFill/>
                          </a:ln>
                        </pic:spPr>
                      </pic:pic>
                    </a:graphicData>
                  </a:graphic>
                </wp:anchor>
              </w:drawing>
            </w:r>
          </w:p>
          <w:p w14:paraId="059C2EDE">
            <w:pPr>
              <w:adjustRightInd w:val="0"/>
              <w:snapToGrid w:val="0"/>
              <w:spacing w:line="360" w:lineRule="auto"/>
              <w:jc w:val="center"/>
              <w:rPr>
                <w:b/>
                <w:snapToGrid w:val="0"/>
                <w:color w:val="auto"/>
                <w:kern w:val="0"/>
                <w:sz w:val="24"/>
              </w:rPr>
            </w:pPr>
            <w:r>
              <w:rPr>
                <w:rFonts w:hint="eastAsia"/>
                <w:b/>
                <w:snapToGrid w:val="0"/>
                <w:color w:val="auto"/>
                <w:kern w:val="0"/>
                <w:sz w:val="24"/>
              </w:rPr>
              <w:t>图</w:t>
            </w:r>
            <w:r>
              <w:rPr>
                <w:b/>
                <w:snapToGrid w:val="0"/>
                <w:color w:val="auto"/>
                <w:kern w:val="0"/>
                <w:sz w:val="24"/>
              </w:rPr>
              <w:t>4</w:t>
            </w:r>
            <w:r>
              <w:rPr>
                <w:rFonts w:hint="eastAsia"/>
                <w:b/>
                <w:snapToGrid w:val="0"/>
                <w:color w:val="auto"/>
                <w:kern w:val="0"/>
                <w:sz w:val="24"/>
              </w:rPr>
              <w:t>-1赣州新能源汽车科技城污水处理厂工艺流程</w:t>
            </w:r>
          </w:p>
          <w:p w14:paraId="2D410ED3">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②工业园污水管网建设情况</w:t>
            </w:r>
          </w:p>
          <w:p w14:paraId="2BA9E85F">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新能源汽车科技城污水处理厂（一期）于2017年8月取得环评批复后进行建设，于2022年6月完成自主验收，目前运行稳定，因此从时间上来说，本项目废水可纳入新能源汽车科技城污水处理厂（一期）。</w:t>
            </w:r>
          </w:p>
          <w:p w14:paraId="232A8D20">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③纳管可行性</w:t>
            </w:r>
          </w:p>
          <w:p w14:paraId="4DC21C80">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新能源汽车科技城污水处理厂（一期）服务范围为规划的新能源汽车科技城，即赣州市大广高速以西、城西大道以北、新能源大道以东、上犹江以南，本项目位于新能源汽车科技城旭日大道南侧、科技大道西侧，在新能源汽车科技城污水处理厂（一期）纳污范围内。项目所在区域的截污干管已经建设完成，项目废水可通过园区污水管网接入新能源汽车科技城污水处理厂（一期）。</w:t>
            </w:r>
          </w:p>
          <w:p w14:paraId="0B2A13ED">
            <w:pPr>
              <w:adjustRightInd w:val="0"/>
              <w:snapToGrid w:val="0"/>
              <w:spacing w:line="360" w:lineRule="auto"/>
              <w:ind w:firstLine="480" w:firstLineChars="200"/>
              <w:rPr>
                <w:bCs/>
                <w:snapToGrid w:val="0"/>
                <w:color w:val="auto"/>
                <w:kern w:val="0"/>
                <w:sz w:val="24"/>
              </w:rPr>
            </w:pPr>
            <w:r>
              <w:rPr>
                <w:rFonts w:hint="eastAsia"/>
                <w:bCs/>
                <w:snapToGrid w:val="0"/>
                <w:color w:val="auto"/>
                <w:kern w:val="0"/>
                <w:sz w:val="24"/>
              </w:rPr>
              <w:t>④水质纳管可行性</w:t>
            </w:r>
          </w:p>
          <w:p w14:paraId="31EBB705">
            <w:pPr>
              <w:pStyle w:val="6"/>
              <w:topLinePunct/>
              <w:spacing w:before="0" w:after="0" w:line="360" w:lineRule="auto"/>
              <w:ind w:right="0" w:firstLine="480" w:firstLineChars="200"/>
              <w:rPr>
                <w:snapToGrid w:val="0"/>
                <w:color w:val="auto"/>
                <w:sz w:val="24"/>
              </w:rPr>
            </w:pPr>
            <w:r>
              <w:rPr>
                <w:rFonts w:hint="eastAsia"/>
                <w:bCs/>
                <w:snapToGrid w:val="0"/>
                <w:color w:val="auto"/>
                <w:sz w:val="24"/>
              </w:rPr>
              <w:t>本项目生活污水和清洗主要污染因子为COD、BOD</w:t>
            </w:r>
            <w:r>
              <w:rPr>
                <w:rFonts w:hint="eastAsia"/>
                <w:bCs/>
                <w:snapToGrid w:val="0"/>
                <w:color w:val="auto"/>
                <w:sz w:val="24"/>
                <w:vertAlign w:val="subscript"/>
              </w:rPr>
              <w:t>5</w:t>
            </w:r>
            <w:r>
              <w:rPr>
                <w:rFonts w:hint="eastAsia"/>
                <w:bCs/>
                <w:snapToGrid w:val="0"/>
                <w:color w:val="auto"/>
                <w:sz w:val="24"/>
              </w:rPr>
              <w:t>、SS、NH</w:t>
            </w:r>
            <w:r>
              <w:rPr>
                <w:rFonts w:hint="eastAsia"/>
                <w:bCs/>
                <w:snapToGrid w:val="0"/>
                <w:color w:val="auto"/>
                <w:sz w:val="24"/>
                <w:vertAlign w:val="subscript"/>
              </w:rPr>
              <w:t>3</w:t>
            </w:r>
            <w:r>
              <w:rPr>
                <w:rFonts w:hint="eastAsia"/>
                <w:bCs/>
                <w:snapToGrid w:val="0"/>
                <w:color w:val="auto"/>
                <w:sz w:val="24"/>
              </w:rPr>
              <w:t>-N、TN、石油类，废水中无特殊污染因子，生活污水依托</w:t>
            </w:r>
            <w:r>
              <w:rPr>
                <w:rStyle w:val="31"/>
                <w:rFonts w:hint="eastAsia"/>
                <w:color w:val="auto"/>
                <w:sz w:val="24"/>
                <w:szCs w:val="24"/>
              </w:rPr>
              <w:t>一期工程废水处理设施</w:t>
            </w:r>
            <w:r>
              <w:rPr>
                <w:rStyle w:val="31"/>
                <w:rFonts w:hint="eastAsia"/>
                <w:b/>
                <w:bCs/>
                <w:color w:val="auto"/>
                <w:sz w:val="24"/>
                <w:szCs w:val="24"/>
              </w:rPr>
              <w:t>（</w:t>
            </w:r>
            <w:r>
              <w:rPr>
                <w:rStyle w:val="31"/>
                <w:rFonts w:hint="eastAsia"/>
                <w:color w:val="auto"/>
                <w:sz w:val="24"/>
                <w:szCs w:val="24"/>
              </w:rPr>
              <w:t>化粪池+混合废水处理系统（TW012）+中水回用系统（TW013））进行处理</w:t>
            </w:r>
            <w:r>
              <w:rPr>
                <w:rStyle w:val="31"/>
                <w:rFonts w:hint="eastAsia"/>
                <w:b/>
                <w:bCs/>
                <w:color w:val="auto"/>
                <w:sz w:val="24"/>
                <w:szCs w:val="24"/>
              </w:rPr>
              <w:t>、</w:t>
            </w:r>
            <w:r>
              <w:rPr>
                <w:rStyle w:val="31"/>
                <w:rFonts w:hint="eastAsia"/>
                <w:color w:val="auto"/>
                <w:sz w:val="24"/>
                <w:szCs w:val="24"/>
              </w:rPr>
              <w:t>清洗废水经车间污水池收集</w:t>
            </w:r>
            <w:r>
              <w:rPr>
                <w:rFonts w:hint="eastAsia"/>
                <w:bCs/>
                <w:snapToGrid w:val="0"/>
                <w:color w:val="auto"/>
                <w:sz w:val="24"/>
              </w:rPr>
              <w:t>依托</w:t>
            </w:r>
            <w:r>
              <w:rPr>
                <w:rStyle w:val="31"/>
                <w:rFonts w:hint="eastAsia"/>
                <w:color w:val="auto"/>
                <w:sz w:val="24"/>
                <w:szCs w:val="24"/>
              </w:rPr>
              <w:t>一期工程废水处理设施（前处理废水（TW001）+混合废水处理系统（TW012）+中水回用系统（TW013）进行处理，项目清洗废水和生活污水处理后的排放浓度与新能源汽车科技城污水处理厂（一期）纳管标准比较详见表4-1</w:t>
            </w:r>
            <w:r>
              <w:rPr>
                <w:rStyle w:val="31"/>
                <w:rFonts w:hint="eastAsia"/>
                <w:color w:val="auto"/>
                <w:sz w:val="24"/>
                <w:szCs w:val="24"/>
                <w:lang w:val="en-US" w:eastAsia="zh-CN"/>
              </w:rPr>
              <w:t>4</w:t>
            </w:r>
            <w:r>
              <w:rPr>
                <w:rStyle w:val="31"/>
                <w:rFonts w:hint="eastAsia"/>
                <w:color w:val="auto"/>
                <w:sz w:val="24"/>
                <w:szCs w:val="24"/>
              </w:rPr>
              <w:t>。</w:t>
            </w:r>
          </w:p>
          <w:p w14:paraId="3C81538A">
            <w:pPr>
              <w:pStyle w:val="6"/>
              <w:topLinePunct/>
              <w:spacing w:before="0" w:after="0" w:line="240" w:lineRule="auto"/>
              <w:ind w:right="0"/>
              <w:jc w:val="center"/>
              <w:rPr>
                <w:bCs/>
                <w:snapToGrid w:val="0"/>
                <w:color w:val="auto"/>
                <w:sz w:val="24"/>
              </w:rPr>
            </w:pPr>
            <w:r>
              <w:rPr>
                <w:rFonts w:hint="eastAsia"/>
                <w:b/>
                <w:snapToGrid w:val="0"/>
                <w:color w:val="auto"/>
                <w:sz w:val="24"/>
              </w:rPr>
              <w:t>表4-1</w:t>
            </w:r>
            <w:r>
              <w:rPr>
                <w:rFonts w:hint="eastAsia"/>
                <w:b/>
                <w:snapToGrid w:val="0"/>
                <w:color w:val="auto"/>
                <w:sz w:val="24"/>
                <w:lang w:val="en-US" w:eastAsia="zh-CN"/>
              </w:rPr>
              <w:t>4</w:t>
            </w:r>
            <w:r>
              <w:rPr>
                <w:rFonts w:hint="eastAsia"/>
                <w:b/>
                <w:snapToGrid w:val="0"/>
                <w:color w:val="auto"/>
                <w:sz w:val="24"/>
              </w:rPr>
              <w:t>项目外排废水与新能源汽车科技城污水处理厂（一期）进水水质比较表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2122"/>
              <w:gridCol w:w="2123"/>
              <w:gridCol w:w="2123"/>
            </w:tblGrid>
            <w:tr w14:paraId="5988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Align w:val="center"/>
                </w:tcPr>
                <w:p w14:paraId="1CBEACC1">
                  <w:pPr>
                    <w:jc w:val="center"/>
                    <w:rPr>
                      <w:color w:val="auto"/>
                    </w:rPr>
                  </w:pPr>
                  <w:r>
                    <w:rPr>
                      <w:rFonts w:hint="eastAsia"/>
                      <w:color w:val="auto"/>
                    </w:rPr>
                    <w:t>废水类别</w:t>
                  </w:r>
                </w:p>
              </w:tc>
              <w:tc>
                <w:tcPr>
                  <w:tcW w:w="2122" w:type="dxa"/>
                  <w:vAlign w:val="center"/>
                </w:tcPr>
                <w:p w14:paraId="4F642D94">
                  <w:pPr>
                    <w:jc w:val="center"/>
                    <w:rPr>
                      <w:color w:val="auto"/>
                    </w:rPr>
                  </w:pPr>
                  <w:r>
                    <w:rPr>
                      <w:rFonts w:hint="eastAsia"/>
                      <w:color w:val="auto"/>
                    </w:rPr>
                    <w:t>污染物</w:t>
                  </w:r>
                </w:p>
              </w:tc>
              <w:tc>
                <w:tcPr>
                  <w:tcW w:w="2123" w:type="dxa"/>
                  <w:vAlign w:val="center"/>
                </w:tcPr>
                <w:p w14:paraId="2B1A5233">
                  <w:pPr>
                    <w:jc w:val="center"/>
                    <w:rPr>
                      <w:color w:val="auto"/>
                    </w:rPr>
                  </w:pPr>
                  <w:r>
                    <w:rPr>
                      <w:rFonts w:hint="eastAsia"/>
                      <w:color w:val="auto"/>
                    </w:rPr>
                    <w:t>排放浓度(mg/L)</w:t>
                  </w:r>
                </w:p>
              </w:tc>
              <w:tc>
                <w:tcPr>
                  <w:tcW w:w="2123" w:type="dxa"/>
                  <w:vAlign w:val="center"/>
                </w:tcPr>
                <w:p w14:paraId="06F269CE">
                  <w:pPr>
                    <w:jc w:val="center"/>
                    <w:rPr>
                      <w:color w:val="auto"/>
                    </w:rPr>
                  </w:pPr>
                  <w:r>
                    <w:rPr>
                      <w:rFonts w:hint="eastAsia"/>
                      <w:color w:val="auto"/>
                    </w:rPr>
                    <w:t>新能源汽车科技城污水处理厂（一期）进水水质标准（mg/L）</w:t>
                  </w:r>
                </w:p>
              </w:tc>
            </w:tr>
            <w:tr w14:paraId="3E81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restart"/>
                  <w:vAlign w:val="center"/>
                </w:tcPr>
                <w:p w14:paraId="002C9DDC">
                  <w:pPr>
                    <w:jc w:val="center"/>
                    <w:rPr>
                      <w:color w:val="auto"/>
                    </w:rPr>
                  </w:pPr>
                  <w:r>
                    <w:rPr>
                      <w:rFonts w:hint="eastAsia"/>
                      <w:color w:val="auto"/>
                    </w:rPr>
                    <w:t>生活污水</w:t>
                  </w:r>
                </w:p>
              </w:tc>
              <w:tc>
                <w:tcPr>
                  <w:tcW w:w="2122" w:type="dxa"/>
                  <w:vAlign w:val="center"/>
                </w:tcPr>
                <w:p w14:paraId="2900BFE2">
                  <w:pPr>
                    <w:jc w:val="center"/>
                    <w:rPr>
                      <w:color w:val="auto"/>
                    </w:rPr>
                  </w:pPr>
                  <w:r>
                    <w:rPr>
                      <w:rFonts w:hint="eastAsia"/>
                      <w:color w:val="auto"/>
                    </w:rPr>
                    <w:t>pH</w:t>
                  </w:r>
                </w:p>
              </w:tc>
              <w:tc>
                <w:tcPr>
                  <w:tcW w:w="2123" w:type="dxa"/>
                  <w:vAlign w:val="center"/>
                </w:tcPr>
                <w:p w14:paraId="02F0FD06">
                  <w:pPr>
                    <w:jc w:val="center"/>
                    <w:rPr>
                      <w:color w:val="auto"/>
                    </w:rPr>
                  </w:pPr>
                  <w:r>
                    <w:rPr>
                      <w:rFonts w:hint="eastAsia"/>
                      <w:color w:val="auto"/>
                    </w:rPr>
                    <w:t>6~9</w:t>
                  </w:r>
                </w:p>
              </w:tc>
              <w:tc>
                <w:tcPr>
                  <w:tcW w:w="2123" w:type="dxa"/>
                  <w:vAlign w:val="center"/>
                </w:tcPr>
                <w:p w14:paraId="0B72B234">
                  <w:pPr>
                    <w:jc w:val="center"/>
                    <w:rPr>
                      <w:color w:val="auto"/>
                    </w:rPr>
                  </w:pPr>
                  <w:r>
                    <w:rPr>
                      <w:rFonts w:hint="eastAsia"/>
                      <w:color w:val="auto"/>
                    </w:rPr>
                    <w:t>6~9</w:t>
                  </w:r>
                </w:p>
              </w:tc>
            </w:tr>
            <w:tr w14:paraId="03E3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1025F998">
                  <w:pPr>
                    <w:jc w:val="center"/>
                    <w:rPr>
                      <w:color w:val="auto"/>
                    </w:rPr>
                  </w:pPr>
                </w:p>
              </w:tc>
              <w:tc>
                <w:tcPr>
                  <w:tcW w:w="2122" w:type="dxa"/>
                  <w:shd w:val="clear" w:color="auto" w:fill="auto"/>
                  <w:vAlign w:val="center"/>
                </w:tcPr>
                <w:p w14:paraId="32C5B0D1">
                  <w:pPr>
                    <w:topLinePunct/>
                    <w:jc w:val="center"/>
                    <w:rPr>
                      <w:color w:val="auto"/>
                      <w:szCs w:val="21"/>
                    </w:rPr>
                  </w:pPr>
                  <w:r>
                    <w:rPr>
                      <w:color w:val="auto"/>
                      <w:szCs w:val="21"/>
                    </w:rPr>
                    <w:t>COD</w:t>
                  </w:r>
                </w:p>
              </w:tc>
              <w:tc>
                <w:tcPr>
                  <w:tcW w:w="2123" w:type="dxa"/>
                  <w:shd w:val="clear" w:color="auto" w:fill="auto"/>
                  <w:vAlign w:val="center"/>
                </w:tcPr>
                <w:p w14:paraId="3EBE08C8">
                  <w:pPr>
                    <w:jc w:val="center"/>
                    <w:rPr>
                      <w:color w:val="auto"/>
                    </w:rPr>
                  </w:pPr>
                  <w:r>
                    <w:rPr>
                      <w:rFonts w:hint="eastAsia"/>
                      <w:color w:val="auto"/>
                    </w:rPr>
                    <w:t>137.5</w:t>
                  </w:r>
                </w:p>
              </w:tc>
              <w:tc>
                <w:tcPr>
                  <w:tcW w:w="2123" w:type="dxa"/>
                  <w:shd w:val="clear" w:color="auto" w:fill="auto"/>
                  <w:vAlign w:val="center"/>
                </w:tcPr>
                <w:p w14:paraId="6482A8EF">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500</w:t>
                  </w:r>
                </w:p>
              </w:tc>
            </w:tr>
            <w:tr w14:paraId="1557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4144F371">
                  <w:pPr>
                    <w:jc w:val="center"/>
                    <w:rPr>
                      <w:color w:val="auto"/>
                    </w:rPr>
                  </w:pPr>
                </w:p>
              </w:tc>
              <w:tc>
                <w:tcPr>
                  <w:tcW w:w="2122" w:type="dxa"/>
                  <w:shd w:val="clear" w:color="auto" w:fill="auto"/>
                  <w:vAlign w:val="center"/>
                </w:tcPr>
                <w:p w14:paraId="36A27847">
                  <w:pPr>
                    <w:topLinePunct/>
                    <w:jc w:val="center"/>
                    <w:rPr>
                      <w:color w:val="auto"/>
                      <w:szCs w:val="21"/>
                    </w:rPr>
                  </w:pPr>
                  <w:r>
                    <w:rPr>
                      <w:color w:val="auto"/>
                      <w:szCs w:val="21"/>
                    </w:rPr>
                    <w:t>BOD</w:t>
                  </w:r>
                  <w:r>
                    <w:rPr>
                      <w:color w:val="auto"/>
                      <w:szCs w:val="21"/>
                      <w:vertAlign w:val="subscript"/>
                    </w:rPr>
                    <w:t>5</w:t>
                  </w:r>
                </w:p>
              </w:tc>
              <w:tc>
                <w:tcPr>
                  <w:tcW w:w="2123" w:type="dxa"/>
                  <w:shd w:val="clear" w:color="auto" w:fill="auto"/>
                  <w:vAlign w:val="center"/>
                </w:tcPr>
                <w:p w14:paraId="18CFE8D2">
                  <w:pPr>
                    <w:jc w:val="center"/>
                    <w:rPr>
                      <w:color w:val="auto"/>
                    </w:rPr>
                  </w:pPr>
                  <w:r>
                    <w:rPr>
                      <w:rFonts w:hint="eastAsia"/>
                      <w:color w:val="auto"/>
                    </w:rPr>
                    <w:t>127.5</w:t>
                  </w:r>
                </w:p>
              </w:tc>
              <w:tc>
                <w:tcPr>
                  <w:tcW w:w="2123" w:type="dxa"/>
                  <w:shd w:val="clear" w:color="auto" w:fill="auto"/>
                  <w:vAlign w:val="center"/>
                </w:tcPr>
                <w:p w14:paraId="0B3E02B2">
                  <w:pPr>
                    <w:pStyle w:val="84"/>
                    <w:widowControl w:val="0"/>
                    <w:adjustRightInd/>
                    <w:spacing w:before="0" w:beforeLines="0" w:after="0" w:afterLines="0" w:line="240" w:lineRule="auto"/>
                    <w:ind w:firstLine="0" w:firstLineChars="0"/>
                    <w:jc w:val="center"/>
                    <w:rPr>
                      <w:rFonts w:ascii="Times New Roman"/>
                      <w:color w:val="auto"/>
                      <w:spacing w:val="0"/>
                      <w:kern w:val="0"/>
                      <w:position w:val="0"/>
                      <w:sz w:val="21"/>
                      <w:szCs w:val="21"/>
                    </w:rPr>
                  </w:pPr>
                  <w:r>
                    <w:rPr>
                      <w:rFonts w:ascii="Times New Roman"/>
                      <w:bCs/>
                      <w:color w:val="auto"/>
                      <w:spacing w:val="0"/>
                      <w:kern w:val="0"/>
                      <w:position w:val="0"/>
                      <w:sz w:val="21"/>
                      <w:szCs w:val="21"/>
                    </w:rPr>
                    <w:t>300</w:t>
                  </w:r>
                </w:p>
              </w:tc>
            </w:tr>
            <w:tr w14:paraId="7476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731758AD">
                  <w:pPr>
                    <w:jc w:val="center"/>
                    <w:rPr>
                      <w:color w:val="auto"/>
                    </w:rPr>
                  </w:pPr>
                </w:p>
              </w:tc>
              <w:tc>
                <w:tcPr>
                  <w:tcW w:w="2122" w:type="dxa"/>
                  <w:shd w:val="clear" w:color="auto" w:fill="auto"/>
                  <w:vAlign w:val="center"/>
                </w:tcPr>
                <w:p w14:paraId="22A2BAD1">
                  <w:pPr>
                    <w:pStyle w:val="63"/>
                    <w:rPr>
                      <w:color w:val="auto"/>
                    </w:rPr>
                  </w:pPr>
                  <w:r>
                    <w:rPr>
                      <w:rFonts w:hint="eastAsia"/>
                      <w:color w:val="auto"/>
                    </w:rPr>
                    <w:t>SS</w:t>
                  </w:r>
                </w:p>
              </w:tc>
              <w:tc>
                <w:tcPr>
                  <w:tcW w:w="2123" w:type="dxa"/>
                  <w:shd w:val="clear" w:color="auto" w:fill="auto"/>
                  <w:vAlign w:val="center"/>
                </w:tcPr>
                <w:p w14:paraId="7D6A1961">
                  <w:pPr>
                    <w:jc w:val="center"/>
                    <w:rPr>
                      <w:color w:val="auto"/>
                    </w:rPr>
                  </w:pPr>
                  <w:r>
                    <w:rPr>
                      <w:rFonts w:hint="eastAsia"/>
                      <w:color w:val="auto"/>
                    </w:rPr>
                    <w:t>180</w:t>
                  </w:r>
                </w:p>
              </w:tc>
              <w:tc>
                <w:tcPr>
                  <w:tcW w:w="2123" w:type="dxa"/>
                  <w:vAlign w:val="center"/>
                </w:tcPr>
                <w:p w14:paraId="1030EB8B">
                  <w:pPr>
                    <w:jc w:val="center"/>
                    <w:rPr>
                      <w:color w:val="auto"/>
                    </w:rPr>
                  </w:pPr>
                  <w:r>
                    <w:rPr>
                      <w:rFonts w:hint="eastAsia"/>
                      <w:color w:val="auto"/>
                    </w:rPr>
                    <w:t>300</w:t>
                  </w:r>
                </w:p>
              </w:tc>
            </w:tr>
            <w:tr w14:paraId="5A16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5803BC92">
                  <w:pPr>
                    <w:jc w:val="center"/>
                    <w:rPr>
                      <w:color w:val="auto"/>
                    </w:rPr>
                  </w:pPr>
                </w:p>
              </w:tc>
              <w:tc>
                <w:tcPr>
                  <w:tcW w:w="2122" w:type="dxa"/>
                  <w:shd w:val="clear" w:color="auto" w:fill="auto"/>
                  <w:vAlign w:val="center"/>
                </w:tcPr>
                <w:p w14:paraId="260AB20A">
                  <w:pPr>
                    <w:pStyle w:val="63"/>
                    <w:rPr>
                      <w:color w:val="auto"/>
                    </w:rPr>
                  </w:pPr>
                  <w:r>
                    <w:rPr>
                      <w:rFonts w:hint="eastAsia"/>
                      <w:color w:val="auto"/>
                    </w:rPr>
                    <w:t>NH</w:t>
                  </w:r>
                  <w:r>
                    <w:rPr>
                      <w:color w:val="auto"/>
                      <w:vertAlign w:val="subscript"/>
                    </w:rPr>
                    <w:t>3</w:t>
                  </w:r>
                  <w:r>
                    <w:rPr>
                      <w:color w:val="auto"/>
                    </w:rPr>
                    <w:t>-N</w:t>
                  </w:r>
                </w:p>
              </w:tc>
              <w:tc>
                <w:tcPr>
                  <w:tcW w:w="2123" w:type="dxa"/>
                  <w:shd w:val="clear" w:color="auto" w:fill="auto"/>
                  <w:vAlign w:val="center"/>
                </w:tcPr>
                <w:p w14:paraId="46FD4E59">
                  <w:pPr>
                    <w:jc w:val="center"/>
                    <w:rPr>
                      <w:color w:val="auto"/>
                    </w:rPr>
                  </w:pPr>
                  <w:r>
                    <w:rPr>
                      <w:rFonts w:hint="eastAsia"/>
                      <w:color w:val="auto"/>
                    </w:rPr>
                    <w:t>16.25</w:t>
                  </w:r>
                </w:p>
              </w:tc>
              <w:tc>
                <w:tcPr>
                  <w:tcW w:w="2123" w:type="dxa"/>
                  <w:vAlign w:val="center"/>
                </w:tcPr>
                <w:p w14:paraId="7014ACB6">
                  <w:pPr>
                    <w:jc w:val="center"/>
                    <w:rPr>
                      <w:color w:val="auto"/>
                    </w:rPr>
                  </w:pPr>
                  <w:r>
                    <w:rPr>
                      <w:rFonts w:hint="eastAsia"/>
                      <w:color w:val="auto"/>
                    </w:rPr>
                    <w:t>45</w:t>
                  </w:r>
                </w:p>
              </w:tc>
            </w:tr>
            <w:tr w14:paraId="201D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restart"/>
                  <w:vAlign w:val="center"/>
                </w:tcPr>
                <w:p w14:paraId="3E1A5480">
                  <w:pPr>
                    <w:jc w:val="center"/>
                    <w:rPr>
                      <w:color w:val="auto"/>
                    </w:rPr>
                  </w:pPr>
                  <w:r>
                    <w:rPr>
                      <w:rFonts w:hint="eastAsia"/>
                      <w:color w:val="auto"/>
                    </w:rPr>
                    <w:t>清洗废水</w:t>
                  </w:r>
                </w:p>
              </w:tc>
              <w:tc>
                <w:tcPr>
                  <w:tcW w:w="2122" w:type="dxa"/>
                  <w:shd w:val="clear" w:color="auto" w:fill="auto"/>
                  <w:vAlign w:val="center"/>
                </w:tcPr>
                <w:p w14:paraId="05F6225D">
                  <w:pPr>
                    <w:topLinePunct/>
                    <w:jc w:val="center"/>
                    <w:rPr>
                      <w:color w:val="auto"/>
                      <w:szCs w:val="21"/>
                    </w:rPr>
                  </w:pPr>
                  <w:r>
                    <w:rPr>
                      <w:color w:val="auto"/>
                      <w:szCs w:val="21"/>
                    </w:rPr>
                    <w:t>COD</w:t>
                  </w:r>
                </w:p>
              </w:tc>
              <w:tc>
                <w:tcPr>
                  <w:tcW w:w="2123" w:type="dxa"/>
                  <w:shd w:val="clear" w:color="auto" w:fill="auto"/>
                  <w:vAlign w:val="center"/>
                </w:tcPr>
                <w:p w14:paraId="6C634149">
                  <w:pPr>
                    <w:jc w:val="center"/>
                    <w:rPr>
                      <w:color w:val="auto"/>
                    </w:rPr>
                  </w:pPr>
                  <w:r>
                    <w:rPr>
                      <w:rFonts w:hint="eastAsia"/>
                      <w:color w:val="auto"/>
                    </w:rPr>
                    <w:t>165</w:t>
                  </w:r>
                </w:p>
              </w:tc>
              <w:tc>
                <w:tcPr>
                  <w:tcW w:w="2123" w:type="dxa"/>
                  <w:vAlign w:val="center"/>
                </w:tcPr>
                <w:p w14:paraId="6AD46FD8">
                  <w:pPr>
                    <w:jc w:val="center"/>
                    <w:rPr>
                      <w:color w:val="auto"/>
                    </w:rPr>
                  </w:pPr>
                  <w:r>
                    <w:rPr>
                      <w:rFonts w:hint="eastAsia"/>
                      <w:color w:val="auto"/>
                    </w:rPr>
                    <w:t>500</w:t>
                  </w:r>
                </w:p>
              </w:tc>
            </w:tr>
            <w:tr w14:paraId="030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72670BF1">
                  <w:pPr>
                    <w:jc w:val="center"/>
                    <w:rPr>
                      <w:color w:val="auto"/>
                    </w:rPr>
                  </w:pPr>
                </w:p>
              </w:tc>
              <w:tc>
                <w:tcPr>
                  <w:tcW w:w="2122" w:type="dxa"/>
                  <w:shd w:val="clear" w:color="auto" w:fill="auto"/>
                  <w:vAlign w:val="center"/>
                </w:tcPr>
                <w:p w14:paraId="09848FB2">
                  <w:pPr>
                    <w:pStyle w:val="63"/>
                    <w:rPr>
                      <w:color w:val="auto"/>
                    </w:rPr>
                  </w:pPr>
                  <w:r>
                    <w:rPr>
                      <w:rFonts w:hint="eastAsia"/>
                      <w:color w:val="auto"/>
                    </w:rPr>
                    <w:t>总氮</w:t>
                  </w:r>
                </w:p>
              </w:tc>
              <w:tc>
                <w:tcPr>
                  <w:tcW w:w="2123" w:type="dxa"/>
                  <w:shd w:val="clear" w:color="auto" w:fill="auto"/>
                  <w:vAlign w:val="center"/>
                </w:tcPr>
                <w:p w14:paraId="0F3E5FA1">
                  <w:pPr>
                    <w:jc w:val="center"/>
                    <w:rPr>
                      <w:color w:val="auto"/>
                    </w:rPr>
                  </w:pPr>
                  <w:r>
                    <w:rPr>
                      <w:rFonts w:hint="eastAsia"/>
                      <w:color w:val="auto"/>
                    </w:rPr>
                    <w:t>6</w:t>
                  </w:r>
                </w:p>
              </w:tc>
              <w:tc>
                <w:tcPr>
                  <w:tcW w:w="2123" w:type="dxa"/>
                  <w:vAlign w:val="center"/>
                </w:tcPr>
                <w:p w14:paraId="52066C0A">
                  <w:pPr>
                    <w:jc w:val="center"/>
                    <w:rPr>
                      <w:color w:val="auto"/>
                    </w:rPr>
                  </w:pPr>
                  <w:r>
                    <w:rPr>
                      <w:rFonts w:hint="eastAsia"/>
                      <w:color w:val="auto"/>
                    </w:rPr>
                    <w:t>70</w:t>
                  </w:r>
                </w:p>
              </w:tc>
            </w:tr>
            <w:tr w14:paraId="3497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3FB0F7A7">
                  <w:pPr>
                    <w:jc w:val="center"/>
                    <w:rPr>
                      <w:color w:val="auto"/>
                    </w:rPr>
                  </w:pPr>
                </w:p>
              </w:tc>
              <w:tc>
                <w:tcPr>
                  <w:tcW w:w="2122" w:type="dxa"/>
                  <w:shd w:val="clear" w:color="auto" w:fill="auto"/>
                  <w:vAlign w:val="center"/>
                </w:tcPr>
                <w:p w14:paraId="714E2369">
                  <w:pPr>
                    <w:pStyle w:val="63"/>
                    <w:rPr>
                      <w:color w:val="auto"/>
                    </w:rPr>
                  </w:pPr>
                  <w:r>
                    <w:rPr>
                      <w:rFonts w:hint="eastAsia"/>
                      <w:color w:val="auto"/>
                    </w:rPr>
                    <w:t>SS</w:t>
                  </w:r>
                </w:p>
              </w:tc>
              <w:tc>
                <w:tcPr>
                  <w:tcW w:w="2123" w:type="dxa"/>
                  <w:shd w:val="clear" w:color="auto" w:fill="auto"/>
                  <w:vAlign w:val="center"/>
                </w:tcPr>
                <w:p w14:paraId="4CAF6803">
                  <w:pPr>
                    <w:jc w:val="center"/>
                    <w:rPr>
                      <w:color w:val="auto"/>
                    </w:rPr>
                  </w:pPr>
                  <w:r>
                    <w:rPr>
                      <w:rFonts w:hint="eastAsia"/>
                      <w:color w:val="auto"/>
                    </w:rPr>
                    <w:t>65</w:t>
                  </w:r>
                </w:p>
              </w:tc>
              <w:tc>
                <w:tcPr>
                  <w:tcW w:w="2123" w:type="dxa"/>
                  <w:vAlign w:val="center"/>
                </w:tcPr>
                <w:p w14:paraId="4F6DB294">
                  <w:pPr>
                    <w:jc w:val="center"/>
                    <w:rPr>
                      <w:color w:val="auto"/>
                    </w:rPr>
                  </w:pPr>
                  <w:r>
                    <w:rPr>
                      <w:rFonts w:hint="eastAsia"/>
                      <w:color w:val="auto"/>
                    </w:rPr>
                    <w:t>300</w:t>
                  </w:r>
                </w:p>
              </w:tc>
            </w:tr>
            <w:tr w14:paraId="1EF8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505C55A3">
                  <w:pPr>
                    <w:jc w:val="center"/>
                    <w:rPr>
                      <w:color w:val="auto"/>
                    </w:rPr>
                  </w:pPr>
                </w:p>
              </w:tc>
              <w:tc>
                <w:tcPr>
                  <w:tcW w:w="2122" w:type="dxa"/>
                  <w:shd w:val="clear" w:color="auto" w:fill="auto"/>
                  <w:vAlign w:val="center"/>
                </w:tcPr>
                <w:p w14:paraId="4BE4AC67">
                  <w:pPr>
                    <w:pStyle w:val="63"/>
                    <w:rPr>
                      <w:color w:val="auto"/>
                    </w:rPr>
                  </w:pPr>
                  <w:r>
                    <w:rPr>
                      <w:rFonts w:hint="eastAsia"/>
                      <w:color w:val="auto"/>
                    </w:rPr>
                    <w:t>NH</w:t>
                  </w:r>
                  <w:r>
                    <w:rPr>
                      <w:color w:val="auto"/>
                      <w:vertAlign w:val="subscript"/>
                    </w:rPr>
                    <w:t>3</w:t>
                  </w:r>
                  <w:r>
                    <w:rPr>
                      <w:color w:val="auto"/>
                    </w:rPr>
                    <w:t>-N</w:t>
                  </w:r>
                </w:p>
              </w:tc>
              <w:tc>
                <w:tcPr>
                  <w:tcW w:w="2123" w:type="dxa"/>
                  <w:shd w:val="clear" w:color="auto" w:fill="auto"/>
                  <w:vAlign w:val="center"/>
                </w:tcPr>
                <w:p w14:paraId="4842DB27">
                  <w:pPr>
                    <w:jc w:val="center"/>
                    <w:rPr>
                      <w:color w:val="auto"/>
                    </w:rPr>
                  </w:pPr>
                  <w:r>
                    <w:rPr>
                      <w:rFonts w:hint="eastAsia"/>
                      <w:color w:val="auto"/>
                    </w:rPr>
                    <w:t>13.5</w:t>
                  </w:r>
                </w:p>
              </w:tc>
              <w:tc>
                <w:tcPr>
                  <w:tcW w:w="2123" w:type="dxa"/>
                  <w:vAlign w:val="center"/>
                </w:tcPr>
                <w:p w14:paraId="776EDFD5">
                  <w:pPr>
                    <w:jc w:val="center"/>
                    <w:rPr>
                      <w:color w:val="auto"/>
                    </w:rPr>
                  </w:pPr>
                  <w:r>
                    <w:rPr>
                      <w:rFonts w:hint="eastAsia"/>
                      <w:color w:val="auto"/>
                    </w:rPr>
                    <w:t>45</w:t>
                  </w:r>
                </w:p>
              </w:tc>
            </w:tr>
            <w:tr w14:paraId="0845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vAlign w:val="center"/>
                </w:tcPr>
                <w:p w14:paraId="2155F1F7">
                  <w:pPr>
                    <w:jc w:val="center"/>
                    <w:rPr>
                      <w:color w:val="auto"/>
                    </w:rPr>
                  </w:pPr>
                </w:p>
              </w:tc>
              <w:tc>
                <w:tcPr>
                  <w:tcW w:w="2122" w:type="dxa"/>
                  <w:shd w:val="clear" w:color="auto" w:fill="auto"/>
                  <w:vAlign w:val="center"/>
                </w:tcPr>
                <w:p w14:paraId="0B925374">
                  <w:pPr>
                    <w:pStyle w:val="63"/>
                    <w:rPr>
                      <w:color w:val="auto"/>
                    </w:rPr>
                  </w:pPr>
                  <w:r>
                    <w:rPr>
                      <w:rStyle w:val="31"/>
                      <w:rFonts w:hint="eastAsia"/>
                      <w:color w:val="auto"/>
                    </w:rPr>
                    <w:t>石油类</w:t>
                  </w:r>
                </w:p>
              </w:tc>
              <w:tc>
                <w:tcPr>
                  <w:tcW w:w="2123" w:type="dxa"/>
                  <w:shd w:val="clear" w:color="auto" w:fill="auto"/>
                  <w:vAlign w:val="center"/>
                </w:tcPr>
                <w:p w14:paraId="539056B0">
                  <w:pPr>
                    <w:jc w:val="center"/>
                    <w:rPr>
                      <w:color w:val="auto"/>
                    </w:rPr>
                  </w:pPr>
                  <w:r>
                    <w:rPr>
                      <w:rFonts w:hint="eastAsia"/>
                      <w:color w:val="auto"/>
                    </w:rPr>
                    <w:t>0.5</w:t>
                  </w:r>
                </w:p>
              </w:tc>
              <w:tc>
                <w:tcPr>
                  <w:tcW w:w="2123" w:type="dxa"/>
                  <w:vAlign w:val="center"/>
                </w:tcPr>
                <w:p w14:paraId="469A7A0E">
                  <w:pPr>
                    <w:jc w:val="center"/>
                    <w:rPr>
                      <w:rFonts w:hint="default" w:eastAsia="宋体"/>
                      <w:color w:val="auto"/>
                      <w:lang w:val="en-US" w:eastAsia="zh-CN"/>
                    </w:rPr>
                  </w:pPr>
                  <w:r>
                    <w:rPr>
                      <w:rFonts w:hint="eastAsia"/>
                      <w:color w:val="auto"/>
                      <w:lang w:val="en-US" w:eastAsia="zh-CN"/>
                    </w:rPr>
                    <w:t>3.0</w:t>
                  </w:r>
                </w:p>
              </w:tc>
            </w:tr>
          </w:tbl>
          <w:p w14:paraId="37C791F0">
            <w:pPr>
              <w:spacing w:line="360" w:lineRule="auto"/>
              <w:ind w:firstLine="480" w:firstLineChars="200"/>
              <w:rPr>
                <w:color w:val="auto"/>
                <w:sz w:val="24"/>
              </w:rPr>
            </w:pPr>
            <w:r>
              <w:rPr>
                <w:rFonts w:hint="eastAsia"/>
                <w:color w:val="auto"/>
                <w:sz w:val="24"/>
              </w:rPr>
              <w:t>由表4-10可知，项目废水经自建污水处理设施处理后，废水排放浓度能够满足新能源汽车科技城污水处理厂（一期）进水水质标准要求。因此，从接管水质上来说，本项目废水可接管至新能源汽车科技城污水处理厂（一期）。</w:t>
            </w:r>
          </w:p>
          <w:p w14:paraId="1973940A">
            <w:pPr>
              <w:spacing w:line="360" w:lineRule="auto"/>
              <w:ind w:firstLine="480" w:firstLineChars="200"/>
              <w:rPr>
                <w:color w:val="auto"/>
                <w:sz w:val="24"/>
              </w:rPr>
            </w:pPr>
            <w:r>
              <w:rPr>
                <w:rFonts w:hint="eastAsia"/>
                <w:color w:val="auto"/>
                <w:sz w:val="24"/>
              </w:rPr>
              <w:t>3）处理容量的可行性分析</w:t>
            </w:r>
          </w:p>
          <w:p w14:paraId="0F8318B6">
            <w:pPr>
              <w:spacing w:line="360" w:lineRule="auto"/>
              <w:ind w:firstLine="480" w:firstLineChars="200"/>
              <w:rPr>
                <w:color w:val="auto"/>
                <w:sz w:val="24"/>
              </w:rPr>
            </w:pPr>
            <w:r>
              <w:rPr>
                <w:rFonts w:hint="eastAsia"/>
                <w:color w:val="auto"/>
                <w:sz w:val="24"/>
              </w:rPr>
              <w:t>本项目实施后排放的废水总量为13.539m</w:t>
            </w:r>
            <w:r>
              <w:rPr>
                <w:rFonts w:hint="eastAsia"/>
                <w:color w:val="auto"/>
                <w:sz w:val="24"/>
                <w:vertAlign w:val="superscript"/>
              </w:rPr>
              <w:t>3</w:t>
            </w:r>
            <w:r>
              <w:rPr>
                <w:rFonts w:hint="eastAsia"/>
                <w:color w:val="auto"/>
                <w:sz w:val="24"/>
              </w:rPr>
              <w:t>/d，一期废水量为1640.34m</w:t>
            </w:r>
            <w:r>
              <w:rPr>
                <w:rFonts w:hint="eastAsia"/>
                <w:color w:val="auto"/>
                <w:sz w:val="24"/>
                <w:vertAlign w:val="superscript"/>
              </w:rPr>
              <w:t>3</w:t>
            </w:r>
            <w:r>
              <w:rPr>
                <w:rFonts w:hint="eastAsia"/>
                <w:color w:val="auto"/>
                <w:sz w:val="24"/>
              </w:rPr>
              <w:t>/d，新能源汽车科技城污水处理厂（一期）设计处理能力为15000m</w:t>
            </w:r>
            <w:r>
              <w:rPr>
                <w:rFonts w:hint="eastAsia"/>
                <w:color w:val="auto"/>
                <w:sz w:val="24"/>
                <w:vertAlign w:val="superscript"/>
              </w:rPr>
              <w:t>3</w:t>
            </w:r>
            <w:r>
              <w:rPr>
                <w:rFonts w:hint="eastAsia"/>
                <w:color w:val="auto"/>
                <w:sz w:val="24"/>
              </w:rPr>
              <w:t>/d，目前实际处理量为9000m</w:t>
            </w:r>
            <w:r>
              <w:rPr>
                <w:rFonts w:hint="eastAsia"/>
                <w:color w:val="auto"/>
                <w:sz w:val="24"/>
                <w:vertAlign w:val="superscript"/>
              </w:rPr>
              <w:t>3</w:t>
            </w:r>
            <w:r>
              <w:rPr>
                <w:rFonts w:hint="eastAsia"/>
                <w:color w:val="auto"/>
                <w:sz w:val="24"/>
              </w:rPr>
              <w:t>/d，还有剩余处理能力6000m</w:t>
            </w:r>
            <w:r>
              <w:rPr>
                <w:rFonts w:hint="eastAsia"/>
                <w:color w:val="auto"/>
                <w:sz w:val="24"/>
                <w:vertAlign w:val="superscript"/>
              </w:rPr>
              <w:t>3</w:t>
            </w:r>
            <w:r>
              <w:rPr>
                <w:rFonts w:hint="eastAsia"/>
                <w:color w:val="auto"/>
                <w:sz w:val="24"/>
              </w:rPr>
              <w:t>/d，因此从处理规模上来说，新能源汽车科技城污水处理厂（一期）可以满足本项目的废水处理需求。</w:t>
            </w:r>
          </w:p>
          <w:p w14:paraId="792C6C12">
            <w:pPr>
              <w:spacing w:line="360" w:lineRule="auto"/>
              <w:ind w:firstLine="480" w:firstLineChars="200"/>
              <w:rPr>
                <w:color w:val="auto"/>
                <w:sz w:val="24"/>
              </w:rPr>
            </w:pPr>
            <w:r>
              <w:rPr>
                <w:rFonts w:hint="eastAsia"/>
                <w:color w:val="auto"/>
                <w:sz w:val="24"/>
              </w:rPr>
              <w:t>综上所述，在新能源汽车科技城污水处理厂（一期）满足上述条件时，本项目废水接管排入新能源汽车科技城污水处理厂（一期）集中处理是可行的。</w:t>
            </w:r>
          </w:p>
          <w:p w14:paraId="321C768B">
            <w:pPr>
              <w:adjustRightInd w:val="0"/>
              <w:snapToGrid w:val="0"/>
              <w:spacing w:line="360" w:lineRule="auto"/>
              <w:ind w:firstLine="442" w:firstLineChars="200"/>
              <w:rPr>
                <w:rFonts w:ascii="宋体" w:hAnsi="宋体" w:cs="宋体"/>
                <w:b/>
                <w:color w:val="auto"/>
                <w:spacing w:val="-10"/>
                <w:sz w:val="24"/>
              </w:rPr>
            </w:pPr>
            <w:r>
              <w:rPr>
                <w:rFonts w:hint="eastAsia"/>
                <w:b/>
                <w:color w:val="auto"/>
                <w:spacing w:val="-10"/>
                <w:sz w:val="24"/>
              </w:rPr>
              <w:t>（6）</w:t>
            </w:r>
            <w:r>
              <w:rPr>
                <w:rFonts w:ascii="宋体" w:hAnsi="宋体" w:cs="宋体"/>
                <w:b/>
                <w:color w:val="auto"/>
                <w:spacing w:val="-10"/>
                <w:sz w:val="24"/>
              </w:rPr>
              <w:t>废</w:t>
            </w:r>
            <w:r>
              <w:rPr>
                <w:rFonts w:hint="eastAsia" w:ascii="宋体" w:hAnsi="宋体" w:cs="宋体"/>
                <w:b/>
                <w:color w:val="auto"/>
                <w:spacing w:val="-10"/>
                <w:sz w:val="24"/>
              </w:rPr>
              <w:t>水</w:t>
            </w:r>
            <w:r>
              <w:rPr>
                <w:rFonts w:ascii="宋体" w:hAnsi="宋体" w:cs="宋体"/>
                <w:b/>
                <w:color w:val="auto"/>
                <w:spacing w:val="-10"/>
                <w:sz w:val="24"/>
              </w:rPr>
              <w:t>监测计划</w:t>
            </w:r>
          </w:p>
          <w:p w14:paraId="3CD3D786">
            <w:pPr>
              <w:spacing w:line="360" w:lineRule="auto"/>
              <w:ind w:firstLine="480" w:firstLineChars="200"/>
              <w:rPr>
                <w:color w:val="auto"/>
                <w:sz w:val="24"/>
              </w:rPr>
            </w:pPr>
            <w:r>
              <w:rPr>
                <w:rFonts w:hint="eastAsia"/>
                <w:color w:val="auto"/>
                <w:sz w:val="24"/>
              </w:rPr>
              <w:t>项目依托一期DW003废水总排口，监测频次按照一期监测频次</w:t>
            </w:r>
            <w:r>
              <w:rPr>
                <w:rFonts w:hint="eastAsia"/>
                <w:color w:val="auto"/>
                <w:sz w:val="24"/>
                <w:lang w:eastAsia="zh-CN"/>
              </w:rPr>
              <w:t>执行</w:t>
            </w:r>
            <w:r>
              <w:rPr>
                <w:rFonts w:hint="eastAsia"/>
                <w:color w:val="auto"/>
                <w:sz w:val="24"/>
              </w:rPr>
              <w:t>。一期监测频次如下：</w:t>
            </w:r>
          </w:p>
          <w:p w14:paraId="02C532B3">
            <w:pPr>
              <w:pStyle w:val="6"/>
              <w:snapToGrid/>
              <w:spacing w:before="0" w:after="0" w:line="240" w:lineRule="auto"/>
              <w:ind w:right="0"/>
              <w:jc w:val="center"/>
              <w:rPr>
                <w:b/>
                <w:snapToGrid w:val="0"/>
                <w:color w:val="auto"/>
                <w:sz w:val="24"/>
              </w:rPr>
            </w:pPr>
            <w:r>
              <w:rPr>
                <w:rFonts w:hint="eastAsia"/>
                <w:b/>
                <w:snapToGrid w:val="0"/>
                <w:color w:val="auto"/>
                <w:sz w:val="24"/>
              </w:rPr>
              <w:t>表4-1</w:t>
            </w:r>
            <w:r>
              <w:rPr>
                <w:rFonts w:hint="eastAsia"/>
                <w:b/>
                <w:snapToGrid w:val="0"/>
                <w:color w:val="auto"/>
                <w:sz w:val="24"/>
                <w:lang w:val="en-US" w:eastAsia="zh-CN"/>
              </w:rPr>
              <w:t>5</w:t>
            </w:r>
            <w:r>
              <w:rPr>
                <w:rFonts w:hint="eastAsia"/>
                <w:b/>
                <w:snapToGrid w:val="0"/>
                <w:color w:val="auto"/>
                <w:sz w:val="24"/>
              </w:rPr>
              <w:t>一期废水排放口监测频次</w:t>
            </w:r>
          </w:p>
          <w:tbl>
            <w:tblPr>
              <w:tblStyle w:val="75"/>
              <w:tblpPr w:leftFromText="180" w:rightFromText="180" w:vertAnchor="text" w:horzAnchor="page" w:tblpXSpec="center" w:tblpY="6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2"/>
              <w:gridCol w:w="1770"/>
              <w:gridCol w:w="1254"/>
              <w:gridCol w:w="3968"/>
            </w:tblGrid>
            <w:tr w14:paraId="0710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79" w:type="pct"/>
                  <w:shd w:val="clear" w:color="auto" w:fill="auto"/>
                  <w:vAlign w:val="center"/>
                </w:tcPr>
                <w:p w14:paraId="244D616F">
                  <w:pPr>
                    <w:jc w:val="center"/>
                    <w:rPr>
                      <w:b/>
                      <w:bCs/>
                      <w:color w:val="auto"/>
                    </w:rPr>
                  </w:pPr>
                  <w:r>
                    <w:rPr>
                      <w:b/>
                      <w:bCs/>
                      <w:color w:val="auto"/>
                    </w:rPr>
                    <w:t>监测点位</w:t>
                  </w:r>
                </w:p>
              </w:tc>
              <w:tc>
                <w:tcPr>
                  <w:tcW w:w="1043" w:type="pct"/>
                  <w:shd w:val="clear" w:color="auto" w:fill="auto"/>
                  <w:vAlign w:val="center"/>
                </w:tcPr>
                <w:p w14:paraId="466E57E7">
                  <w:pPr>
                    <w:jc w:val="center"/>
                    <w:rPr>
                      <w:b/>
                      <w:bCs/>
                      <w:color w:val="auto"/>
                    </w:rPr>
                  </w:pPr>
                  <w:r>
                    <w:rPr>
                      <w:b/>
                      <w:bCs/>
                      <w:color w:val="auto"/>
                    </w:rPr>
                    <w:t>监测指标</w:t>
                  </w:r>
                </w:p>
              </w:tc>
              <w:tc>
                <w:tcPr>
                  <w:tcW w:w="739" w:type="pct"/>
                  <w:shd w:val="clear" w:color="auto" w:fill="auto"/>
                  <w:vAlign w:val="center"/>
                </w:tcPr>
                <w:p w14:paraId="5BA476F9">
                  <w:pPr>
                    <w:jc w:val="center"/>
                    <w:rPr>
                      <w:b/>
                      <w:bCs/>
                      <w:color w:val="auto"/>
                    </w:rPr>
                  </w:pPr>
                  <w:r>
                    <w:rPr>
                      <w:b/>
                      <w:bCs/>
                      <w:color w:val="auto"/>
                    </w:rPr>
                    <w:t>监测频次</w:t>
                  </w:r>
                </w:p>
              </w:tc>
              <w:tc>
                <w:tcPr>
                  <w:tcW w:w="2338" w:type="pct"/>
                  <w:shd w:val="clear" w:color="auto" w:fill="auto"/>
                  <w:vAlign w:val="center"/>
                </w:tcPr>
                <w:p w14:paraId="4393ECBC">
                  <w:pPr>
                    <w:jc w:val="center"/>
                    <w:rPr>
                      <w:b/>
                      <w:bCs/>
                      <w:color w:val="auto"/>
                    </w:rPr>
                  </w:pPr>
                  <w:r>
                    <w:rPr>
                      <w:b/>
                      <w:bCs/>
                      <w:color w:val="auto"/>
                    </w:rPr>
                    <w:t>执行排放标准</w:t>
                  </w:r>
                </w:p>
              </w:tc>
            </w:tr>
            <w:tr w14:paraId="3609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879" w:type="pct"/>
                  <w:vMerge w:val="restart"/>
                  <w:vAlign w:val="center"/>
                </w:tcPr>
                <w:p w14:paraId="5EAA68E5">
                  <w:pPr>
                    <w:jc w:val="center"/>
                    <w:rPr>
                      <w:color w:val="auto"/>
                    </w:rPr>
                  </w:pPr>
                  <w:r>
                    <w:rPr>
                      <w:color w:val="auto"/>
                    </w:rPr>
                    <w:t>废水总排口（DW003）</w:t>
                  </w:r>
                </w:p>
              </w:tc>
              <w:tc>
                <w:tcPr>
                  <w:tcW w:w="1043" w:type="pct"/>
                  <w:vAlign w:val="center"/>
                </w:tcPr>
                <w:p w14:paraId="3FB520C5">
                  <w:pPr>
                    <w:jc w:val="center"/>
                    <w:rPr>
                      <w:color w:val="auto"/>
                    </w:rPr>
                  </w:pPr>
                  <w:r>
                    <w:rPr>
                      <w:color w:val="auto"/>
                    </w:rPr>
                    <w:t>流量、pH、化学需氧量、氨氮</w:t>
                  </w:r>
                </w:p>
              </w:tc>
              <w:tc>
                <w:tcPr>
                  <w:tcW w:w="739" w:type="pct"/>
                  <w:vAlign w:val="center"/>
                </w:tcPr>
                <w:p w14:paraId="2C3653C2">
                  <w:pPr>
                    <w:jc w:val="center"/>
                    <w:rPr>
                      <w:color w:val="auto"/>
                    </w:rPr>
                  </w:pPr>
                  <w:r>
                    <w:rPr>
                      <w:color w:val="auto"/>
                    </w:rPr>
                    <w:t>自动监测</w:t>
                  </w:r>
                </w:p>
              </w:tc>
              <w:tc>
                <w:tcPr>
                  <w:tcW w:w="2338" w:type="pct"/>
                  <w:vMerge w:val="restart"/>
                  <w:vAlign w:val="center"/>
                </w:tcPr>
                <w:p w14:paraId="1C396446">
                  <w:pPr>
                    <w:jc w:val="center"/>
                    <w:rPr>
                      <w:color w:val="auto"/>
                    </w:rPr>
                  </w:pPr>
                  <w:r>
                    <w:rPr>
                      <w:color w:val="auto"/>
                    </w:rPr>
                    <w:t>新能源汽车科技城污水处理厂（一期）接</w:t>
                  </w:r>
                </w:p>
                <w:p w14:paraId="08255036">
                  <w:pPr>
                    <w:jc w:val="center"/>
                    <w:rPr>
                      <w:color w:val="auto"/>
                    </w:rPr>
                  </w:pPr>
                  <w:r>
                    <w:rPr>
                      <w:color w:val="auto"/>
                    </w:rPr>
                    <w:t>管标准和《电子工业水污染物排放标准》</w:t>
                  </w:r>
                </w:p>
                <w:p w14:paraId="00454705">
                  <w:pPr>
                    <w:jc w:val="center"/>
                    <w:rPr>
                      <w:color w:val="auto"/>
                    </w:rPr>
                  </w:pPr>
                  <w:r>
                    <w:rPr>
                      <w:color w:val="auto"/>
                    </w:rPr>
                    <w:t>（GB39731-2020）</w:t>
                  </w:r>
                </w:p>
              </w:tc>
            </w:tr>
            <w:tr w14:paraId="5DBC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879" w:type="pct"/>
                  <w:vMerge w:val="continue"/>
                  <w:vAlign w:val="center"/>
                </w:tcPr>
                <w:p w14:paraId="56D90943">
                  <w:pPr>
                    <w:jc w:val="center"/>
                    <w:rPr>
                      <w:color w:val="auto"/>
                    </w:rPr>
                  </w:pPr>
                </w:p>
              </w:tc>
              <w:tc>
                <w:tcPr>
                  <w:tcW w:w="1043" w:type="pct"/>
                  <w:vAlign w:val="center"/>
                </w:tcPr>
                <w:p w14:paraId="454A86A0">
                  <w:pPr>
                    <w:jc w:val="center"/>
                    <w:rPr>
                      <w:color w:val="auto"/>
                    </w:rPr>
                  </w:pPr>
                  <w:r>
                    <w:rPr>
                      <w:color w:val="auto"/>
                    </w:rPr>
                    <w:t>五日生化需氧量、总氮、总磷、悬浮物、石油类、阴离子表面活性</w:t>
                  </w:r>
                </w:p>
              </w:tc>
              <w:tc>
                <w:tcPr>
                  <w:tcW w:w="739" w:type="pct"/>
                  <w:vAlign w:val="center"/>
                </w:tcPr>
                <w:p w14:paraId="03ECE2AB">
                  <w:pPr>
                    <w:jc w:val="center"/>
                    <w:rPr>
                      <w:color w:val="auto"/>
                    </w:rPr>
                  </w:pPr>
                  <w:r>
                    <w:rPr>
                      <w:color w:val="auto"/>
                    </w:rPr>
                    <w:t>月</w:t>
                  </w:r>
                </w:p>
              </w:tc>
              <w:tc>
                <w:tcPr>
                  <w:tcW w:w="2338" w:type="pct"/>
                  <w:vMerge w:val="continue"/>
                  <w:vAlign w:val="center"/>
                </w:tcPr>
                <w:p w14:paraId="06718634">
                  <w:pPr>
                    <w:jc w:val="center"/>
                    <w:rPr>
                      <w:color w:val="auto"/>
                    </w:rPr>
                  </w:pPr>
                </w:p>
              </w:tc>
            </w:tr>
          </w:tbl>
          <w:p w14:paraId="12B13191">
            <w:pPr>
              <w:pStyle w:val="6"/>
              <w:topLinePunct/>
              <w:spacing w:before="0" w:after="0" w:line="360" w:lineRule="auto"/>
              <w:ind w:right="0" w:firstLine="482" w:firstLineChars="200"/>
              <w:rPr>
                <w:b/>
                <w:color w:val="auto"/>
                <w:sz w:val="24"/>
              </w:rPr>
            </w:pPr>
            <w:r>
              <w:rPr>
                <w:rFonts w:hint="eastAsia"/>
                <w:b/>
                <w:color w:val="auto"/>
                <w:sz w:val="24"/>
              </w:rPr>
              <w:t>3</w:t>
            </w:r>
            <w:r>
              <w:rPr>
                <w:b/>
                <w:color w:val="auto"/>
                <w:sz w:val="24"/>
              </w:rPr>
              <w:t>、声环境影响和防治措施</w:t>
            </w:r>
          </w:p>
          <w:p w14:paraId="13DE4BA7">
            <w:pPr>
              <w:spacing w:line="360" w:lineRule="auto"/>
              <w:ind w:firstLine="482" w:firstLineChars="200"/>
              <w:rPr>
                <w:b/>
                <w:color w:val="auto"/>
                <w:sz w:val="24"/>
              </w:rPr>
            </w:pPr>
            <w:r>
              <w:rPr>
                <w:rFonts w:hAnsi="宋体"/>
                <w:b/>
                <w:color w:val="auto"/>
                <w:sz w:val="24"/>
              </w:rPr>
              <w:t>（</w:t>
            </w:r>
            <w:r>
              <w:rPr>
                <w:b/>
                <w:color w:val="auto"/>
                <w:sz w:val="24"/>
              </w:rPr>
              <w:t>1</w:t>
            </w:r>
            <w:r>
              <w:rPr>
                <w:rFonts w:hAnsi="宋体"/>
                <w:b/>
                <w:color w:val="auto"/>
                <w:sz w:val="24"/>
              </w:rPr>
              <w:t>）源强</w:t>
            </w:r>
          </w:p>
          <w:p w14:paraId="31663021">
            <w:pPr>
              <w:spacing w:line="360" w:lineRule="auto"/>
              <w:ind w:firstLine="480" w:firstLineChars="200"/>
              <w:rPr>
                <w:color w:val="auto"/>
                <w:sz w:val="24"/>
              </w:rPr>
            </w:pPr>
            <w:r>
              <w:rPr>
                <w:color w:val="auto"/>
                <w:sz w:val="24"/>
              </w:rPr>
              <w:t>本项目噪声源主要为各类设备噪声，其噪声值约60~100dB（A）。主要噪声源强见下表</w:t>
            </w:r>
            <w:r>
              <w:rPr>
                <w:rFonts w:hint="eastAsia"/>
                <w:color w:val="auto"/>
                <w:sz w:val="24"/>
              </w:rPr>
              <w:t>。</w:t>
            </w:r>
          </w:p>
          <w:p w14:paraId="18293A36">
            <w:pPr>
              <w:pStyle w:val="88"/>
              <w:keepNext/>
              <w:spacing w:before="120"/>
              <w:ind w:firstLine="480"/>
              <w:rPr>
                <w:color w:val="auto"/>
                <w:sz w:val="24"/>
                <w:szCs w:val="24"/>
              </w:rPr>
            </w:pPr>
            <w:r>
              <w:rPr>
                <w:rFonts w:hint="eastAsia"/>
                <w:color w:val="auto"/>
                <w:sz w:val="24"/>
                <w:szCs w:val="24"/>
              </w:rPr>
              <w:t>表</w:t>
            </w:r>
            <w:r>
              <w:rPr>
                <w:color w:val="auto"/>
                <w:sz w:val="24"/>
                <w:szCs w:val="24"/>
              </w:rPr>
              <w:t>4</w:t>
            </w:r>
            <w:r>
              <w:rPr>
                <w:rFonts w:hint="eastAsia"/>
                <w:color w:val="auto"/>
                <w:sz w:val="24"/>
                <w:szCs w:val="24"/>
              </w:rPr>
              <w:t>-</w:t>
            </w:r>
            <w:r>
              <w:rPr>
                <w:color w:val="auto"/>
                <w:sz w:val="24"/>
                <w:szCs w:val="24"/>
              </w:rPr>
              <w:t>1</w:t>
            </w:r>
            <w:r>
              <w:rPr>
                <w:rFonts w:hint="eastAsia"/>
                <w:color w:val="auto"/>
                <w:sz w:val="24"/>
                <w:szCs w:val="24"/>
                <w:lang w:val="en-US" w:eastAsia="zh-CN"/>
              </w:rPr>
              <w:t>6</w:t>
            </w:r>
            <w:r>
              <w:rPr>
                <w:rFonts w:hint="eastAsia"/>
                <w:color w:val="auto"/>
                <w:sz w:val="24"/>
                <w:szCs w:val="24"/>
              </w:rPr>
              <w:t>工业企业噪声源强调查清单（室内声源）</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572"/>
              <w:gridCol w:w="866"/>
              <w:gridCol w:w="737"/>
              <w:gridCol w:w="575"/>
              <w:gridCol w:w="485"/>
              <w:gridCol w:w="531"/>
              <w:gridCol w:w="470"/>
              <w:gridCol w:w="725"/>
              <w:gridCol w:w="754"/>
              <w:gridCol w:w="397"/>
              <w:gridCol w:w="754"/>
              <w:gridCol w:w="757"/>
              <w:gridCol w:w="457"/>
            </w:tblGrid>
            <w:tr w14:paraId="75A3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vAlign w:val="center"/>
                </w:tcPr>
                <w:p w14:paraId="11729309">
                  <w:pPr>
                    <w:pStyle w:val="89"/>
                    <w:rPr>
                      <w:b/>
                      <w:bCs/>
                      <w:color w:val="auto"/>
                      <w:sz w:val="18"/>
                      <w:szCs w:val="18"/>
                    </w:rPr>
                  </w:pPr>
                  <w:r>
                    <w:rPr>
                      <w:rFonts w:hint="eastAsia"/>
                      <w:b/>
                      <w:bCs/>
                      <w:color w:val="auto"/>
                      <w:sz w:val="18"/>
                      <w:szCs w:val="18"/>
                    </w:rPr>
                    <w:t>序号</w:t>
                  </w:r>
                </w:p>
              </w:tc>
              <w:tc>
                <w:tcPr>
                  <w:tcW w:w="337" w:type="pct"/>
                  <w:vMerge w:val="restart"/>
                  <w:vAlign w:val="center"/>
                </w:tcPr>
                <w:p w14:paraId="2A0C9E6D">
                  <w:pPr>
                    <w:pStyle w:val="89"/>
                    <w:rPr>
                      <w:b/>
                      <w:bCs/>
                      <w:color w:val="auto"/>
                      <w:sz w:val="18"/>
                      <w:szCs w:val="18"/>
                    </w:rPr>
                  </w:pPr>
                  <w:r>
                    <w:rPr>
                      <w:rFonts w:hint="eastAsia"/>
                      <w:b/>
                      <w:bCs/>
                      <w:color w:val="auto"/>
                      <w:sz w:val="18"/>
                      <w:szCs w:val="18"/>
                    </w:rPr>
                    <w:t>建筑物名称</w:t>
                  </w:r>
                </w:p>
              </w:tc>
              <w:tc>
                <w:tcPr>
                  <w:tcW w:w="510" w:type="pct"/>
                  <w:vMerge w:val="restart"/>
                  <w:vAlign w:val="center"/>
                </w:tcPr>
                <w:p w14:paraId="0E8F6936">
                  <w:pPr>
                    <w:pStyle w:val="89"/>
                    <w:rPr>
                      <w:b/>
                      <w:bCs/>
                      <w:color w:val="auto"/>
                      <w:sz w:val="18"/>
                      <w:szCs w:val="18"/>
                    </w:rPr>
                  </w:pPr>
                  <w:r>
                    <w:rPr>
                      <w:rFonts w:hint="eastAsia"/>
                      <w:b/>
                      <w:bCs/>
                      <w:color w:val="auto"/>
                      <w:sz w:val="18"/>
                      <w:szCs w:val="18"/>
                    </w:rPr>
                    <w:t>声源名称</w:t>
                  </w:r>
                </w:p>
              </w:tc>
              <w:tc>
                <w:tcPr>
                  <w:tcW w:w="434" w:type="pct"/>
                  <w:vMerge w:val="restart"/>
                  <w:vAlign w:val="center"/>
                </w:tcPr>
                <w:p w14:paraId="234ED05F">
                  <w:pPr>
                    <w:pStyle w:val="89"/>
                    <w:rPr>
                      <w:b/>
                      <w:bCs/>
                      <w:color w:val="auto"/>
                      <w:sz w:val="18"/>
                      <w:szCs w:val="18"/>
                    </w:rPr>
                  </w:pPr>
                  <w:r>
                    <w:rPr>
                      <w:rFonts w:hint="eastAsia"/>
                      <w:b/>
                      <w:bCs/>
                      <w:color w:val="auto"/>
                      <w:sz w:val="18"/>
                      <w:szCs w:val="18"/>
                    </w:rPr>
                    <w:t>声源源强/d</w:t>
                  </w:r>
                  <w:r>
                    <w:rPr>
                      <w:b/>
                      <w:bCs/>
                      <w:color w:val="auto"/>
                      <w:sz w:val="18"/>
                      <w:szCs w:val="18"/>
                    </w:rPr>
                    <w:t>B(A)</w:t>
                  </w:r>
                </w:p>
              </w:tc>
              <w:tc>
                <w:tcPr>
                  <w:tcW w:w="339" w:type="pct"/>
                  <w:vMerge w:val="restart"/>
                  <w:vAlign w:val="center"/>
                </w:tcPr>
                <w:p w14:paraId="6D62E534">
                  <w:pPr>
                    <w:pStyle w:val="89"/>
                    <w:rPr>
                      <w:rFonts w:ascii="Times New Roman" w:hAnsi="Times New Roman" w:eastAsia="宋体" w:cs="Times New Roman"/>
                      <w:bCs/>
                      <w:color w:val="auto"/>
                      <w:kern w:val="2"/>
                      <w:position w:val="-10"/>
                      <w:sz w:val="18"/>
                      <w:szCs w:val="18"/>
                      <w:lang w:val="en-US" w:eastAsia="zh-CN" w:bidi="ar-SA"/>
                    </w:rPr>
                  </w:pPr>
                  <w:r>
                    <w:rPr>
                      <w:rFonts w:hint="eastAsia"/>
                      <w:b/>
                      <w:bCs/>
                      <w:color w:val="auto"/>
                      <w:sz w:val="18"/>
                      <w:szCs w:val="18"/>
                    </w:rPr>
                    <w:t>声源控制措施</w:t>
                  </w:r>
                </w:p>
                <w:p w14:paraId="1BAAB617">
                  <w:pPr>
                    <w:pStyle w:val="89"/>
                    <w:rPr>
                      <w:b/>
                      <w:bCs/>
                      <w:color w:val="auto"/>
                      <w:sz w:val="18"/>
                      <w:szCs w:val="18"/>
                    </w:rPr>
                  </w:pPr>
                </w:p>
              </w:tc>
              <w:tc>
                <w:tcPr>
                  <w:tcW w:w="876" w:type="pct"/>
                  <w:gridSpan w:val="3"/>
                  <w:vAlign w:val="center"/>
                </w:tcPr>
                <w:p w14:paraId="6C6677D4">
                  <w:pPr>
                    <w:pStyle w:val="89"/>
                    <w:rPr>
                      <w:b/>
                      <w:bCs/>
                      <w:color w:val="auto"/>
                      <w:sz w:val="18"/>
                      <w:szCs w:val="18"/>
                    </w:rPr>
                  </w:pPr>
                  <w:r>
                    <w:rPr>
                      <w:rFonts w:hint="eastAsia"/>
                      <w:b/>
                      <w:bCs/>
                      <w:color w:val="auto"/>
                      <w:sz w:val="18"/>
                      <w:szCs w:val="18"/>
                    </w:rPr>
                    <w:t>空间相对位置/</w:t>
                  </w:r>
                  <w:r>
                    <w:rPr>
                      <w:b/>
                      <w:bCs/>
                      <w:color w:val="auto"/>
                      <w:sz w:val="18"/>
                      <w:szCs w:val="18"/>
                    </w:rPr>
                    <w:t>m</w:t>
                  </w:r>
                </w:p>
              </w:tc>
              <w:tc>
                <w:tcPr>
                  <w:tcW w:w="427" w:type="pct"/>
                  <w:vMerge w:val="restart"/>
                  <w:vAlign w:val="center"/>
                </w:tcPr>
                <w:p w14:paraId="64090F20">
                  <w:pPr>
                    <w:pStyle w:val="89"/>
                    <w:rPr>
                      <w:b/>
                      <w:bCs/>
                      <w:color w:val="auto"/>
                      <w:sz w:val="18"/>
                      <w:szCs w:val="18"/>
                    </w:rPr>
                  </w:pPr>
                  <w:r>
                    <w:rPr>
                      <w:rFonts w:hint="eastAsia"/>
                      <w:b/>
                      <w:bCs/>
                      <w:color w:val="auto"/>
                      <w:sz w:val="18"/>
                      <w:szCs w:val="18"/>
                    </w:rPr>
                    <w:t>距室内边界距离/</w:t>
                  </w:r>
                  <w:r>
                    <w:rPr>
                      <w:b/>
                      <w:bCs/>
                      <w:color w:val="auto"/>
                      <w:sz w:val="18"/>
                      <w:szCs w:val="18"/>
                    </w:rPr>
                    <w:t>m</w:t>
                  </w:r>
                </w:p>
              </w:tc>
              <w:tc>
                <w:tcPr>
                  <w:tcW w:w="444" w:type="pct"/>
                  <w:vMerge w:val="restart"/>
                  <w:vAlign w:val="center"/>
                </w:tcPr>
                <w:p w14:paraId="55F97578">
                  <w:pPr>
                    <w:pStyle w:val="89"/>
                    <w:rPr>
                      <w:b/>
                      <w:bCs/>
                      <w:color w:val="auto"/>
                      <w:sz w:val="18"/>
                      <w:szCs w:val="18"/>
                    </w:rPr>
                  </w:pPr>
                  <w:r>
                    <w:rPr>
                      <w:rFonts w:hint="eastAsia"/>
                      <w:b/>
                      <w:bCs/>
                      <w:color w:val="auto"/>
                      <w:sz w:val="18"/>
                      <w:szCs w:val="18"/>
                    </w:rPr>
                    <w:t>室内边界声级/d</w:t>
                  </w:r>
                  <w:r>
                    <w:rPr>
                      <w:b/>
                      <w:bCs/>
                      <w:color w:val="auto"/>
                      <w:sz w:val="18"/>
                      <w:szCs w:val="18"/>
                    </w:rPr>
                    <w:t>B(A)</w:t>
                  </w:r>
                </w:p>
              </w:tc>
              <w:tc>
                <w:tcPr>
                  <w:tcW w:w="234" w:type="pct"/>
                  <w:vMerge w:val="restart"/>
                  <w:vAlign w:val="center"/>
                </w:tcPr>
                <w:p w14:paraId="43B9C0B5">
                  <w:pPr>
                    <w:pStyle w:val="89"/>
                    <w:rPr>
                      <w:rFonts w:ascii="Times New Roman" w:hAnsi="Times New Roman" w:eastAsia="宋体" w:cs="Times New Roman"/>
                      <w:bCs/>
                      <w:color w:val="auto"/>
                      <w:kern w:val="2"/>
                      <w:position w:val="-10"/>
                      <w:sz w:val="18"/>
                      <w:szCs w:val="18"/>
                      <w:lang w:val="en-US" w:eastAsia="zh-CN" w:bidi="ar-SA"/>
                    </w:rPr>
                  </w:pPr>
                  <w:r>
                    <w:rPr>
                      <w:rFonts w:hint="eastAsia"/>
                      <w:b/>
                      <w:bCs/>
                      <w:color w:val="auto"/>
                      <w:sz w:val="18"/>
                      <w:szCs w:val="18"/>
                    </w:rPr>
                    <w:t>运行时段</w:t>
                  </w:r>
                </w:p>
                <w:p w14:paraId="7796B967">
                  <w:pPr>
                    <w:pStyle w:val="89"/>
                    <w:rPr>
                      <w:b/>
                      <w:bCs/>
                      <w:color w:val="auto"/>
                      <w:sz w:val="18"/>
                      <w:szCs w:val="18"/>
                    </w:rPr>
                  </w:pPr>
                </w:p>
              </w:tc>
              <w:tc>
                <w:tcPr>
                  <w:tcW w:w="444" w:type="pct"/>
                  <w:vMerge w:val="restart"/>
                  <w:vAlign w:val="center"/>
                </w:tcPr>
                <w:p w14:paraId="5B738D7A">
                  <w:pPr>
                    <w:pStyle w:val="89"/>
                    <w:rPr>
                      <w:b/>
                      <w:bCs/>
                      <w:color w:val="auto"/>
                      <w:sz w:val="18"/>
                      <w:szCs w:val="18"/>
                    </w:rPr>
                  </w:pPr>
                  <w:r>
                    <w:rPr>
                      <w:rFonts w:hint="eastAsia"/>
                      <w:b/>
                      <w:bCs/>
                      <w:color w:val="auto"/>
                      <w:sz w:val="18"/>
                      <w:szCs w:val="18"/>
                    </w:rPr>
                    <w:t>建筑插入损失/d</w:t>
                  </w:r>
                  <w:r>
                    <w:rPr>
                      <w:b/>
                      <w:bCs/>
                      <w:color w:val="auto"/>
                      <w:sz w:val="18"/>
                      <w:szCs w:val="18"/>
                    </w:rPr>
                    <w:t>B(A)</w:t>
                  </w:r>
                </w:p>
              </w:tc>
              <w:tc>
                <w:tcPr>
                  <w:tcW w:w="716" w:type="pct"/>
                  <w:gridSpan w:val="2"/>
                  <w:vAlign w:val="center"/>
                </w:tcPr>
                <w:p w14:paraId="60C93573">
                  <w:pPr>
                    <w:pStyle w:val="89"/>
                    <w:rPr>
                      <w:b/>
                      <w:bCs/>
                      <w:color w:val="auto"/>
                      <w:sz w:val="18"/>
                      <w:szCs w:val="18"/>
                    </w:rPr>
                  </w:pPr>
                  <w:r>
                    <w:rPr>
                      <w:rFonts w:hint="eastAsia"/>
                      <w:b/>
                      <w:bCs/>
                      <w:color w:val="auto"/>
                      <w:sz w:val="18"/>
                      <w:szCs w:val="18"/>
                    </w:rPr>
                    <w:t>建筑物外噪声</w:t>
                  </w:r>
                </w:p>
              </w:tc>
            </w:tr>
            <w:tr w14:paraId="3A44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vAlign w:val="center"/>
                </w:tcPr>
                <w:p w14:paraId="01E279A5">
                  <w:pPr>
                    <w:pStyle w:val="89"/>
                    <w:rPr>
                      <w:b/>
                      <w:bCs/>
                      <w:color w:val="auto"/>
                      <w:sz w:val="18"/>
                      <w:szCs w:val="18"/>
                    </w:rPr>
                  </w:pPr>
                </w:p>
              </w:tc>
              <w:tc>
                <w:tcPr>
                  <w:tcW w:w="337" w:type="pct"/>
                  <w:vMerge w:val="continue"/>
                  <w:vAlign w:val="center"/>
                </w:tcPr>
                <w:p w14:paraId="38DC01D5">
                  <w:pPr>
                    <w:pStyle w:val="89"/>
                    <w:rPr>
                      <w:b/>
                      <w:bCs/>
                      <w:color w:val="auto"/>
                      <w:sz w:val="18"/>
                      <w:szCs w:val="18"/>
                    </w:rPr>
                  </w:pPr>
                </w:p>
              </w:tc>
              <w:tc>
                <w:tcPr>
                  <w:tcW w:w="510" w:type="pct"/>
                  <w:vMerge w:val="continue"/>
                  <w:vAlign w:val="center"/>
                </w:tcPr>
                <w:p w14:paraId="7D68CC6B">
                  <w:pPr>
                    <w:pStyle w:val="89"/>
                    <w:rPr>
                      <w:b/>
                      <w:bCs/>
                      <w:color w:val="auto"/>
                      <w:sz w:val="18"/>
                      <w:szCs w:val="18"/>
                    </w:rPr>
                  </w:pPr>
                </w:p>
              </w:tc>
              <w:tc>
                <w:tcPr>
                  <w:tcW w:w="434" w:type="pct"/>
                  <w:vMerge w:val="continue"/>
                  <w:vAlign w:val="center"/>
                </w:tcPr>
                <w:p w14:paraId="7517E899">
                  <w:pPr>
                    <w:pStyle w:val="89"/>
                    <w:rPr>
                      <w:b/>
                      <w:bCs/>
                      <w:color w:val="auto"/>
                      <w:sz w:val="18"/>
                      <w:szCs w:val="18"/>
                    </w:rPr>
                  </w:pPr>
                </w:p>
              </w:tc>
              <w:tc>
                <w:tcPr>
                  <w:tcW w:w="339" w:type="pct"/>
                  <w:vMerge w:val="continue"/>
                  <w:vAlign w:val="center"/>
                </w:tcPr>
                <w:p w14:paraId="3BC14385">
                  <w:pPr>
                    <w:pStyle w:val="89"/>
                    <w:rPr>
                      <w:b/>
                      <w:bCs/>
                      <w:color w:val="auto"/>
                      <w:sz w:val="18"/>
                      <w:szCs w:val="18"/>
                    </w:rPr>
                  </w:pPr>
                </w:p>
              </w:tc>
              <w:tc>
                <w:tcPr>
                  <w:tcW w:w="286" w:type="pct"/>
                  <w:vAlign w:val="center"/>
                </w:tcPr>
                <w:p w14:paraId="04447B13">
                  <w:pPr>
                    <w:pStyle w:val="89"/>
                    <w:rPr>
                      <w:b/>
                      <w:bCs/>
                      <w:color w:val="auto"/>
                      <w:sz w:val="18"/>
                      <w:szCs w:val="18"/>
                    </w:rPr>
                  </w:pPr>
                  <w:r>
                    <w:rPr>
                      <w:rFonts w:hint="eastAsia"/>
                      <w:b/>
                      <w:bCs/>
                      <w:color w:val="auto"/>
                      <w:sz w:val="18"/>
                      <w:szCs w:val="18"/>
                    </w:rPr>
                    <w:t>X</w:t>
                  </w:r>
                </w:p>
              </w:tc>
              <w:tc>
                <w:tcPr>
                  <w:tcW w:w="313" w:type="pct"/>
                  <w:vAlign w:val="center"/>
                </w:tcPr>
                <w:p w14:paraId="5CECC507">
                  <w:pPr>
                    <w:pStyle w:val="89"/>
                    <w:rPr>
                      <w:b/>
                      <w:bCs/>
                      <w:color w:val="auto"/>
                      <w:sz w:val="18"/>
                      <w:szCs w:val="18"/>
                    </w:rPr>
                  </w:pPr>
                  <w:r>
                    <w:rPr>
                      <w:rFonts w:hint="eastAsia"/>
                      <w:b/>
                      <w:bCs/>
                      <w:color w:val="auto"/>
                      <w:sz w:val="18"/>
                      <w:szCs w:val="18"/>
                    </w:rPr>
                    <w:t>Y</w:t>
                  </w:r>
                </w:p>
              </w:tc>
              <w:tc>
                <w:tcPr>
                  <w:tcW w:w="277" w:type="pct"/>
                  <w:vAlign w:val="center"/>
                </w:tcPr>
                <w:p w14:paraId="6F0F11BE">
                  <w:pPr>
                    <w:pStyle w:val="89"/>
                    <w:rPr>
                      <w:b/>
                      <w:bCs/>
                      <w:color w:val="auto"/>
                      <w:sz w:val="18"/>
                      <w:szCs w:val="18"/>
                    </w:rPr>
                  </w:pPr>
                  <w:r>
                    <w:rPr>
                      <w:rFonts w:hint="eastAsia"/>
                      <w:b/>
                      <w:bCs/>
                      <w:color w:val="auto"/>
                      <w:sz w:val="18"/>
                      <w:szCs w:val="18"/>
                    </w:rPr>
                    <w:t>Z</w:t>
                  </w:r>
                </w:p>
              </w:tc>
              <w:tc>
                <w:tcPr>
                  <w:tcW w:w="427" w:type="pct"/>
                  <w:vMerge w:val="continue"/>
                  <w:vAlign w:val="center"/>
                </w:tcPr>
                <w:p w14:paraId="2C863060">
                  <w:pPr>
                    <w:pStyle w:val="89"/>
                    <w:rPr>
                      <w:b/>
                      <w:bCs/>
                      <w:color w:val="auto"/>
                      <w:sz w:val="18"/>
                      <w:szCs w:val="18"/>
                    </w:rPr>
                  </w:pPr>
                </w:p>
              </w:tc>
              <w:tc>
                <w:tcPr>
                  <w:tcW w:w="444" w:type="pct"/>
                  <w:vMerge w:val="continue"/>
                  <w:vAlign w:val="center"/>
                </w:tcPr>
                <w:p w14:paraId="2E5B97D4">
                  <w:pPr>
                    <w:pStyle w:val="89"/>
                    <w:rPr>
                      <w:b/>
                      <w:bCs/>
                      <w:color w:val="auto"/>
                      <w:sz w:val="18"/>
                      <w:szCs w:val="18"/>
                    </w:rPr>
                  </w:pPr>
                </w:p>
              </w:tc>
              <w:tc>
                <w:tcPr>
                  <w:tcW w:w="234" w:type="pct"/>
                  <w:vMerge w:val="continue"/>
                  <w:vAlign w:val="center"/>
                </w:tcPr>
                <w:p w14:paraId="7CECA38F">
                  <w:pPr>
                    <w:pStyle w:val="89"/>
                    <w:rPr>
                      <w:b/>
                      <w:bCs/>
                      <w:color w:val="auto"/>
                      <w:sz w:val="18"/>
                      <w:szCs w:val="18"/>
                    </w:rPr>
                  </w:pPr>
                </w:p>
              </w:tc>
              <w:tc>
                <w:tcPr>
                  <w:tcW w:w="444" w:type="pct"/>
                  <w:vMerge w:val="continue"/>
                  <w:vAlign w:val="center"/>
                </w:tcPr>
                <w:p w14:paraId="0D443B06">
                  <w:pPr>
                    <w:pStyle w:val="89"/>
                    <w:rPr>
                      <w:b/>
                      <w:bCs/>
                      <w:color w:val="auto"/>
                      <w:sz w:val="18"/>
                      <w:szCs w:val="18"/>
                    </w:rPr>
                  </w:pPr>
                </w:p>
              </w:tc>
              <w:tc>
                <w:tcPr>
                  <w:tcW w:w="446" w:type="pct"/>
                  <w:vAlign w:val="center"/>
                </w:tcPr>
                <w:p w14:paraId="59BA119D">
                  <w:pPr>
                    <w:pStyle w:val="89"/>
                    <w:rPr>
                      <w:b/>
                      <w:bCs/>
                      <w:color w:val="auto"/>
                      <w:sz w:val="18"/>
                      <w:szCs w:val="18"/>
                    </w:rPr>
                  </w:pPr>
                  <w:r>
                    <w:rPr>
                      <w:rFonts w:hint="eastAsia"/>
                      <w:b/>
                      <w:bCs/>
                      <w:color w:val="auto"/>
                      <w:sz w:val="18"/>
                      <w:szCs w:val="18"/>
                    </w:rPr>
                    <w:t>声压级/d</w:t>
                  </w:r>
                  <w:r>
                    <w:rPr>
                      <w:b/>
                      <w:bCs/>
                      <w:color w:val="auto"/>
                      <w:sz w:val="18"/>
                      <w:szCs w:val="18"/>
                    </w:rPr>
                    <w:t>B(A)</w:t>
                  </w:r>
                </w:p>
              </w:tc>
              <w:tc>
                <w:tcPr>
                  <w:tcW w:w="269" w:type="pct"/>
                  <w:vAlign w:val="center"/>
                </w:tcPr>
                <w:p w14:paraId="6B3D9F1A">
                  <w:pPr>
                    <w:pStyle w:val="89"/>
                    <w:rPr>
                      <w:b/>
                      <w:bCs/>
                      <w:color w:val="auto"/>
                      <w:sz w:val="18"/>
                      <w:szCs w:val="18"/>
                    </w:rPr>
                  </w:pPr>
                  <w:r>
                    <w:rPr>
                      <w:rFonts w:hint="eastAsia"/>
                      <w:b/>
                      <w:bCs/>
                      <w:color w:val="auto"/>
                      <w:sz w:val="18"/>
                      <w:szCs w:val="18"/>
                    </w:rPr>
                    <w:t>建筑物外距离</w:t>
                  </w:r>
                </w:p>
              </w:tc>
            </w:tr>
            <w:tr w14:paraId="27E2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A880C29">
                  <w:pPr>
                    <w:pStyle w:val="89"/>
                    <w:rPr>
                      <w:color w:val="auto"/>
                      <w:sz w:val="18"/>
                      <w:szCs w:val="18"/>
                    </w:rPr>
                  </w:pPr>
                  <w:r>
                    <w:rPr>
                      <w:rFonts w:hint="eastAsia"/>
                      <w:color w:val="auto"/>
                      <w:sz w:val="18"/>
                      <w:szCs w:val="18"/>
                    </w:rPr>
                    <w:t>1</w:t>
                  </w:r>
                </w:p>
              </w:tc>
              <w:tc>
                <w:tcPr>
                  <w:tcW w:w="337" w:type="pct"/>
                  <w:vMerge w:val="restart"/>
                  <w:vAlign w:val="center"/>
                </w:tcPr>
                <w:p w14:paraId="764A1692">
                  <w:pPr>
                    <w:pStyle w:val="89"/>
                    <w:rPr>
                      <w:color w:val="auto"/>
                      <w:sz w:val="18"/>
                      <w:szCs w:val="18"/>
                    </w:rPr>
                  </w:pPr>
                  <w:r>
                    <w:rPr>
                      <w:rFonts w:hint="eastAsia"/>
                      <w:color w:val="auto"/>
                      <w:sz w:val="18"/>
                      <w:szCs w:val="18"/>
                    </w:rPr>
                    <w:t>7#生产车间</w:t>
                  </w:r>
                </w:p>
              </w:tc>
              <w:tc>
                <w:tcPr>
                  <w:tcW w:w="510" w:type="pct"/>
                  <w:shd w:val="clear" w:color="auto" w:fill="auto"/>
                  <w:vAlign w:val="center"/>
                </w:tcPr>
                <w:p w14:paraId="41D565D6">
                  <w:pPr>
                    <w:widowControl/>
                    <w:jc w:val="center"/>
                    <w:textAlignment w:val="center"/>
                    <w:rPr>
                      <w:color w:val="auto"/>
                      <w:sz w:val="18"/>
                      <w:szCs w:val="18"/>
                    </w:rPr>
                  </w:pPr>
                  <w:r>
                    <w:rPr>
                      <w:color w:val="auto"/>
                      <w:kern w:val="0"/>
                      <w:sz w:val="18"/>
                      <w:szCs w:val="18"/>
                      <w:lang w:bidi="ar"/>
                    </w:rPr>
                    <w:t>双端面磨粗磨</w:t>
                  </w:r>
                </w:p>
              </w:tc>
              <w:tc>
                <w:tcPr>
                  <w:tcW w:w="434" w:type="pct"/>
                  <w:vAlign w:val="center"/>
                </w:tcPr>
                <w:p w14:paraId="32284584">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5</w:t>
                  </w:r>
                </w:p>
              </w:tc>
              <w:tc>
                <w:tcPr>
                  <w:tcW w:w="339" w:type="pct"/>
                  <w:vMerge w:val="restart"/>
                  <w:vAlign w:val="center"/>
                </w:tcPr>
                <w:p w14:paraId="47D19A62">
                  <w:pPr>
                    <w:pStyle w:val="89"/>
                    <w:rPr>
                      <w:bCs/>
                      <w:color w:val="auto"/>
                      <w:sz w:val="18"/>
                      <w:szCs w:val="18"/>
                    </w:rPr>
                  </w:pPr>
                  <w:r>
                    <w:rPr>
                      <w:rFonts w:hint="eastAsia"/>
                      <w:bCs/>
                      <w:color w:val="auto"/>
                      <w:sz w:val="18"/>
                      <w:szCs w:val="18"/>
                    </w:rPr>
                    <w:t>低噪</w:t>
                  </w:r>
                </w:p>
                <w:p w14:paraId="016DEB45">
                  <w:pPr>
                    <w:pStyle w:val="89"/>
                    <w:rPr>
                      <w:bCs/>
                      <w:color w:val="auto"/>
                      <w:sz w:val="18"/>
                      <w:szCs w:val="18"/>
                    </w:rPr>
                  </w:pPr>
                  <w:r>
                    <w:rPr>
                      <w:rFonts w:hint="eastAsia"/>
                      <w:bCs/>
                      <w:color w:val="auto"/>
                      <w:sz w:val="18"/>
                      <w:szCs w:val="18"/>
                    </w:rPr>
                    <w:t>声设</w:t>
                  </w:r>
                </w:p>
                <w:p w14:paraId="5E02F79F">
                  <w:pPr>
                    <w:pStyle w:val="89"/>
                    <w:rPr>
                      <w:bCs/>
                      <w:color w:val="auto"/>
                      <w:sz w:val="18"/>
                      <w:szCs w:val="18"/>
                    </w:rPr>
                  </w:pPr>
                  <w:r>
                    <w:rPr>
                      <w:rFonts w:hint="eastAsia"/>
                      <w:bCs/>
                      <w:color w:val="auto"/>
                      <w:sz w:val="18"/>
                      <w:szCs w:val="18"/>
                    </w:rPr>
                    <w:t>备，</w:t>
                  </w:r>
                </w:p>
                <w:p w14:paraId="7ADC1899">
                  <w:pPr>
                    <w:pStyle w:val="89"/>
                    <w:rPr>
                      <w:bCs/>
                      <w:color w:val="auto"/>
                      <w:sz w:val="18"/>
                      <w:szCs w:val="18"/>
                    </w:rPr>
                  </w:pPr>
                  <w:r>
                    <w:rPr>
                      <w:rFonts w:hint="eastAsia"/>
                      <w:bCs/>
                      <w:color w:val="auto"/>
                      <w:sz w:val="18"/>
                      <w:szCs w:val="18"/>
                    </w:rPr>
                    <w:t>减震</w:t>
                  </w:r>
                </w:p>
                <w:p w14:paraId="3C184760">
                  <w:pPr>
                    <w:pStyle w:val="89"/>
                    <w:rPr>
                      <w:bCs/>
                      <w:color w:val="auto"/>
                      <w:sz w:val="18"/>
                      <w:szCs w:val="18"/>
                    </w:rPr>
                  </w:pPr>
                  <w:r>
                    <w:rPr>
                      <w:rFonts w:hint="eastAsia"/>
                      <w:bCs/>
                      <w:color w:val="auto"/>
                      <w:sz w:val="18"/>
                      <w:szCs w:val="18"/>
                    </w:rPr>
                    <w:t>垫，</w:t>
                  </w:r>
                </w:p>
                <w:p w14:paraId="04F4F5B8">
                  <w:pPr>
                    <w:pStyle w:val="89"/>
                    <w:rPr>
                      <w:bCs/>
                      <w:color w:val="auto"/>
                      <w:sz w:val="18"/>
                      <w:szCs w:val="18"/>
                    </w:rPr>
                  </w:pPr>
                  <w:r>
                    <w:rPr>
                      <w:rFonts w:hint="eastAsia"/>
                      <w:bCs/>
                      <w:color w:val="auto"/>
                      <w:sz w:val="18"/>
                      <w:szCs w:val="18"/>
                    </w:rPr>
                    <w:t>建筑</w:t>
                  </w:r>
                </w:p>
                <w:p w14:paraId="18C69E15">
                  <w:pPr>
                    <w:pStyle w:val="89"/>
                    <w:rPr>
                      <w:bCs/>
                      <w:color w:val="auto"/>
                      <w:sz w:val="18"/>
                      <w:szCs w:val="18"/>
                    </w:rPr>
                  </w:pPr>
                  <w:r>
                    <w:rPr>
                      <w:rFonts w:hint="eastAsia"/>
                      <w:bCs/>
                      <w:color w:val="auto"/>
                      <w:sz w:val="18"/>
                      <w:szCs w:val="18"/>
                    </w:rPr>
                    <w:t>物隔</w:t>
                  </w:r>
                </w:p>
                <w:p w14:paraId="1BAEF563">
                  <w:pPr>
                    <w:pStyle w:val="89"/>
                    <w:rPr>
                      <w:bCs/>
                      <w:color w:val="auto"/>
                      <w:sz w:val="18"/>
                      <w:szCs w:val="18"/>
                    </w:rPr>
                  </w:pPr>
                  <w:r>
                    <w:rPr>
                      <w:rFonts w:hint="eastAsia"/>
                      <w:bCs/>
                      <w:color w:val="auto"/>
                      <w:sz w:val="18"/>
                      <w:szCs w:val="18"/>
                    </w:rPr>
                    <w:t>声等</w:t>
                  </w:r>
                </w:p>
              </w:tc>
              <w:tc>
                <w:tcPr>
                  <w:tcW w:w="286" w:type="pct"/>
                  <w:vAlign w:val="center"/>
                </w:tcPr>
                <w:p w14:paraId="0917CAAB">
                  <w:pPr>
                    <w:jc w:val="center"/>
                    <w:rPr>
                      <w:color w:val="auto"/>
                      <w:sz w:val="18"/>
                      <w:szCs w:val="18"/>
                    </w:rPr>
                  </w:pPr>
                  <w:r>
                    <w:rPr>
                      <w:rFonts w:hint="eastAsia"/>
                      <w:color w:val="auto"/>
                      <w:sz w:val="18"/>
                      <w:szCs w:val="18"/>
                    </w:rPr>
                    <w:t>20</w:t>
                  </w:r>
                </w:p>
              </w:tc>
              <w:tc>
                <w:tcPr>
                  <w:tcW w:w="313" w:type="pct"/>
                  <w:vAlign w:val="center"/>
                </w:tcPr>
                <w:p w14:paraId="2BDF407D">
                  <w:pPr>
                    <w:jc w:val="center"/>
                    <w:rPr>
                      <w:color w:val="auto"/>
                      <w:sz w:val="18"/>
                      <w:szCs w:val="18"/>
                    </w:rPr>
                  </w:pPr>
                  <w:r>
                    <w:rPr>
                      <w:rFonts w:hint="eastAsia"/>
                      <w:color w:val="auto"/>
                      <w:sz w:val="18"/>
                      <w:szCs w:val="18"/>
                    </w:rPr>
                    <w:t>39</w:t>
                  </w:r>
                </w:p>
              </w:tc>
              <w:tc>
                <w:tcPr>
                  <w:tcW w:w="277" w:type="pct"/>
                  <w:vAlign w:val="center"/>
                </w:tcPr>
                <w:p w14:paraId="0B43CD05">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vAlign w:val="center"/>
                </w:tcPr>
                <w:p w14:paraId="60D13DED">
                  <w:pPr>
                    <w:pStyle w:val="89"/>
                    <w:rPr>
                      <w:bCs/>
                      <w:color w:val="auto"/>
                      <w:sz w:val="18"/>
                      <w:szCs w:val="18"/>
                    </w:rPr>
                  </w:pPr>
                  <w:r>
                    <w:rPr>
                      <w:rFonts w:hint="eastAsia"/>
                      <w:bCs/>
                      <w:color w:val="auto"/>
                      <w:sz w:val="18"/>
                      <w:szCs w:val="18"/>
                    </w:rPr>
                    <w:t>2.6</w:t>
                  </w:r>
                </w:p>
              </w:tc>
              <w:tc>
                <w:tcPr>
                  <w:tcW w:w="444" w:type="pct"/>
                  <w:vAlign w:val="center"/>
                </w:tcPr>
                <w:p w14:paraId="75F97B2C">
                  <w:pPr>
                    <w:pStyle w:val="89"/>
                    <w:rPr>
                      <w:bCs/>
                      <w:color w:val="auto"/>
                      <w:sz w:val="18"/>
                      <w:szCs w:val="18"/>
                    </w:rPr>
                  </w:pPr>
                  <w:r>
                    <w:rPr>
                      <w:rFonts w:hint="eastAsia"/>
                      <w:bCs/>
                      <w:color w:val="auto"/>
                      <w:sz w:val="18"/>
                      <w:szCs w:val="18"/>
                    </w:rPr>
                    <w:t>75</w:t>
                  </w:r>
                </w:p>
              </w:tc>
              <w:tc>
                <w:tcPr>
                  <w:tcW w:w="234" w:type="pct"/>
                  <w:vMerge w:val="restart"/>
                  <w:vAlign w:val="center"/>
                </w:tcPr>
                <w:p w14:paraId="72214ACC">
                  <w:pPr>
                    <w:pStyle w:val="89"/>
                    <w:rPr>
                      <w:bCs/>
                      <w:color w:val="auto"/>
                      <w:sz w:val="18"/>
                      <w:szCs w:val="18"/>
                    </w:rPr>
                  </w:pPr>
                  <w:r>
                    <w:rPr>
                      <w:rFonts w:hint="eastAsia"/>
                      <w:bCs/>
                      <w:color w:val="auto"/>
                      <w:sz w:val="18"/>
                      <w:szCs w:val="18"/>
                    </w:rPr>
                    <w:t>营运期</w:t>
                  </w:r>
                </w:p>
              </w:tc>
              <w:tc>
                <w:tcPr>
                  <w:tcW w:w="444" w:type="pct"/>
                  <w:vAlign w:val="center"/>
                </w:tcPr>
                <w:p w14:paraId="349ACD03">
                  <w:pPr>
                    <w:pStyle w:val="89"/>
                    <w:rPr>
                      <w:bCs/>
                      <w:color w:val="auto"/>
                      <w:sz w:val="18"/>
                      <w:szCs w:val="18"/>
                    </w:rPr>
                  </w:pPr>
                  <w:r>
                    <w:rPr>
                      <w:bCs/>
                      <w:color w:val="auto"/>
                      <w:sz w:val="18"/>
                      <w:szCs w:val="18"/>
                    </w:rPr>
                    <w:t>25</w:t>
                  </w:r>
                </w:p>
              </w:tc>
              <w:tc>
                <w:tcPr>
                  <w:tcW w:w="446" w:type="pct"/>
                  <w:vAlign w:val="center"/>
                </w:tcPr>
                <w:p w14:paraId="480A3324">
                  <w:pPr>
                    <w:pStyle w:val="89"/>
                    <w:rPr>
                      <w:bCs/>
                      <w:color w:val="auto"/>
                      <w:sz w:val="18"/>
                      <w:szCs w:val="18"/>
                    </w:rPr>
                  </w:pPr>
                  <w:r>
                    <w:rPr>
                      <w:rFonts w:hint="eastAsia"/>
                      <w:bCs/>
                      <w:color w:val="auto"/>
                      <w:sz w:val="18"/>
                      <w:szCs w:val="18"/>
                    </w:rPr>
                    <w:t>50</w:t>
                  </w:r>
                </w:p>
              </w:tc>
              <w:tc>
                <w:tcPr>
                  <w:tcW w:w="269" w:type="pct"/>
                  <w:vAlign w:val="center"/>
                </w:tcPr>
                <w:p w14:paraId="0B94B5CC">
                  <w:pPr>
                    <w:pStyle w:val="89"/>
                    <w:rPr>
                      <w:bCs/>
                      <w:color w:val="auto"/>
                      <w:sz w:val="18"/>
                      <w:szCs w:val="18"/>
                    </w:rPr>
                  </w:pPr>
                  <w:r>
                    <w:rPr>
                      <w:rFonts w:hint="eastAsia"/>
                      <w:bCs/>
                      <w:color w:val="auto"/>
                      <w:sz w:val="18"/>
                      <w:szCs w:val="18"/>
                    </w:rPr>
                    <w:t>1m</w:t>
                  </w:r>
                </w:p>
              </w:tc>
            </w:tr>
            <w:tr w14:paraId="3470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5FAE0CE">
                  <w:pPr>
                    <w:pStyle w:val="89"/>
                    <w:rPr>
                      <w:color w:val="auto"/>
                      <w:sz w:val="18"/>
                      <w:szCs w:val="18"/>
                    </w:rPr>
                  </w:pPr>
                  <w:r>
                    <w:rPr>
                      <w:rFonts w:hint="eastAsia"/>
                      <w:color w:val="auto"/>
                      <w:sz w:val="18"/>
                      <w:szCs w:val="18"/>
                    </w:rPr>
                    <w:t>2</w:t>
                  </w:r>
                </w:p>
              </w:tc>
              <w:tc>
                <w:tcPr>
                  <w:tcW w:w="337" w:type="pct"/>
                  <w:vMerge w:val="continue"/>
                  <w:vAlign w:val="center"/>
                </w:tcPr>
                <w:p w14:paraId="6991D943">
                  <w:pPr>
                    <w:pStyle w:val="89"/>
                    <w:rPr>
                      <w:color w:val="auto"/>
                      <w:sz w:val="18"/>
                      <w:szCs w:val="18"/>
                    </w:rPr>
                  </w:pPr>
                </w:p>
              </w:tc>
              <w:tc>
                <w:tcPr>
                  <w:tcW w:w="510" w:type="pct"/>
                  <w:shd w:val="clear" w:color="auto" w:fill="auto"/>
                  <w:vAlign w:val="center"/>
                </w:tcPr>
                <w:p w14:paraId="630C4DAF">
                  <w:pPr>
                    <w:widowControl/>
                    <w:jc w:val="center"/>
                    <w:textAlignment w:val="center"/>
                    <w:rPr>
                      <w:rFonts w:cs="宋体"/>
                      <w:color w:val="auto"/>
                      <w:sz w:val="18"/>
                      <w:szCs w:val="18"/>
                    </w:rPr>
                  </w:pPr>
                  <w:r>
                    <w:rPr>
                      <w:rFonts w:hint="eastAsia" w:cs="宋体"/>
                      <w:color w:val="auto"/>
                      <w:kern w:val="0"/>
                      <w:sz w:val="18"/>
                      <w:szCs w:val="18"/>
                      <w:lang w:bidi="ar"/>
                    </w:rPr>
                    <w:t>自动粘胶机</w:t>
                  </w:r>
                </w:p>
              </w:tc>
              <w:tc>
                <w:tcPr>
                  <w:tcW w:w="434" w:type="pct"/>
                  <w:vAlign w:val="center"/>
                </w:tcPr>
                <w:p w14:paraId="1E4E7492">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12B904C4">
                  <w:pPr>
                    <w:pStyle w:val="89"/>
                    <w:rPr>
                      <w:bCs/>
                      <w:color w:val="auto"/>
                      <w:sz w:val="18"/>
                      <w:szCs w:val="18"/>
                    </w:rPr>
                  </w:pPr>
                </w:p>
              </w:tc>
              <w:tc>
                <w:tcPr>
                  <w:tcW w:w="286" w:type="pct"/>
                  <w:vAlign w:val="center"/>
                </w:tcPr>
                <w:p w14:paraId="5FBAF793">
                  <w:pPr>
                    <w:jc w:val="center"/>
                    <w:rPr>
                      <w:color w:val="auto"/>
                      <w:sz w:val="18"/>
                      <w:szCs w:val="18"/>
                    </w:rPr>
                  </w:pPr>
                  <w:r>
                    <w:rPr>
                      <w:rFonts w:hint="eastAsia"/>
                      <w:color w:val="auto"/>
                      <w:sz w:val="18"/>
                      <w:szCs w:val="18"/>
                    </w:rPr>
                    <w:t>67</w:t>
                  </w:r>
                </w:p>
              </w:tc>
              <w:tc>
                <w:tcPr>
                  <w:tcW w:w="313" w:type="pct"/>
                  <w:vAlign w:val="center"/>
                </w:tcPr>
                <w:p w14:paraId="39292C8D">
                  <w:pPr>
                    <w:jc w:val="center"/>
                    <w:rPr>
                      <w:color w:val="auto"/>
                      <w:sz w:val="18"/>
                      <w:szCs w:val="18"/>
                    </w:rPr>
                  </w:pPr>
                  <w:r>
                    <w:rPr>
                      <w:rFonts w:hint="eastAsia"/>
                      <w:color w:val="auto"/>
                      <w:sz w:val="18"/>
                      <w:szCs w:val="18"/>
                    </w:rPr>
                    <w:t>33</w:t>
                  </w:r>
                </w:p>
              </w:tc>
              <w:tc>
                <w:tcPr>
                  <w:tcW w:w="277" w:type="pct"/>
                  <w:vAlign w:val="center"/>
                </w:tcPr>
                <w:p w14:paraId="4A91CD47">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vAlign w:val="center"/>
                </w:tcPr>
                <w:p w14:paraId="133B6DD6">
                  <w:pPr>
                    <w:pStyle w:val="89"/>
                    <w:rPr>
                      <w:bCs/>
                      <w:color w:val="auto"/>
                      <w:sz w:val="18"/>
                      <w:szCs w:val="18"/>
                    </w:rPr>
                  </w:pPr>
                  <w:r>
                    <w:rPr>
                      <w:rFonts w:hint="eastAsia"/>
                      <w:bCs/>
                      <w:color w:val="auto"/>
                      <w:sz w:val="18"/>
                      <w:szCs w:val="18"/>
                    </w:rPr>
                    <w:t>2.6</w:t>
                  </w:r>
                </w:p>
              </w:tc>
              <w:tc>
                <w:tcPr>
                  <w:tcW w:w="444" w:type="pct"/>
                  <w:vAlign w:val="center"/>
                </w:tcPr>
                <w:p w14:paraId="1134BAA7">
                  <w:pPr>
                    <w:pStyle w:val="89"/>
                    <w:rPr>
                      <w:bCs/>
                      <w:color w:val="auto"/>
                      <w:sz w:val="18"/>
                      <w:szCs w:val="18"/>
                    </w:rPr>
                  </w:pPr>
                  <w:r>
                    <w:rPr>
                      <w:rFonts w:hint="eastAsia"/>
                      <w:bCs/>
                      <w:color w:val="auto"/>
                      <w:sz w:val="18"/>
                      <w:szCs w:val="18"/>
                    </w:rPr>
                    <w:t>75</w:t>
                  </w:r>
                </w:p>
              </w:tc>
              <w:tc>
                <w:tcPr>
                  <w:tcW w:w="234" w:type="pct"/>
                  <w:vMerge w:val="continue"/>
                  <w:vAlign w:val="center"/>
                </w:tcPr>
                <w:p w14:paraId="14743D49">
                  <w:pPr>
                    <w:pStyle w:val="89"/>
                    <w:rPr>
                      <w:bCs/>
                      <w:color w:val="auto"/>
                      <w:sz w:val="18"/>
                      <w:szCs w:val="18"/>
                    </w:rPr>
                  </w:pPr>
                </w:p>
              </w:tc>
              <w:tc>
                <w:tcPr>
                  <w:tcW w:w="444" w:type="pct"/>
                  <w:vAlign w:val="center"/>
                </w:tcPr>
                <w:p w14:paraId="51BACF95">
                  <w:pPr>
                    <w:pStyle w:val="89"/>
                    <w:rPr>
                      <w:bCs/>
                      <w:color w:val="auto"/>
                      <w:sz w:val="18"/>
                      <w:szCs w:val="18"/>
                    </w:rPr>
                  </w:pPr>
                  <w:r>
                    <w:rPr>
                      <w:bCs/>
                      <w:color w:val="auto"/>
                      <w:sz w:val="18"/>
                      <w:szCs w:val="18"/>
                    </w:rPr>
                    <w:t>25</w:t>
                  </w:r>
                </w:p>
              </w:tc>
              <w:tc>
                <w:tcPr>
                  <w:tcW w:w="446" w:type="pct"/>
                  <w:vAlign w:val="center"/>
                </w:tcPr>
                <w:p w14:paraId="20545BA0">
                  <w:pPr>
                    <w:pStyle w:val="89"/>
                    <w:rPr>
                      <w:bCs/>
                      <w:color w:val="auto"/>
                      <w:sz w:val="18"/>
                      <w:szCs w:val="18"/>
                    </w:rPr>
                  </w:pPr>
                  <w:r>
                    <w:rPr>
                      <w:rFonts w:hint="eastAsia"/>
                      <w:bCs/>
                      <w:color w:val="auto"/>
                      <w:sz w:val="18"/>
                      <w:szCs w:val="18"/>
                    </w:rPr>
                    <w:t>50</w:t>
                  </w:r>
                </w:p>
              </w:tc>
              <w:tc>
                <w:tcPr>
                  <w:tcW w:w="269" w:type="pct"/>
                  <w:vAlign w:val="center"/>
                </w:tcPr>
                <w:p w14:paraId="6EC5F99B">
                  <w:pPr>
                    <w:pStyle w:val="89"/>
                    <w:rPr>
                      <w:bCs/>
                      <w:color w:val="auto"/>
                      <w:sz w:val="18"/>
                      <w:szCs w:val="18"/>
                    </w:rPr>
                  </w:pPr>
                  <w:r>
                    <w:rPr>
                      <w:rFonts w:hint="eastAsia"/>
                      <w:bCs/>
                      <w:color w:val="auto"/>
                      <w:sz w:val="18"/>
                      <w:szCs w:val="18"/>
                    </w:rPr>
                    <w:t>1m</w:t>
                  </w:r>
                </w:p>
              </w:tc>
            </w:tr>
            <w:tr w14:paraId="03D5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1B6E3AF9">
                  <w:pPr>
                    <w:pStyle w:val="89"/>
                    <w:rPr>
                      <w:color w:val="auto"/>
                      <w:sz w:val="18"/>
                      <w:szCs w:val="18"/>
                    </w:rPr>
                  </w:pPr>
                  <w:r>
                    <w:rPr>
                      <w:rFonts w:hint="eastAsia"/>
                      <w:color w:val="auto"/>
                      <w:sz w:val="18"/>
                      <w:szCs w:val="18"/>
                    </w:rPr>
                    <w:t>3</w:t>
                  </w:r>
                </w:p>
              </w:tc>
              <w:tc>
                <w:tcPr>
                  <w:tcW w:w="337" w:type="pct"/>
                  <w:vMerge w:val="continue"/>
                  <w:vAlign w:val="center"/>
                </w:tcPr>
                <w:p w14:paraId="12CAD4A3">
                  <w:pPr>
                    <w:pStyle w:val="89"/>
                    <w:rPr>
                      <w:color w:val="auto"/>
                      <w:sz w:val="18"/>
                      <w:szCs w:val="18"/>
                    </w:rPr>
                  </w:pPr>
                </w:p>
              </w:tc>
              <w:tc>
                <w:tcPr>
                  <w:tcW w:w="510" w:type="pct"/>
                  <w:shd w:val="clear" w:color="auto" w:fill="auto"/>
                  <w:vAlign w:val="center"/>
                </w:tcPr>
                <w:p w14:paraId="6887C4E1">
                  <w:pPr>
                    <w:widowControl/>
                    <w:jc w:val="center"/>
                    <w:textAlignment w:val="center"/>
                    <w:rPr>
                      <w:color w:val="auto"/>
                      <w:sz w:val="18"/>
                      <w:szCs w:val="18"/>
                    </w:rPr>
                  </w:pPr>
                  <w:bookmarkStart w:id="29" w:name="OLE_LINK4"/>
                  <w:r>
                    <w:rPr>
                      <w:color w:val="auto"/>
                      <w:kern w:val="0"/>
                      <w:sz w:val="18"/>
                      <w:szCs w:val="18"/>
                      <w:lang w:bidi="ar"/>
                    </w:rPr>
                    <w:t>多线切割（方片）</w:t>
                  </w:r>
                  <w:bookmarkEnd w:id="29"/>
                </w:p>
              </w:tc>
              <w:tc>
                <w:tcPr>
                  <w:tcW w:w="434" w:type="pct"/>
                  <w:vAlign w:val="center"/>
                </w:tcPr>
                <w:p w14:paraId="2014B925">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0</w:t>
                  </w:r>
                </w:p>
              </w:tc>
              <w:tc>
                <w:tcPr>
                  <w:tcW w:w="339" w:type="pct"/>
                  <w:vMerge w:val="continue"/>
                  <w:vAlign w:val="center"/>
                </w:tcPr>
                <w:p w14:paraId="41CD5914">
                  <w:pPr>
                    <w:pStyle w:val="89"/>
                    <w:rPr>
                      <w:bCs/>
                      <w:color w:val="auto"/>
                      <w:sz w:val="18"/>
                      <w:szCs w:val="18"/>
                    </w:rPr>
                  </w:pPr>
                </w:p>
              </w:tc>
              <w:tc>
                <w:tcPr>
                  <w:tcW w:w="286" w:type="pct"/>
                  <w:vAlign w:val="center"/>
                </w:tcPr>
                <w:p w14:paraId="3580666A">
                  <w:pPr>
                    <w:jc w:val="center"/>
                    <w:rPr>
                      <w:color w:val="auto"/>
                      <w:sz w:val="18"/>
                      <w:szCs w:val="18"/>
                    </w:rPr>
                  </w:pPr>
                  <w:r>
                    <w:rPr>
                      <w:rFonts w:hint="eastAsia"/>
                      <w:color w:val="auto"/>
                      <w:sz w:val="18"/>
                      <w:szCs w:val="18"/>
                    </w:rPr>
                    <w:t>72</w:t>
                  </w:r>
                </w:p>
              </w:tc>
              <w:tc>
                <w:tcPr>
                  <w:tcW w:w="313" w:type="pct"/>
                  <w:vAlign w:val="center"/>
                </w:tcPr>
                <w:p w14:paraId="77025DE8">
                  <w:pPr>
                    <w:jc w:val="center"/>
                    <w:rPr>
                      <w:color w:val="auto"/>
                      <w:sz w:val="18"/>
                      <w:szCs w:val="18"/>
                    </w:rPr>
                  </w:pPr>
                  <w:r>
                    <w:rPr>
                      <w:rFonts w:hint="eastAsia"/>
                      <w:color w:val="auto"/>
                      <w:sz w:val="18"/>
                      <w:szCs w:val="18"/>
                    </w:rPr>
                    <w:t>32</w:t>
                  </w:r>
                </w:p>
              </w:tc>
              <w:tc>
                <w:tcPr>
                  <w:tcW w:w="277" w:type="pct"/>
                  <w:shd w:val="clear" w:color="auto" w:fill="auto"/>
                  <w:vAlign w:val="center"/>
                </w:tcPr>
                <w:p w14:paraId="3C523E65">
                  <w:pPr>
                    <w:jc w:val="center"/>
                    <w:rPr>
                      <w:color w:val="auto"/>
                      <w:sz w:val="18"/>
                      <w:szCs w:val="18"/>
                    </w:rPr>
                  </w:pPr>
                  <w:r>
                    <w:rPr>
                      <w:rFonts w:hint="eastAsia"/>
                      <w:color w:val="auto"/>
                      <w:sz w:val="18"/>
                      <w:szCs w:val="18"/>
                    </w:rPr>
                    <w:t>0</w:t>
                  </w:r>
                </w:p>
              </w:tc>
              <w:tc>
                <w:tcPr>
                  <w:tcW w:w="427" w:type="pct"/>
                  <w:vAlign w:val="center"/>
                </w:tcPr>
                <w:p w14:paraId="4BB5048E">
                  <w:pPr>
                    <w:pStyle w:val="89"/>
                    <w:rPr>
                      <w:bCs/>
                      <w:color w:val="auto"/>
                      <w:sz w:val="18"/>
                      <w:szCs w:val="18"/>
                    </w:rPr>
                  </w:pPr>
                  <w:r>
                    <w:rPr>
                      <w:rFonts w:hint="eastAsia"/>
                      <w:bCs/>
                      <w:color w:val="auto"/>
                      <w:sz w:val="18"/>
                      <w:szCs w:val="18"/>
                    </w:rPr>
                    <w:t>2.6</w:t>
                  </w:r>
                </w:p>
              </w:tc>
              <w:tc>
                <w:tcPr>
                  <w:tcW w:w="444" w:type="pct"/>
                  <w:vAlign w:val="center"/>
                </w:tcPr>
                <w:p w14:paraId="1D989B9B">
                  <w:pPr>
                    <w:pStyle w:val="89"/>
                    <w:rPr>
                      <w:bCs/>
                      <w:color w:val="auto"/>
                      <w:sz w:val="18"/>
                      <w:szCs w:val="18"/>
                    </w:rPr>
                  </w:pPr>
                  <w:r>
                    <w:rPr>
                      <w:rFonts w:hint="eastAsia"/>
                      <w:bCs/>
                      <w:color w:val="auto"/>
                      <w:sz w:val="18"/>
                      <w:szCs w:val="18"/>
                    </w:rPr>
                    <w:t>75</w:t>
                  </w:r>
                </w:p>
              </w:tc>
              <w:tc>
                <w:tcPr>
                  <w:tcW w:w="234" w:type="pct"/>
                  <w:vMerge w:val="continue"/>
                  <w:vAlign w:val="center"/>
                </w:tcPr>
                <w:p w14:paraId="2258E4CF">
                  <w:pPr>
                    <w:pStyle w:val="89"/>
                    <w:rPr>
                      <w:bCs/>
                      <w:color w:val="auto"/>
                      <w:sz w:val="18"/>
                      <w:szCs w:val="18"/>
                    </w:rPr>
                  </w:pPr>
                </w:p>
              </w:tc>
              <w:tc>
                <w:tcPr>
                  <w:tcW w:w="444" w:type="pct"/>
                  <w:vAlign w:val="center"/>
                </w:tcPr>
                <w:p w14:paraId="5A944357">
                  <w:pPr>
                    <w:pStyle w:val="89"/>
                    <w:rPr>
                      <w:bCs/>
                      <w:color w:val="auto"/>
                      <w:sz w:val="18"/>
                      <w:szCs w:val="18"/>
                    </w:rPr>
                  </w:pPr>
                  <w:r>
                    <w:rPr>
                      <w:bCs/>
                      <w:color w:val="auto"/>
                      <w:sz w:val="18"/>
                      <w:szCs w:val="18"/>
                    </w:rPr>
                    <w:t>25</w:t>
                  </w:r>
                </w:p>
              </w:tc>
              <w:tc>
                <w:tcPr>
                  <w:tcW w:w="446" w:type="pct"/>
                  <w:vAlign w:val="center"/>
                </w:tcPr>
                <w:p w14:paraId="2AEDBDBB">
                  <w:pPr>
                    <w:pStyle w:val="89"/>
                    <w:rPr>
                      <w:bCs/>
                      <w:color w:val="auto"/>
                      <w:sz w:val="18"/>
                      <w:szCs w:val="18"/>
                    </w:rPr>
                  </w:pPr>
                  <w:r>
                    <w:rPr>
                      <w:rFonts w:hint="eastAsia"/>
                      <w:bCs/>
                      <w:color w:val="auto"/>
                      <w:sz w:val="18"/>
                      <w:szCs w:val="18"/>
                    </w:rPr>
                    <w:t>50</w:t>
                  </w:r>
                </w:p>
              </w:tc>
              <w:tc>
                <w:tcPr>
                  <w:tcW w:w="269" w:type="pct"/>
                  <w:vAlign w:val="center"/>
                </w:tcPr>
                <w:p w14:paraId="72ED59FA">
                  <w:pPr>
                    <w:pStyle w:val="89"/>
                    <w:rPr>
                      <w:bCs/>
                      <w:color w:val="auto"/>
                      <w:sz w:val="18"/>
                      <w:szCs w:val="18"/>
                    </w:rPr>
                  </w:pPr>
                  <w:r>
                    <w:rPr>
                      <w:rFonts w:hint="eastAsia"/>
                      <w:bCs/>
                      <w:color w:val="auto"/>
                      <w:sz w:val="18"/>
                      <w:szCs w:val="18"/>
                    </w:rPr>
                    <w:t>1m</w:t>
                  </w:r>
                </w:p>
              </w:tc>
            </w:tr>
            <w:tr w14:paraId="2042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4EF96513">
                  <w:pPr>
                    <w:pStyle w:val="89"/>
                    <w:rPr>
                      <w:color w:val="auto"/>
                      <w:sz w:val="18"/>
                      <w:szCs w:val="18"/>
                    </w:rPr>
                  </w:pPr>
                  <w:r>
                    <w:rPr>
                      <w:rFonts w:hint="eastAsia"/>
                      <w:color w:val="auto"/>
                      <w:sz w:val="18"/>
                      <w:szCs w:val="18"/>
                    </w:rPr>
                    <w:t>4</w:t>
                  </w:r>
                </w:p>
              </w:tc>
              <w:tc>
                <w:tcPr>
                  <w:tcW w:w="337" w:type="pct"/>
                  <w:vMerge w:val="continue"/>
                  <w:vAlign w:val="center"/>
                </w:tcPr>
                <w:p w14:paraId="61C9EE44">
                  <w:pPr>
                    <w:pStyle w:val="89"/>
                    <w:rPr>
                      <w:color w:val="auto"/>
                      <w:sz w:val="18"/>
                      <w:szCs w:val="18"/>
                    </w:rPr>
                  </w:pPr>
                </w:p>
              </w:tc>
              <w:tc>
                <w:tcPr>
                  <w:tcW w:w="510" w:type="pct"/>
                  <w:shd w:val="clear" w:color="auto" w:fill="auto"/>
                  <w:vAlign w:val="center"/>
                </w:tcPr>
                <w:p w14:paraId="122E4F28">
                  <w:pPr>
                    <w:widowControl/>
                    <w:jc w:val="center"/>
                    <w:textAlignment w:val="center"/>
                    <w:rPr>
                      <w:color w:val="auto"/>
                      <w:sz w:val="18"/>
                      <w:szCs w:val="18"/>
                    </w:rPr>
                  </w:pPr>
                  <w:r>
                    <w:rPr>
                      <w:color w:val="auto"/>
                      <w:kern w:val="0"/>
                      <w:sz w:val="18"/>
                      <w:szCs w:val="18"/>
                      <w:lang w:bidi="ar"/>
                    </w:rPr>
                    <w:t>多线切割（瓦片）</w:t>
                  </w:r>
                </w:p>
              </w:tc>
              <w:tc>
                <w:tcPr>
                  <w:tcW w:w="434" w:type="pct"/>
                  <w:vAlign w:val="center"/>
                </w:tcPr>
                <w:p w14:paraId="56C275FD">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03D0F3C8">
                  <w:pPr>
                    <w:pStyle w:val="89"/>
                    <w:rPr>
                      <w:bCs/>
                      <w:color w:val="auto"/>
                      <w:sz w:val="18"/>
                      <w:szCs w:val="18"/>
                    </w:rPr>
                  </w:pPr>
                </w:p>
              </w:tc>
              <w:tc>
                <w:tcPr>
                  <w:tcW w:w="286" w:type="pct"/>
                  <w:vAlign w:val="center"/>
                </w:tcPr>
                <w:p w14:paraId="3592EBD9">
                  <w:pPr>
                    <w:jc w:val="center"/>
                    <w:rPr>
                      <w:color w:val="auto"/>
                      <w:sz w:val="18"/>
                      <w:szCs w:val="18"/>
                    </w:rPr>
                  </w:pPr>
                  <w:r>
                    <w:rPr>
                      <w:rFonts w:hint="eastAsia"/>
                      <w:color w:val="auto"/>
                      <w:sz w:val="18"/>
                      <w:szCs w:val="18"/>
                    </w:rPr>
                    <w:t>37</w:t>
                  </w:r>
                </w:p>
              </w:tc>
              <w:tc>
                <w:tcPr>
                  <w:tcW w:w="313" w:type="pct"/>
                  <w:vAlign w:val="center"/>
                </w:tcPr>
                <w:p w14:paraId="39DE69AE">
                  <w:pPr>
                    <w:jc w:val="center"/>
                    <w:rPr>
                      <w:color w:val="auto"/>
                      <w:sz w:val="18"/>
                      <w:szCs w:val="18"/>
                    </w:rPr>
                  </w:pPr>
                  <w:r>
                    <w:rPr>
                      <w:rFonts w:hint="eastAsia"/>
                      <w:color w:val="auto"/>
                      <w:sz w:val="18"/>
                      <w:szCs w:val="18"/>
                    </w:rPr>
                    <w:t>34</w:t>
                  </w:r>
                </w:p>
              </w:tc>
              <w:tc>
                <w:tcPr>
                  <w:tcW w:w="277" w:type="pct"/>
                  <w:shd w:val="clear" w:color="auto" w:fill="auto"/>
                  <w:vAlign w:val="center"/>
                </w:tcPr>
                <w:p w14:paraId="683AFC75">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36B2F883">
                  <w:pPr>
                    <w:pStyle w:val="89"/>
                    <w:rPr>
                      <w:bCs/>
                      <w:color w:val="auto"/>
                      <w:sz w:val="18"/>
                      <w:szCs w:val="18"/>
                    </w:rPr>
                  </w:pPr>
                  <w:r>
                    <w:rPr>
                      <w:rFonts w:hint="eastAsia"/>
                      <w:bCs/>
                      <w:color w:val="auto"/>
                      <w:sz w:val="18"/>
                      <w:szCs w:val="18"/>
                    </w:rPr>
                    <w:t>2.6</w:t>
                  </w:r>
                </w:p>
              </w:tc>
              <w:tc>
                <w:tcPr>
                  <w:tcW w:w="444" w:type="pct"/>
                  <w:vAlign w:val="center"/>
                </w:tcPr>
                <w:p w14:paraId="58387186">
                  <w:pPr>
                    <w:pStyle w:val="89"/>
                    <w:rPr>
                      <w:bCs/>
                      <w:color w:val="auto"/>
                      <w:sz w:val="18"/>
                      <w:szCs w:val="18"/>
                    </w:rPr>
                  </w:pPr>
                  <w:r>
                    <w:rPr>
                      <w:rFonts w:hint="eastAsia"/>
                      <w:bCs/>
                      <w:color w:val="auto"/>
                      <w:sz w:val="18"/>
                      <w:szCs w:val="18"/>
                    </w:rPr>
                    <w:t>75</w:t>
                  </w:r>
                </w:p>
              </w:tc>
              <w:tc>
                <w:tcPr>
                  <w:tcW w:w="234" w:type="pct"/>
                  <w:vMerge w:val="continue"/>
                  <w:vAlign w:val="center"/>
                </w:tcPr>
                <w:p w14:paraId="34CAAA2D">
                  <w:pPr>
                    <w:pStyle w:val="89"/>
                    <w:rPr>
                      <w:bCs/>
                      <w:color w:val="auto"/>
                      <w:sz w:val="18"/>
                      <w:szCs w:val="18"/>
                    </w:rPr>
                  </w:pPr>
                </w:p>
              </w:tc>
              <w:tc>
                <w:tcPr>
                  <w:tcW w:w="444" w:type="pct"/>
                  <w:vAlign w:val="center"/>
                </w:tcPr>
                <w:p w14:paraId="0AD060A3">
                  <w:pPr>
                    <w:pStyle w:val="89"/>
                    <w:rPr>
                      <w:bCs/>
                      <w:color w:val="auto"/>
                      <w:sz w:val="18"/>
                      <w:szCs w:val="18"/>
                    </w:rPr>
                  </w:pPr>
                  <w:r>
                    <w:rPr>
                      <w:bCs/>
                      <w:color w:val="auto"/>
                      <w:sz w:val="18"/>
                      <w:szCs w:val="18"/>
                    </w:rPr>
                    <w:t>25</w:t>
                  </w:r>
                </w:p>
              </w:tc>
              <w:tc>
                <w:tcPr>
                  <w:tcW w:w="446" w:type="pct"/>
                  <w:vAlign w:val="center"/>
                </w:tcPr>
                <w:p w14:paraId="3DD94EB6">
                  <w:pPr>
                    <w:pStyle w:val="89"/>
                    <w:rPr>
                      <w:bCs/>
                      <w:color w:val="auto"/>
                      <w:sz w:val="18"/>
                      <w:szCs w:val="18"/>
                    </w:rPr>
                  </w:pPr>
                  <w:r>
                    <w:rPr>
                      <w:rFonts w:hint="eastAsia"/>
                      <w:bCs/>
                      <w:color w:val="auto"/>
                      <w:sz w:val="18"/>
                      <w:szCs w:val="18"/>
                    </w:rPr>
                    <w:t>50</w:t>
                  </w:r>
                </w:p>
              </w:tc>
              <w:tc>
                <w:tcPr>
                  <w:tcW w:w="269" w:type="pct"/>
                  <w:vAlign w:val="center"/>
                </w:tcPr>
                <w:p w14:paraId="1CC7DB2E">
                  <w:pPr>
                    <w:pStyle w:val="89"/>
                    <w:rPr>
                      <w:bCs/>
                      <w:color w:val="auto"/>
                      <w:sz w:val="18"/>
                      <w:szCs w:val="18"/>
                    </w:rPr>
                  </w:pPr>
                  <w:r>
                    <w:rPr>
                      <w:rFonts w:hint="eastAsia"/>
                      <w:bCs/>
                      <w:color w:val="auto"/>
                      <w:sz w:val="18"/>
                      <w:szCs w:val="18"/>
                    </w:rPr>
                    <w:t>1m</w:t>
                  </w:r>
                </w:p>
              </w:tc>
            </w:tr>
            <w:tr w14:paraId="5760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DEC3099">
                  <w:pPr>
                    <w:pStyle w:val="89"/>
                    <w:rPr>
                      <w:color w:val="auto"/>
                      <w:sz w:val="18"/>
                      <w:szCs w:val="18"/>
                    </w:rPr>
                  </w:pPr>
                  <w:r>
                    <w:rPr>
                      <w:rFonts w:hint="eastAsia"/>
                      <w:color w:val="auto"/>
                      <w:sz w:val="18"/>
                      <w:szCs w:val="18"/>
                    </w:rPr>
                    <w:t>5</w:t>
                  </w:r>
                </w:p>
              </w:tc>
              <w:tc>
                <w:tcPr>
                  <w:tcW w:w="337" w:type="pct"/>
                  <w:vMerge w:val="continue"/>
                  <w:vAlign w:val="center"/>
                </w:tcPr>
                <w:p w14:paraId="3F499D36">
                  <w:pPr>
                    <w:pStyle w:val="89"/>
                    <w:rPr>
                      <w:color w:val="auto"/>
                      <w:sz w:val="18"/>
                      <w:szCs w:val="18"/>
                    </w:rPr>
                  </w:pPr>
                </w:p>
              </w:tc>
              <w:tc>
                <w:tcPr>
                  <w:tcW w:w="510" w:type="pct"/>
                  <w:shd w:val="clear" w:color="auto" w:fill="auto"/>
                  <w:vAlign w:val="center"/>
                </w:tcPr>
                <w:p w14:paraId="2292095C">
                  <w:pPr>
                    <w:widowControl/>
                    <w:jc w:val="center"/>
                    <w:textAlignment w:val="center"/>
                    <w:rPr>
                      <w:rFonts w:cs="宋体"/>
                      <w:color w:val="auto"/>
                      <w:sz w:val="18"/>
                      <w:szCs w:val="18"/>
                    </w:rPr>
                  </w:pPr>
                  <w:r>
                    <w:rPr>
                      <w:rFonts w:hint="eastAsia" w:cs="宋体"/>
                      <w:color w:val="auto"/>
                      <w:kern w:val="0"/>
                      <w:sz w:val="18"/>
                      <w:szCs w:val="18"/>
                      <w:lang w:bidi="ar"/>
                    </w:rPr>
                    <w:t>煮胶清洗线</w:t>
                  </w:r>
                </w:p>
              </w:tc>
              <w:tc>
                <w:tcPr>
                  <w:tcW w:w="434" w:type="pct"/>
                  <w:vAlign w:val="center"/>
                </w:tcPr>
                <w:p w14:paraId="42D052FC">
                  <w:pPr>
                    <w:widowControl/>
                    <w:jc w:val="center"/>
                    <w:textAlignment w:val="center"/>
                    <w:rPr>
                      <w:color w:val="auto"/>
                      <w:sz w:val="18"/>
                      <w:szCs w:val="18"/>
                    </w:rPr>
                  </w:pPr>
                  <w:r>
                    <w:rPr>
                      <w:rFonts w:hint="eastAsia"/>
                      <w:color w:val="auto"/>
                      <w:kern w:val="0"/>
                      <w:sz w:val="18"/>
                      <w:szCs w:val="18"/>
                      <w:lang w:bidi="ar"/>
                    </w:rPr>
                    <w:t>80</w:t>
                  </w:r>
                </w:p>
              </w:tc>
              <w:tc>
                <w:tcPr>
                  <w:tcW w:w="339" w:type="pct"/>
                  <w:vMerge w:val="continue"/>
                  <w:vAlign w:val="center"/>
                </w:tcPr>
                <w:p w14:paraId="58004CD1">
                  <w:pPr>
                    <w:pStyle w:val="89"/>
                    <w:rPr>
                      <w:bCs/>
                      <w:color w:val="auto"/>
                      <w:sz w:val="18"/>
                      <w:szCs w:val="18"/>
                    </w:rPr>
                  </w:pPr>
                </w:p>
              </w:tc>
              <w:tc>
                <w:tcPr>
                  <w:tcW w:w="286" w:type="pct"/>
                  <w:vAlign w:val="center"/>
                </w:tcPr>
                <w:p w14:paraId="5FD9A554">
                  <w:pPr>
                    <w:jc w:val="center"/>
                    <w:rPr>
                      <w:color w:val="auto"/>
                      <w:sz w:val="18"/>
                      <w:szCs w:val="18"/>
                    </w:rPr>
                  </w:pPr>
                  <w:r>
                    <w:rPr>
                      <w:rFonts w:hint="eastAsia"/>
                      <w:color w:val="auto"/>
                      <w:sz w:val="18"/>
                      <w:szCs w:val="18"/>
                    </w:rPr>
                    <w:t>52</w:t>
                  </w:r>
                </w:p>
              </w:tc>
              <w:tc>
                <w:tcPr>
                  <w:tcW w:w="313" w:type="pct"/>
                  <w:vAlign w:val="center"/>
                </w:tcPr>
                <w:p w14:paraId="70BC9844">
                  <w:pPr>
                    <w:jc w:val="center"/>
                    <w:rPr>
                      <w:color w:val="auto"/>
                      <w:sz w:val="18"/>
                      <w:szCs w:val="18"/>
                    </w:rPr>
                  </w:pPr>
                  <w:r>
                    <w:rPr>
                      <w:rFonts w:hint="eastAsia"/>
                      <w:color w:val="auto"/>
                      <w:sz w:val="18"/>
                      <w:szCs w:val="18"/>
                    </w:rPr>
                    <w:t>38</w:t>
                  </w:r>
                </w:p>
              </w:tc>
              <w:tc>
                <w:tcPr>
                  <w:tcW w:w="277" w:type="pct"/>
                  <w:vAlign w:val="center"/>
                </w:tcPr>
                <w:p w14:paraId="250E0287">
                  <w:pPr>
                    <w:jc w:val="center"/>
                    <w:rPr>
                      <w:color w:val="auto"/>
                      <w:sz w:val="18"/>
                      <w:szCs w:val="18"/>
                    </w:rPr>
                  </w:pPr>
                  <w:r>
                    <w:rPr>
                      <w:rFonts w:hint="eastAsia"/>
                      <w:color w:val="auto"/>
                      <w:sz w:val="18"/>
                      <w:szCs w:val="18"/>
                    </w:rPr>
                    <w:t>0</w:t>
                  </w:r>
                </w:p>
              </w:tc>
              <w:tc>
                <w:tcPr>
                  <w:tcW w:w="427" w:type="pct"/>
                  <w:shd w:val="clear" w:color="auto" w:fill="auto"/>
                  <w:vAlign w:val="center"/>
                </w:tcPr>
                <w:p w14:paraId="10BFF38C">
                  <w:pPr>
                    <w:pStyle w:val="89"/>
                    <w:rPr>
                      <w:bCs/>
                      <w:color w:val="auto"/>
                      <w:sz w:val="18"/>
                      <w:szCs w:val="18"/>
                    </w:rPr>
                  </w:pPr>
                  <w:r>
                    <w:rPr>
                      <w:rFonts w:hint="eastAsia"/>
                      <w:bCs/>
                      <w:color w:val="auto"/>
                      <w:sz w:val="18"/>
                      <w:szCs w:val="18"/>
                    </w:rPr>
                    <w:t>2.6</w:t>
                  </w:r>
                </w:p>
              </w:tc>
              <w:tc>
                <w:tcPr>
                  <w:tcW w:w="444" w:type="pct"/>
                  <w:vAlign w:val="center"/>
                </w:tcPr>
                <w:p w14:paraId="3309EFA2">
                  <w:pPr>
                    <w:pStyle w:val="89"/>
                    <w:rPr>
                      <w:bCs/>
                      <w:color w:val="auto"/>
                      <w:sz w:val="18"/>
                      <w:szCs w:val="18"/>
                    </w:rPr>
                  </w:pPr>
                  <w:r>
                    <w:rPr>
                      <w:rFonts w:hint="eastAsia"/>
                      <w:bCs/>
                      <w:color w:val="auto"/>
                      <w:sz w:val="18"/>
                      <w:szCs w:val="18"/>
                    </w:rPr>
                    <w:t>75</w:t>
                  </w:r>
                </w:p>
              </w:tc>
              <w:tc>
                <w:tcPr>
                  <w:tcW w:w="234" w:type="pct"/>
                  <w:vMerge w:val="continue"/>
                  <w:vAlign w:val="center"/>
                </w:tcPr>
                <w:p w14:paraId="2BFC9920">
                  <w:pPr>
                    <w:pStyle w:val="89"/>
                    <w:rPr>
                      <w:bCs/>
                      <w:color w:val="auto"/>
                      <w:sz w:val="18"/>
                      <w:szCs w:val="18"/>
                    </w:rPr>
                  </w:pPr>
                </w:p>
              </w:tc>
              <w:tc>
                <w:tcPr>
                  <w:tcW w:w="444" w:type="pct"/>
                  <w:vAlign w:val="center"/>
                </w:tcPr>
                <w:p w14:paraId="1BB03CD7">
                  <w:pPr>
                    <w:pStyle w:val="89"/>
                    <w:rPr>
                      <w:bCs/>
                      <w:color w:val="auto"/>
                      <w:sz w:val="18"/>
                      <w:szCs w:val="18"/>
                    </w:rPr>
                  </w:pPr>
                  <w:r>
                    <w:rPr>
                      <w:bCs/>
                      <w:color w:val="auto"/>
                      <w:sz w:val="18"/>
                      <w:szCs w:val="18"/>
                    </w:rPr>
                    <w:t>25</w:t>
                  </w:r>
                </w:p>
              </w:tc>
              <w:tc>
                <w:tcPr>
                  <w:tcW w:w="446" w:type="pct"/>
                  <w:vAlign w:val="center"/>
                </w:tcPr>
                <w:p w14:paraId="50BFBB69">
                  <w:pPr>
                    <w:pStyle w:val="89"/>
                    <w:rPr>
                      <w:bCs/>
                      <w:color w:val="auto"/>
                      <w:sz w:val="18"/>
                      <w:szCs w:val="18"/>
                    </w:rPr>
                  </w:pPr>
                  <w:r>
                    <w:rPr>
                      <w:rFonts w:hint="eastAsia"/>
                      <w:bCs/>
                      <w:color w:val="auto"/>
                      <w:sz w:val="18"/>
                      <w:szCs w:val="18"/>
                    </w:rPr>
                    <w:t>50</w:t>
                  </w:r>
                </w:p>
              </w:tc>
              <w:tc>
                <w:tcPr>
                  <w:tcW w:w="269" w:type="pct"/>
                  <w:vAlign w:val="center"/>
                </w:tcPr>
                <w:p w14:paraId="2A307B89">
                  <w:pPr>
                    <w:pStyle w:val="89"/>
                    <w:rPr>
                      <w:bCs/>
                      <w:color w:val="auto"/>
                      <w:sz w:val="18"/>
                      <w:szCs w:val="18"/>
                    </w:rPr>
                  </w:pPr>
                  <w:r>
                    <w:rPr>
                      <w:rFonts w:hint="eastAsia"/>
                      <w:bCs/>
                      <w:color w:val="auto"/>
                      <w:sz w:val="18"/>
                      <w:szCs w:val="18"/>
                    </w:rPr>
                    <w:t>1m</w:t>
                  </w:r>
                </w:p>
              </w:tc>
            </w:tr>
            <w:tr w14:paraId="20C2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663FF454">
                  <w:pPr>
                    <w:pStyle w:val="89"/>
                    <w:rPr>
                      <w:color w:val="auto"/>
                      <w:sz w:val="18"/>
                      <w:szCs w:val="18"/>
                    </w:rPr>
                  </w:pPr>
                  <w:r>
                    <w:rPr>
                      <w:rFonts w:hint="eastAsia"/>
                      <w:color w:val="auto"/>
                      <w:sz w:val="18"/>
                      <w:szCs w:val="18"/>
                    </w:rPr>
                    <w:t>6</w:t>
                  </w:r>
                </w:p>
              </w:tc>
              <w:tc>
                <w:tcPr>
                  <w:tcW w:w="337" w:type="pct"/>
                  <w:vMerge w:val="continue"/>
                  <w:vAlign w:val="center"/>
                </w:tcPr>
                <w:p w14:paraId="3560847D">
                  <w:pPr>
                    <w:pStyle w:val="89"/>
                    <w:rPr>
                      <w:color w:val="auto"/>
                      <w:sz w:val="18"/>
                      <w:szCs w:val="18"/>
                    </w:rPr>
                  </w:pPr>
                </w:p>
              </w:tc>
              <w:tc>
                <w:tcPr>
                  <w:tcW w:w="510" w:type="pct"/>
                  <w:shd w:val="clear" w:color="auto" w:fill="auto"/>
                  <w:vAlign w:val="center"/>
                </w:tcPr>
                <w:p w14:paraId="50DF5F02">
                  <w:pPr>
                    <w:widowControl/>
                    <w:jc w:val="center"/>
                    <w:textAlignment w:val="center"/>
                    <w:rPr>
                      <w:rFonts w:cs="宋体"/>
                      <w:color w:val="auto"/>
                      <w:sz w:val="18"/>
                      <w:szCs w:val="18"/>
                    </w:rPr>
                  </w:pPr>
                  <w:r>
                    <w:rPr>
                      <w:rFonts w:hint="eastAsia" w:cs="宋体"/>
                      <w:color w:val="auto"/>
                      <w:kern w:val="0"/>
                      <w:sz w:val="18"/>
                      <w:szCs w:val="18"/>
                      <w:lang w:bidi="ar"/>
                    </w:rPr>
                    <w:t>双端面磨精磨</w:t>
                  </w:r>
                </w:p>
              </w:tc>
              <w:tc>
                <w:tcPr>
                  <w:tcW w:w="434" w:type="pct"/>
                  <w:vAlign w:val="center"/>
                </w:tcPr>
                <w:p w14:paraId="62530D0E">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7731CD28">
                  <w:pPr>
                    <w:pStyle w:val="89"/>
                    <w:rPr>
                      <w:bCs/>
                      <w:color w:val="auto"/>
                      <w:sz w:val="18"/>
                      <w:szCs w:val="18"/>
                    </w:rPr>
                  </w:pPr>
                </w:p>
              </w:tc>
              <w:tc>
                <w:tcPr>
                  <w:tcW w:w="286" w:type="pct"/>
                  <w:vAlign w:val="center"/>
                </w:tcPr>
                <w:p w14:paraId="3653AA1B">
                  <w:pPr>
                    <w:jc w:val="center"/>
                    <w:rPr>
                      <w:color w:val="auto"/>
                      <w:sz w:val="18"/>
                      <w:szCs w:val="18"/>
                    </w:rPr>
                  </w:pPr>
                  <w:r>
                    <w:rPr>
                      <w:rFonts w:hint="eastAsia"/>
                      <w:color w:val="auto"/>
                      <w:sz w:val="18"/>
                      <w:szCs w:val="18"/>
                    </w:rPr>
                    <w:t>51</w:t>
                  </w:r>
                </w:p>
              </w:tc>
              <w:tc>
                <w:tcPr>
                  <w:tcW w:w="313" w:type="pct"/>
                  <w:vAlign w:val="center"/>
                </w:tcPr>
                <w:p w14:paraId="6831FFD4">
                  <w:pPr>
                    <w:jc w:val="center"/>
                    <w:rPr>
                      <w:color w:val="auto"/>
                      <w:sz w:val="18"/>
                      <w:szCs w:val="18"/>
                    </w:rPr>
                  </w:pPr>
                  <w:r>
                    <w:rPr>
                      <w:rFonts w:hint="eastAsia"/>
                      <w:color w:val="auto"/>
                      <w:sz w:val="18"/>
                      <w:szCs w:val="18"/>
                    </w:rPr>
                    <w:t>36</w:t>
                  </w:r>
                </w:p>
              </w:tc>
              <w:tc>
                <w:tcPr>
                  <w:tcW w:w="277" w:type="pct"/>
                  <w:vAlign w:val="center"/>
                </w:tcPr>
                <w:p w14:paraId="4C20B656">
                  <w:pPr>
                    <w:jc w:val="center"/>
                    <w:rPr>
                      <w:color w:val="auto"/>
                      <w:sz w:val="18"/>
                      <w:szCs w:val="18"/>
                    </w:rPr>
                  </w:pPr>
                  <w:r>
                    <w:rPr>
                      <w:rFonts w:hint="eastAsia"/>
                      <w:color w:val="auto"/>
                      <w:sz w:val="18"/>
                      <w:szCs w:val="18"/>
                    </w:rPr>
                    <w:t>0</w:t>
                  </w:r>
                </w:p>
              </w:tc>
              <w:tc>
                <w:tcPr>
                  <w:tcW w:w="427" w:type="pct"/>
                  <w:shd w:val="clear" w:color="auto" w:fill="auto"/>
                  <w:vAlign w:val="center"/>
                </w:tcPr>
                <w:p w14:paraId="21AF0742">
                  <w:pPr>
                    <w:pStyle w:val="89"/>
                    <w:rPr>
                      <w:bCs/>
                      <w:color w:val="auto"/>
                      <w:sz w:val="18"/>
                      <w:szCs w:val="18"/>
                    </w:rPr>
                  </w:pPr>
                  <w:r>
                    <w:rPr>
                      <w:rFonts w:hint="eastAsia"/>
                      <w:bCs/>
                      <w:color w:val="auto"/>
                      <w:sz w:val="18"/>
                      <w:szCs w:val="18"/>
                    </w:rPr>
                    <w:t>2.6</w:t>
                  </w:r>
                </w:p>
              </w:tc>
              <w:tc>
                <w:tcPr>
                  <w:tcW w:w="444" w:type="pct"/>
                  <w:vAlign w:val="center"/>
                </w:tcPr>
                <w:p w14:paraId="59727AC2">
                  <w:pPr>
                    <w:pStyle w:val="89"/>
                    <w:rPr>
                      <w:bCs/>
                      <w:color w:val="auto"/>
                      <w:sz w:val="18"/>
                      <w:szCs w:val="18"/>
                    </w:rPr>
                  </w:pPr>
                  <w:r>
                    <w:rPr>
                      <w:rFonts w:hint="eastAsia"/>
                      <w:bCs/>
                      <w:color w:val="auto"/>
                      <w:sz w:val="18"/>
                      <w:szCs w:val="18"/>
                    </w:rPr>
                    <w:t>75</w:t>
                  </w:r>
                </w:p>
              </w:tc>
              <w:tc>
                <w:tcPr>
                  <w:tcW w:w="234" w:type="pct"/>
                  <w:vMerge w:val="continue"/>
                  <w:vAlign w:val="center"/>
                </w:tcPr>
                <w:p w14:paraId="7D22FAC0">
                  <w:pPr>
                    <w:pStyle w:val="89"/>
                    <w:rPr>
                      <w:bCs/>
                      <w:color w:val="auto"/>
                      <w:sz w:val="18"/>
                      <w:szCs w:val="18"/>
                    </w:rPr>
                  </w:pPr>
                </w:p>
              </w:tc>
              <w:tc>
                <w:tcPr>
                  <w:tcW w:w="444" w:type="pct"/>
                  <w:vAlign w:val="center"/>
                </w:tcPr>
                <w:p w14:paraId="2D75BD70">
                  <w:pPr>
                    <w:pStyle w:val="89"/>
                    <w:rPr>
                      <w:bCs/>
                      <w:color w:val="auto"/>
                      <w:sz w:val="18"/>
                      <w:szCs w:val="18"/>
                    </w:rPr>
                  </w:pPr>
                  <w:r>
                    <w:rPr>
                      <w:bCs/>
                      <w:color w:val="auto"/>
                      <w:sz w:val="18"/>
                      <w:szCs w:val="18"/>
                    </w:rPr>
                    <w:t>25</w:t>
                  </w:r>
                </w:p>
              </w:tc>
              <w:tc>
                <w:tcPr>
                  <w:tcW w:w="446" w:type="pct"/>
                  <w:vAlign w:val="center"/>
                </w:tcPr>
                <w:p w14:paraId="454985C0">
                  <w:pPr>
                    <w:pStyle w:val="89"/>
                    <w:rPr>
                      <w:bCs/>
                      <w:color w:val="auto"/>
                      <w:sz w:val="18"/>
                      <w:szCs w:val="18"/>
                    </w:rPr>
                  </w:pPr>
                  <w:r>
                    <w:rPr>
                      <w:rFonts w:hint="eastAsia"/>
                      <w:bCs/>
                      <w:color w:val="auto"/>
                      <w:sz w:val="18"/>
                      <w:szCs w:val="18"/>
                    </w:rPr>
                    <w:t>50</w:t>
                  </w:r>
                </w:p>
              </w:tc>
              <w:tc>
                <w:tcPr>
                  <w:tcW w:w="269" w:type="pct"/>
                  <w:vAlign w:val="center"/>
                </w:tcPr>
                <w:p w14:paraId="5BA9D9C7">
                  <w:pPr>
                    <w:pStyle w:val="89"/>
                    <w:rPr>
                      <w:bCs/>
                      <w:color w:val="auto"/>
                      <w:sz w:val="18"/>
                      <w:szCs w:val="18"/>
                    </w:rPr>
                  </w:pPr>
                  <w:r>
                    <w:rPr>
                      <w:rFonts w:hint="eastAsia"/>
                      <w:bCs/>
                      <w:color w:val="auto"/>
                      <w:sz w:val="18"/>
                      <w:szCs w:val="18"/>
                    </w:rPr>
                    <w:t>1m</w:t>
                  </w:r>
                </w:p>
              </w:tc>
            </w:tr>
            <w:tr w14:paraId="3B50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116BAC7">
                  <w:pPr>
                    <w:pStyle w:val="89"/>
                    <w:rPr>
                      <w:color w:val="auto"/>
                      <w:sz w:val="18"/>
                      <w:szCs w:val="18"/>
                    </w:rPr>
                  </w:pPr>
                  <w:r>
                    <w:rPr>
                      <w:rFonts w:hint="eastAsia"/>
                      <w:color w:val="auto"/>
                      <w:sz w:val="18"/>
                      <w:szCs w:val="18"/>
                    </w:rPr>
                    <w:t>7</w:t>
                  </w:r>
                </w:p>
              </w:tc>
              <w:tc>
                <w:tcPr>
                  <w:tcW w:w="337" w:type="pct"/>
                  <w:vMerge w:val="continue"/>
                  <w:vAlign w:val="center"/>
                </w:tcPr>
                <w:p w14:paraId="5BDDA6F5">
                  <w:pPr>
                    <w:pStyle w:val="89"/>
                    <w:rPr>
                      <w:color w:val="auto"/>
                      <w:sz w:val="18"/>
                      <w:szCs w:val="18"/>
                    </w:rPr>
                  </w:pPr>
                </w:p>
              </w:tc>
              <w:tc>
                <w:tcPr>
                  <w:tcW w:w="510" w:type="pct"/>
                  <w:shd w:val="clear" w:color="auto" w:fill="auto"/>
                  <w:vAlign w:val="center"/>
                </w:tcPr>
                <w:p w14:paraId="3BBB7E13">
                  <w:pPr>
                    <w:widowControl/>
                    <w:jc w:val="center"/>
                    <w:textAlignment w:val="center"/>
                    <w:rPr>
                      <w:color w:val="auto"/>
                      <w:sz w:val="18"/>
                      <w:szCs w:val="18"/>
                    </w:rPr>
                  </w:pPr>
                  <w:bookmarkStart w:id="30" w:name="OLE_LINK8"/>
                  <w:r>
                    <w:rPr>
                      <w:color w:val="auto"/>
                      <w:kern w:val="0"/>
                      <w:sz w:val="18"/>
                      <w:szCs w:val="18"/>
                      <w:lang w:bidi="ar"/>
                    </w:rPr>
                    <w:t>高精度倒边机</w:t>
                  </w:r>
                  <w:bookmarkEnd w:id="30"/>
                </w:p>
              </w:tc>
              <w:tc>
                <w:tcPr>
                  <w:tcW w:w="434" w:type="pct"/>
                  <w:vAlign w:val="center"/>
                </w:tcPr>
                <w:p w14:paraId="3700723B">
                  <w:pPr>
                    <w:widowControl/>
                    <w:jc w:val="center"/>
                    <w:textAlignment w:val="center"/>
                    <w:rPr>
                      <w:color w:val="auto"/>
                      <w:kern w:val="0"/>
                      <w:sz w:val="18"/>
                      <w:szCs w:val="18"/>
                      <w:lang w:bidi="ar"/>
                    </w:rPr>
                  </w:pPr>
                  <w:r>
                    <w:rPr>
                      <w:color w:val="auto"/>
                      <w:kern w:val="0"/>
                      <w:sz w:val="18"/>
                      <w:szCs w:val="18"/>
                      <w:lang w:bidi="ar"/>
                    </w:rPr>
                    <w:t>85</w:t>
                  </w:r>
                </w:p>
              </w:tc>
              <w:tc>
                <w:tcPr>
                  <w:tcW w:w="339" w:type="pct"/>
                  <w:vMerge w:val="continue"/>
                  <w:vAlign w:val="center"/>
                </w:tcPr>
                <w:p w14:paraId="64CB5A89">
                  <w:pPr>
                    <w:pStyle w:val="89"/>
                    <w:rPr>
                      <w:bCs/>
                      <w:color w:val="auto"/>
                      <w:sz w:val="18"/>
                      <w:szCs w:val="18"/>
                    </w:rPr>
                  </w:pPr>
                </w:p>
              </w:tc>
              <w:tc>
                <w:tcPr>
                  <w:tcW w:w="286" w:type="pct"/>
                  <w:vAlign w:val="center"/>
                </w:tcPr>
                <w:p w14:paraId="38748655">
                  <w:pPr>
                    <w:jc w:val="center"/>
                    <w:rPr>
                      <w:color w:val="auto"/>
                      <w:sz w:val="18"/>
                      <w:szCs w:val="18"/>
                    </w:rPr>
                  </w:pPr>
                  <w:r>
                    <w:rPr>
                      <w:rFonts w:hint="eastAsia"/>
                      <w:color w:val="auto"/>
                      <w:sz w:val="18"/>
                      <w:szCs w:val="18"/>
                    </w:rPr>
                    <w:t>61</w:t>
                  </w:r>
                </w:p>
              </w:tc>
              <w:tc>
                <w:tcPr>
                  <w:tcW w:w="313" w:type="pct"/>
                  <w:vAlign w:val="center"/>
                </w:tcPr>
                <w:p w14:paraId="27830D7C">
                  <w:pPr>
                    <w:jc w:val="center"/>
                    <w:rPr>
                      <w:color w:val="auto"/>
                      <w:sz w:val="18"/>
                      <w:szCs w:val="18"/>
                    </w:rPr>
                  </w:pPr>
                  <w:r>
                    <w:rPr>
                      <w:rFonts w:hint="eastAsia"/>
                      <w:color w:val="auto"/>
                      <w:sz w:val="18"/>
                      <w:szCs w:val="18"/>
                    </w:rPr>
                    <w:t>33</w:t>
                  </w:r>
                </w:p>
              </w:tc>
              <w:tc>
                <w:tcPr>
                  <w:tcW w:w="277" w:type="pct"/>
                  <w:vAlign w:val="center"/>
                </w:tcPr>
                <w:p w14:paraId="1BF45E2E">
                  <w:pPr>
                    <w:jc w:val="center"/>
                    <w:rPr>
                      <w:color w:val="auto"/>
                      <w:sz w:val="18"/>
                      <w:szCs w:val="18"/>
                    </w:rPr>
                  </w:pPr>
                  <w:r>
                    <w:rPr>
                      <w:rFonts w:hint="eastAsia"/>
                      <w:color w:val="auto"/>
                      <w:sz w:val="18"/>
                      <w:szCs w:val="18"/>
                    </w:rPr>
                    <w:t>0</w:t>
                  </w:r>
                </w:p>
              </w:tc>
              <w:tc>
                <w:tcPr>
                  <w:tcW w:w="427" w:type="pct"/>
                  <w:shd w:val="clear" w:color="auto" w:fill="auto"/>
                  <w:vAlign w:val="center"/>
                </w:tcPr>
                <w:p w14:paraId="2603F84F">
                  <w:pPr>
                    <w:pStyle w:val="89"/>
                    <w:rPr>
                      <w:bCs/>
                      <w:color w:val="auto"/>
                      <w:sz w:val="18"/>
                      <w:szCs w:val="18"/>
                    </w:rPr>
                  </w:pPr>
                  <w:r>
                    <w:rPr>
                      <w:rFonts w:hint="eastAsia"/>
                      <w:bCs/>
                      <w:color w:val="auto"/>
                      <w:sz w:val="18"/>
                      <w:szCs w:val="18"/>
                    </w:rPr>
                    <w:t>2.6</w:t>
                  </w:r>
                </w:p>
              </w:tc>
              <w:tc>
                <w:tcPr>
                  <w:tcW w:w="444" w:type="pct"/>
                  <w:vAlign w:val="center"/>
                </w:tcPr>
                <w:p w14:paraId="39260E6D">
                  <w:pPr>
                    <w:pStyle w:val="89"/>
                    <w:rPr>
                      <w:bCs/>
                      <w:color w:val="auto"/>
                      <w:sz w:val="18"/>
                      <w:szCs w:val="18"/>
                    </w:rPr>
                  </w:pPr>
                  <w:r>
                    <w:rPr>
                      <w:rFonts w:hint="eastAsia"/>
                      <w:bCs/>
                      <w:color w:val="auto"/>
                      <w:sz w:val="18"/>
                      <w:szCs w:val="18"/>
                    </w:rPr>
                    <w:t>75</w:t>
                  </w:r>
                </w:p>
              </w:tc>
              <w:tc>
                <w:tcPr>
                  <w:tcW w:w="234" w:type="pct"/>
                  <w:vMerge w:val="continue"/>
                  <w:vAlign w:val="center"/>
                </w:tcPr>
                <w:p w14:paraId="65A6EB1D">
                  <w:pPr>
                    <w:pStyle w:val="89"/>
                    <w:rPr>
                      <w:bCs/>
                      <w:color w:val="auto"/>
                      <w:sz w:val="18"/>
                      <w:szCs w:val="18"/>
                    </w:rPr>
                  </w:pPr>
                </w:p>
              </w:tc>
              <w:tc>
                <w:tcPr>
                  <w:tcW w:w="444" w:type="pct"/>
                  <w:vAlign w:val="center"/>
                </w:tcPr>
                <w:p w14:paraId="4A4A7A16">
                  <w:pPr>
                    <w:pStyle w:val="89"/>
                    <w:rPr>
                      <w:bCs/>
                      <w:color w:val="auto"/>
                      <w:sz w:val="18"/>
                      <w:szCs w:val="18"/>
                    </w:rPr>
                  </w:pPr>
                  <w:r>
                    <w:rPr>
                      <w:bCs/>
                      <w:color w:val="auto"/>
                      <w:sz w:val="18"/>
                      <w:szCs w:val="18"/>
                    </w:rPr>
                    <w:t>25</w:t>
                  </w:r>
                </w:p>
              </w:tc>
              <w:tc>
                <w:tcPr>
                  <w:tcW w:w="446" w:type="pct"/>
                  <w:vAlign w:val="center"/>
                </w:tcPr>
                <w:p w14:paraId="28064D49">
                  <w:pPr>
                    <w:pStyle w:val="89"/>
                    <w:rPr>
                      <w:bCs/>
                      <w:color w:val="auto"/>
                      <w:sz w:val="18"/>
                      <w:szCs w:val="18"/>
                    </w:rPr>
                  </w:pPr>
                  <w:r>
                    <w:rPr>
                      <w:rFonts w:hint="eastAsia"/>
                      <w:bCs/>
                      <w:color w:val="auto"/>
                      <w:sz w:val="18"/>
                      <w:szCs w:val="18"/>
                    </w:rPr>
                    <w:t>50</w:t>
                  </w:r>
                </w:p>
              </w:tc>
              <w:tc>
                <w:tcPr>
                  <w:tcW w:w="269" w:type="pct"/>
                  <w:vAlign w:val="center"/>
                </w:tcPr>
                <w:p w14:paraId="07F7385D">
                  <w:pPr>
                    <w:pStyle w:val="89"/>
                    <w:rPr>
                      <w:bCs/>
                      <w:color w:val="auto"/>
                      <w:sz w:val="18"/>
                      <w:szCs w:val="18"/>
                    </w:rPr>
                  </w:pPr>
                  <w:r>
                    <w:rPr>
                      <w:rFonts w:hint="eastAsia"/>
                      <w:bCs/>
                      <w:color w:val="auto"/>
                      <w:sz w:val="18"/>
                      <w:szCs w:val="18"/>
                    </w:rPr>
                    <w:t>1m</w:t>
                  </w:r>
                </w:p>
              </w:tc>
            </w:tr>
            <w:tr w14:paraId="4371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0B1BF0DA">
                  <w:pPr>
                    <w:pStyle w:val="89"/>
                    <w:rPr>
                      <w:color w:val="auto"/>
                      <w:sz w:val="18"/>
                      <w:szCs w:val="18"/>
                    </w:rPr>
                  </w:pPr>
                  <w:r>
                    <w:rPr>
                      <w:rFonts w:hint="eastAsia"/>
                      <w:color w:val="auto"/>
                      <w:sz w:val="18"/>
                      <w:szCs w:val="18"/>
                    </w:rPr>
                    <w:t>8</w:t>
                  </w:r>
                </w:p>
              </w:tc>
              <w:tc>
                <w:tcPr>
                  <w:tcW w:w="337" w:type="pct"/>
                  <w:vMerge w:val="continue"/>
                  <w:vAlign w:val="center"/>
                </w:tcPr>
                <w:p w14:paraId="40AAB548">
                  <w:pPr>
                    <w:pStyle w:val="89"/>
                    <w:rPr>
                      <w:color w:val="auto"/>
                      <w:sz w:val="18"/>
                      <w:szCs w:val="18"/>
                    </w:rPr>
                  </w:pPr>
                </w:p>
              </w:tc>
              <w:tc>
                <w:tcPr>
                  <w:tcW w:w="510" w:type="pct"/>
                  <w:shd w:val="clear" w:color="auto" w:fill="auto"/>
                  <w:vAlign w:val="center"/>
                </w:tcPr>
                <w:p w14:paraId="4BA66D10">
                  <w:pPr>
                    <w:widowControl/>
                    <w:jc w:val="center"/>
                    <w:textAlignment w:val="center"/>
                    <w:rPr>
                      <w:color w:val="auto"/>
                      <w:sz w:val="18"/>
                      <w:szCs w:val="18"/>
                    </w:rPr>
                  </w:pPr>
                  <w:r>
                    <w:rPr>
                      <w:color w:val="auto"/>
                      <w:kern w:val="0"/>
                      <w:sz w:val="18"/>
                      <w:szCs w:val="18"/>
                      <w:lang w:bidi="ar"/>
                    </w:rPr>
                    <w:t>倒边机</w:t>
                  </w:r>
                </w:p>
              </w:tc>
              <w:tc>
                <w:tcPr>
                  <w:tcW w:w="434" w:type="pct"/>
                  <w:vAlign w:val="center"/>
                </w:tcPr>
                <w:p w14:paraId="40050E53">
                  <w:pPr>
                    <w:widowControl/>
                    <w:jc w:val="center"/>
                    <w:textAlignment w:val="center"/>
                    <w:rPr>
                      <w:color w:val="auto"/>
                      <w:kern w:val="0"/>
                      <w:sz w:val="18"/>
                      <w:szCs w:val="18"/>
                      <w:lang w:bidi="ar"/>
                    </w:rPr>
                  </w:pPr>
                  <w:r>
                    <w:rPr>
                      <w:rFonts w:hint="eastAsia"/>
                      <w:color w:val="auto"/>
                      <w:kern w:val="0"/>
                      <w:sz w:val="18"/>
                      <w:szCs w:val="18"/>
                      <w:lang w:bidi="ar"/>
                    </w:rPr>
                    <w:t>85</w:t>
                  </w:r>
                </w:p>
              </w:tc>
              <w:tc>
                <w:tcPr>
                  <w:tcW w:w="339" w:type="pct"/>
                  <w:vMerge w:val="continue"/>
                  <w:vAlign w:val="center"/>
                </w:tcPr>
                <w:p w14:paraId="5BE6C8FC">
                  <w:pPr>
                    <w:pStyle w:val="89"/>
                    <w:rPr>
                      <w:bCs/>
                      <w:color w:val="auto"/>
                      <w:sz w:val="18"/>
                      <w:szCs w:val="18"/>
                    </w:rPr>
                  </w:pPr>
                </w:p>
              </w:tc>
              <w:tc>
                <w:tcPr>
                  <w:tcW w:w="286" w:type="pct"/>
                  <w:vAlign w:val="center"/>
                </w:tcPr>
                <w:p w14:paraId="47FF030A">
                  <w:pPr>
                    <w:jc w:val="center"/>
                    <w:rPr>
                      <w:color w:val="auto"/>
                      <w:sz w:val="18"/>
                      <w:szCs w:val="18"/>
                    </w:rPr>
                  </w:pPr>
                  <w:r>
                    <w:rPr>
                      <w:rFonts w:hint="eastAsia"/>
                      <w:color w:val="auto"/>
                      <w:sz w:val="18"/>
                      <w:szCs w:val="18"/>
                    </w:rPr>
                    <w:t>42</w:t>
                  </w:r>
                </w:p>
              </w:tc>
              <w:tc>
                <w:tcPr>
                  <w:tcW w:w="313" w:type="pct"/>
                  <w:vAlign w:val="center"/>
                </w:tcPr>
                <w:p w14:paraId="23CCFE2C">
                  <w:pPr>
                    <w:jc w:val="center"/>
                    <w:rPr>
                      <w:color w:val="auto"/>
                      <w:sz w:val="18"/>
                      <w:szCs w:val="18"/>
                    </w:rPr>
                  </w:pPr>
                  <w:r>
                    <w:rPr>
                      <w:rFonts w:hint="eastAsia"/>
                      <w:color w:val="auto"/>
                      <w:sz w:val="18"/>
                      <w:szCs w:val="18"/>
                    </w:rPr>
                    <w:t>38</w:t>
                  </w:r>
                </w:p>
              </w:tc>
              <w:tc>
                <w:tcPr>
                  <w:tcW w:w="277" w:type="pct"/>
                  <w:vAlign w:val="center"/>
                </w:tcPr>
                <w:p w14:paraId="116F03FF">
                  <w:pPr>
                    <w:jc w:val="center"/>
                    <w:rPr>
                      <w:color w:val="auto"/>
                      <w:sz w:val="18"/>
                      <w:szCs w:val="18"/>
                    </w:rPr>
                  </w:pPr>
                  <w:r>
                    <w:rPr>
                      <w:rFonts w:hint="eastAsia"/>
                      <w:color w:val="auto"/>
                      <w:sz w:val="18"/>
                      <w:szCs w:val="18"/>
                    </w:rPr>
                    <w:t>0</w:t>
                  </w:r>
                </w:p>
              </w:tc>
              <w:tc>
                <w:tcPr>
                  <w:tcW w:w="427" w:type="pct"/>
                  <w:shd w:val="clear" w:color="auto" w:fill="auto"/>
                  <w:vAlign w:val="center"/>
                </w:tcPr>
                <w:p w14:paraId="1C17E20B">
                  <w:pPr>
                    <w:pStyle w:val="89"/>
                    <w:rPr>
                      <w:bCs/>
                      <w:color w:val="auto"/>
                      <w:sz w:val="18"/>
                      <w:szCs w:val="18"/>
                    </w:rPr>
                  </w:pPr>
                  <w:r>
                    <w:rPr>
                      <w:rFonts w:hint="eastAsia"/>
                      <w:bCs/>
                      <w:color w:val="auto"/>
                      <w:sz w:val="18"/>
                      <w:szCs w:val="18"/>
                    </w:rPr>
                    <w:t>2.6</w:t>
                  </w:r>
                </w:p>
              </w:tc>
              <w:tc>
                <w:tcPr>
                  <w:tcW w:w="444" w:type="pct"/>
                  <w:vAlign w:val="center"/>
                </w:tcPr>
                <w:p w14:paraId="1602881F">
                  <w:pPr>
                    <w:pStyle w:val="89"/>
                    <w:rPr>
                      <w:bCs/>
                      <w:color w:val="auto"/>
                      <w:sz w:val="18"/>
                      <w:szCs w:val="18"/>
                    </w:rPr>
                  </w:pPr>
                  <w:r>
                    <w:rPr>
                      <w:rFonts w:hint="eastAsia"/>
                      <w:bCs/>
                      <w:color w:val="auto"/>
                      <w:sz w:val="18"/>
                      <w:szCs w:val="18"/>
                    </w:rPr>
                    <w:t>75</w:t>
                  </w:r>
                </w:p>
              </w:tc>
              <w:tc>
                <w:tcPr>
                  <w:tcW w:w="234" w:type="pct"/>
                  <w:vMerge w:val="continue"/>
                  <w:vAlign w:val="center"/>
                </w:tcPr>
                <w:p w14:paraId="645F3D9A">
                  <w:pPr>
                    <w:pStyle w:val="89"/>
                    <w:rPr>
                      <w:bCs/>
                      <w:color w:val="auto"/>
                      <w:sz w:val="18"/>
                      <w:szCs w:val="18"/>
                    </w:rPr>
                  </w:pPr>
                </w:p>
              </w:tc>
              <w:tc>
                <w:tcPr>
                  <w:tcW w:w="444" w:type="pct"/>
                  <w:vAlign w:val="center"/>
                </w:tcPr>
                <w:p w14:paraId="59543DEF">
                  <w:pPr>
                    <w:pStyle w:val="89"/>
                    <w:rPr>
                      <w:bCs/>
                      <w:color w:val="auto"/>
                      <w:sz w:val="18"/>
                      <w:szCs w:val="18"/>
                    </w:rPr>
                  </w:pPr>
                  <w:r>
                    <w:rPr>
                      <w:bCs/>
                      <w:color w:val="auto"/>
                      <w:sz w:val="18"/>
                      <w:szCs w:val="18"/>
                    </w:rPr>
                    <w:t>25</w:t>
                  </w:r>
                </w:p>
              </w:tc>
              <w:tc>
                <w:tcPr>
                  <w:tcW w:w="446" w:type="pct"/>
                  <w:vAlign w:val="center"/>
                </w:tcPr>
                <w:p w14:paraId="00479B92">
                  <w:pPr>
                    <w:pStyle w:val="89"/>
                    <w:rPr>
                      <w:bCs/>
                      <w:color w:val="auto"/>
                      <w:sz w:val="18"/>
                      <w:szCs w:val="18"/>
                    </w:rPr>
                  </w:pPr>
                  <w:r>
                    <w:rPr>
                      <w:rFonts w:hint="eastAsia"/>
                      <w:bCs/>
                      <w:color w:val="auto"/>
                      <w:sz w:val="18"/>
                      <w:szCs w:val="18"/>
                    </w:rPr>
                    <w:t>50</w:t>
                  </w:r>
                </w:p>
              </w:tc>
              <w:tc>
                <w:tcPr>
                  <w:tcW w:w="269" w:type="pct"/>
                  <w:vAlign w:val="center"/>
                </w:tcPr>
                <w:p w14:paraId="615E7331">
                  <w:pPr>
                    <w:pStyle w:val="89"/>
                    <w:rPr>
                      <w:bCs/>
                      <w:color w:val="auto"/>
                      <w:sz w:val="18"/>
                      <w:szCs w:val="18"/>
                    </w:rPr>
                  </w:pPr>
                  <w:r>
                    <w:rPr>
                      <w:rFonts w:hint="eastAsia"/>
                      <w:bCs/>
                      <w:color w:val="auto"/>
                      <w:sz w:val="18"/>
                      <w:szCs w:val="18"/>
                    </w:rPr>
                    <w:t>1m</w:t>
                  </w:r>
                </w:p>
              </w:tc>
            </w:tr>
            <w:tr w14:paraId="3EDB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F2271C7">
                  <w:pPr>
                    <w:pStyle w:val="89"/>
                    <w:rPr>
                      <w:color w:val="auto"/>
                      <w:sz w:val="18"/>
                      <w:szCs w:val="18"/>
                    </w:rPr>
                  </w:pPr>
                  <w:r>
                    <w:rPr>
                      <w:rFonts w:hint="eastAsia"/>
                      <w:color w:val="auto"/>
                      <w:sz w:val="18"/>
                      <w:szCs w:val="18"/>
                    </w:rPr>
                    <w:t>9</w:t>
                  </w:r>
                </w:p>
              </w:tc>
              <w:tc>
                <w:tcPr>
                  <w:tcW w:w="337" w:type="pct"/>
                  <w:vMerge w:val="continue"/>
                  <w:vAlign w:val="center"/>
                </w:tcPr>
                <w:p w14:paraId="4FBC8353">
                  <w:pPr>
                    <w:pStyle w:val="89"/>
                    <w:rPr>
                      <w:color w:val="auto"/>
                      <w:sz w:val="18"/>
                      <w:szCs w:val="18"/>
                    </w:rPr>
                  </w:pPr>
                </w:p>
              </w:tc>
              <w:tc>
                <w:tcPr>
                  <w:tcW w:w="510" w:type="pct"/>
                  <w:shd w:val="clear" w:color="auto" w:fill="auto"/>
                  <w:vAlign w:val="center"/>
                </w:tcPr>
                <w:p w14:paraId="50E9766A">
                  <w:pPr>
                    <w:widowControl/>
                    <w:jc w:val="center"/>
                    <w:textAlignment w:val="center"/>
                    <w:rPr>
                      <w:color w:val="auto"/>
                      <w:sz w:val="18"/>
                      <w:szCs w:val="18"/>
                    </w:rPr>
                  </w:pPr>
                  <w:r>
                    <w:rPr>
                      <w:color w:val="auto"/>
                      <w:kern w:val="0"/>
                      <w:sz w:val="18"/>
                      <w:szCs w:val="18"/>
                      <w:lang w:bidi="ar"/>
                    </w:rPr>
                    <w:t>超声烘道（5.5米）</w:t>
                  </w:r>
                </w:p>
              </w:tc>
              <w:tc>
                <w:tcPr>
                  <w:tcW w:w="434" w:type="pct"/>
                  <w:vAlign w:val="center"/>
                </w:tcPr>
                <w:p w14:paraId="217276F3">
                  <w:pPr>
                    <w:widowControl/>
                    <w:jc w:val="center"/>
                    <w:textAlignment w:val="center"/>
                    <w:rPr>
                      <w:color w:val="auto"/>
                      <w:kern w:val="0"/>
                      <w:sz w:val="18"/>
                      <w:szCs w:val="18"/>
                      <w:lang w:bidi="ar"/>
                    </w:rPr>
                  </w:pPr>
                  <w:r>
                    <w:rPr>
                      <w:rFonts w:hint="eastAsia"/>
                      <w:color w:val="auto"/>
                      <w:kern w:val="0"/>
                      <w:sz w:val="18"/>
                      <w:szCs w:val="18"/>
                      <w:lang w:bidi="ar"/>
                    </w:rPr>
                    <w:t>80</w:t>
                  </w:r>
                </w:p>
              </w:tc>
              <w:tc>
                <w:tcPr>
                  <w:tcW w:w="339" w:type="pct"/>
                  <w:vMerge w:val="continue"/>
                  <w:vAlign w:val="center"/>
                </w:tcPr>
                <w:p w14:paraId="51C8EB5A">
                  <w:pPr>
                    <w:pStyle w:val="89"/>
                    <w:rPr>
                      <w:bCs/>
                      <w:color w:val="auto"/>
                      <w:sz w:val="18"/>
                      <w:szCs w:val="18"/>
                    </w:rPr>
                  </w:pPr>
                </w:p>
              </w:tc>
              <w:tc>
                <w:tcPr>
                  <w:tcW w:w="286" w:type="pct"/>
                  <w:vAlign w:val="center"/>
                </w:tcPr>
                <w:p w14:paraId="48F4EA95">
                  <w:pPr>
                    <w:jc w:val="center"/>
                    <w:rPr>
                      <w:color w:val="auto"/>
                      <w:sz w:val="18"/>
                      <w:szCs w:val="18"/>
                    </w:rPr>
                  </w:pPr>
                  <w:r>
                    <w:rPr>
                      <w:rFonts w:hint="eastAsia"/>
                      <w:color w:val="auto"/>
                      <w:sz w:val="18"/>
                      <w:szCs w:val="18"/>
                    </w:rPr>
                    <w:t>21</w:t>
                  </w:r>
                </w:p>
              </w:tc>
              <w:tc>
                <w:tcPr>
                  <w:tcW w:w="313" w:type="pct"/>
                  <w:vAlign w:val="center"/>
                </w:tcPr>
                <w:p w14:paraId="6CDFA655">
                  <w:pPr>
                    <w:jc w:val="center"/>
                    <w:rPr>
                      <w:color w:val="auto"/>
                      <w:sz w:val="18"/>
                      <w:szCs w:val="18"/>
                    </w:rPr>
                  </w:pPr>
                  <w:r>
                    <w:rPr>
                      <w:rFonts w:hint="eastAsia"/>
                      <w:color w:val="auto"/>
                      <w:sz w:val="18"/>
                      <w:szCs w:val="18"/>
                    </w:rPr>
                    <w:t>10</w:t>
                  </w:r>
                </w:p>
              </w:tc>
              <w:tc>
                <w:tcPr>
                  <w:tcW w:w="277" w:type="pct"/>
                  <w:vAlign w:val="center"/>
                </w:tcPr>
                <w:p w14:paraId="7DCE0022">
                  <w:pPr>
                    <w:jc w:val="center"/>
                    <w:rPr>
                      <w:color w:val="auto"/>
                      <w:sz w:val="18"/>
                      <w:szCs w:val="18"/>
                    </w:rPr>
                  </w:pPr>
                  <w:r>
                    <w:rPr>
                      <w:rFonts w:hint="eastAsia"/>
                      <w:color w:val="auto"/>
                      <w:sz w:val="18"/>
                      <w:szCs w:val="18"/>
                    </w:rPr>
                    <w:t>0</w:t>
                  </w:r>
                </w:p>
              </w:tc>
              <w:tc>
                <w:tcPr>
                  <w:tcW w:w="427" w:type="pct"/>
                  <w:shd w:val="clear" w:color="auto" w:fill="auto"/>
                  <w:vAlign w:val="center"/>
                </w:tcPr>
                <w:p w14:paraId="066AEC32">
                  <w:pPr>
                    <w:pStyle w:val="89"/>
                    <w:rPr>
                      <w:bCs/>
                      <w:color w:val="auto"/>
                      <w:sz w:val="18"/>
                      <w:szCs w:val="18"/>
                    </w:rPr>
                  </w:pPr>
                  <w:r>
                    <w:rPr>
                      <w:rFonts w:hint="eastAsia"/>
                      <w:bCs/>
                      <w:color w:val="auto"/>
                      <w:sz w:val="18"/>
                      <w:szCs w:val="18"/>
                    </w:rPr>
                    <w:t>2.6</w:t>
                  </w:r>
                </w:p>
              </w:tc>
              <w:tc>
                <w:tcPr>
                  <w:tcW w:w="444" w:type="pct"/>
                  <w:vAlign w:val="center"/>
                </w:tcPr>
                <w:p w14:paraId="3403695E">
                  <w:pPr>
                    <w:pStyle w:val="89"/>
                    <w:rPr>
                      <w:bCs/>
                      <w:color w:val="auto"/>
                      <w:sz w:val="18"/>
                      <w:szCs w:val="18"/>
                    </w:rPr>
                  </w:pPr>
                  <w:r>
                    <w:rPr>
                      <w:rFonts w:hint="eastAsia"/>
                      <w:bCs/>
                      <w:color w:val="auto"/>
                      <w:sz w:val="18"/>
                      <w:szCs w:val="18"/>
                    </w:rPr>
                    <w:t>75</w:t>
                  </w:r>
                </w:p>
              </w:tc>
              <w:tc>
                <w:tcPr>
                  <w:tcW w:w="234" w:type="pct"/>
                  <w:vMerge w:val="continue"/>
                  <w:vAlign w:val="center"/>
                </w:tcPr>
                <w:p w14:paraId="298F50D9">
                  <w:pPr>
                    <w:pStyle w:val="89"/>
                    <w:rPr>
                      <w:bCs/>
                      <w:color w:val="auto"/>
                      <w:sz w:val="18"/>
                      <w:szCs w:val="18"/>
                    </w:rPr>
                  </w:pPr>
                </w:p>
              </w:tc>
              <w:tc>
                <w:tcPr>
                  <w:tcW w:w="444" w:type="pct"/>
                  <w:vAlign w:val="center"/>
                </w:tcPr>
                <w:p w14:paraId="77AEBE42">
                  <w:pPr>
                    <w:pStyle w:val="89"/>
                    <w:rPr>
                      <w:bCs/>
                      <w:color w:val="auto"/>
                      <w:sz w:val="18"/>
                      <w:szCs w:val="18"/>
                    </w:rPr>
                  </w:pPr>
                  <w:r>
                    <w:rPr>
                      <w:bCs/>
                      <w:color w:val="auto"/>
                      <w:sz w:val="18"/>
                      <w:szCs w:val="18"/>
                    </w:rPr>
                    <w:t>25</w:t>
                  </w:r>
                </w:p>
              </w:tc>
              <w:tc>
                <w:tcPr>
                  <w:tcW w:w="446" w:type="pct"/>
                  <w:vAlign w:val="center"/>
                </w:tcPr>
                <w:p w14:paraId="16F44AFC">
                  <w:pPr>
                    <w:pStyle w:val="89"/>
                    <w:rPr>
                      <w:bCs/>
                      <w:color w:val="auto"/>
                      <w:sz w:val="18"/>
                      <w:szCs w:val="18"/>
                    </w:rPr>
                  </w:pPr>
                  <w:r>
                    <w:rPr>
                      <w:rFonts w:hint="eastAsia"/>
                      <w:bCs/>
                      <w:color w:val="auto"/>
                      <w:sz w:val="18"/>
                      <w:szCs w:val="18"/>
                    </w:rPr>
                    <w:t>50</w:t>
                  </w:r>
                </w:p>
              </w:tc>
              <w:tc>
                <w:tcPr>
                  <w:tcW w:w="269" w:type="pct"/>
                  <w:vAlign w:val="center"/>
                </w:tcPr>
                <w:p w14:paraId="27E52785">
                  <w:pPr>
                    <w:pStyle w:val="89"/>
                    <w:rPr>
                      <w:bCs/>
                      <w:color w:val="auto"/>
                      <w:sz w:val="18"/>
                      <w:szCs w:val="18"/>
                    </w:rPr>
                  </w:pPr>
                  <w:r>
                    <w:rPr>
                      <w:rFonts w:hint="eastAsia"/>
                      <w:bCs/>
                      <w:color w:val="auto"/>
                      <w:sz w:val="18"/>
                      <w:szCs w:val="18"/>
                    </w:rPr>
                    <w:t>1m</w:t>
                  </w:r>
                </w:p>
              </w:tc>
            </w:tr>
            <w:tr w14:paraId="33B1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6EF02161">
                  <w:pPr>
                    <w:pStyle w:val="89"/>
                    <w:rPr>
                      <w:color w:val="auto"/>
                      <w:sz w:val="18"/>
                      <w:szCs w:val="18"/>
                    </w:rPr>
                  </w:pPr>
                  <w:r>
                    <w:rPr>
                      <w:rFonts w:hint="eastAsia"/>
                      <w:color w:val="auto"/>
                      <w:sz w:val="18"/>
                      <w:szCs w:val="18"/>
                    </w:rPr>
                    <w:t>10</w:t>
                  </w:r>
                </w:p>
              </w:tc>
              <w:tc>
                <w:tcPr>
                  <w:tcW w:w="337" w:type="pct"/>
                  <w:vMerge w:val="continue"/>
                  <w:vAlign w:val="center"/>
                </w:tcPr>
                <w:p w14:paraId="14F8731F">
                  <w:pPr>
                    <w:pStyle w:val="89"/>
                    <w:rPr>
                      <w:color w:val="auto"/>
                      <w:sz w:val="18"/>
                      <w:szCs w:val="18"/>
                    </w:rPr>
                  </w:pPr>
                </w:p>
              </w:tc>
              <w:tc>
                <w:tcPr>
                  <w:tcW w:w="510" w:type="pct"/>
                  <w:shd w:val="clear" w:color="auto" w:fill="auto"/>
                  <w:vAlign w:val="center"/>
                </w:tcPr>
                <w:p w14:paraId="0878D7AD">
                  <w:pPr>
                    <w:widowControl/>
                    <w:jc w:val="center"/>
                    <w:textAlignment w:val="center"/>
                    <w:rPr>
                      <w:color w:val="auto"/>
                      <w:sz w:val="18"/>
                      <w:szCs w:val="18"/>
                    </w:rPr>
                  </w:pPr>
                  <w:r>
                    <w:rPr>
                      <w:color w:val="auto"/>
                      <w:kern w:val="0"/>
                      <w:sz w:val="18"/>
                      <w:szCs w:val="18"/>
                      <w:lang w:bidi="ar"/>
                    </w:rPr>
                    <w:t>超声烘道（4.5米）</w:t>
                  </w:r>
                </w:p>
              </w:tc>
              <w:tc>
                <w:tcPr>
                  <w:tcW w:w="434" w:type="pct"/>
                  <w:vAlign w:val="center"/>
                </w:tcPr>
                <w:p w14:paraId="7584D39A">
                  <w:pPr>
                    <w:widowControl/>
                    <w:jc w:val="center"/>
                    <w:textAlignment w:val="center"/>
                    <w:rPr>
                      <w:color w:val="auto"/>
                      <w:kern w:val="0"/>
                      <w:sz w:val="18"/>
                      <w:szCs w:val="18"/>
                      <w:lang w:bidi="ar"/>
                    </w:rPr>
                  </w:pPr>
                  <w:r>
                    <w:rPr>
                      <w:rFonts w:hint="eastAsia"/>
                      <w:color w:val="auto"/>
                      <w:kern w:val="0"/>
                      <w:sz w:val="18"/>
                      <w:szCs w:val="18"/>
                      <w:lang w:bidi="ar"/>
                    </w:rPr>
                    <w:t>85</w:t>
                  </w:r>
                </w:p>
              </w:tc>
              <w:tc>
                <w:tcPr>
                  <w:tcW w:w="339" w:type="pct"/>
                  <w:vMerge w:val="continue"/>
                  <w:vAlign w:val="center"/>
                </w:tcPr>
                <w:p w14:paraId="06452F07">
                  <w:pPr>
                    <w:pStyle w:val="89"/>
                    <w:rPr>
                      <w:bCs/>
                      <w:color w:val="auto"/>
                      <w:sz w:val="18"/>
                      <w:szCs w:val="18"/>
                    </w:rPr>
                  </w:pPr>
                </w:p>
              </w:tc>
              <w:tc>
                <w:tcPr>
                  <w:tcW w:w="286" w:type="pct"/>
                  <w:vAlign w:val="center"/>
                </w:tcPr>
                <w:p w14:paraId="3EDA44D1">
                  <w:pPr>
                    <w:jc w:val="center"/>
                    <w:rPr>
                      <w:color w:val="auto"/>
                      <w:sz w:val="18"/>
                      <w:szCs w:val="18"/>
                    </w:rPr>
                  </w:pPr>
                  <w:r>
                    <w:rPr>
                      <w:rFonts w:hint="eastAsia"/>
                      <w:color w:val="auto"/>
                      <w:sz w:val="18"/>
                      <w:szCs w:val="18"/>
                    </w:rPr>
                    <w:t>50</w:t>
                  </w:r>
                </w:p>
              </w:tc>
              <w:tc>
                <w:tcPr>
                  <w:tcW w:w="313" w:type="pct"/>
                  <w:vAlign w:val="center"/>
                </w:tcPr>
                <w:p w14:paraId="5177B997">
                  <w:pPr>
                    <w:jc w:val="center"/>
                    <w:rPr>
                      <w:color w:val="auto"/>
                      <w:sz w:val="18"/>
                      <w:szCs w:val="18"/>
                    </w:rPr>
                  </w:pPr>
                  <w:r>
                    <w:rPr>
                      <w:rFonts w:hint="eastAsia"/>
                      <w:color w:val="auto"/>
                      <w:sz w:val="18"/>
                      <w:szCs w:val="18"/>
                    </w:rPr>
                    <w:t>6</w:t>
                  </w:r>
                </w:p>
              </w:tc>
              <w:tc>
                <w:tcPr>
                  <w:tcW w:w="277" w:type="pct"/>
                  <w:vAlign w:val="center"/>
                </w:tcPr>
                <w:p w14:paraId="403DF223">
                  <w:pPr>
                    <w:jc w:val="center"/>
                    <w:rPr>
                      <w:color w:val="auto"/>
                      <w:sz w:val="18"/>
                      <w:szCs w:val="18"/>
                    </w:rPr>
                  </w:pPr>
                  <w:r>
                    <w:rPr>
                      <w:rFonts w:hint="eastAsia"/>
                      <w:color w:val="auto"/>
                      <w:sz w:val="18"/>
                      <w:szCs w:val="18"/>
                    </w:rPr>
                    <w:t>0</w:t>
                  </w:r>
                </w:p>
              </w:tc>
              <w:tc>
                <w:tcPr>
                  <w:tcW w:w="427" w:type="pct"/>
                  <w:shd w:val="clear" w:color="auto" w:fill="auto"/>
                  <w:vAlign w:val="center"/>
                </w:tcPr>
                <w:p w14:paraId="6BC53DEA">
                  <w:pPr>
                    <w:pStyle w:val="89"/>
                    <w:rPr>
                      <w:bCs/>
                      <w:color w:val="auto"/>
                      <w:sz w:val="18"/>
                      <w:szCs w:val="18"/>
                    </w:rPr>
                  </w:pPr>
                  <w:r>
                    <w:rPr>
                      <w:rFonts w:hint="eastAsia"/>
                      <w:bCs/>
                      <w:color w:val="auto"/>
                      <w:sz w:val="18"/>
                      <w:szCs w:val="18"/>
                    </w:rPr>
                    <w:t>2.6</w:t>
                  </w:r>
                </w:p>
              </w:tc>
              <w:tc>
                <w:tcPr>
                  <w:tcW w:w="444" w:type="pct"/>
                  <w:vAlign w:val="center"/>
                </w:tcPr>
                <w:p w14:paraId="26A242A2">
                  <w:pPr>
                    <w:pStyle w:val="89"/>
                    <w:rPr>
                      <w:bCs/>
                      <w:color w:val="auto"/>
                      <w:sz w:val="18"/>
                      <w:szCs w:val="18"/>
                    </w:rPr>
                  </w:pPr>
                  <w:r>
                    <w:rPr>
                      <w:rFonts w:hint="eastAsia"/>
                      <w:bCs/>
                      <w:color w:val="auto"/>
                      <w:sz w:val="18"/>
                      <w:szCs w:val="18"/>
                    </w:rPr>
                    <w:t>75</w:t>
                  </w:r>
                </w:p>
              </w:tc>
              <w:tc>
                <w:tcPr>
                  <w:tcW w:w="234" w:type="pct"/>
                  <w:vMerge w:val="continue"/>
                  <w:vAlign w:val="center"/>
                </w:tcPr>
                <w:p w14:paraId="7BBA07F7">
                  <w:pPr>
                    <w:pStyle w:val="89"/>
                    <w:rPr>
                      <w:bCs/>
                      <w:color w:val="auto"/>
                      <w:sz w:val="18"/>
                      <w:szCs w:val="18"/>
                    </w:rPr>
                  </w:pPr>
                </w:p>
              </w:tc>
              <w:tc>
                <w:tcPr>
                  <w:tcW w:w="444" w:type="pct"/>
                  <w:vAlign w:val="center"/>
                </w:tcPr>
                <w:p w14:paraId="6EAD46CC">
                  <w:pPr>
                    <w:pStyle w:val="89"/>
                    <w:rPr>
                      <w:bCs/>
                      <w:color w:val="auto"/>
                      <w:sz w:val="18"/>
                      <w:szCs w:val="18"/>
                    </w:rPr>
                  </w:pPr>
                  <w:r>
                    <w:rPr>
                      <w:bCs/>
                      <w:color w:val="auto"/>
                      <w:sz w:val="18"/>
                      <w:szCs w:val="18"/>
                    </w:rPr>
                    <w:t>25</w:t>
                  </w:r>
                </w:p>
              </w:tc>
              <w:tc>
                <w:tcPr>
                  <w:tcW w:w="446" w:type="pct"/>
                  <w:vAlign w:val="center"/>
                </w:tcPr>
                <w:p w14:paraId="1712778A">
                  <w:pPr>
                    <w:pStyle w:val="89"/>
                    <w:rPr>
                      <w:bCs/>
                      <w:color w:val="auto"/>
                      <w:sz w:val="18"/>
                      <w:szCs w:val="18"/>
                    </w:rPr>
                  </w:pPr>
                  <w:r>
                    <w:rPr>
                      <w:rFonts w:hint="eastAsia"/>
                      <w:bCs/>
                      <w:color w:val="auto"/>
                      <w:sz w:val="18"/>
                      <w:szCs w:val="18"/>
                    </w:rPr>
                    <w:t>50</w:t>
                  </w:r>
                </w:p>
              </w:tc>
              <w:tc>
                <w:tcPr>
                  <w:tcW w:w="269" w:type="pct"/>
                  <w:vAlign w:val="center"/>
                </w:tcPr>
                <w:p w14:paraId="17040633">
                  <w:pPr>
                    <w:pStyle w:val="89"/>
                    <w:rPr>
                      <w:bCs/>
                      <w:color w:val="auto"/>
                      <w:sz w:val="18"/>
                      <w:szCs w:val="18"/>
                    </w:rPr>
                  </w:pPr>
                  <w:r>
                    <w:rPr>
                      <w:rFonts w:hint="eastAsia"/>
                      <w:bCs/>
                      <w:color w:val="auto"/>
                      <w:sz w:val="18"/>
                      <w:szCs w:val="18"/>
                    </w:rPr>
                    <w:t>1m</w:t>
                  </w:r>
                </w:p>
              </w:tc>
            </w:tr>
            <w:tr w14:paraId="2634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1F0025DC">
                  <w:pPr>
                    <w:pStyle w:val="89"/>
                    <w:rPr>
                      <w:color w:val="auto"/>
                      <w:sz w:val="18"/>
                      <w:szCs w:val="18"/>
                    </w:rPr>
                  </w:pPr>
                  <w:r>
                    <w:rPr>
                      <w:rFonts w:hint="eastAsia"/>
                      <w:color w:val="auto"/>
                      <w:sz w:val="18"/>
                      <w:szCs w:val="18"/>
                    </w:rPr>
                    <w:t>11</w:t>
                  </w:r>
                </w:p>
              </w:tc>
              <w:tc>
                <w:tcPr>
                  <w:tcW w:w="337" w:type="pct"/>
                  <w:vMerge w:val="continue"/>
                  <w:vAlign w:val="center"/>
                </w:tcPr>
                <w:p w14:paraId="0E93C424">
                  <w:pPr>
                    <w:pStyle w:val="89"/>
                    <w:rPr>
                      <w:color w:val="auto"/>
                      <w:sz w:val="18"/>
                      <w:szCs w:val="18"/>
                    </w:rPr>
                  </w:pPr>
                </w:p>
              </w:tc>
              <w:tc>
                <w:tcPr>
                  <w:tcW w:w="510" w:type="pct"/>
                  <w:shd w:val="clear" w:color="auto" w:fill="auto"/>
                  <w:vAlign w:val="center"/>
                </w:tcPr>
                <w:p w14:paraId="2DD2D5A8">
                  <w:pPr>
                    <w:widowControl/>
                    <w:jc w:val="center"/>
                    <w:textAlignment w:val="center"/>
                    <w:rPr>
                      <w:color w:val="auto"/>
                      <w:sz w:val="18"/>
                      <w:szCs w:val="18"/>
                    </w:rPr>
                  </w:pPr>
                  <w:r>
                    <w:rPr>
                      <w:color w:val="auto"/>
                      <w:kern w:val="0"/>
                      <w:sz w:val="18"/>
                      <w:szCs w:val="18"/>
                      <w:lang w:bidi="ar"/>
                    </w:rPr>
                    <w:t>成型磨超声清洗烘道（2米）</w:t>
                  </w:r>
                </w:p>
              </w:tc>
              <w:tc>
                <w:tcPr>
                  <w:tcW w:w="434" w:type="pct"/>
                  <w:vAlign w:val="center"/>
                </w:tcPr>
                <w:p w14:paraId="68EF3348">
                  <w:pPr>
                    <w:widowControl/>
                    <w:jc w:val="center"/>
                    <w:textAlignment w:val="center"/>
                    <w:rPr>
                      <w:color w:val="auto"/>
                      <w:kern w:val="0"/>
                      <w:sz w:val="18"/>
                      <w:szCs w:val="18"/>
                      <w:lang w:bidi="ar"/>
                    </w:rPr>
                  </w:pPr>
                  <w:r>
                    <w:rPr>
                      <w:rFonts w:hint="eastAsia"/>
                      <w:color w:val="auto"/>
                      <w:kern w:val="0"/>
                      <w:sz w:val="18"/>
                      <w:szCs w:val="18"/>
                      <w:lang w:bidi="ar"/>
                    </w:rPr>
                    <w:t>80</w:t>
                  </w:r>
                </w:p>
              </w:tc>
              <w:tc>
                <w:tcPr>
                  <w:tcW w:w="339" w:type="pct"/>
                  <w:vMerge w:val="continue"/>
                  <w:vAlign w:val="center"/>
                </w:tcPr>
                <w:p w14:paraId="08205BB7">
                  <w:pPr>
                    <w:pStyle w:val="89"/>
                    <w:rPr>
                      <w:bCs/>
                      <w:color w:val="auto"/>
                      <w:sz w:val="18"/>
                      <w:szCs w:val="18"/>
                    </w:rPr>
                  </w:pPr>
                </w:p>
              </w:tc>
              <w:tc>
                <w:tcPr>
                  <w:tcW w:w="286" w:type="pct"/>
                  <w:vAlign w:val="center"/>
                </w:tcPr>
                <w:p w14:paraId="1590A4C8">
                  <w:pPr>
                    <w:jc w:val="center"/>
                    <w:rPr>
                      <w:color w:val="auto"/>
                      <w:sz w:val="18"/>
                      <w:szCs w:val="18"/>
                    </w:rPr>
                  </w:pPr>
                  <w:r>
                    <w:rPr>
                      <w:rFonts w:hint="eastAsia"/>
                      <w:color w:val="auto"/>
                      <w:sz w:val="18"/>
                      <w:szCs w:val="18"/>
                    </w:rPr>
                    <w:t>63</w:t>
                  </w:r>
                </w:p>
              </w:tc>
              <w:tc>
                <w:tcPr>
                  <w:tcW w:w="313" w:type="pct"/>
                  <w:vAlign w:val="center"/>
                </w:tcPr>
                <w:p w14:paraId="69DE2DA1">
                  <w:pPr>
                    <w:jc w:val="center"/>
                    <w:rPr>
                      <w:color w:val="auto"/>
                      <w:sz w:val="18"/>
                      <w:szCs w:val="18"/>
                    </w:rPr>
                  </w:pPr>
                  <w:r>
                    <w:rPr>
                      <w:rFonts w:hint="eastAsia"/>
                      <w:color w:val="auto"/>
                      <w:sz w:val="18"/>
                      <w:szCs w:val="18"/>
                    </w:rPr>
                    <w:t>10</w:t>
                  </w:r>
                </w:p>
              </w:tc>
              <w:tc>
                <w:tcPr>
                  <w:tcW w:w="277" w:type="pct"/>
                  <w:vAlign w:val="center"/>
                </w:tcPr>
                <w:p w14:paraId="5D4DC963">
                  <w:pPr>
                    <w:jc w:val="center"/>
                    <w:rPr>
                      <w:color w:val="auto"/>
                      <w:sz w:val="18"/>
                      <w:szCs w:val="18"/>
                    </w:rPr>
                  </w:pPr>
                  <w:r>
                    <w:rPr>
                      <w:rFonts w:hint="eastAsia"/>
                      <w:color w:val="auto"/>
                      <w:sz w:val="18"/>
                      <w:szCs w:val="18"/>
                    </w:rPr>
                    <w:t>0</w:t>
                  </w:r>
                </w:p>
              </w:tc>
              <w:tc>
                <w:tcPr>
                  <w:tcW w:w="427" w:type="pct"/>
                  <w:shd w:val="clear" w:color="auto" w:fill="auto"/>
                  <w:vAlign w:val="center"/>
                </w:tcPr>
                <w:p w14:paraId="7327A080">
                  <w:pPr>
                    <w:pStyle w:val="89"/>
                    <w:rPr>
                      <w:bCs/>
                      <w:color w:val="auto"/>
                      <w:sz w:val="18"/>
                      <w:szCs w:val="18"/>
                    </w:rPr>
                  </w:pPr>
                  <w:r>
                    <w:rPr>
                      <w:rFonts w:hint="eastAsia"/>
                      <w:bCs/>
                      <w:color w:val="auto"/>
                      <w:sz w:val="18"/>
                      <w:szCs w:val="18"/>
                    </w:rPr>
                    <w:t>2.6</w:t>
                  </w:r>
                </w:p>
              </w:tc>
              <w:tc>
                <w:tcPr>
                  <w:tcW w:w="444" w:type="pct"/>
                  <w:vAlign w:val="center"/>
                </w:tcPr>
                <w:p w14:paraId="057AF800">
                  <w:pPr>
                    <w:pStyle w:val="89"/>
                    <w:rPr>
                      <w:bCs/>
                      <w:color w:val="auto"/>
                      <w:sz w:val="18"/>
                      <w:szCs w:val="18"/>
                    </w:rPr>
                  </w:pPr>
                  <w:r>
                    <w:rPr>
                      <w:rFonts w:hint="eastAsia"/>
                      <w:bCs/>
                      <w:color w:val="auto"/>
                      <w:sz w:val="18"/>
                      <w:szCs w:val="18"/>
                    </w:rPr>
                    <w:t>75</w:t>
                  </w:r>
                </w:p>
              </w:tc>
              <w:tc>
                <w:tcPr>
                  <w:tcW w:w="234" w:type="pct"/>
                  <w:vMerge w:val="continue"/>
                  <w:vAlign w:val="center"/>
                </w:tcPr>
                <w:p w14:paraId="658A47D7">
                  <w:pPr>
                    <w:pStyle w:val="89"/>
                    <w:rPr>
                      <w:bCs/>
                      <w:color w:val="auto"/>
                      <w:sz w:val="18"/>
                      <w:szCs w:val="18"/>
                    </w:rPr>
                  </w:pPr>
                </w:p>
              </w:tc>
              <w:tc>
                <w:tcPr>
                  <w:tcW w:w="444" w:type="pct"/>
                  <w:vAlign w:val="center"/>
                </w:tcPr>
                <w:p w14:paraId="7FB82AE3">
                  <w:pPr>
                    <w:pStyle w:val="89"/>
                    <w:rPr>
                      <w:bCs/>
                      <w:color w:val="auto"/>
                      <w:sz w:val="18"/>
                      <w:szCs w:val="18"/>
                    </w:rPr>
                  </w:pPr>
                  <w:r>
                    <w:rPr>
                      <w:bCs/>
                      <w:color w:val="auto"/>
                      <w:sz w:val="18"/>
                      <w:szCs w:val="18"/>
                    </w:rPr>
                    <w:t>25</w:t>
                  </w:r>
                </w:p>
              </w:tc>
              <w:tc>
                <w:tcPr>
                  <w:tcW w:w="446" w:type="pct"/>
                  <w:vAlign w:val="center"/>
                </w:tcPr>
                <w:p w14:paraId="1E4B1A13">
                  <w:pPr>
                    <w:pStyle w:val="89"/>
                    <w:rPr>
                      <w:bCs/>
                      <w:color w:val="auto"/>
                      <w:sz w:val="18"/>
                      <w:szCs w:val="18"/>
                    </w:rPr>
                  </w:pPr>
                  <w:r>
                    <w:rPr>
                      <w:rFonts w:hint="eastAsia"/>
                      <w:bCs/>
                      <w:color w:val="auto"/>
                      <w:sz w:val="18"/>
                      <w:szCs w:val="18"/>
                    </w:rPr>
                    <w:t>50</w:t>
                  </w:r>
                </w:p>
              </w:tc>
              <w:tc>
                <w:tcPr>
                  <w:tcW w:w="269" w:type="pct"/>
                  <w:vAlign w:val="center"/>
                </w:tcPr>
                <w:p w14:paraId="1CC20454">
                  <w:pPr>
                    <w:pStyle w:val="89"/>
                    <w:rPr>
                      <w:bCs/>
                      <w:color w:val="auto"/>
                      <w:sz w:val="18"/>
                      <w:szCs w:val="18"/>
                    </w:rPr>
                  </w:pPr>
                  <w:r>
                    <w:rPr>
                      <w:rFonts w:hint="eastAsia"/>
                      <w:bCs/>
                      <w:color w:val="auto"/>
                      <w:sz w:val="18"/>
                      <w:szCs w:val="18"/>
                    </w:rPr>
                    <w:t>1m</w:t>
                  </w:r>
                </w:p>
              </w:tc>
            </w:tr>
            <w:tr w14:paraId="559F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49F2C5F6">
                  <w:pPr>
                    <w:pStyle w:val="89"/>
                    <w:rPr>
                      <w:color w:val="auto"/>
                      <w:sz w:val="18"/>
                      <w:szCs w:val="18"/>
                    </w:rPr>
                  </w:pPr>
                  <w:r>
                    <w:rPr>
                      <w:rFonts w:hint="eastAsia"/>
                      <w:color w:val="auto"/>
                      <w:sz w:val="18"/>
                      <w:szCs w:val="18"/>
                    </w:rPr>
                    <w:t>12</w:t>
                  </w:r>
                </w:p>
              </w:tc>
              <w:tc>
                <w:tcPr>
                  <w:tcW w:w="337" w:type="pct"/>
                  <w:vMerge w:val="continue"/>
                  <w:vAlign w:val="center"/>
                </w:tcPr>
                <w:p w14:paraId="071F9FCD">
                  <w:pPr>
                    <w:pStyle w:val="89"/>
                    <w:rPr>
                      <w:color w:val="auto"/>
                      <w:sz w:val="18"/>
                      <w:szCs w:val="18"/>
                    </w:rPr>
                  </w:pPr>
                </w:p>
              </w:tc>
              <w:tc>
                <w:tcPr>
                  <w:tcW w:w="510" w:type="pct"/>
                  <w:shd w:val="clear" w:color="auto" w:fill="auto"/>
                  <w:vAlign w:val="center"/>
                </w:tcPr>
                <w:p w14:paraId="420F098F">
                  <w:pPr>
                    <w:widowControl/>
                    <w:jc w:val="center"/>
                    <w:textAlignment w:val="center"/>
                    <w:rPr>
                      <w:color w:val="auto"/>
                      <w:sz w:val="18"/>
                      <w:szCs w:val="18"/>
                    </w:rPr>
                  </w:pPr>
                  <w:r>
                    <w:rPr>
                      <w:color w:val="auto"/>
                      <w:kern w:val="0"/>
                      <w:sz w:val="18"/>
                      <w:szCs w:val="18"/>
                      <w:lang w:bidi="ar"/>
                    </w:rPr>
                    <w:t>自制渗透后烘道（1.5米）</w:t>
                  </w:r>
                </w:p>
              </w:tc>
              <w:tc>
                <w:tcPr>
                  <w:tcW w:w="434" w:type="pct"/>
                  <w:vAlign w:val="center"/>
                </w:tcPr>
                <w:p w14:paraId="0BAF3648">
                  <w:pPr>
                    <w:widowControl/>
                    <w:jc w:val="center"/>
                    <w:textAlignment w:val="center"/>
                    <w:rPr>
                      <w:color w:val="auto"/>
                      <w:kern w:val="0"/>
                      <w:sz w:val="18"/>
                      <w:szCs w:val="18"/>
                      <w:lang w:bidi="ar"/>
                    </w:rPr>
                  </w:pPr>
                  <w:r>
                    <w:rPr>
                      <w:rFonts w:hint="eastAsia"/>
                      <w:color w:val="auto"/>
                      <w:kern w:val="0"/>
                      <w:sz w:val="18"/>
                      <w:szCs w:val="18"/>
                      <w:lang w:bidi="ar"/>
                    </w:rPr>
                    <w:t>80</w:t>
                  </w:r>
                </w:p>
              </w:tc>
              <w:tc>
                <w:tcPr>
                  <w:tcW w:w="339" w:type="pct"/>
                  <w:vMerge w:val="continue"/>
                  <w:vAlign w:val="center"/>
                </w:tcPr>
                <w:p w14:paraId="69CA2959">
                  <w:pPr>
                    <w:pStyle w:val="89"/>
                    <w:rPr>
                      <w:bCs/>
                      <w:color w:val="auto"/>
                      <w:sz w:val="18"/>
                      <w:szCs w:val="18"/>
                    </w:rPr>
                  </w:pPr>
                </w:p>
              </w:tc>
              <w:tc>
                <w:tcPr>
                  <w:tcW w:w="286" w:type="pct"/>
                  <w:vAlign w:val="center"/>
                </w:tcPr>
                <w:p w14:paraId="7C81DADD">
                  <w:pPr>
                    <w:jc w:val="center"/>
                    <w:rPr>
                      <w:color w:val="auto"/>
                      <w:sz w:val="18"/>
                      <w:szCs w:val="18"/>
                    </w:rPr>
                  </w:pPr>
                  <w:r>
                    <w:rPr>
                      <w:rFonts w:hint="eastAsia"/>
                      <w:color w:val="auto"/>
                      <w:sz w:val="18"/>
                      <w:szCs w:val="18"/>
                    </w:rPr>
                    <w:t>72</w:t>
                  </w:r>
                </w:p>
              </w:tc>
              <w:tc>
                <w:tcPr>
                  <w:tcW w:w="313" w:type="pct"/>
                  <w:vAlign w:val="center"/>
                </w:tcPr>
                <w:p w14:paraId="4A3F0C72">
                  <w:pPr>
                    <w:jc w:val="center"/>
                    <w:rPr>
                      <w:color w:val="auto"/>
                      <w:sz w:val="18"/>
                      <w:szCs w:val="18"/>
                    </w:rPr>
                  </w:pPr>
                  <w:r>
                    <w:rPr>
                      <w:rFonts w:hint="eastAsia"/>
                      <w:color w:val="auto"/>
                      <w:sz w:val="18"/>
                      <w:szCs w:val="18"/>
                    </w:rPr>
                    <w:t>7</w:t>
                  </w:r>
                </w:p>
              </w:tc>
              <w:tc>
                <w:tcPr>
                  <w:tcW w:w="277" w:type="pct"/>
                  <w:vAlign w:val="center"/>
                </w:tcPr>
                <w:p w14:paraId="228DD840">
                  <w:pPr>
                    <w:jc w:val="center"/>
                    <w:rPr>
                      <w:color w:val="auto"/>
                      <w:sz w:val="18"/>
                      <w:szCs w:val="18"/>
                    </w:rPr>
                  </w:pPr>
                  <w:r>
                    <w:rPr>
                      <w:rFonts w:hint="eastAsia"/>
                      <w:color w:val="auto"/>
                      <w:sz w:val="18"/>
                      <w:szCs w:val="18"/>
                    </w:rPr>
                    <w:t>0</w:t>
                  </w:r>
                </w:p>
              </w:tc>
              <w:tc>
                <w:tcPr>
                  <w:tcW w:w="427" w:type="pct"/>
                  <w:shd w:val="clear" w:color="auto" w:fill="auto"/>
                  <w:vAlign w:val="center"/>
                </w:tcPr>
                <w:p w14:paraId="7860975A">
                  <w:pPr>
                    <w:pStyle w:val="89"/>
                    <w:rPr>
                      <w:bCs/>
                      <w:color w:val="auto"/>
                      <w:sz w:val="18"/>
                      <w:szCs w:val="18"/>
                    </w:rPr>
                  </w:pPr>
                  <w:r>
                    <w:rPr>
                      <w:rFonts w:hint="eastAsia"/>
                      <w:bCs/>
                      <w:color w:val="auto"/>
                      <w:sz w:val="18"/>
                      <w:szCs w:val="18"/>
                    </w:rPr>
                    <w:t>2.6</w:t>
                  </w:r>
                </w:p>
              </w:tc>
              <w:tc>
                <w:tcPr>
                  <w:tcW w:w="444" w:type="pct"/>
                  <w:vAlign w:val="center"/>
                </w:tcPr>
                <w:p w14:paraId="7E9DC515">
                  <w:pPr>
                    <w:pStyle w:val="89"/>
                    <w:rPr>
                      <w:bCs/>
                      <w:color w:val="auto"/>
                      <w:sz w:val="18"/>
                      <w:szCs w:val="18"/>
                    </w:rPr>
                  </w:pPr>
                  <w:r>
                    <w:rPr>
                      <w:rFonts w:hint="eastAsia"/>
                      <w:bCs/>
                      <w:color w:val="auto"/>
                      <w:sz w:val="18"/>
                      <w:szCs w:val="18"/>
                    </w:rPr>
                    <w:t>75</w:t>
                  </w:r>
                </w:p>
              </w:tc>
              <w:tc>
                <w:tcPr>
                  <w:tcW w:w="234" w:type="pct"/>
                  <w:vMerge w:val="continue"/>
                  <w:vAlign w:val="center"/>
                </w:tcPr>
                <w:p w14:paraId="765C3F90">
                  <w:pPr>
                    <w:pStyle w:val="89"/>
                    <w:rPr>
                      <w:bCs/>
                      <w:color w:val="auto"/>
                      <w:sz w:val="18"/>
                      <w:szCs w:val="18"/>
                    </w:rPr>
                  </w:pPr>
                </w:p>
              </w:tc>
              <w:tc>
                <w:tcPr>
                  <w:tcW w:w="444" w:type="pct"/>
                  <w:vAlign w:val="center"/>
                </w:tcPr>
                <w:p w14:paraId="25C805CC">
                  <w:pPr>
                    <w:pStyle w:val="89"/>
                    <w:rPr>
                      <w:bCs/>
                      <w:color w:val="auto"/>
                      <w:sz w:val="18"/>
                      <w:szCs w:val="18"/>
                    </w:rPr>
                  </w:pPr>
                  <w:r>
                    <w:rPr>
                      <w:bCs/>
                      <w:color w:val="auto"/>
                      <w:sz w:val="18"/>
                      <w:szCs w:val="18"/>
                    </w:rPr>
                    <w:t>25</w:t>
                  </w:r>
                </w:p>
              </w:tc>
              <w:tc>
                <w:tcPr>
                  <w:tcW w:w="446" w:type="pct"/>
                  <w:vAlign w:val="center"/>
                </w:tcPr>
                <w:p w14:paraId="64D41FFF">
                  <w:pPr>
                    <w:pStyle w:val="89"/>
                    <w:rPr>
                      <w:bCs/>
                      <w:color w:val="auto"/>
                      <w:sz w:val="18"/>
                      <w:szCs w:val="18"/>
                    </w:rPr>
                  </w:pPr>
                  <w:r>
                    <w:rPr>
                      <w:rFonts w:hint="eastAsia"/>
                      <w:bCs/>
                      <w:color w:val="auto"/>
                      <w:sz w:val="18"/>
                      <w:szCs w:val="18"/>
                    </w:rPr>
                    <w:t>50</w:t>
                  </w:r>
                </w:p>
              </w:tc>
              <w:tc>
                <w:tcPr>
                  <w:tcW w:w="269" w:type="pct"/>
                  <w:vAlign w:val="center"/>
                </w:tcPr>
                <w:p w14:paraId="34879642">
                  <w:pPr>
                    <w:pStyle w:val="89"/>
                    <w:rPr>
                      <w:bCs/>
                      <w:color w:val="auto"/>
                      <w:sz w:val="18"/>
                      <w:szCs w:val="18"/>
                    </w:rPr>
                  </w:pPr>
                  <w:r>
                    <w:rPr>
                      <w:rFonts w:hint="eastAsia"/>
                      <w:bCs/>
                      <w:color w:val="auto"/>
                      <w:sz w:val="18"/>
                      <w:szCs w:val="18"/>
                    </w:rPr>
                    <w:t>1m</w:t>
                  </w:r>
                </w:p>
              </w:tc>
            </w:tr>
            <w:tr w14:paraId="1991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5DF58EAE">
                  <w:pPr>
                    <w:widowControl/>
                    <w:jc w:val="center"/>
                    <w:textAlignment w:val="center"/>
                    <w:rPr>
                      <w:color w:val="auto"/>
                      <w:sz w:val="18"/>
                      <w:szCs w:val="18"/>
                    </w:rPr>
                  </w:pPr>
                  <w:r>
                    <w:rPr>
                      <w:color w:val="auto"/>
                      <w:kern w:val="0"/>
                      <w:sz w:val="18"/>
                      <w:szCs w:val="18"/>
                      <w:lang w:bidi="ar"/>
                    </w:rPr>
                    <w:t>13</w:t>
                  </w:r>
                </w:p>
              </w:tc>
              <w:tc>
                <w:tcPr>
                  <w:tcW w:w="337" w:type="pct"/>
                  <w:vMerge w:val="continue"/>
                  <w:vAlign w:val="center"/>
                </w:tcPr>
                <w:p w14:paraId="211485F5">
                  <w:pPr>
                    <w:pStyle w:val="89"/>
                    <w:rPr>
                      <w:color w:val="auto"/>
                      <w:sz w:val="18"/>
                      <w:szCs w:val="18"/>
                    </w:rPr>
                  </w:pPr>
                </w:p>
              </w:tc>
              <w:tc>
                <w:tcPr>
                  <w:tcW w:w="510" w:type="pct"/>
                  <w:shd w:val="clear" w:color="auto" w:fill="auto"/>
                  <w:vAlign w:val="center"/>
                </w:tcPr>
                <w:p w14:paraId="4BBDA8C6">
                  <w:pPr>
                    <w:widowControl/>
                    <w:jc w:val="center"/>
                    <w:textAlignment w:val="center"/>
                    <w:rPr>
                      <w:color w:val="auto"/>
                      <w:sz w:val="18"/>
                      <w:szCs w:val="18"/>
                    </w:rPr>
                  </w:pPr>
                  <w:r>
                    <w:rPr>
                      <w:color w:val="auto"/>
                      <w:kern w:val="0"/>
                      <w:sz w:val="18"/>
                      <w:szCs w:val="18"/>
                      <w:lang w:bidi="ar"/>
                    </w:rPr>
                    <w:t>检测设备（自制）</w:t>
                  </w:r>
                </w:p>
              </w:tc>
              <w:tc>
                <w:tcPr>
                  <w:tcW w:w="434" w:type="pct"/>
                  <w:shd w:val="clear" w:color="auto" w:fill="auto"/>
                  <w:vAlign w:val="center"/>
                </w:tcPr>
                <w:p w14:paraId="54AA1A2A">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0</w:t>
                  </w:r>
                </w:p>
              </w:tc>
              <w:tc>
                <w:tcPr>
                  <w:tcW w:w="339" w:type="pct"/>
                  <w:vMerge w:val="continue"/>
                  <w:vAlign w:val="center"/>
                </w:tcPr>
                <w:p w14:paraId="39A3A097">
                  <w:pPr>
                    <w:pStyle w:val="89"/>
                    <w:rPr>
                      <w:bCs/>
                      <w:color w:val="auto"/>
                      <w:sz w:val="18"/>
                      <w:szCs w:val="18"/>
                    </w:rPr>
                  </w:pPr>
                </w:p>
              </w:tc>
              <w:tc>
                <w:tcPr>
                  <w:tcW w:w="286" w:type="pct"/>
                  <w:vAlign w:val="center"/>
                </w:tcPr>
                <w:p w14:paraId="3388418A">
                  <w:pPr>
                    <w:jc w:val="center"/>
                    <w:rPr>
                      <w:color w:val="auto"/>
                      <w:sz w:val="18"/>
                      <w:szCs w:val="18"/>
                    </w:rPr>
                  </w:pPr>
                  <w:r>
                    <w:rPr>
                      <w:rFonts w:hint="eastAsia"/>
                      <w:color w:val="auto"/>
                      <w:sz w:val="18"/>
                      <w:szCs w:val="18"/>
                    </w:rPr>
                    <w:t>16</w:t>
                  </w:r>
                </w:p>
              </w:tc>
              <w:tc>
                <w:tcPr>
                  <w:tcW w:w="313" w:type="pct"/>
                  <w:vAlign w:val="center"/>
                </w:tcPr>
                <w:p w14:paraId="6730EEF1">
                  <w:pPr>
                    <w:jc w:val="center"/>
                    <w:rPr>
                      <w:color w:val="auto"/>
                      <w:sz w:val="18"/>
                      <w:szCs w:val="18"/>
                    </w:rPr>
                  </w:pPr>
                  <w:r>
                    <w:rPr>
                      <w:rFonts w:hint="eastAsia"/>
                      <w:color w:val="auto"/>
                      <w:sz w:val="18"/>
                      <w:szCs w:val="18"/>
                    </w:rPr>
                    <w:t>7</w:t>
                  </w:r>
                </w:p>
              </w:tc>
              <w:tc>
                <w:tcPr>
                  <w:tcW w:w="277" w:type="pct"/>
                  <w:vAlign w:val="center"/>
                </w:tcPr>
                <w:p w14:paraId="218F6C19">
                  <w:pPr>
                    <w:jc w:val="center"/>
                    <w:rPr>
                      <w:color w:val="auto"/>
                      <w:sz w:val="18"/>
                      <w:szCs w:val="18"/>
                    </w:rPr>
                  </w:pPr>
                  <w:r>
                    <w:rPr>
                      <w:rFonts w:hint="eastAsia"/>
                      <w:color w:val="auto"/>
                      <w:sz w:val="18"/>
                      <w:szCs w:val="18"/>
                    </w:rPr>
                    <w:t>0</w:t>
                  </w:r>
                </w:p>
              </w:tc>
              <w:tc>
                <w:tcPr>
                  <w:tcW w:w="427" w:type="pct"/>
                  <w:shd w:val="clear" w:color="auto" w:fill="auto"/>
                  <w:vAlign w:val="center"/>
                </w:tcPr>
                <w:p w14:paraId="6026899F">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38F36268">
                  <w:pPr>
                    <w:pStyle w:val="89"/>
                    <w:rPr>
                      <w:bCs/>
                      <w:color w:val="auto"/>
                      <w:sz w:val="18"/>
                      <w:szCs w:val="18"/>
                    </w:rPr>
                  </w:pPr>
                  <w:r>
                    <w:rPr>
                      <w:rFonts w:hint="eastAsia"/>
                      <w:bCs/>
                      <w:color w:val="auto"/>
                      <w:sz w:val="18"/>
                      <w:szCs w:val="18"/>
                    </w:rPr>
                    <w:t>75</w:t>
                  </w:r>
                </w:p>
              </w:tc>
              <w:tc>
                <w:tcPr>
                  <w:tcW w:w="234" w:type="pct"/>
                  <w:vMerge w:val="continue"/>
                  <w:vAlign w:val="center"/>
                </w:tcPr>
                <w:p w14:paraId="10FB0066">
                  <w:pPr>
                    <w:pStyle w:val="89"/>
                    <w:rPr>
                      <w:bCs/>
                      <w:color w:val="auto"/>
                      <w:sz w:val="18"/>
                      <w:szCs w:val="18"/>
                    </w:rPr>
                  </w:pPr>
                </w:p>
              </w:tc>
              <w:tc>
                <w:tcPr>
                  <w:tcW w:w="444" w:type="pct"/>
                  <w:shd w:val="clear" w:color="auto" w:fill="auto"/>
                  <w:vAlign w:val="center"/>
                </w:tcPr>
                <w:p w14:paraId="3281AF6F">
                  <w:pPr>
                    <w:pStyle w:val="89"/>
                    <w:rPr>
                      <w:bCs/>
                      <w:color w:val="auto"/>
                      <w:sz w:val="18"/>
                      <w:szCs w:val="18"/>
                    </w:rPr>
                  </w:pPr>
                  <w:r>
                    <w:rPr>
                      <w:bCs/>
                      <w:color w:val="auto"/>
                      <w:sz w:val="18"/>
                      <w:szCs w:val="18"/>
                    </w:rPr>
                    <w:t>25</w:t>
                  </w:r>
                </w:p>
              </w:tc>
              <w:tc>
                <w:tcPr>
                  <w:tcW w:w="446" w:type="pct"/>
                  <w:shd w:val="clear" w:color="auto" w:fill="auto"/>
                  <w:vAlign w:val="center"/>
                </w:tcPr>
                <w:p w14:paraId="3000F55C">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1D12A8C5">
                  <w:pPr>
                    <w:pStyle w:val="89"/>
                    <w:rPr>
                      <w:bCs/>
                      <w:color w:val="auto"/>
                      <w:sz w:val="18"/>
                      <w:szCs w:val="18"/>
                    </w:rPr>
                  </w:pPr>
                  <w:r>
                    <w:rPr>
                      <w:rFonts w:hint="eastAsia"/>
                      <w:bCs/>
                      <w:color w:val="auto"/>
                      <w:sz w:val="18"/>
                      <w:szCs w:val="18"/>
                    </w:rPr>
                    <w:t>1m</w:t>
                  </w:r>
                </w:p>
              </w:tc>
            </w:tr>
            <w:tr w14:paraId="5F0D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0B095336">
                  <w:pPr>
                    <w:widowControl/>
                    <w:jc w:val="center"/>
                    <w:textAlignment w:val="center"/>
                    <w:rPr>
                      <w:color w:val="auto"/>
                      <w:sz w:val="18"/>
                      <w:szCs w:val="18"/>
                    </w:rPr>
                  </w:pPr>
                  <w:r>
                    <w:rPr>
                      <w:color w:val="auto"/>
                      <w:kern w:val="0"/>
                      <w:sz w:val="18"/>
                      <w:szCs w:val="18"/>
                      <w:lang w:bidi="ar"/>
                    </w:rPr>
                    <w:t>14</w:t>
                  </w:r>
                </w:p>
              </w:tc>
              <w:tc>
                <w:tcPr>
                  <w:tcW w:w="337" w:type="pct"/>
                  <w:vMerge w:val="continue"/>
                  <w:vAlign w:val="center"/>
                </w:tcPr>
                <w:p w14:paraId="432FE35E">
                  <w:pPr>
                    <w:pStyle w:val="89"/>
                    <w:rPr>
                      <w:color w:val="auto"/>
                      <w:sz w:val="18"/>
                      <w:szCs w:val="18"/>
                    </w:rPr>
                  </w:pPr>
                </w:p>
              </w:tc>
              <w:tc>
                <w:tcPr>
                  <w:tcW w:w="510" w:type="pct"/>
                  <w:shd w:val="clear" w:color="auto" w:fill="auto"/>
                  <w:vAlign w:val="center"/>
                </w:tcPr>
                <w:p w14:paraId="3FAAF85C">
                  <w:pPr>
                    <w:widowControl/>
                    <w:jc w:val="center"/>
                    <w:textAlignment w:val="center"/>
                    <w:rPr>
                      <w:color w:val="auto"/>
                      <w:sz w:val="18"/>
                      <w:szCs w:val="18"/>
                    </w:rPr>
                  </w:pPr>
                  <w:r>
                    <w:rPr>
                      <w:color w:val="auto"/>
                      <w:kern w:val="0"/>
                      <w:sz w:val="18"/>
                      <w:szCs w:val="18"/>
                      <w:lang w:bidi="ar"/>
                    </w:rPr>
                    <w:t>叠料设备（自制）</w:t>
                  </w:r>
                </w:p>
              </w:tc>
              <w:tc>
                <w:tcPr>
                  <w:tcW w:w="434" w:type="pct"/>
                  <w:shd w:val="clear" w:color="auto" w:fill="auto"/>
                  <w:vAlign w:val="center"/>
                </w:tcPr>
                <w:p w14:paraId="4EED4EE9">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09B8DCC4">
                  <w:pPr>
                    <w:pStyle w:val="89"/>
                    <w:rPr>
                      <w:bCs/>
                      <w:color w:val="auto"/>
                      <w:sz w:val="18"/>
                      <w:szCs w:val="18"/>
                    </w:rPr>
                  </w:pPr>
                </w:p>
              </w:tc>
              <w:tc>
                <w:tcPr>
                  <w:tcW w:w="286" w:type="pct"/>
                  <w:vAlign w:val="center"/>
                </w:tcPr>
                <w:p w14:paraId="5DE4020C">
                  <w:pPr>
                    <w:jc w:val="center"/>
                    <w:rPr>
                      <w:color w:val="auto"/>
                      <w:sz w:val="18"/>
                      <w:szCs w:val="18"/>
                    </w:rPr>
                  </w:pPr>
                  <w:r>
                    <w:rPr>
                      <w:rFonts w:hint="eastAsia"/>
                      <w:color w:val="auto"/>
                      <w:sz w:val="18"/>
                      <w:szCs w:val="18"/>
                    </w:rPr>
                    <w:t>11</w:t>
                  </w:r>
                </w:p>
              </w:tc>
              <w:tc>
                <w:tcPr>
                  <w:tcW w:w="313" w:type="pct"/>
                  <w:vAlign w:val="center"/>
                </w:tcPr>
                <w:p w14:paraId="32B6D599">
                  <w:pPr>
                    <w:jc w:val="center"/>
                    <w:rPr>
                      <w:color w:val="auto"/>
                      <w:sz w:val="18"/>
                      <w:szCs w:val="18"/>
                    </w:rPr>
                  </w:pPr>
                  <w:r>
                    <w:rPr>
                      <w:rFonts w:hint="eastAsia"/>
                      <w:color w:val="auto"/>
                      <w:sz w:val="18"/>
                      <w:szCs w:val="18"/>
                    </w:rPr>
                    <w:t>29</w:t>
                  </w:r>
                </w:p>
              </w:tc>
              <w:tc>
                <w:tcPr>
                  <w:tcW w:w="277" w:type="pct"/>
                  <w:vAlign w:val="center"/>
                </w:tcPr>
                <w:p w14:paraId="540297F1">
                  <w:pPr>
                    <w:jc w:val="center"/>
                    <w:rPr>
                      <w:color w:val="auto"/>
                      <w:sz w:val="18"/>
                      <w:szCs w:val="18"/>
                    </w:rPr>
                  </w:pPr>
                  <w:r>
                    <w:rPr>
                      <w:rFonts w:hint="eastAsia"/>
                      <w:color w:val="auto"/>
                      <w:sz w:val="18"/>
                      <w:szCs w:val="18"/>
                    </w:rPr>
                    <w:t>0</w:t>
                  </w:r>
                </w:p>
              </w:tc>
              <w:tc>
                <w:tcPr>
                  <w:tcW w:w="427" w:type="pct"/>
                  <w:shd w:val="clear" w:color="auto" w:fill="auto"/>
                  <w:vAlign w:val="center"/>
                </w:tcPr>
                <w:p w14:paraId="6295F372">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2C6BB2D9">
                  <w:pPr>
                    <w:pStyle w:val="89"/>
                    <w:rPr>
                      <w:bCs/>
                      <w:color w:val="auto"/>
                      <w:sz w:val="18"/>
                      <w:szCs w:val="18"/>
                    </w:rPr>
                  </w:pPr>
                  <w:r>
                    <w:rPr>
                      <w:rFonts w:hint="eastAsia"/>
                      <w:bCs/>
                      <w:color w:val="auto"/>
                      <w:sz w:val="18"/>
                      <w:szCs w:val="18"/>
                    </w:rPr>
                    <w:t>75</w:t>
                  </w:r>
                </w:p>
              </w:tc>
              <w:tc>
                <w:tcPr>
                  <w:tcW w:w="234" w:type="pct"/>
                  <w:vMerge w:val="continue"/>
                  <w:vAlign w:val="center"/>
                </w:tcPr>
                <w:p w14:paraId="7F2B24F8">
                  <w:pPr>
                    <w:pStyle w:val="89"/>
                    <w:rPr>
                      <w:bCs/>
                      <w:color w:val="auto"/>
                      <w:sz w:val="18"/>
                      <w:szCs w:val="18"/>
                    </w:rPr>
                  </w:pPr>
                </w:p>
              </w:tc>
              <w:tc>
                <w:tcPr>
                  <w:tcW w:w="444" w:type="pct"/>
                  <w:shd w:val="clear" w:color="auto" w:fill="auto"/>
                  <w:vAlign w:val="center"/>
                </w:tcPr>
                <w:p w14:paraId="4C52AA28">
                  <w:pPr>
                    <w:pStyle w:val="89"/>
                    <w:rPr>
                      <w:bCs/>
                      <w:color w:val="auto"/>
                      <w:sz w:val="18"/>
                      <w:szCs w:val="18"/>
                    </w:rPr>
                  </w:pPr>
                  <w:r>
                    <w:rPr>
                      <w:bCs/>
                      <w:color w:val="auto"/>
                      <w:sz w:val="18"/>
                      <w:szCs w:val="18"/>
                    </w:rPr>
                    <w:t>25</w:t>
                  </w:r>
                </w:p>
              </w:tc>
              <w:tc>
                <w:tcPr>
                  <w:tcW w:w="446" w:type="pct"/>
                  <w:shd w:val="clear" w:color="auto" w:fill="auto"/>
                  <w:vAlign w:val="center"/>
                </w:tcPr>
                <w:p w14:paraId="3405C9BA">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1CB6268A">
                  <w:pPr>
                    <w:pStyle w:val="89"/>
                    <w:rPr>
                      <w:bCs/>
                      <w:color w:val="auto"/>
                      <w:sz w:val="18"/>
                      <w:szCs w:val="18"/>
                    </w:rPr>
                  </w:pPr>
                  <w:r>
                    <w:rPr>
                      <w:rFonts w:hint="eastAsia"/>
                      <w:bCs/>
                      <w:color w:val="auto"/>
                      <w:sz w:val="18"/>
                      <w:szCs w:val="18"/>
                    </w:rPr>
                    <w:t>1m</w:t>
                  </w:r>
                </w:p>
              </w:tc>
            </w:tr>
            <w:tr w14:paraId="7188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D46EA31">
                  <w:pPr>
                    <w:widowControl/>
                    <w:jc w:val="center"/>
                    <w:textAlignment w:val="center"/>
                    <w:rPr>
                      <w:color w:val="auto"/>
                      <w:sz w:val="18"/>
                      <w:szCs w:val="18"/>
                    </w:rPr>
                  </w:pPr>
                  <w:r>
                    <w:rPr>
                      <w:color w:val="auto"/>
                      <w:kern w:val="0"/>
                      <w:sz w:val="18"/>
                      <w:szCs w:val="18"/>
                      <w:lang w:bidi="ar"/>
                    </w:rPr>
                    <w:t>15</w:t>
                  </w:r>
                </w:p>
              </w:tc>
              <w:tc>
                <w:tcPr>
                  <w:tcW w:w="337" w:type="pct"/>
                  <w:vMerge w:val="continue"/>
                  <w:vAlign w:val="center"/>
                </w:tcPr>
                <w:p w14:paraId="6326E221">
                  <w:pPr>
                    <w:pStyle w:val="89"/>
                    <w:rPr>
                      <w:color w:val="auto"/>
                      <w:sz w:val="18"/>
                      <w:szCs w:val="18"/>
                    </w:rPr>
                  </w:pPr>
                </w:p>
              </w:tc>
              <w:tc>
                <w:tcPr>
                  <w:tcW w:w="510" w:type="pct"/>
                  <w:shd w:val="clear" w:color="auto" w:fill="auto"/>
                  <w:vAlign w:val="center"/>
                </w:tcPr>
                <w:p w14:paraId="4B506559">
                  <w:pPr>
                    <w:widowControl/>
                    <w:jc w:val="center"/>
                    <w:textAlignment w:val="center"/>
                    <w:rPr>
                      <w:color w:val="auto"/>
                      <w:sz w:val="18"/>
                      <w:szCs w:val="18"/>
                    </w:rPr>
                  </w:pPr>
                  <w:r>
                    <w:rPr>
                      <w:color w:val="auto"/>
                      <w:kern w:val="0"/>
                      <w:sz w:val="18"/>
                      <w:szCs w:val="18"/>
                      <w:lang w:bidi="ar"/>
                    </w:rPr>
                    <w:t>连线数控成型磨</w:t>
                  </w:r>
                </w:p>
              </w:tc>
              <w:tc>
                <w:tcPr>
                  <w:tcW w:w="434" w:type="pct"/>
                  <w:shd w:val="clear" w:color="auto" w:fill="auto"/>
                  <w:vAlign w:val="center"/>
                </w:tcPr>
                <w:p w14:paraId="46903107">
                  <w:pPr>
                    <w:widowControl/>
                    <w:jc w:val="center"/>
                    <w:textAlignment w:val="center"/>
                    <w:rPr>
                      <w:color w:val="auto"/>
                      <w:sz w:val="18"/>
                      <w:szCs w:val="18"/>
                    </w:rPr>
                  </w:pPr>
                  <w:r>
                    <w:rPr>
                      <w:rFonts w:hint="eastAsia"/>
                      <w:color w:val="auto"/>
                      <w:kern w:val="0"/>
                      <w:sz w:val="18"/>
                      <w:szCs w:val="18"/>
                      <w:lang w:bidi="ar"/>
                    </w:rPr>
                    <w:t>80</w:t>
                  </w:r>
                </w:p>
              </w:tc>
              <w:tc>
                <w:tcPr>
                  <w:tcW w:w="339" w:type="pct"/>
                  <w:vMerge w:val="continue"/>
                  <w:vAlign w:val="center"/>
                </w:tcPr>
                <w:p w14:paraId="1BDA4970">
                  <w:pPr>
                    <w:pStyle w:val="89"/>
                    <w:rPr>
                      <w:bCs/>
                      <w:color w:val="auto"/>
                      <w:sz w:val="18"/>
                      <w:szCs w:val="18"/>
                    </w:rPr>
                  </w:pPr>
                </w:p>
              </w:tc>
              <w:tc>
                <w:tcPr>
                  <w:tcW w:w="286" w:type="pct"/>
                  <w:vAlign w:val="center"/>
                </w:tcPr>
                <w:p w14:paraId="03B989CF">
                  <w:pPr>
                    <w:jc w:val="center"/>
                    <w:rPr>
                      <w:color w:val="auto"/>
                      <w:sz w:val="18"/>
                      <w:szCs w:val="18"/>
                    </w:rPr>
                  </w:pPr>
                  <w:r>
                    <w:rPr>
                      <w:rFonts w:hint="eastAsia"/>
                      <w:color w:val="auto"/>
                      <w:sz w:val="18"/>
                      <w:szCs w:val="18"/>
                    </w:rPr>
                    <w:t>24</w:t>
                  </w:r>
                </w:p>
              </w:tc>
              <w:tc>
                <w:tcPr>
                  <w:tcW w:w="313" w:type="pct"/>
                  <w:vAlign w:val="center"/>
                </w:tcPr>
                <w:p w14:paraId="476C4199">
                  <w:pPr>
                    <w:jc w:val="center"/>
                    <w:rPr>
                      <w:color w:val="auto"/>
                      <w:sz w:val="18"/>
                      <w:szCs w:val="18"/>
                    </w:rPr>
                  </w:pPr>
                  <w:r>
                    <w:rPr>
                      <w:rFonts w:hint="eastAsia"/>
                      <w:color w:val="auto"/>
                      <w:sz w:val="18"/>
                      <w:szCs w:val="18"/>
                    </w:rPr>
                    <w:t>29</w:t>
                  </w:r>
                </w:p>
              </w:tc>
              <w:tc>
                <w:tcPr>
                  <w:tcW w:w="277" w:type="pct"/>
                  <w:vAlign w:val="center"/>
                </w:tcPr>
                <w:p w14:paraId="14825630">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2A84B3EA">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1CB1F848">
                  <w:pPr>
                    <w:pStyle w:val="89"/>
                    <w:rPr>
                      <w:bCs/>
                      <w:color w:val="auto"/>
                      <w:sz w:val="18"/>
                      <w:szCs w:val="18"/>
                    </w:rPr>
                  </w:pPr>
                  <w:r>
                    <w:rPr>
                      <w:rFonts w:hint="eastAsia"/>
                      <w:bCs/>
                      <w:color w:val="auto"/>
                      <w:sz w:val="18"/>
                      <w:szCs w:val="18"/>
                    </w:rPr>
                    <w:t>75</w:t>
                  </w:r>
                </w:p>
              </w:tc>
              <w:tc>
                <w:tcPr>
                  <w:tcW w:w="234" w:type="pct"/>
                  <w:vMerge w:val="continue"/>
                  <w:vAlign w:val="center"/>
                </w:tcPr>
                <w:p w14:paraId="79ECAE69">
                  <w:pPr>
                    <w:pStyle w:val="89"/>
                    <w:rPr>
                      <w:bCs/>
                      <w:color w:val="auto"/>
                      <w:sz w:val="18"/>
                      <w:szCs w:val="18"/>
                    </w:rPr>
                  </w:pPr>
                </w:p>
              </w:tc>
              <w:tc>
                <w:tcPr>
                  <w:tcW w:w="444" w:type="pct"/>
                  <w:shd w:val="clear" w:color="auto" w:fill="auto"/>
                  <w:vAlign w:val="center"/>
                </w:tcPr>
                <w:p w14:paraId="6A564F3D">
                  <w:pPr>
                    <w:pStyle w:val="89"/>
                    <w:rPr>
                      <w:bCs/>
                      <w:color w:val="auto"/>
                      <w:sz w:val="18"/>
                      <w:szCs w:val="18"/>
                    </w:rPr>
                  </w:pPr>
                  <w:r>
                    <w:rPr>
                      <w:bCs/>
                      <w:color w:val="auto"/>
                      <w:sz w:val="18"/>
                      <w:szCs w:val="18"/>
                    </w:rPr>
                    <w:t>25</w:t>
                  </w:r>
                </w:p>
              </w:tc>
              <w:tc>
                <w:tcPr>
                  <w:tcW w:w="446" w:type="pct"/>
                  <w:shd w:val="clear" w:color="auto" w:fill="auto"/>
                  <w:vAlign w:val="center"/>
                </w:tcPr>
                <w:p w14:paraId="157CBCF5">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6814A312">
                  <w:pPr>
                    <w:pStyle w:val="89"/>
                    <w:rPr>
                      <w:bCs/>
                      <w:color w:val="auto"/>
                      <w:sz w:val="18"/>
                      <w:szCs w:val="18"/>
                    </w:rPr>
                  </w:pPr>
                  <w:r>
                    <w:rPr>
                      <w:rFonts w:hint="eastAsia"/>
                      <w:bCs/>
                      <w:color w:val="auto"/>
                      <w:sz w:val="18"/>
                      <w:szCs w:val="18"/>
                    </w:rPr>
                    <w:t>1m</w:t>
                  </w:r>
                </w:p>
              </w:tc>
            </w:tr>
            <w:tr w14:paraId="623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E69D8BE">
                  <w:pPr>
                    <w:widowControl/>
                    <w:jc w:val="center"/>
                    <w:textAlignment w:val="center"/>
                    <w:rPr>
                      <w:color w:val="auto"/>
                      <w:sz w:val="18"/>
                      <w:szCs w:val="18"/>
                    </w:rPr>
                  </w:pPr>
                  <w:r>
                    <w:rPr>
                      <w:color w:val="auto"/>
                      <w:kern w:val="0"/>
                      <w:sz w:val="18"/>
                      <w:szCs w:val="18"/>
                      <w:lang w:bidi="ar"/>
                    </w:rPr>
                    <w:t>16</w:t>
                  </w:r>
                </w:p>
              </w:tc>
              <w:tc>
                <w:tcPr>
                  <w:tcW w:w="337" w:type="pct"/>
                  <w:vMerge w:val="continue"/>
                  <w:vAlign w:val="center"/>
                </w:tcPr>
                <w:p w14:paraId="0367821C">
                  <w:pPr>
                    <w:pStyle w:val="89"/>
                    <w:rPr>
                      <w:color w:val="auto"/>
                      <w:sz w:val="18"/>
                      <w:szCs w:val="18"/>
                    </w:rPr>
                  </w:pPr>
                </w:p>
              </w:tc>
              <w:tc>
                <w:tcPr>
                  <w:tcW w:w="510" w:type="pct"/>
                  <w:shd w:val="clear" w:color="auto" w:fill="auto"/>
                  <w:vAlign w:val="center"/>
                </w:tcPr>
                <w:p w14:paraId="6EAD59D6">
                  <w:pPr>
                    <w:widowControl/>
                    <w:jc w:val="center"/>
                    <w:textAlignment w:val="center"/>
                    <w:rPr>
                      <w:color w:val="auto"/>
                      <w:sz w:val="18"/>
                      <w:szCs w:val="18"/>
                    </w:rPr>
                  </w:pPr>
                  <w:r>
                    <w:rPr>
                      <w:color w:val="auto"/>
                      <w:kern w:val="0"/>
                      <w:sz w:val="18"/>
                      <w:szCs w:val="18"/>
                      <w:lang w:bidi="ar"/>
                    </w:rPr>
                    <w:t>弧面倒边机</w:t>
                  </w:r>
                </w:p>
              </w:tc>
              <w:tc>
                <w:tcPr>
                  <w:tcW w:w="434" w:type="pct"/>
                  <w:shd w:val="clear" w:color="auto" w:fill="auto"/>
                  <w:vAlign w:val="center"/>
                </w:tcPr>
                <w:p w14:paraId="4A7EECDD">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6EAB3785">
                  <w:pPr>
                    <w:pStyle w:val="89"/>
                    <w:rPr>
                      <w:bCs/>
                      <w:color w:val="auto"/>
                      <w:sz w:val="18"/>
                      <w:szCs w:val="18"/>
                    </w:rPr>
                  </w:pPr>
                </w:p>
              </w:tc>
              <w:tc>
                <w:tcPr>
                  <w:tcW w:w="286" w:type="pct"/>
                  <w:vAlign w:val="center"/>
                </w:tcPr>
                <w:p w14:paraId="4E5B14EE">
                  <w:pPr>
                    <w:jc w:val="center"/>
                    <w:rPr>
                      <w:color w:val="auto"/>
                      <w:sz w:val="18"/>
                      <w:szCs w:val="18"/>
                    </w:rPr>
                  </w:pPr>
                  <w:r>
                    <w:rPr>
                      <w:rFonts w:hint="eastAsia"/>
                      <w:color w:val="auto"/>
                      <w:sz w:val="18"/>
                      <w:szCs w:val="18"/>
                    </w:rPr>
                    <w:t>32</w:t>
                  </w:r>
                </w:p>
              </w:tc>
              <w:tc>
                <w:tcPr>
                  <w:tcW w:w="313" w:type="pct"/>
                  <w:vAlign w:val="center"/>
                </w:tcPr>
                <w:p w14:paraId="4D0C6505">
                  <w:pPr>
                    <w:jc w:val="center"/>
                    <w:rPr>
                      <w:color w:val="auto"/>
                      <w:sz w:val="18"/>
                      <w:szCs w:val="18"/>
                    </w:rPr>
                  </w:pPr>
                  <w:r>
                    <w:rPr>
                      <w:rFonts w:hint="eastAsia"/>
                      <w:color w:val="auto"/>
                      <w:sz w:val="18"/>
                      <w:szCs w:val="18"/>
                    </w:rPr>
                    <w:t>31</w:t>
                  </w:r>
                </w:p>
              </w:tc>
              <w:tc>
                <w:tcPr>
                  <w:tcW w:w="277" w:type="pct"/>
                  <w:vAlign w:val="center"/>
                </w:tcPr>
                <w:p w14:paraId="1FB73830">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2711C83D">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5F12A00B">
                  <w:pPr>
                    <w:pStyle w:val="89"/>
                    <w:rPr>
                      <w:bCs/>
                      <w:color w:val="auto"/>
                      <w:sz w:val="18"/>
                      <w:szCs w:val="18"/>
                    </w:rPr>
                  </w:pPr>
                  <w:r>
                    <w:rPr>
                      <w:rFonts w:hint="eastAsia"/>
                      <w:bCs/>
                      <w:color w:val="auto"/>
                      <w:sz w:val="18"/>
                      <w:szCs w:val="18"/>
                    </w:rPr>
                    <w:t>75</w:t>
                  </w:r>
                </w:p>
              </w:tc>
              <w:tc>
                <w:tcPr>
                  <w:tcW w:w="234" w:type="pct"/>
                  <w:vMerge w:val="continue"/>
                  <w:vAlign w:val="center"/>
                </w:tcPr>
                <w:p w14:paraId="423B1208">
                  <w:pPr>
                    <w:pStyle w:val="89"/>
                    <w:rPr>
                      <w:bCs/>
                      <w:color w:val="auto"/>
                      <w:sz w:val="18"/>
                      <w:szCs w:val="18"/>
                    </w:rPr>
                  </w:pPr>
                </w:p>
              </w:tc>
              <w:tc>
                <w:tcPr>
                  <w:tcW w:w="444" w:type="pct"/>
                  <w:shd w:val="clear" w:color="auto" w:fill="auto"/>
                  <w:vAlign w:val="center"/>
                </w:tcPr>
                <w:p w14:paraId="174FD29C">
                  <w:pPr>
                    <w:pStyle w:val="89"/>
                    <w:rPr>
                      <w:bCs/>
                      <w:color w:val="auto"/>
                      <w:sz w:val="18"/>
                      <w:szCs w:val="18"/>
                    </w:rPr>
                  </w:pPr>
                  <w:r>
                    <w:rPr>
                      <w:bCs/>
                      <w:color w:val="auto"/>
                      <w:sz w:val="18"/>
                      <w:szCs w:val="18"/>
                    </w:rPr>
                    <w:t>25</w:t>
                  </w:r>
                </w:p>
              </w:tc>
              <w:tc>
                <w:tcPr>
                  <w:tcW w:w="446" w:type="pct"/>
                  <w:shd w:val="clear" w:color="auto" w:fill="auto"/>
                  <w:vAlign w:val="center"/>
                </w:tcPr>
                <w:p w14:paraId="3A630271">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5453D24A">
                  <w:pPr>
                    <w:pStyle w:val="89"/>
                    <w:rPr>
                      <w:bCs/>
                      <w:color w:val="auto"/>
                      <w:sz w:val="18"/>
                      <w:szCs w:val="18"/>
                    </w:rPr>
                  </w:pPr>
                  <w:r>
                    <w:rPr>
                      <w:rFonts w:hint="eastAsia"/>
                      <w:bCs/>
                      <w:color w:val="auto"/>
                      <w:sz w:val="18"/>
                      <w:szCs w:val="18"/>
                    </w:rPr>
                    <w:t>1m</w:t>
                  </w:r>
                </w:p>
              </w:tc>
            </w:tr>
            <w:tr w14:paraId="7606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6D14D4D8">
                  <w:pPr>
                    <w:widowControl/>
                    <w:jc w:val="center"/>
                    <w:textAlignment w:val="center"/>
                    <w:rPr>
                      <w:color w:val="auto"/>
                      <w:sz w:val="18"/>
                      <w:szCs w:val="18"/>
                    </w:rPr>
                  </w:pPr>
                  <w:r>
                    <w:rPr>
                      <w:color w:val="auto"/>
                      <w:kern w:val="0"/>
                      <w:sz w:val="18"/>
                      <w:szCs w:val="18"/>
                      <w:lang w:bidi="ar"/>
                    </w:rPr>
                    <w:t>17</w:t>
                  </w:r>
                </w:p>
              </w:tc>
              <w:tc>
                <w:tcPr>
                  <w:tcW w:w="337" w:type="pct"/>
                  <w:vMerge w:val="continue"/>
                  <w:vAlign w:val="center"/>
                </w:tcPr>
                <w:p w14:paraId="20F8CDD0">
                  <w:pPr>
                    <w:pStyle w:val="89"/>
                    <w:rPr>
                      <w:color w:val="auto"/>
                      <w:sz w:val="18"/>
                      <w:szCs w:val="18"/>
                    </w:rPr>
                  </w:pPr>
                </w:p>
              </w:tc>
              <w:tc>
                <w:tcPr>
                  <w:tcW w:w="510" w:type="pct"/>
                  <w:shd w:val="clear" w:color="auto" w:fill="auto"/>
                  <w:vAlign w:val="center"/>
                </w:tcPr>
                <w:p w14:paraId="701F15C9">
                  <w:pPr>
                    <w:widowControl/>
                    <w:jc w:val="center"/>
                    <w:textAlignment w:val="center"/>
                    <w:rPr>
                      <w:rFonts w:cs="宋体"/>
                      <w:color w:val="auto"/>
                      <w:sz w:val="18"/>
                      <w:szCs w:val="18"/>
                    </w:rPr>
                  </w:pPr>
                  <w:r>
                    <w:rPr>
                      <w:rFonts w:hint="eastAsia" w:cs="宋体"/>
                      <w:color w:val="auto"/>
                      <w:kern w:val="0"/>
                      <w:sz w:val="18"/>
                      <w:szCs w:val="18"/>
                      <w:lang w:bidi="ar"/>
                    </w:rPr>
                    <w:t>高精度垂直度磨床</w:t>
                  </w:r>
                </w:p>
              </w:tc>
              <w:tc>
                <w:tcPr>
                  <w:tcW w:w="434" w:type="pct"/>
                  <w:shd w:val="clear" w:color="auto" w:fill="auto"/>
                  <w:vAlign w:val="center"/>
                </w:tcPr>
                <w:p w14:paraId="68BF8E5D">
                  <w:pPr>
                    <w:widowControl/>
                    <w:jc w:val="center"/>
                    <w:textAlignment w:val="center"/>
                    <w:rPr>
                      <w:color w:val="auto"/>
                      <w:kern w:val="0"/>
                      <w:sz w:val="18"/>
                      <w:szCs w:val="18"/>
                      <w:lang w:bidi="ar"/>
                    </w:rPr>
                  </w:pPr>
                  <w:r>
                    <w:rPr>
                      <w:color w:val="auto"/>
                      <w:kern w:val="0"/>
                      <w:sz w:val="18"/>
                      <w:szCs w:val="18"/>
                      <w:lang w:bidi="ar"/>
                    </w:rPr>
                    <w:t>85</w:t>
                  </w:r>
                </w:p>
              </w:tc>
              <w:tc>
                <w:tcPr>
                  <w:tcW w:w="339" w:type="pct"/>
                  <w:vMerge w:val="continue"/>
                  <w:vAlign w:val="center"/>
                </w:tcPr>
                <w:p w14:paraId="631EE2E7">
                  <w:pPr>
                    <w:pStyle w:val="89"/>
                    <w:rPr>
                      <w:bCs/>
                      <w:color w:val="auto"/>
                      <w:sz w:val="18"/>
                      <w:szCs w:val="18"/>
                    </w:rPr>
                  </w:pPr>
                </w:p>
              </w:tc>
              <w:tc>
                <w:tcPr>
                  <w:tcW w:w="286" w:type="pct"/>
                  <w:vAlign w:val="center"/>
                </w:tcPr>
                <w:p w14:paraId="6DDDB7E7">
                  <w:pPr>
                    <w:jc w:val="center"/>
                    <w:rPr>
                      <w:color w:val="auto"/>
                      <w:sz w:val="18"/>
                      <w:szCs w:val="18"/>
                    </w:rPr>
                  </w:pPr>
                  <w:r>
                    <w:rPr>
                      <w:rFonts w:hint="eastAsia"/>
                      <w:color w:val="auto"/>
                      <w:sz w:val="18"/>
                      <w:szCs w:val="18"/>
                    </w:rPr>
                    <w:t>15</w:t>
                  </w:r>
                </w:p>
              </w:tc>
              <w:tc>
                <w:tcPr>
                  <w:tcW w:w="313" w:type="pct"/>
                  <w:vAlign w:val="center"/>
                </w:tcPr>
                <w:p w14:paraId="6704661D">
                  <w:pPr>
                    <w:jc w:val="center"/>
                    <w:rPr>
                      <w:color w:val="auto"/>
                      <w:sz w:val="18"/>
                      <w:szCs w:val="18"/>
                    </w:rPr>
                  </w:pPr>
                  <w:r>
                    <w:rPr>
                      <w:rFonts w:hint="eastAsia"/>
                      <w:color w:val="auto"/>
                      <w:sz w:val="18"/>
                      <w:szCs w:val="18"/>
                    </w:rPr>
                    <w:t>40</w:t>
                  </w:r>
                </w:p>
              </w:tc>
              <w:tc>
                <w:tcPr>
                  <w:tcW w:w="277" w:type="pct"/>
                  <w:vAlign w:val="center"/>
                </w:tcPr>
                <w:p w14:paraId="10446F8C">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64BF9DC5">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291F8D68">
                  <w:pPr>
                    <w:pStyle w:val="89"/>
                    <w:rPr>
                      <w:bCs/>
                      <w:color w:val="auto"/>
                      <w:sz w:val="18"/>
                      <w:szCs w:val="18"/>
                    </w:rPr>
                  </w:pPr>
                  <w:r>
                    <w:rPr>
                      <w:rFonts w:hint="eastAsia"/>
                      <w:bCs/>
                      <w:color w:val="auto"/>
                      <w:sz w:val="18"/>
                      <w:szCs w:val="18"/>
                    </w:rPr>
                    <w:t>75</w:t>
                  </w:r>
                </w:p>
              </w:tc>
              <w:tc>
                <w:tcPr>
                  <w:tcW w:w="234" w:type="pct"/>
                  <w:vMerge w:val="continue"/>
                  <w:vAlign w:val="center"/>
                </w:tcPr>
                <w:p w14:paraId="0F1429DD">
                  <w:pPr>
                    <w:pStyle w:val="89"/>
                    <w:rPr>
                      <w:bCs/>
                      <w:color w:val="auto"/>
                      <w:sz w:val="18"/>
                      <w:szCs w:val="18"/>
                    </w:rPr>
                  </w:pPr>
                </w:p>
              </w:tc>
              <w:tc>
                <w:tcPr>
                  <w:tcW w:w="444" w:type="pct"/>
                  <w:shd w:val="clear" w:color="auto" w:fill="auto"/>
                  <w:vAlign w:val="center"/>
                </w:tcPr>
                <w:p w14:paraId="0230D0DE">
                  <w:pPr>
                    <w:pStyle w:val="89"/>
                    <w:rPr>
                      <w:bCs/>
                      <w:color w:val="auto"/>
                      <w:sz w:val="18"/>
                      <w:szCs w:val="18"/>
                    </w:rPr>
                  </w:pPr>
                  <w:r>
                    <w:rPr>
                      <w:bCs/>
                      <w:color w:val="auto"/>
                      <w:sz w:val="18"/>
                      <w:szCs w:val="18"/>
                    </w:rPr>
                    <w:t>25</w:t>
                  </w:r>
                </w:p>
              </w:tc>
              <w:tc>
                <w:tcPr>
                  <w:tcW w:w="446" w:type="pct"/>
                  <w:shd w:val="clear" w:color="auto" w:fill="auto"/>
                  <w:vAlign w:val="center"/>
                </w:tcPr>
                <w:p w14:paraId="3FD88CC3">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3A181D00">
                  <w:pPr>
                    <w:pStyle w:val="89"/>
                    <w:rPr>
                      <w:bCs/>
                      <w:color w:val="auto"/>
                      <w:sz w:val="18"/>
                      <w:szCs w:val="18"/>
                    </w:rPr>
                  </w:pPr>
                  <w:r>
                    <w:rPr>
                      <w:rFonts w:hint="eastAsia"/>
                      <w:bCs/>
                      <w:color w:val="auto"/>
                      <w:sz w:val="18"/>
                      <w:szCs w:val="18"/>
                    </w:rPr>
                    <w:t>1m</w:t>
                  </w:r>
                </w:p>
              </w:tc>
            </w:tr>
            <w:tr w14:paraId="2E05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5538BABC">
                  <w:pPr>
                    <w:widowControl/>
                    <w:jc w:val="center"/>
                    <w:textAlignment w:val="center"/>
                    <w:rPr>
                      <w:color w:val="auto"/>
                      <w:sz w:val="18"/>
                      <w:szCs w:val="18"/>
                    </w:rPr>
                  </w:pPr>
                  <w:r>
                    <w:rPr>
                      <w:color w:val="auto"/>
                      <w:kern w:val="0"/>
                      <w:sz w:val="18"/>
                      <w:szCs w:val="18"/>
                      <w:lang w:bidi="ar"/>
                    </w:rPr>
                    <w:t>18</w:t>
                  </w:r>
                </w:p>
              </w:tc>
              <w:tc>
                <w:tcPr>
                  <w:tcW w:w="337" w:type="pct"/>
                  <w:vMerge w:val="continue"/>
                  <w:vAlign w:val="center"/>
                </w:tcPr>
                <w:p w14:paraId="016C0B12">
                  <w:pPr>
                    <w:pStyle w:val="89"/>
                    <w:rPr>
                      <w:color w:val="auto"/>
                      <w:sz w:val="18"/>
                      <w:szCs w:val="18"/>
                    </w:rPr>
                  </w:pPr>
                </w:p>
              </w:tc>
              <w:tc>
                <w:tcPr>
                  <w:tcW w:w="510" w:type="pct"/>
                  <w:shd w:val="clear" w:color="auto" w:fill="auto"/>
                  <w:vAlign w:val="center"/>
                </w:tcPr>
                <w:p w14:paraId="5D183321">
                  <w:pPr>
                    <w:widowControl/>
                    <w:jc w:val="center"/>
                    <w:textAlignment w:val="center"/>
                    <w:rPr>
                      <w:rFonts w:cs="宋体"/>
                      <w:color w:val="auto"/>
                      <w:sz w:val="18"/>
                      <w:szCs w:val="18"/>
                    </w:rPr>
                  </w:pPr>
                  <w:r>
                    <w:rPr>
                      <w:rFonts w:hint="eastAsia" w:cs="宋体"/>
                      <w:color w:val="auto"/>
                      <w:kern w:val="0"/>
                      <w:sz w:val="18"/>
                      <w:szCs w:val="18"/>
                      <w:lang w:bidi="ar"/>
                    </w:rPr>
                    <w:t>往复式数控成型磨</w:t>
                  </w:r>
                </w:p>
              </w:tc>
              <w:tc>
                <w:tcPr>
                  <w:tcW w:w="434" w:type="pct"/>
                  <w:shd w:val="clear" w:color="auto" w:fill="auto"/>
                  <w:vAlign w:val="center"/>
                </w:tcPr>
                <w:p w14:paraId="0D18A823">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750A959D">
                  <w:pPr>
                    <w:pStyle w:val="89"/>
                    <w:rPr>
                      <w:bCs/>
                      <w:color w:val="auto"/>
                      <w:sz w:val="18"/>
                      <w:szCs w:val="18"/>
                    </w:rPr>
                  </w:pPr>
                </w:p>
              </w:tc>
              <w:tc>
                <w:tcPr>
                  <w:tcW w:w="286" w:type="pct"/>
                  <w:vAlign w:val="center"/>
                </w:tcPr>
                <w:p w14:paraId="2BC96FB8">
                  <w:pPr>
                    <w:jc w:val="center"/>
                    <w:rPr>
                      <w:color w:val="auto"/>
                      <w:sz w:val="18"/>
                      <w:szCs w:val="18"/>
                    </w:rPr>
                  </w:pPr>
                  <w:r>
                    <w:rPr>
                      <w:rFonts w:hint="eastAsia"/>
                      <w:color w:val="auto"/>
                      <w:sz w:val="18"/>
                      <w:szCs w:val="18"/>
                    </w:rPr>
                    <w:t>9</w:t>
                  </w:r>
                </w:p>
              </w:tc>
              <w:tc>
                <w:tcPr>
                  <w:tcW w:w="313" w:type="pct"/>
                  <w:vAlign w:val="center"/>
                </w:tcPr>
                <w:p w14:paraId="7F69CA19">
                  <w:pPr>
                    <w:jc w:val="center"/>
                    <w:rPr>
                      <w:color w:val="auto"/>
                      <w:sz w:val="18"/>
                      <w:szCs w:val="18"/>
                    </w:rPr>
                  </w:pPr>
                  <w:r>
                    <w:rPr>
                      <w:rFonts w:hint="eastAsia"/>
                      <w:color w:val="auto"/>
                      <w:sz w:val="18"/>
                      <w:szCs w:val="18"/>
                    </w:rPr>
                    <w:t>28</w:t>
                  </w:r>
                </w:p>
              </w:tc>
              <w:tc>
                <w:tcPr>
                  <w:tcW w:w="277" w:type="pct"/>
                  <w:vAlign w:val="center"/>
                </w:tcPr>
                <w:p w14:paraId="31FD8C64">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3D7164ED">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7FB5C614">
                  <w:pPr>
                    <w:pStyle w:val="89"/>
                    <w:rPr>
                      <w:bCs/>
                      <w:color w:val="auto"/>
                      <w:sz w:val="18"/>
                      <w:szCs w:val="18"/>
                    </w:rPr>
                  </w:pPr>
                  <w:r>
                    <w:rPr>
                      <w:rFonts w:hint="eastAsia"/>
                      <w:bCs/>
                      <w:color w:val="auto"/>
                      <w:sz w:val="18"/>
                      <w:szCs w:val="18"/>
                    </w:rPr>
                    <w:t>75</w:t>
                  </w:r>
                </w:p>
              </w:tc>
              <w:tc>
                <w:tcPr>
                  <w:tcW w:w="234" w:type="pct"/>
                  <w:vMerge w:val="continue"/>
                  <w:vAlign w:val="center"/>
                </w:tcPr>
                <w:p w14:paraId="1FAC0356">
                  <w:pPr>
                    <w:pStyle w:val="89"/>
                    <w:rPr>
                      <w:bCs/>
                      <w:color w:val="auto"/>
                      <w:sz w:val="18"/>
                      <w:szCs w:val="18"/>
                    </w:rPr>
                  </w:pPr>
                </w:p>
              </w:tc>
              <w:tc>
                <w:tcPr>
                  <w:tcW w:w="444" w:type="pct"/>
                  <w:shd w:val="clear" w:color="auto" w:fill="auto"/>
                  <w:vAlign w:val="center"/>
                </w:tcPr>
                <w:p w14:paraId="05E44C96">
                  <w:pPr>
                    <w:pStyle w:val="89"/>
                    <w:rPr>
                      <w:bCs/>
                      <w:color w:val="auto"/>
                      <w:sz w:val="18"/>
                      <w:szCs w:val="18"/>
                    </w:rPr>
                  </w:pPr>
                  <w:r>
                    <w:rPr>
                      <w:bCs/>
                      <w:color w:val="auto"/>
                      <w:sz w:val="18"/>
                      <w:szCs w:val="18"/>
                    </w:rPr>
                    <w:t>25</w:t>
                  </w:r>
                </w:p>
              </w:tc>
              <w:tc>
                <w:tcPr>
                  <w:tcW w:w="446" w:type="pct"/>
                  <w:shd w:val="clear" w:color="auto" w:fill="auto"/>
                  <w:vAlign w:val="center"/>
                </w:tcPr>
                <w:p w14:paraId="5DCAC35E">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431159ED">
                  <w:pPr>
                    <w:pStyle w:val="89"/>
                    <w:rPr>
                      <w:bCs/>
                      <w:color w:val="auto"/>
                      <w:sz w:val="18"/>
                      <w:szCs w:val="18"/>
                    </w:rPr>
                  </w:pPr>
                  <w:r>
                    <w:rPr>
                      <w:rFonts w:hint="eastAsia"/>
                      <w:bCs/>
                      <w:color w:val="auto"/>
                      <w:sz w:val="18"/>
                      <w:szCs w:val="18"/>
                    </w:rPr>
                    <w:t>1m</w:t>
                  </w:r>
                </w:p>
              </w:tc>
            </w:tr>
            <w:tr w14:paraId="0D2A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A4AA2E3">
                  <w:pPr>
                    <w:widowControl/>
                    <w:jc w:val="center"/>
                    <w:textAlignment w:val="center"/>
                    <w:rPr>
                      <w:color w:val="auto"/>
                      <w:sz w:val="18"/>
                      <w:szCs w:val="18"/>
                    </w:rPr>
                  </w:pPr>
                  <w:r>
                    <w:rPr>
                      <w:color w:val="auto"/>
                      <w:kern w:val="0"/>
                      <w:sz w:val="18"/>
                      <w:szCs w:val="18"/>
                      <w:lang w:bidi="ar"/>
                    </w:rPr>
                    <w:t>19</w:t>
                  </w:r>
                </w:p>
              </w:tc>
              <w:tc>
                <w:tcPr>
                  <w:tcW w:w="337" w:type="pct"/>
                  <w:vMerge w:val="continue"/>
                  <w:vAlign w:val="center"/>
                </w:tcPr>
                <w:p w14:paraId="3D0513EF">
                  <w:pPr>
                    <w:pStyle w:val="89"/>
                    <w:rPr>
                      <w:color w:val="auto"/>
                      <w:sz w:val="18"/>
                      <w:szCs w:val="18"/>
                    </w:rPr>
                  </w:pPr>
                </w:p>
              </w:tc>
              <w:tc>
                <w:tcPr>
                  <w:tcW w:w="510" w:type="pct"/>
                  <w:shd w:val="clear" w:color="auto" w:fill="auto"/>
                  <w:vAlign w:val="center"/>
                </w:tcPr>
                <w:p w14:paraId="7F4CBEF9">
                  <w:pPr>
                    <w:widowControl/>
                    <w:jc w:val="center"/>
                    <w:textAlignment w:val="center"/>
                    <w:rPr>
                      <w:color w:val="auto"/>
                      <w:sz w:val="18"/>
                      <w:szCs w:val="18"/>
                    </w:rPr>
                  </w:pPr>
                  <w:r>
                    <w:rPr>
                      <w:color w:val="auto"/>
                      <w:kern w:val="0"/>
                      <w:sz w:val="18"/>
                      <w:szCs w:val="18"/>
                      <w:lang w:bidi="ar"/>
                    </w:rPr>
                    <w:t>往复式数控成型磨</w:t>
                  </w:r>
                </w:p>
              </w:tc>
              <w:tc>
                <w:tcPr>
                  <w:tcW w:w="434" w:type="pct"/>
                  <w:shd w:val="clear" w:color="auto" w:fill="auto"/>
                  <w:vAlign w:val="center"/>
                </w:tcPr>
                <w:p w14:paraId="733C6434">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1BF3E245">
                  <w:pPr>
                    <w:pStyle w:val="89"/>
                    <w:rPr>
                      <w:bCs/>
                      <w:color w:val="auto"/>
                      <w:sz w:val="18"/>
                      <w:szCs w:val="18"/>
                    </w:rPr>
                  </w:pPr>
                </w:p>
              </w:tc>
              <w:tc>
                <w:tcPr>
                  <w:tcW w:w="286" w:type="pct"/>
                  <w:vAlign w:val="center"/>
                </w:tcPr>
                <w:p w14:paraId="0B0D4F5B">
                  <w:pPr>
                    <w:jc w:val="center"/>
                    <w:rPr>
                      <w:color w:val="auto"/>
                      <w:sz w:val="18"/>
                      <w:szCs w:val="18"/>
                    </w:rPr>
                  </w:pPr>
                  <w:r>
                    <w:rPr>
                      <w:rFonts w:hint="eastAsia"/>
                      <w:color w:val="auto"/>
                      <w:sz w:val="18"/>
                      <w:szCs w:val="18"/>
                    </w:rPr>
                    <w:t>16</w:t>
                  </w:r>
                </w:p>
              </w:tc>
              <w:tc>
                <w:tcPr>
                  <w:tcW w:w="313" w:type="pct"/>
                  <w:vAlign w:val="center"/>
                </w:tcPr>
                <w:p w14:paraId="12D28631">
                  <w:pPr>
                    <w:jc w:val="center"/>
                    <w:rPr>
                      <w:color w:val="auto"/>
                      <w:sz w:val="18"/>
                      <w:szCs w:val="18"/>
                    </w:rPr>
                  </w:pPr>
                  <w:r>
                    <w:rPr>
                      <w:rFonts w:hint="eastAsia"/>
                      <w:color w:val="auto"/>
                      <w:sz w:val="18"/>
                      <w:szCs w:val="18"/>
                    </w:rPr>
                    <w:t>33</w:t>
                  </w:r>
                </w:p>
              </w:tc>
              <w:tc>
                <w:tcPr>
                  <w:tcW w:w="277" w:type="pct"/>
                  <w:vAlign w:val="center"/>
                </w:tcPr>
                <w:p w14:paraId="0D977BE9">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10042086">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4D80E0CA">
                  <w:pPr>
                    <w:pStyle w:val="89"/>
                    <w:rPr>
                      <w:bCs/>
                      <w:color w:val="auto"/>
                      <w:sz w:val="18"/>
                      <w:szCs w:val="18"/>
                    </w:rPr>
                  </w:pPr>
                  <w:r>
                    <w:rPr>
                      <w:rFonts w:hint="eastAsia"/>
                      <w:bCs/>
                      <w:color w:val="auto"/>
                      <w:sz w:val="18"/>
                      <w:szCs w:val="18"/>
                    </w:rPr>
                    <w:t>75</w:t>
                  </w:r>
                </w:p>
              </w:tc>
              <w:tc>
                <w:tcPr>
                  <w:tcW w:w="234" w:type="pct"/>
                  <w:vMerge w:val="continue"/>
                  <w:vAlign w:val="center"/>
                </w:tcPr>
                <w:p w14:paraId="06378C2A">
                  <w:pPr>
                    <w:pStyle w:val="89"/>
                    <w:rPr>
                      <w:bCs/>
                      <w:color w:val="auto"/>
                      <w:sz w:val="18"/>
                      <w:szCs w:val="18"/>
                    </w:rPr>
                  </w:pPr>
                </w:p>
              </w:tc>
              <w:tc>
                <w:tcPr>
                  <w:tcW w:w="444" w:type="pct"/>
                  <w:shd w:val="clear" w:color="auto" w:fill="auto"/>
                  <w:vAlign w:val="center"/>
                </w:tcPr>
                <w:p w14:paraId="01A5462F">
                  <w:pPr>
                    <w:pStyle w:val="89"/>
                    <w:rPr>
                      <w:bCs/>
                      <w:color w:val="auto"/>
                      <w:sz w:val="18"/>
                      <w:szCs w:val="18"/>
                    </w:rPr>
                  </w:pPr>
                  <w:r>
                    <w:rPr>
                      <w:bCs/>
                      <w:color w:val="auto"/>
                      <w:sz w:val="18"/>
                      <w:szCs w:val="18"/>
                    </w:rPr>
                    <w:t>25</w:t>
                  </w:r>
                </w:p>
              </w:tc>
              <w:tc>
                <w:tcPr>
                  <w:tcW w:w="446" w:type="pct"/>
                  <w:shd w:val="clear" w:color="auto" w:fill="auto"/>
                  <w:vAlign w:val="center"/>
                </w:tcPr>
                <w:p w14:paraId="71184D0C">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116C9B40">
                  <w:pPr>
                    <w:pStyle w:val="89"/>
                    <w:rPr>
                      <w:bCs/>
                      <w:color w:val="auto"/>
                      <w:sz w:val="18"/>
                      <w:szCs w:val="18"/>
                    </w:rPr>
                  </w:pPr>
                  <w:r>
                    <w:rPr>
                      <w:rFonts w:hint="eastAsia"/>
                      <w:bCs/>
                      <w:color w:val="auto"/>
                      <w:sz w:val="18"/>
                      <w:szCs w:val="18"/>
                    </w:rPr>
                    <w:t>1m</w:t>
                  </w:r>
                </w:p>
              </w:tc>
            </w:tr>
            <w:tr w14:paraId="3C28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26280B9">
                  <w:pPr>
                    <w:widowControl/>
                    <w:jc w:val="center"/>
                    <w:textAlignment w:val="center"/>
                    <w:rPr>
                      <w:color w:val="auto"/>
                      <w:sz w:val="18"/>
                      <w:szCs w:val="18"/>
                    </w:rPr>
                  </w:pPr>
                  <w:r>
                    <w:rPr>
                      <w:color w:val="auto"/>
                      <w:kern w:val="0"/>
                      <w:sz w:val="18"/>
                      <w:szCs w:val="18"/>
                      <w:lang w:bidi="ar"/>
                    </w:rPr>
                    <w:t>20</w:t>
                  </w:r>
                </w:p>
              </w:tc>
              <w:tc>
                <w:tcPr>
                  <w:tcW w:w="337" w:type="pct"/>
                  <w:vMerge w:val="continue"/>
                  <w:vAlign w:val="center"/>
                </w:tcPr>
                <w:p w14:paraId="4E30F653">
                  <w:pPr>
                    <w:pStyle w:val="89"/>
                    <w:rPr>
                      <w:color w:val="auto"/>
                      <w:sz w:val="18"/>
                      <w:szCs w:val="18"/>
                    </w:rPr>
                  </w:pPr>
                </w:p>
              </w:tc>
              <w:tc>
                <w:tcPr>
                  <w:tcW w:w="510" w:type="pct"/>
                  <w:shd w:val="clear" w:color="auto" w:fill="auto"/>
                  <w:vAlign w:val="center"/>
                </w:tcPr>
                <w:p w14:paraId="7BD9AA12">
                  <w:pPr>
                    <w:widowControl/>
                    <w:jc w:val="center"/>
                    <w:textAlignment w:val="center"/>
                    <w:rPr>
                      <w:color w:val="auto"/>
                      <w:sz w:val="18"/>
                      <w:szCs w:val="18"/>
                    </w:rPr>
                  </w:pPr>
                  <w:r>
                    <w:rPr>
                      <w:color w:val="auto"/>
                      <w:kern w:val="0"/>
                      <w:sz w:val="18"/>
                      <w:szCs w:val="18"/>
                      <w:lang w:bidi="ar"/>
                    </w:rPr>
                    <w:t>无芯磨</w:t>
                  </w:r>
                </w:p>
              </w:tc>
              <w:tc>
                <w:tcPr>
                  <w:tcW w:w="434" w:type="pct"/>
                  <w:shd w:val="clear" w:color="auto" w:fill="auto"/>
                  <w:vAlign w:val="center"/>
                </w:tcPr>
                <w:p w14:paraId="560A6E41">
                  <w:pPr>
                    <w:widowControl/>
                    <w:jc w:val="center"/>
                    <w:textAlignment w:val="center"/>
                    <w:rPr>
                      <w:color w:val="auto"/>
                      <w:sz w:val="18"/>
                      <w:szCs w:val="18"/>
                    </w:rPr>
                  </w:pPr>
                  <w:r>
                    <w:rPr>
                      <w:rFonts w:hint="eastAsia"/>
                      <w:color w:val="auto"/>
                      <w:kern w:val="0"/>
                      <w:sz w:val="18"/>
                      <w:szCs w:val="18"/>
                      <w:lang w:bidi="ar"/>
                    </w:rPr>
                    <w:t>80</w:t>
                  </w:r>
                </w:p>
              </w:tc>
              <w:tc>
                <w:tcPr>
                  <w:tcW w:w="339" w:type="pct"/>
                  <w:vMerge w:val="continue"/>
                  <w:vAlign w:val="center"/>
                </w:tcPr>
                <w:p w14:paraId="5357F0C0">
                  <w:pPr>
                    <w:pStyle w:val="89"/>
                    <w:rPr>
                      <w:bCs/>
                      <w:color w:val="auto"/>
                      <w:sz w:val="18"/>
                      <w:szCs w:val="18"/>
                    </w:rPr>
                  </w:pPr>
                </w:p>
              </w:tc>
              <w:tc>
                <w:tcPr>
                  <w:tcW w:w="286" w:type="pct"/>
                  <w:vAlign w:val="center"/>
                </w:tcPr>
                <w:p w14:paraId="64C7AC58">
                  <w:pPr>
                    <w:jc w:val="center"/>
                    <w:rPr>
                      <w:color w:val="auto"/>
                      <w:sz w:val="18"/>
                      <w:szCs w:val="18"/>
                    </w:rPr>
                  </w:pPr>
                  <w:r>
                    <w:rPr>
                      <w:rFonts w:hint="eastAsia"/>
                      <w:color w:val="auto"/>
                      <w:sz w:val="18"/>
                      <w:szCs w:val="18"/>
                    </w:rPr>
                    <w:t>7</w:t>
                  </w:r>
                </w:p>
              </w:tc>
              <w:tc>
                <w:tcPr>
                  <w:tcW w:w="313" w:type="pct"/>
                  <w:vAlign w:val="center"/>
                </w:tcPr>
                <w:p w14:paraId="0B553576">
                  <w:pPr>
                    <w:jc w:val="center"/>
                    <w:rPr>
                      <w:color w:val="auto"/>
                      <w:sz w:val="18"/>
                      <w:szCs w:val="18"/>
                    </w:rPr>
                  </w:pPr>
                  <w:r>
                    <w:rPr>
                      <w:rFonts w:hint="eastAsia"/>
                      <w:color w:val="auto"/>
                      <w:sz w:val="18"/>
                      <w:szCs w:val="18"/>
                    </w:rPr>
                    <w:t>39</w:t>
                  </w:r>
                </w:p>
              </w:tc>
              <w:tc>
                <w:tcPr>
                  <w:tcW w:w="277" w:type="pct"/>
                  <w:vAlign w:val="center"/>
                </w:tcPr>
                <w:p w14:paraId="34A77746">
                  <w:pPr>
                    <w:jc w:val="center"/>
                    <w:rPr>
                      <w:color w:val="auto"/>
                      <w:sz w:val="18"/>
                      <w:szCs w:val="18"/>
                    </w:rPr>
                  </w:pPr>
                  <w:r>
                    <w:rPr>
                      <w:rFonts w:hint="eastAsia"/>
                      <w:color w:val="auto"/>
                      <w:sz w:val="18"/>
                      <w:szCs w:val="18"/>
                    </w:rPr>
                    <w:t>0</w:t>
                  </w:r>
                </w:p>
              </w:tc>
              <w:tc>
                <w:tcPr>
                  <w:tcW w:w="427" w:type="pct"/>
                  <w:shd w:val="clear" w:color="auto" w:fill="auto"/>
                  <w:vAlign w:val="center"/>
                </w:tcPr>
                <w:p w14:paraId="293C373D">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1A9DF252">
                  <w:pPr>
                    <w:pStyle w:val="89"/>
                    <w:rPr>
                      <w:bCs/>
                      <w:color w:val="auto"/>
                      <w:sz w:val="18"/>
                      <w:szCs w:val="18"/>
                    </w:rPr>
                  </w:pPr>
                  <w:r>
                    <w:rPr>
                      <w:rFonts w:hint="eastAsia"/>
                      <w:bCs/>
                      <w:color w:val="auto"/>
                      <w:sz w:val="18"/>
                      <w:szCs w:val="18"/>
                    </w:rPr>
                    <w:t>75</w:t>
                  </w:r>
                </w:p>
              </w:tc>
              <w:tc>
                <w:tcPr>
                  <w:tcW w:w="234" w:type="pct"/>
                  <w:vMerge w:val="continue"/>
                  <w:vAlign w:val="center"/>
                </w:tcPr>
                <w:p w14:paraId="3D8BD3AD">
                  <w:pPr>
                    <w:pStyle w:val="89"/>
                    <w:rPr>
                      <w:bCs/>
                      <w:color w:val="auto"/>
                      <w:sz w:val="18"/>
                      <w:szCs w:val="18"/>
                    </w:rPr>
                  </w:pPr>
                </w:p>
              </w:tc>
              <w:tc>
                <w:tcPr>
                  <w:tcW w:w="444" w:type="pct"/>
                  <w:shd w:val="clear" w:color="auto" w:fill="auto"/>
                  <w:vAlign w:val="center"/>
                </w:tcPr>
                <w:p w14:paraId="41C02B24">
                  <w:pPr>
                    <w:pStyle w:val="89"/>
                    <w:rPr>
                      <w:bCs/>
                      <w:color w:val="auto"/>
                      <w:sz w:val="18"/>
                      <w:szCs w:val="18"/>
                    </w:rPr>
                  </w:pPr>
                  <w:r>
                    <w:rPr>
                      <w:bCs/>
                      <w:color w:val="auto"/>
                      <w:sz w:val="18"/>
                      <w:szCs w:val="18"/>
                    </w:rPr>
                    <w:t>25</w:t>
                  </w:r>
                </w:p>
              </w:tc>
              <w:tc>
                <w:tcPr>
                  <w:tcW w:w="446" w:type="pct"/>
                  <w:shd w:val="clear" w:color="auto" w:fill="auto"/>
                  <w:vAlign w:val="center"/>
                </w:tcPr>
                <w:p w14:paraId="78B3529B">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1ECFA7CF">
                  <w:pPr>
                    <w:pStyle w:val="89"/>
                    <w:rPr>
                      <w:bCs/>
                      <w:color w:val="auto"/>
                      <w:sz w:val="18"/>
                      <w:szCs w:val="18"/>
                    </w:rPr>
                  </w:pPr>
                  <w:r>
                    <w:rPr>
                      <w:rFonts w:hint="eastAsia"/>
                      <w:bCs/>
                      <w:color w:val="auto"/>
                      <w:sz w:val="18"/>
                      <w:szCs w:val="18"/>
                    </w:rPr>
                    <w:t>1m</w:t>
                  </w:r>
                </w:p>
              </w:tc>
            </w:tr>
            <w:tr w14:paraId="4EB2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49D21C8">
                  <w:pPr>
                    <w:widowControl/>
                    <w:jc w:val="center"/>
                    <w:textAlignment w:val="center"/>
                    <w:rPr>
                      <w:color w:val="auto"/>
                      <w:sz w:val="18"/>
                      <w:szCs w:val="18"/>
                    </w:rPr>
                  </w:pPr>
                  <w:r>
                    <w:rPr>
                      <w:color w:val="auto"/>
                      <w:kern w:val="0"/>
                      <w:sz w:val="18"/>
                      <w:szCs w:val="18"/>
                      <w:lang w:bidi="ar"/>
                    </w:rPr>
                    <w:t>21</w:t>
                  </w:r>
                </w:p>
              </w:tc>
              <w:tc>
                <w:tcPr>
                  <w:tcW w:w="337" w:type="pct"/>
                  <w:vMerge w:val="continue"/>
                  <w:vAlign w:val="center"/>
                </w:tcPr>
                <w:p w14:paraId="37D31983">
                  <w:pPr>
                    <w:pStyle w:val="89"/>
                    <w:rPr>
                      <w:color w:val="auto"/>
                      <w:sz w:val="18"/>
                      <w:szCs w:val="18"/>
                    </w:rPr>
                  </w:pPr>
                </w:p>
              </w:tc>
              <w:tc>
                <w:tcPr>
                  <w:tcW w:w="510" w:type="pct"/>
                  <w:shd w:val="clear" w:color="auto" w:fill="auto"/>
                  <w:vAlign w:val="center"/>
                </w:tcPr>
                <w:p w14:paraId="15BC5EE3">
                  <w:pPr>
                    <w:widowControl/>
                    <w:jc w:val="center"/>
                    <w:textAlignment w:val="center"/>
                    <w:rPr>
                      <w:color w:val="auto"/>
                      <w:sz w:val="18"/>
                      <w:szCs w:val="18"/>
                    </w:rPr>
                  </w:pPr>
                  <w:r>
                    <w:rPr>
                      <w:color w:val="auto"/>
                      <w:kern w:val="0"/>
                      <w:sz w:val="18"/>
                      <w:szCs w:val="18"/>
                      <w:lang w:bidi="ar"/>
                    </w:rPr>
                    <w:t>方磨圆</w:t>
                  </w:r>
                </w:p>
              </w:tc>
              <w:tc>
                <w:tcPr>
                  <w:tcW w:w="434" w:type="pct"/>
                  <w:shd w:val="clear" w:color="auto" w:fill="auto"/>
                  <w:vAlign w:val="center"/>
                </w:tcPr>
                <w:p w14:paraId="25DBD3E7">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0703E694">
                  <w:pPr>
                    <w:pStyle w:val="89"/>
                    <w:rPr>
                      <w:bCs/>
                      <w:color w:val="auto"/>
                      <w:sz w:val="18"/>
                      <w:szCs w:val="18"/>
                    </w:rPr>
                  </w:pPr>
                </w:p>
              </w:tc>
              <w:tc>
                <w:tcPr>
                  <w:tcW w:w="286" w:type="pct"/>
                  <w:vAlign w:val="center"/>
                </w:tcPr>
                <w:p w14:paraId="6072A54C">
                  <w:pPr>
                    <w:jc w:val="center"/>
                    <w:rPr>
                      <w:color w:val="auto"/>
                      <w:sz w:val="18"/>
                      <w:szCs w:val="18"/>
                    </w:rPr>
                  </w:pPr>
                  <w:r>
                    <w:rPr>
                      <w:rFonts w:hint="eastAsia"/>
                      <w:color w:val="auto"/>
                      <w:sz w:val="18"/>
                      <w:szCs w:val="18"/>
                    </w:rPr>
                    <w:t>9</w:t>
                  </w:r>
                </w:p>
              </w:tc>
              <w:tc>
                <w:tcPr>
                  <w:tcW w:w="313" w:type="pct"/>
                  <w:vAlign w:val="center"/>
                </w:tcPr>
                <w:p w14:paraId="1C73B39A">
                  <w:pPr>
                    <w:jc w:val="center"/>
                    <w:rPr>
                      <w:color w:val="auto"/>
                      <w:sz w:val="18"/>
                      <w:szCs w:val="18"/>
                    </w:rPr>
                  </w:pPr>
                  <w:r>
                    <w:rPr>
                      <w:rFonts w:hint="eastAsia"/>
                      <w:color w:val="auto"/>
                      <w:sz w:val="18"/>
                      <w:szCs w:val="18"/>
                    </w:rPr>
                    <w:t>36</w:t>
                  </w:r>
                </w:p>
              </w:tc>
              <w:tc>
                <w:tcPr>
                  <w:tcW w:w="277" w:type="pct"/>
                  <w:vAlign w:val="center"/>
                </w:tcPr>
                <w:p w14:paraId="0FE6C9F7">
                  <w:pPr>
                    <w:jc w:val="center"/>
                    <w:rPr>
                      <w:color w:val="auto"/>
                      <w:sz w:val="18"/>
                      <w:szCs w:val="18"/>
                    </w:rPr>
                  </w:pPr>
                  <w:r>
                    <w:rPr>
                      <w:rFonts w:hint="eastAsia"/>
                      <w:color w:val="auto"/>
                      <w:sz w:val="18"/>
                      <w:szCs w:val="18"/>
                    </w:rPr>
                    <w:t>0</w:t>
                  </w:r>
                </w:p>
              </w:tc>
              <w:tc>
                <w:tcPr>
                  <w:tcW w:w="427" w:type="pct"/>
                  <w:shd w:val="clear" w:color="auto" w:fill="auto"/>
                  <w:vAlign w:val="center"/>
                </w:tcPr>
                <w:p w14:paraId="152BEB6F">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394CF9A1">
                  <w:pPr>
                    <w:pStyle w:val="89"/>
                    <w:rPr>
                      <w:bCs/>
                      <w:color w:val="auto"/>
                      <w:sz w:val="18"/>
                      <w:szCs w:val="18"/>
                    </w:rPr>
                  </w:pPr>
                  <w:r>
                    <w:rPr>
                      <w:rFonts w:hint="eastAsia"/>
                      <w:bCs/>
                      <w:color w:val="auto"/>
                      <w:sz w:val="18"/>
                      <w:szCs w:val="18"/>
                    </w:rPr>
                    <w:t>75</w:t>
                  </w:r>
                </w:p>
              </w:tc>
              <w:tc>
                <w:tcPr>
                  <w:tcW w:w="234" w:type="pct"/>
                  <w:vMerge w:val="continue"/>
                  <w:vAlign w:val="center"/>
                </w:tcPr>
                <w:p w14:paraId="1684B957">
                  <w:pPr>
                    <w:pStyle w:val="89"/>
                    <w:rPr>
                      <w:bCs/>
                      <w:color w:val="auto"/>
                      <w:sz w:val="18"/>
                      <w:szCs w:val="18"/>
                    </w:rPr>
                  </w:pPr>
                </w:p>
              </w:tc>
              <w:tc>
                <w:tcPr>
                  <w:tcW w:w="444" w:type="pct"/>
                  <w:shd w:val="clear" w:color="auto" w:fill="auto"/>
                  <w:vAlign w:val="center"/>
                </w:tcPr>
                <w:p w14:paraId="5AC68C0F">
                  <w:pPr>
                    <w:pStyle w:val="89"/>
                    <w:rPr>
                      <w:bCs/>
                      <w:color w:val="auto"/>
                      <w:sz w:val="18"/>
                      <w:szCs w:val="18"/>
                    </w:rPr>
                  </w:pPr>
                  <w:r>
                    <w:rPr>
                      <w:bCs/>
                      <w:color w:val="auto"/>
                      <w:sz w:val="18"/>
                      <w:szCs w:val="18"/>
                    </w:rPr>
                    <w:t>25</w:t>
                  </w:r>
                </w:p>
              </w:tc>
              <w:tc>
                <w:tcPr>
                  <w:tcW w:w="446" w:type="pct"/>
                  <w:shd w:val="clear" w:color="auto" w:fill="auto"/>
                  <w:vAlign w:val="center"/>
                </w:tcPr>
                <w:p w14:paraId="1DF9B1D9">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57957842">
                  <w:pPr>
                    <w:pStyle w:val="89"/>
                    <w:rPr>
                      <w:bCs/>
                      <w:color w:val="auto"/>
                      <w:sz w:val="18"/>
                      <w:szCs w:val="18"/>
                    </w:rPr>
                  </w:pPr>
                  <w:r>
                    <w:rPr>
                      <w:rFonts w:hint="eastAsia"/>
                      <w:bCs/>
                      <w:color w:val="auto"/>
                      <w:sz w:val="18"/>
                      <w:szCs w:val="18"/>
                    </w:rPr>
                    <w:t>1m</w:t>
                  </w:r>
                </w:p>
              </w:tc>
            </w:tr>
            <w:tr w14:paraId="343F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48A0B7C9">
                  <w:pPr>
                    <w:widowControl/>
                    <w:jc w:val="center"/>
                    <w:textAlignment w:val="center"/>
                    <w:rPr>
                      <w:color w:val="auto"/>
                      <w:sz w:val="18"/>
                      <w:szCs w:val="18"/>
                    </w:rPr>
                  </w:pPr>
                  <w:r>
                    <w:rPr>
                      <w:color w:val="auto"/>
                      <w:kern w:val="0"/>
                      <w:sz w:val="18"/>
                      <w:szCs w:val="18"/>
                      <w:lang w:bidi="ar"/>
                    </w:rPr>
                    <w:t>22</w:t>
                  </w:r>
                </w:p>
              </w:tc>
              <w:tc>
                <w:tcPr>
                  <w:tcW w:w="337" w:type="pct"/>
                  <w:vMerge w:val="continue"/>
                  <w:vAlign w:val="center"/>
                </w:tcPr>
                <w:p w14:paraId="46C8616F">
                  <w:pPr>
                    <w:pStyle w:val="89"/>
                    <w:rPr>
                      <w:color w:val="auto"/>
                      <w:sz w:val="18"/>
                      <w:szCs w:val="18"/>
                    </w:rPr>
                  </w:pPr>
                </w:p>
              </w:tc>
              <w:tc>
                <w:tcPr>
                  <w:tcW w:w="510" w:type="pct"/>
                  <w:shd w:val="clear" w:color="auto" w:fill="auto"/>
                  <w:vAlign w:val="center"/>
                </w:tcPr>
                <w:p w14:paraId="200A681C">
                  <w:pPr>
                    <w:widowControl/>
                    <w:jc w:val="center"/>
                    <w:textAlignment w:val="center"/>
                    <w:rPr>
                      <w:color w:val="auto"/>
                      <w:sz w:val="18"/>
                      <w:szCs w:val="18"/>
                    </w:rPr>
                  </w:pPr>
                  <w:r>
                    <w:rPr>
                      <w:color w:val="auto"/>
                      <w:kern w:val="0"/>
                      <w:sz w:val="18"/>
                      <w:szCs w:val="18"/>
                      <w:lang w:bidi="ar"/>
                    </w:rPr>
                    <w:t>自动打孔机（双工位）</w:t>
                  </w:r>
                </w:p>
              </w:tc>
              <w:tc>
                <w:tcPr>
                  <w:tcW w:w="434" w:type="pct"/>
                  <w:shd w:val="clear" w:color="auto" w:fill="auto"/>
                  <w:vAlign w:val="center"/>
                </w:tcPr>
                <w:p w14:paraId="3FC14177">
                  <w:pPr>
                    <w:widowControl/>
                    <w:jc w:val="center"/>
                    <w:textAlignment w:val="center"/>
                    <w:rPr>
                      <w:color w:val="auto"/>
                      <w:kern w:val="0"/>
                      <w:sz w:val="18"/>
                      <w:szCs w:val="18"/>
                      <w:lang w:bidi="ar"/>
                    </w:rPr>
                  </w:pPr>
                  <w:r>
                    <w:rPr>
                      <w:color w:val="auto"/>
                      <w:kern w:val="0"/>
                      <w:sz w:val="18"/>
                      <w:szCs w:val="18"/>
                      <w:lang w:bidi="ar"/>
                    </w:rPr>
                    <w:t>85</w:t>
                  </w:r>
                </w:p>
              </w:tc>
              <w:tc>
                <w:tcPr>
                  <w:tcW w:w="339" w:type="pct"/>
                  <w:vMerge w:val="continue"/>
                  <w:vAlign w:val="center"/>
                </w:tcPr>
                <w:p w14:paraId="0E75AB16">
                  <w:pPr>
                    <w:pStyle w:val="89"/>
                    <w:rPr>
                      <w:bCs/>
                      <w:color w:val="auto"/>
                      <w:sz w:val="18"/>
                      <w:szCs w:val="18"/>
                    </w:rPr>
                  </w:pPr>
                </w:p>
              </w:tc>
              <w:tc>
                <w:tcPr>
                  <w:tcW w:w="286" w:type="pct"/>
                  <w:vAlign w:val="center"/>
                </w:tcPr>
                <w:p w14:paraId="35EA252C">
                  <w:pPr>
                    <w:jc w:val="center"/>
                    <w:rPr>
                      <w:color w:val="auto"/>
                      <w:sz w:val="18"/>
                      <w:szCs w:val="18"/>
                    </w:rPr>
                  </w:pPr>
                  <w:r>
                    <w:rPr>
                      <w:rFonts w:hint="eastAsia"/>
                      <w:color w:val="auto"/>
                      <w:sz w:val="18"/>
                      <w:szCs w:val="18"/>
                    </w:rPr>
                    <w:t>76</w:t>
                  </w:r>
                </w:p>
              </w:tc>
              <w:tc>
                <w:tcPr>
                  <w:tcW w:w="313" w:type="pct"/>
                  <w:vAlign w:val="center"/>
                </w:tcPr>
                <w:p w14:paraId="57BEDBCC">
                  <w:pPr>
                    <w:jc w:val="center"/>
                    <w:rPr>
                      <w:color w:val="auto"/>
                      <w:sz w:val="18"/>
                      <w:szCs w:val="18"/>
                    </w:rPr>
                  </w:pPr>
                  <w:r>
                    <w:rPr>
                      <w:rFonts w:hint="eastAsia"/>
                      <w:color w:val="auto"/>
                      <w:sz w:val="18"/>
                      <w:szCs w:val="18"/>
                    </w:rPr>
                    <w:t>7</w:t>
                  </w:r>
                </w:p>
              </w:tc>
              <w:tc>
                <w:tcPr>
                  <w:tcW w:w="277" w:type="pct"/>
                  <w:vAlign w:val="center"/>
                </w:tcPr>
                <w:p w14:paraId="0E83A61B">
                  <w:pPr>
                    <w:jc w:val="center"/>
                    <w:rPr>
                      <w:color w:val="auto"/>
                      <w:sz w:val="18"/>
                      <w:szCs w:val="18"/>
                    </w:rPr>
                  </w:pPr>
                  <w:r>
                    <w:rPr>
                      <w:rFonts w:hint="eastAsia"/>
                      <w:color w:val="auto"/>
                      <w:sz w:val="18"/>
                      <w:szCs w:val="18"/>
                    </w:rPr>
                    <w:t>0</w:t>
                  </w:r>
                </w:p>
              </w:tc>
              <w:tc>
                <w:tcPr>
                  <w:tcW w:w="427" w:type="pct"/>
                  <w:shd w:val="clear" w:color="auto" w:fill="auto"/>
                  <w:vAlign w:val="center"/>
                </w:tcPr>
                <w:p w14:paraId="1122DC84">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2BDFCE96">
                  <w:pPr>
                    <w:pStyle w:val="89"/>
                    <w:rPr>
                      <w:bCs/>
                      <w:color w:val="auto"/>
                      <w:sz w:val="18"/>
                      <w:szCs w:val="18"/>
                    </w:rPr>
                  </w:pPr>
                  <w:r>
                    <w:rPr>
                      <w:rFonts w:hint="eastAsia"/>
                      <w:bCs/>
                      <w:color w:val="auto"/>
                      <w:sz w:val="18"/>
                      <w:szCs w:val="18"/>
                    </w:rPr>
                    <w:t>75</w:t>
                  </w:r>
                </w:p>
              </w:tc>
              <w:tc>
                <w:tcPr>
                  <w:tcW w:w="234" w:type="pct"/>
                  <w:vMerge w:val="continue"/>
                  <w:vAlign w:val="center"/>
                </w:tcPr>
                <w:p w14:paraId="6678AF76">
                  <w:pPr>
                    <w:pStyle w:val="89"/>
                    <w:rPr>
                      <w:bCs/>
                      <w:color w:val="auto"/>
                      <w:sz w:val="18"/>
                      <w:szCs w:val="18"/>
                    </w:rPr>
                  </w:pPr>
                </w:p>
              </w:tc>
              <w:tc>
                <w:tcPr>
                  <w:tcW w:w="444" w:type="pct"/>
                  <w:shd w:val="clear" w:color="auto" w:fill="auto"/>
                  <w:vAlign w:val="center"/>
                </w:tcPr>
                <w:p w14:paraId="051C68A8">
                  <w:pPr>
                    <w:pStyle w:val="89"/>
                    <w:rPr>
                      <w:bCs/>
                      <w:color w:val="auto"/>
                      <w:sz w:val="18"/>
                      <w:szCs w:val="18"/>
                    </w:rPr>
                  </w:pPr>
                  <w:r>
                    <w:rPr>
                      <w:bCs/>
                      <w:color w:val="auto"/>
                      <w:sz w:val="18"/>
                      <w:szCs w:val="18"/>
                    </w:rPr>
                    <w:t>25</w:t>
                  </w:r>
                </w:p>
              </w:tc>
              <w:tc>
                <w:tcPr>
                  <w:tcW w:w="446" w:type="pct"/>
                  <w:shd w:val="clear" w:color="auto" w:fill="auto"/>
                  <w:vAlign w:val="center"/>
                </w:tcPr>
                <w:p w14:paraId="7475C88C">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6EB132EF">
                  <w:pPr>
                    <w:pStyle w:val="89"/>
                    <w:rPr>
                      <w:bCs/>
                      <w:color w:val="auto"/>
                      <w:sz w:val="18"/>
                      <w:szCs w:val="18"/>
                    </w:rPr>
                  </w:pPr>
                  <w:r>
                    <w:rPr>
                      <w:rFonts w:hint="eastAsia"/>
                      <w:bCs/>
                      <w:color w:val="auto"/>
                      <w:sz w:val="18"/>
                      <w:szCs w:val="18"/>
                    </w:rPr>
                    <w:t>1m</w:t>
                  </w:r>
                </w:p>
              </w:tc>
            </w:tr>
            <w:tr w14:paraId="0B98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1465EE9A">
                  <w:pPr>
                    <w:widowControl/>
                    <w:jc w:val="center"/>
                    <w:textAlignment w:val="center"/>
                    <w:rPr>
                      <w:color w:val="auto"/>
                      <w:sz w:val="18"/>
                      <w:szCs w:val="18"/>
                    </w:rPr>
                  </w:pPr>
                  <w:r>
                    <w:rPr>
                      <w:color w:val="auto"/>
                      <w:kern w:val="0"/>
                      <w:sz w:val="18"/>
                      <w:szCs w:val="18"/>
                      <w:lang w:bidi="ar"/>
                    </w:rPr>
                    <w:t>23</w:t>
                  </w:r>
                </w:p>
              </w:tc>
              <w:tc>
                <w:tcPr>
                  <w:tcW w:w="337" w:type="pct"/>
                  <w:vMerge w:val="continue"/>
                  <w:vAlign w:val="center"/>
                </w:tcPr>
                <w:p w14:paraId="3D3A4A33">
                  <w:pPr>
                    <w:pStyle w:val="89"/>
                    <w:rPr>
                      <w:color w:val="auto"/>
                      <w:sz w:val="18"/>
                      <w:szCs w:val="18"/>
                    </w:rPr>
                  </w:pPr>
                </w:p>
              </w:tc>
              <w:tc>
                <w:tcPr>
                  <w:tcW w:w="510" w:type="pct"/>
                  <w:shd w:val="clear" w:color="auto" w:fill="auto"/>
                  <w:vAlign w:val="center"/>
                </w:tcPr>
                <w:p w14:paraId="38AAD89A">
                  <w:pPr>
                    <w:widowControl/>
                    <w:jc w:val="center"/>
                    <w:textAlignment w:val="center"/>
                    <w:rPr>
                      <w:color w:val="auto"/>
                      <w:sz w:val="18"/>
                      <w:szCs w:val="18"/>
                    </w:rPr>
                  </w:pPr>
                  <w:r>
                    <w:rPr>
                      <w:color w:val="auto"/>
                      <w:kern w:val="0"/>
                      <w:sz w:val="18"/>
                      <w:szCs w:val="18"/>
                      <w:lang w:bidi="ar"/>
                    </w:rPr>
                    <w:t>自动打孔机（三工位）</w:t>
                  </w:r>
                </w:p>
              </w:tc>
              <w:tc>
                <w:tcPr>
                  <w:tcW w:w="434" w:type="pct"/>
                  <w:shd w:val="clear" w:color="auto" w:fill="auto"/>
                  <w:vAlign w:val="center"/>
                </w:tcPr>
                <w:p w14:paraId="1A1D83F0">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0</w:t>
                  </w:r>
                </w:p>
              </w:tc>
              <w:tc>
                <w:tcPr>
                  <w:tcW w:w="339" w:type="pct"/>
                  <w:vMerge w:val="continue"/>
                  <w:vAlign w:val="center"/>
                </w:tcPr>
                <w:p w14:paraId="55AEE61A">
                  <w:pPr>
                    <w:pStyle w:val="89"/>
                    <w:rPr>
                      <w:bCs/>
                      <w:color w:val="auto"/>
                      <w:sz w:val="18"/>
                      <w:szCs w:val="18"/>
                    </w:rPr>
                  </w:pPr>
                </w:p>
              </w:tc>
              <w:tc>
                <w:tcPr>
                  <w:tcW w:w="286" w:type="pct"/>
                  <w:vAlign w:val="center"/>
                </w:tcPr>
                <w:p w14:paraId="49AFBC97">
                  <w:pPr>
                    <w:jc w:val="center"/>
                    <w:rPr>
                      <w:color w:val="auto"/>
                      <w:sz w:val="18"/>
                      <w:szCs w:val="18"/>
                    </w:rPr>
                  </w:pPr>
                  <w:r>
                    <w:rPr>
                      <w:rFonts w:hint="eastAsia"/>
                      <w:color w:val="auto"/>
                      <w:sz w:val="18"/>
                      <w:szCs w:val="18"/>
                    </w:rPr>
                    <w:t>76</w:t>
                  </w:r>
                </w:p>
              </w:tc>
              <w:tc>
                <w:tcPr>
                  <w:tcW w:w="313" w:type="pct"/>
                  <w:vAlign w:val="center"/>
                </w:tcPr>
                <w:p w14:paraId="2696189F">
                  <w:pPr>
                    <w:jc w:val="center"/>
                    <w:rPr>
                      <w:color w:val="auto"/>
                      <w:sz w:val="18"/>
                      <w:szCs w:val="18"/>
                    </w:rPr>
                  </w:pPr>
                  <w:r>
                    <w:rPr>
                      <w:rFonts w:hint="eastAsia"/>
                      <w:color w:val="auto"/>
                      <w:sz w:val="18"/>
                      <w:szCs w:val="18"/>
                    </w:rPr>
                    <w:t>3</w:t>
                  </w:r>
                </w:p>
              </w:tc>
              <w:tc>
                <w:tcPr>
                  <w:tcW w:w="277" w:type="pct"/>
                  <w:vAlign w:val="center"/>
                </w:tcPr>
                <w:p w14:paraId="6BE21F2E">
                  <w:pPr>
                    <w:jc w:val="center"/>
                    <w:rPr>
                      <w:color w:val="auto"/>
                      <w:sz w:val="18"/>
                      <w:szCs w:val="18"/>
                    </w:rPr>
                  </w:pPr>
                  <w:r>
                    <w:rPr>
                      <w:rFonts w:hint="eastAsia"/>
                      <w:color w:val="auto"/>
                      <w:sz w:val="18"/>
                      <w:szCs w:val="18"/>
                    </w:rPr>
                    <w:t>0</w:t>
                  </w:r>
                </w:p>
              </w:tc>
              <w:tc>
                <w:tcPr>
                  <w:tcW w:w="427" w:type="pct"/>
                  <w:shd w:val="clear" w:color="auto" w:fill="auto"/>
                  <w:vAlign w:val="center"/>
                </w:tcPr>
                <w:p w14:paraId="269D3D51">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270400A5">
                  <w:pPr>
                    <w:pStyle w:val="89"/>
                    <w:rPr>
                      <w:bCs/>
                      <w:color w:val="auto"/>
                      <w:sz w:val="18"/>
                      <w:szCs w:val="18"/>
                    </w:rPr>
                  </w:pPr>
                  <w:r>
                    <w:rPr>
                      <w:rFonts w:hint="eastAsia"/>
                      <w:bCs/>
                      <w:color w:val="auto"/>
                      <w:sz w:val="18"/>
                      <w:szCs w:val="18"/>
                    </w:rPr>
                    <w:t>75</w:t>
                  </w:r>
                </w:p>
              </w:tc>
              <w:tc>
                <w:tcPr>
                  <w:tcW w:w="234" w:type="pct"/>
                  <w:vMerge w:val="continue"/>
                  <w:vAlign w:val="center"/>
                </w:tcPr>
                <w:p w14:paraId="47321AC5">
                  <w:pPr>
                    <w:pStyle w:val="89"/>
                    <w:rPr>
                      <w:bCs/>
                      <w:color w:val="auto"/>
                      <w:sz w:val="18"/>
                      <w:szCs w:val="18"/>
                    </w:rPr>
                  </w:pPr>
                </w:p>
              </w:tc>
              <w:tc>
                <w:tcPr>
                  <w:tcW w:w="444" w:type="pct"/>
                  <w:shd w:val="clear" w:color="auto" w:fill="auto"/>
                  <w:vAlign w:val="center"/>
                </w:tcPr>
                <w:p w14:paraId="6F143DFF">
                  <w:pPr>
                    <w:pStyle w:val="89"/>
                    <w:rPr>
                      <w:bCs/>
                      <w:color w:val="auto"/>
                      <w:sz w:val="18"/>
                      <w:szCs w:val="18"/>
                    </w:rPr>
                  </w:pPr>
                  <w:r>
                    <w:rPr>
                      <w:bCs/>
                      <w:color w:val="auto"/>
                      <w:sz w:val="18"/>
                      <w:szCs w:val="18"/>
                    </w:rPr>
                    <w:t>25</w:t>
                  </w:r>
                </w:p>
              </w:tc>
              <w:tc>
                <w:tcPr>
                  <w:tcW w:w="446" w:type="pct"/>
                  <w:shd w:val="clear" w:color="auto" w:fill="auto"/>
                  <w:vAlign w:val="center"/>
                </w:tcPr>
                <w:p w14:paraId="1CC780B3">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7411DC9A">
                  <w:pPr>
                    <w:pStyle w:val="89"/>
                    <w:rPr>
                      <w:bCs/>
                      <w:color w:val="auto"/>
                      <w:sz w:val="18"/>
                      <w:szCs w:val="18"/>
                    </w:rPr>
                  </w:pPr>
                  <w:r>
                    <w:rPr>
                      <w:rFonts w:hint="eastAsia"/>
                      <w:bCs/>
                      <w:color w:val="auto"/>
                      <w:sz w:val="18"/>
                      <w:szCs w:val="18"/>
                    </w:rPr>
                    <w:t>1m</w:t>
                  </w:r>
                </w:p>
              </w:tc>
            </w:tr>
            <w:tr w14:paraId="5D95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46A1E4C7">
                  <w:pPr>
                    <w:widowControl/>
                    <w:jc w:val="center"/>
                    <w:textAlignment w:val="center"/>
                    <w:rPr>
                      <w:color w:val="auto"/>
                      <w:sz w:val="18"/>
                      <w:szCs w:val="18"/>
                    </w:rPr>
                  </w:pPr>
                  <w:r>
                    <w:rPr>
                      <w:color w:val="auto"/>
                      <w:kern w:val="0"/>
                      <w:sz w:val="18"/>
                      <w:szCs w:val="18"/>
                      <w:lang w:bidi="ar"/>
                    </w:rPr>
                    <w:t>24</w:t>
                  </w:r>
                </w:p>
              </w:tc>
              <w:tc>
                <w:tcPr>
                  <w:tcW w:w="337" w:type="pct"/>
                  <w:vMerge w:val="continue"/>
                  <w:vAlign w:val="center"/>
                </w:tcPr>
                <w:p w14:paraId="1FD79E71">
                  <w:pPr>
                    <w:pStyle w:val="89"/>
                    <w:rPr>
                      <w:color w:val="auto"/>
                      <w:sz w:val="18"/>
                      <w:szCs w:val="18"/>
                    </w:rPr>
                  </w:pPr>
                </w:p>
              </w:tc>
              <w:tc>
                <w:tcPr>
                  <w:tcW w:w="510" w:type="pct"/>
                  <w:shd w:val="clear" w:color="auto" w:fill="auto"/>
                  <w:vAlign w:val="center"/>
                </w:tcPr>
                <w:p w14:paraId="4FCDDFFA">
                  <w:pPr>
                    <w:widowControl/>
                    <w:jc w:val="center"/>
                    <w:textAlignment w:val="center"/>
                    <w:rPr>
                      <w:color w:val="auto"/>
                      <w:sz w:val="18"/>
                      <w:szCs w:val="18"/>
                    </w:rPr>
                  </w:pPr>
                  <w:r>
                    <w:rPr>
                      <w:color w:val="auto"/>
                      <w:kern w:val="0"/>
                      <w:sz w:val="18"/>
                      <w:szCs w:val="18"/>
                      <w:lang w:bidi="ar"/>
                    </w:rPr>
                    <w:t>外圆倒边机</w:t>
                  </w:r>
                </w:p>
              </w:tc>
              <w:tc>
                <w:tcPr>
                  <w:tcW w:w="434" w:type="pct"/>
                  <w:shd w:val="clear" w:color="auto" w:fill="auto"/>
                  <w:vAlign w:val="center"/>
                </w:tcPr>
                <w:p w14:paraId="423F985C">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4A389EAE">
                  <w:pPr>
                    <w:pStyle w:val="89"/>
                    <w:rPr>
                      <w:bCs/>
                      <w:color w:val="auto"/>
                      <w:sz w:val="18"/>
                      <w:szCs w:val="18"/>
                    </w:rPr>
                  </w:pPr>
                </w:p>
              </w:tc>
              <w:tc>
                <w:tcPr>
                  <w:tcW w:w="286" w:type="pct"/>
                  <w:vAlign w:val="center"/>
                </w:tcPr>
                <w:p w14:paraId="28B71FD3">
                  <w:pPr>
                    <w:jc w:val="center"/>
                    <w:rPr>
                      <w:color w:val="auto"/>
                      <w:sz w:val="18"/>
                      <w:szCs w:val="18"/>
                    </w:rPr>
                  </w:pPr>
                  <w:r>
                    <w:rPr>
                      <w:rFonts w:hint="eastAsia"/>
                      <w:color w:val="auto"/>
                      <w:sz w:val="18"/>
                      <w:szCs w:val="18"/>
                    </w:rPr>
                    <w:t>71</w:t>
                  </w:r>
                </w:p>
              </w:tc>
              <w:tc>
                <w:tcPr>
                  <w:tcW w:w="313" w:type="pct"/>
                  <w:vAlign w:val="center"/>
                </w:tcPr>
                <w:p w14:paraId="6DE607F6">
                  <w:pPr>
                    <w:jc w:val="center"/>
                    <w:rPr>
                      <w:color w:val="auto"/>
                      <w:sz w:val="18"/>
                      <w:szCs w:val="18"/>
                    </w:rPr>
                  </w:pPr>
                  <w:r>
                    <w:rPr>
                      <w:rFonts w:hint="eastAsia"/>
                      <w:color w:val="auto"/>
                      <w:sz w:val="18"/>
                      <w:szCs w:val="18"/>
                    </w:rPr>
                    <w:t>37</w:t>
                  </w:r>
                </w:p>
              </w:tc>
              <w:tc>
                <w:tcPr>
                  <w:tcW w:w="277" w:type="pct"/>
                  <w:vAlign w:val="center"/>
                </w:tcPr>
                <w:p w14:paraId="794A00EC">
                  <w:pPr>
                    <w:jc w:val="center"/>
                    <w:rPr>
                      <w:color w:val="auto"/>
                      <w:sz w:val="18"/>
                      <w:szCs w:val="18"/>
                    </w:rPr>
                  </w:pPr>
                  <w:r>
                    <w:rPr>
                      <w:rFonts w:hint="eastAsia"/>
                      <w:color w:val="auto"/>
                      <w:sz w:val="18"/>
                      <w:szCs w:val="18"/>
                    </w:rPr>
                    <w:t>0</w:t>
                  </w:r>
                </w:p>
              </w:tc>
              <w:tc>
                <w:tcPr>
                  <w:tcW w:w="427" w:type="pct"/>
                  <w:shd w:val="clear" w:color="auto" w:fill="auto"/>
                  <w:vAlign w:val="center"/>
                </w:tcPr>
                <w:p w14:paraId="6D4E6B17">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746E1516">
                  <w:pPr>
                    <w:pStyle w:val="89"/>
                    <w:rPr>
                      <w:bCs/>
                      <w:color w:val="auto"/>
                      <w:sz w:val="18"/>
                      <w:szCs w:val="18"/>
                    </w:rPr>
                  </w:pPr>
                  <w:r>
                    <w:rPr>
                      <w:rFonts w:hint="eastAsia"/>
                      <w:bCs/>
                      <w:color w:val="auto"/>
                      <w:sz w:val="18"/>
                      <w:szCs w:val="18"/>
                    </w:rPr>
                    <w:t>75</w:t>
                  </w:r>
                </w:p>
              </w:tc>
              <w:tc>
                <w:tcPr>
                  <w:tcW w:w="234" w:type="pct"/>
                  <w:vMerge w:val="continue"/>
                  <w:vAlign w:val="center"/>
                </w:tcPr>
                <w:p w14:paraId="19CB37EF">
                  <w:pPr>
                    <w:pStyle w:val="89"/>
                    <w:rPr>
                      <w:bCs/>
                      <w:color w:val="auto"/>
                      <w:sz w:val="18"/>
                      <w:szCs w:val="18"/>
                    </w:rPr>
                  </w:pPr>
                </w:p>
              </w:tc>
              <w:tc>
                <w:tcPr>
                  <w:tcW w:w="444" w:type="pct"/>
                  <w:shd w:val="clear" w:color="auto" w:fill="auto"/>
                  <w:vAlign w:val="center"/>
                </w:tcPr>
                <w:p w14:paraId="13D9A3AB">
                  <w:pPr>
                    <w:pStyle w:val="89"/>
                    <w:rPr>
                      <w:bCs/>
                      <w:color w:val="auto"/>
                      <w:sz w:val="18"/>
                      <w:szCs w:val="18"/>
                    </w:rPr>
                  </w:pPr>
                  <w:r>
                    <w:rPr>
                      <w:bCs/>
                      <w:color w:val="auto"/>
                      <w:sz w:val="18"/>
                      <w:szCs w:val="18"/>
                    </w:rPr>
                    <w:t>25</w:t>
                  </w:r>
                </w:p>
              </w:tc>
              <w:tc>
                <w:tcPr>
                  <w:tcW w:w="446" w:type="pct"/>
                  <w:shd w:val="clear" w:color="auto" w:fill="auto"/>
                  <w:vAlign w:val="center"/>
                </w:tcPr>
                <w:p w14:paraId="3B563ABE">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38359A8F">
                  <w:pPr>
                    <w:pStyle w:val="89"/>
                    <w:rPr>
                      <w:bCs/>
                      <w:color w:val="auto"/>
                      <w:sz w:val="18"/>
                      <w:szCs w:val="18"/>
                    </w:rPr>
                  </w:pPr>
                  <w:r>
                    <w:rPr>
                      <w:rFonts w:hint="eastAsia"/>
                      <w:bCs/>
                      <w:color w:val="auto"/>
                      <w:sz w:val="18"/>
                      <w:szCs w:val="18"/>
                    </w:rPr>
                    <w:t>1m</w:t>
                  </w:r>
                </w:p>
              </w:tc>
            </w:tr>
            <w:tr w14:paraId="7E77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692B6D9">
                  <w:pPr>
                    <w:widowControl/>
                    <w:jc w:val="center"/>
                    <w:textAlignment w:val="center"/>
                    <w:rPr>
                      <w:color w:val="auto"/>
                      <w:sz w:val="18"/>
                      <w:szCs w:val="18"/>
                    </w:rPr>
                  </w:pPr>
                  <w:r>
                    <w:rPr>
                      <w:color w:val="auto"/>
                      <w:kern w:val="0"/>
                      <w:sz w:val="18"/>
                      <w:szCs w:val="18"/>
                      <w:lang w:bidi="ar"/>
                    </w:rPr>
                    <w:t>25</w:t>
                  </w:r>
                </w:p>
              </w:tc>
              <w:tc>
                <w:tcPr>
                  <w:tcW w:w="337" w:type="pct"/>
                  <w:vMerge w:val="continue"/>
                  <w:vAlign w:val="center"/>
                </w:tcPr>
                <w:p w14:paraId="6B810362">
                  <w:pPr>
                    <w:pStyle w:val="89"/>
                    <w:rPr>
                      <w:color w:val="auto"/>
                      <w:sz w:val="18"/>
                      <w:szCs w:val="18"/>
                    </w:rPr>
                  </w:pPr>
                </w:p>
              </w:tc>
              <w:tc>
                <w:tcPr>
                  <w:tcW w:w="510" w:type="pct"/>
                  <w:shd w:val="clear" w:color="auto" w:fill="auto"/>
                  <w:vAlign w:val="center"/>
                </w:tcPr>
                <w:p w14:paraId="768141EF">
                  <w:pPr>
                    <w:widowControl/>
                    <w:jc w:val="center"/>
                    <w:textAlignment w:val="center"/>
                    <w:rPr>
                      <w:color w:val="auto"/>
                      <w:sz w:val="18"/>
                      <w:szCs w:val="18"/>
                    </w:rPr>
                  </w:pPr>
                  <w:r>
                    <w:rPr>
                      <w:color w:val="auto"/>
                      <w:kern w:val="0"/>
                      <w:sz w:val="18"/>
                      <w:szCs w:val="18"/>
                      <w:lang w:bidi="ar"/>
                    </w:rPr>
                    <w:t>开槽机</w:t>
                  </w:r>
                </w:p>
              </w:tc>
              <w:tc>
                <w:tcPr>
                  <w:tcW w:w="434" w:type="pct"/>
                  <w:shd w:val="clear" w:color="auto" w:fill="auto"/>
                  <w:vAlign w:val="center"/>
                </w:tcPr>
                <w:p w14:paraId="24DD4E09">
                  <w:pPr>
                    <w:widowControl/>
                    <w:jc w:val="center"/>
                    <w:textAlignment w:val="center"/>
                    <w:rPr>
                      <w:color w:val="auto"/>
                      <w:sz w:val="18"/>
                      <w:szCs w:val="18"/>
                    </w:rPr>
                  </w:pPr>
                  <w:r>
                    <w:rPr>
                      <w:rFonts w:hint="eastAsia"/>
                      <w:color w:val="auto"/>
                      <w:kern w:val="0"/>
                      <w:sz w:val="18"/>
                      <w:szCs w:val="18"/>
                      <w:lang w:bidi="ar"/>
                    </w:rPr>
                    <w:t>80</w:t>
                  </w:r>
                </w:p>
              </w:tc>
              <w:tc>
                <w:tcPr>
                  <w:tcW w:w="339" w:type="pct"/>
                  <w:vMerge w:val="continue"/>
                  <w:vAlign w:val="center"/>
                </w:tcPr>
                <w:p w14:paraId="447DCD31">
                  <w:pPr>
                    <w:pStyle w:val="89"/>
                    <w:rPr>
                      <w:bCs/>
                      <w:color w:val="auto"/>
                      <w:sz w:val="18"/>
                      <w:szCs w:val="18"/>
                    </w:rPr>
                  </w:pPr>
                </w:p>
              </w:tc>
              <w:tc>
                <w:tcPr>
                  <w:tcW w:w="286" w:type="pct"/>
                  <w:vAlign w:val="center"/>
                </w:tcPr>
                <w:p w14:paraId="23E7C104">
                  <w:pPr>
                    <w:jc w:val="center"/>
                    <w:rPr>
                      <w:color w:val="auto"/>
                      <w:sz w:val="18"/>
                      <w:szCs w:val="18"/>
                    </w:rPr>
                  </w:pPr>
                  <w:r>
                    <w:rPr>
                      <w:rFonts w:hint="eastAsia"/>
                      <w:color w:val="auto"/>
                      <w:sz w:val="18"/>
                      <w:szCs w:val="18"/>
                    </w:rPr>
                    <w:t>57</w:t>
                  </w:r>
                </w:p>
              </w:tc>
              <w:tc>
                <w:tcPr>
                  <w:tcW w:w="313" w:type="pct"/>
                  <w:vAlign w:val="center"/>
                </w:tcPr>
                <w:p w14:paraId="18A24F36">
                  <w:pPr>
                    <w:jc w:val="center"/>
                    <w:rPr>
                      <w:color w:val="auto"/>
                      <w:sz w:val="18"/>
                      <w:szCs w:val="18"/>
                    </w:rPr>
                  </w:pPr>
                  <w:r>
                    <w:rPr>
                      <w:rFonts w:hint="eastAsia"/>
                      <w:color w:val="auto"/>
                      <w:sz w:val="18"/>
                      <w:szCs w:val="18"/>
                    </w:rPr>
                    <w:t>33</w:t>
                  </w:r>
                </w:p>
              </w:tc>
              <w:tc>
                <w:tcPr>
                  <w:tcW w:w="277" w:type="pct"/>
                  <w:vAlign w:val="center"/>
                </w:tcPr>
                <w:p w14:paraId="6F623038">
                  <w:pPr>
                    <w:jc w:val="center"/>
                    <w:rPr>
                      <w:color w:val="auto"/>
                      <w:sz w:val="18"/>
                      <w:szCs w:val="18"/>
                    </w:rPr>
                  </w:pPr>
                  <w:r>
                    <w:rPr>
                      <w:rFonts w:hint="eastAsia"/>
                      <w:color w:val="auto"/>
                      <w:sz w:val="18"/>
                      <w:szCs w:val="18"/>
                    </w:rPr>
                    <w:t>0</w:t>
                  </w:r>
                </w:p>
              </w:tc>
              <w:tc>
                <w:tcPr>
                  <w:tcW w:w="427" w:type="pct"/>
                  <w:shd w:val="clear" w:color="auto" w:fill="auto"/>
                  <w:vAlign w:val="center"/>
                </w:tcPr>
                <w:p w14:paraId="1C429497">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6E0DEB05">
                  <w:pPr>
                    <w:pStyle w:val="89"/>
                    <w:rPr>
                      <w:bCs/>
                      <w:color w:val="auto"/>
                      <w:sz w:val="18"/>
                      <w:szCs w:val="18"/>
                    </w:rPr>
                  </w:pPr>
                  <w:r>
                    <w:rPr>
                      <w:rFonts w:hint="eastAsia"/>
                      <w:bCs/>
                      <w:color w:val="auto"/>
                      <w:sz w:val="18"/>
                      <w:szCs w:val="18"/>
                    </w:rPr>
                    <w:t>75</w:t>
                  </w:r>
                </w:p>
              </w:tc>
              <w:tc>
                <w:tcPr>
                  <w:tcW w:w="234" w:type="pct"/>
                  <w:vMerge w:val="continue"/>
                  <w:vAlign w:val="center"/>
                </w:tcPr>
                <w:p w14:paraId="69EE3D13">
                  <w:pPr>
                    <w:pStyle w:val="89"/>
                    <w:rPr>
                      <w:bCs/>
                      <w:color w:val="auto"/>
                      <w:sz w:val="18"/>
                      <w:szCs w:val="18"/>
                    </w:rPr>
                  </w:pPr>
                </w:p>
              </w:tc>
              <w:tc>
                <w:tcPr>
                  <w:tcW w:w="444" w:type="pct"/>
                  <w:shd w:val="clear" w:color="auto" w:fill="auto"/>
                  <w:vAlign w:val="center"/>
                </w:tcPr>
                <w:p w14:paraId="34213268">
                  <w:pPr>
                    <w:pStyle w:val="89"/>
                    <w:rPr>
                      <w:bCs/>
                      <w:color w:val="auto"/>
                      <w:sz w:val="18"/>
                      <w:szCs w:val="18"/>
                    </w:rPr>
                  </w:pPr>
                  <w:r>
                    <w:rPr>
                      <w:bCs/>
                      <w:color w:val="auto"/>
                      <w:sz w:val="18"/>
                      <w:szCs w:val="18"/>
                    </w:rPr>
                    <w:t>25</w:t>
                  </w:r>
                </w:p>
              </w:tc>
              <w:tc>
                <w:tcPr>
                  <w:tcW w:w="446" w:type="pct"/>
                  <w:shd w:val="clear" w:color="auto" w:fill="auto"/>
                  <w:vAlign w:val="center"/>
                </w:tcPr>
                <w:p w14:paraId="0CF87ECF">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65A67F0E">
                  <w:pPr>
                    <w:pStyle w:val="89"/>
                    <w:rPr>
                      <w:bCs/>
                      <w:color w:val="auto"/>
                      <w:sz w:val="18"/>
                      <w:szCs w:val="18"/>
                    </w:rPr>
                  </w:pPr>
                  <w:r>
                    <w:rPr>
                      <w:rFonts w:hint="eastAsia"/>
                      <w:bCs/>
                      <w:color w:val="auto"/>
                      <w:sz w:val="18"/>
                      <w:szCs w:val="18"/>
                    </w:rPr>
                    <w:t>1m</w:t>
                  </w:r>
                </w:p>
              </w:tc>
            </w:tr>
            <w:tr w14:paraId="4219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58BE7231">
                  <w:pPr>
                    <w:widowControl/>
                    <w:jc w:val="center"/>
                    <w:textAlignment w:val="center"/>
                    <w:rPr>
                      <w:color w:val="auto"/>
                      <w:sz w:val="18"/>
                      <w:szCs w:val="18"/>
                    </w:rPr>
                  </w:pPr>
                  <w:r>
                    <w:rPr>
                      <w:color w:val="auto"/>
                      <w:kern w:val="0"/>
                      <w:sz w:val="18"/>
                      <w:szCs w:val="18"/>
                      <w:lang w:bidi="ar"/>
                    </w:rPr>
                    <w:t>26</w:t>
                  </w:r>
                </w:p>
              </w:tc>
              <w:tc>
                <w:tcPr>
                  <w:tcW w:w="337" w:type="pct"/>
                  <w:vMerge w:val="continue"/>
                  <w:vAlign w:val="center"/>
                </w:tcPr>
                <w:p w14:paraId="52B16EB4">
                  <w:pPr>
                    <w:pStyle w:val="89"/>
                    <w:rPr>
                      <w:color w:val="auto"/>
                      <w:sz w:val="18"/>
                      <w:szCs w:val="18"/>
                    </w:rPr>
                  </w:pPr>
                </w:p>
              </w:tc>
              <w:tc>
                <w:tcPr>
                  <w:tcW w:w="510" w:type="pct"/>
                  <w:shd w:val="clear" w:color="auto" w:fill="auto"/>
                  <w:vAlign w:val="center"/>
                </w:tcPr>
                <w:p w14:paraId="7E5CE0FF">
                  <w:pPr>
                    <w:widowControl/>
                    <w:jc w:val="center"/>
                    <w:textAlignment w:val="center"/>
                    <w:rPr>
                      <w:color w:val="auto"/>
                      <w:sz w:val="18"/>
                      <w:szCs w:val="18"/>
                    </w:rPr>
                  </w:pPr>
                  <w:r>
                    <w:rPr>
                      <w:color w:val="auto"/>
                      <w:kern w:val="0"/>
                      <w:sz w:val="18"/>
                      <w:szCs w:val="18"/>
                      <w:lang w:bidi="ar"/>
                    </w:rPr>
                    <w:t>行车</w:t>
                  </w:r>
                </w:p>
              </w:tc>
              <w:tc>
                <w:tcPr>
                  <w:tcW w:w="434" w:type="pct"/>
                  <w:shd w:val="clear" w:color="auto" w:fill="auto"/>
                  <w:vAlign w:val="center"/>
                </w:tcPr>
                <w:p w14:paraId="38F92AC6">
                  <w:pPr>
                    <w:widowControl/>
                    <w:jc w:val="center"/>
                    <w:textAlignment w:val="center"/>
                    <w:rPr>
                      <w:color w:val="auto"/>
                      <w:sz w:val="18"/>
                      <w:szCs w:val="18"/>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05ED8C98">
                  <w:pPr>
                    <w:pStyle w:val="89"/>
                    <w:rPr>
                      <w:bCs/>
                      <w:color w:val="auto"/>
                      <w:sz w:val="18"/>
                      <w:szCs w:val="18"/>
                    </w:rPr>
                  </w:pPr>
                </w:p>
              </w:tc>
              <w:tc>
                <w:tcPr>
                  <w:tcW w:w="286" w:type="pct"/>
                  <w:vAlign w:val="center"/>
                </w:tcPr>
                <w:p w14:paraId="4DE5884A">
                  <w:pPr>
                    <w:jc w:val="center"/>
                    <w:rPr>
                      <w:color w:val="auto"/>
                      <w:sz w:val="18"/>
                      <w:szCs w:val="18"/>
                    </w:rPr>
                  </w:pPr>
                  <w:r>
                    <w:rPr>
                      <w:rFonts w:hint="eastAsia"/>
                      <w:color w:val="auto"/>
                      <w:sz w:val="18"/>
                      <w:szCs w:val="18"/>
                    </w:rPr>
                    <w:t>77</w:t>
                  </w:r>
                </w:p>
              </w:tc>
              <w:tc>
                <w:tcPr>
                  <w:tcW w:w="313" w:type="pct"/>
                  <w:vAlign w:val="center"/>
                </w:tcPr>
                <w:p w14:paraId="06FD2C74">
                  <w:pPr>
                    <w:jc w:val="center"/>
                    <w:rPr>
                      <w:color w:val="auto"/>
                      <w:sz w:val="18"/>
                      <w:szCs w:val="18"/>
                    </w:rPr>
                  </w:pPr>
                  <w:r>
                    <w:rPr>
                      <w:rFonts w:hint="eastAsia"/>
                      <w:color w:val="auto"/>
                      <w:sz w:val="18"/>
                      <w:szCs w:val="18"/>
                    </w:rPr>
                    <w:t>37</w:t>
                  </w:r>
                </w:p>
              </w:tc>
              <w:tc>
                <w:tcPr>
                  <w:tcW w:w="277" w:type="pct"/>
                  <w:vAlign w:val="center"/>
                </w:tcPr>
                <w:p w14:paraId="444CE626">
                  <w:pPr>
                    <w:jc w:val="center"/>
                    <w:rPr>
                      <w:color w:val="auto"/>
                      <w:sz w:val="18"/>
                      <w:szCs w:val="18"/>
                    </w:rPr>
                  </w:pPr>
                  <w:r>
                    <w:rPr>
                      <w:rFonts w:hint="eastAsia"/>
                      <w:color w:val="auto"/>
                      <w:sz w:val="18"/>
                      <w:szCs w:val="18"/>
                    </w:rPr>
                    <w:t>0</w:t>
                  </w:r>
                </w:p>
              </w:tc>
              <w:tc>
                <w:tcPr>
                  <w:tcW w:w="427" w:type="pct"/>
                  <w:shd w:val="clear" w:color="auto" w:fill="auto"/>
                  <w:vAlign w:val="center"/>
                </w:tcPr>
                <w:p w14:paraId="718118DF">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207DDFB9">
                  <w:pPr>
                    <w:pStyle w:val="89"/>
                    <w:rPr>
                      <w:bCs/>
                      <w:color w:val="auto"/>
                      <w:sz w:val="18"/>
                      <w:szCs w:val="18"/>
                    </w:rPr>
                  </w:pPr>
                  <w:r>
                    <w:rPr>
                      <w:rFonts w:hint="eastAsia"/>
                      <w:bCs/>
                      <w:color w:val="auto"/>
                      <w:sz w:val="18"/>
                      <w:szCs w:val="18"/>
                    </w:rPr>
                    <w:t>75</w:t>
                  </w:r>
                </w:p>
              </w:tc>
              <w:tc>
                <w:tcPr>
                  <w:tcW w:w="234" w:type="pct"/>
                  <w:vMerge w:val="continue"/>
                  <w:vAlign w:val="center"/>
                </w:tcPr>
                <w:p w14:paraId="2E453197">
                  <w:pPr>
                    <w:pStyle w:val="89"/>
                    <w:rPr>
                      <w:bCs/>
                      <w:color w:val="auto"/>
                      <w:sz w:val="18"/>
                      <w:szCs w:val="18"/>
                    </w:rPr>
                  </w:pPr>
                </w:p>
              </w:tc>
              <w:tc>
                <w:tcPr>
                  <w:tcW w:w="444" w:type="pct"/>
                  <w:shd w:val="clear" w:color="auto" w:fill="auto"/>
                  <w:vAlign w:val="center"/>
                </w:tcPr>
                <w:p w14:paraId="31249DA4">
                  <w:pPr>
                    <w:pStyle w:val="89"/>
                    <w:rPr>
                      <w:bCs/>
                      <w:color w:val="auto"/>
                      <w:sz w:val="18"/>
                      <w:szCs w:val="18"/>
                    </w:rPr>
                  </w:pPr>
                  <w:r>
                    <w:rPr>
                      <w:bCs/>
                      <w:color w:val="auto"/>
                      <w:sz w:val="18"/>
                      <w:szCs w:val="18"/>
                    </w:rPr>
                    <w:t>25</w:t>
                  </w:r>
                </w:p>
              </w:tc>
              <w:tc>
                <w:tcPr>
                  <w:tcW w:w="446" w:type="pct"/>
                  <w:shd w:val="clear" w:color="auto" w:fill="auto"/>
                  <w:vAlign w:val="center"/>
                </w:tcPr>
                <w:p w14:paraId="4585F48C">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728E31A2">
                  <w:pPr>
                    <w:pStyle w:val="89"/>
                    <w:rPr>
                      <w:bCs/>
                      <w:color w:val="auto"/>
                      <w:sz w:val="18"/>
                      <w:szCs w:val="18"/>
                    </w:rPr>
                  </w:pPr>
                  <w:r>
                    <w:rPr>
                      <w:rFonts w:hint="eastAsia"/>
                      <w:bCs/>
                      <w:color w:val="auto"/>
                      <w:sz w:val="18"/>
                      <w:szCs w:val="18"/>
                    </w:rPr>
                    <w:t>1m</w:t>
                  </w:r>
                </w:p>
              </w:tc>
            </w:tr>
            <w:tr w14:paraId="59EF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0BAC3B92">
                  <w:pPr>
                    <w:widowControl/>
                    <w:jc w:val="center"/>
                    <w:textAlignment w:val="center"/>
                    <w:rPr>
                      <w:color w:val="auto"/>
                      <w:sz w:val="18"/>
                      <w:szCs w:val="18"/>
                    </w:rPr>
                  </w:pPr>
                  <w:r>
                    <w:rPr>
                      <w:color w:val="auto"/>
                      <w:kern w:val="0"/>
                      <w:sz w:val="18"/>
                      <w:szCs w:val="18"/>
                      <w:lang w:bidi="ar"/>
                    </w:rPr>
                    <w:t>27</w:t>
                  </w:r>
                </w:p>
              </w:tc>
              <w:tc>
                <w:tcPr>
                  <w:tcW w:w="337" w:type="pct"/>
                  <w:vMerge w:val="continue"/>
                  <w:vAlign w:val="center"/>
                </w:tcPr>
                <w:p w14:paraId="292A0D47">
                  <w:pPr>
                    <w:pStyle w:val="89"/>
                    <w:rPr>
                      <w:color w:val="auto"/>
                      <w:sz w:val="18"/>
                      <w:szCs w:val="18"/>
                    </w:rPr>
                  </w:pPr>
                </w:p>
              </w:tc>
              <w:tc>
                <w:tcPr>
                  <w:tcW w:w="510" w:type="pct"/>
                  <w:shd w:val="clear" w:color="auto" w:fill="auto"/>
                  <w:vAlign w:val="center"/>
                </w:tcPr>
                <w:p w14:paraId="6A4A6957">
                  <w:pPr>
                    <w:widowControl/>
                    <w:jc w:val="center"/>
                    <w:textAlignment w:val="center"/>
                    <w:rPr>
                      <w:color w:val="auto"/>
                      <w:sz w:val="18"/>
                      <w:szCs w:val="18"/>
                    </w:rPr>
                  </w:pPr>
                  <w:r>
                    <w:rPr>
                      <w:color w:val="auto"/>
                      <w:kern w:val="0"/>
                      <w:sz w:val="18"/>
                      <w:szCs w:val="18"/>
                      <w:lang w:bidi="ar"/>
                    </w:rPr>
                    <w:t>磁悬浮冷水机组</w:t>
                  </w:r>
                </w:p>
              </w:tc>
              <w:tc>
                <w:tcPr>
                  <w:tcW w:w="434" w:type="pct"/>
                  <w:shd w:val="clear" w:color="auto" w:fill="auto"/>
                  <w:vAlign w:val="center"/>
                </w:tcPr>
                <w:p w14:paraId="76AD69D6">
                  <w:pPr>
                    <w:widowControl/>
                    <w:jc w:val="center"/>
                    <w:textAlignment w:val="center"/>
                    <w:rPr>
                      <w:color w:val="auto"/>
                      <w:kern w:val="0"/>
                      <w:sz w:val="18"/>
                      <w:szCs w:val="18"/>
                      <w:lang w:bidi="ar"/>
                    </w:rPr>
                  </w:pPr>
                  <w:r>
                    <w:rPr>
                      <w:color w:val="auto"/>
                      <w:kern w:val="0"/>
                      <w:sz w:val="18"/>
                      <w:szCs w:val="18"/>
                      <w:lang w:bidi="ar"/>
                    </w:rPr>
                    <w:t>85</w:t>
                  </w:r>
                </w:p>
              </w:tc>
              <w:tc>
                <w:tcPr>
                  <w:tcW w:w="339" w:type="pct"/>
                  <w:vMerge w:val="continue"/>
                  <w:vAlign w:val="center"/>
                </w:tcPr>
                <w:p w14:paraId="169DF909">
                  <w:pPr>
                    <w:pStyle w:val="89"/>
                    <w:rPr>
                      <w:bCs/>
                      <w:color w:val="auto"/>
                      <w:sz w:val="18"/>
                      <w:szCs w:val="18"/>
                    </w:rPr>
                  </w:pPr>
                </w:p>
              </w:tc>
              <w:tc>
                <w:tcPr>
                  <w:tcW w:w="286" w:type="pct"/>
                  <w:vAlign w:val="center"/>
                </w:tcPr>
                <w:p w14:paraId="63E14DB5">
                  <w:pPr>
                    <w:jc w:val="center"/>
                    <w:rPr>
                      <w:color w:val="auto"/>
                      <w:sz w:val="18"/>
                      <w:szCs w:val="18"/>
                    </w:rPr>
                  </w:pPr>
                  <w:r>
                    <w:rPr>
                      <w:rFonts w:hint="eastAsia"/>
                      <w:color w:val="auto"/>
                      <w:sz w:val="18"/>
                      <w:szCs w:val="18"/>
                    </w:rPr>
                    <w:t>51</w:t>
                  </w:r>
                </w:p>
              </w:tc>
              <w:tc>
                <w:tcPr>
                  <w:tcW w:w="313" w:type="pct"/>
                  <w:vAlign w:val="center"/>
                </w:tcPr>
                <w:p w14:paraId="08C7E27E">
                  <w:pPr>
                    <w:jc w:val="center"/>
                    <w:rPr>
                      <w:color w:val="auto"/>
                      <w:sz w:val="18"/>
                      <w:szCs w:val="18"/>
                    </w:rPr>
                  </w:pPr>
                  <w:r>
                    <w:rPr>
                      <w:rFonts w:hint="eastAsia"/>
                      <w:color w:val="auto"/>
                      <w:sz w:val="18"/>
                      <w:szCs w:val="18"/>
                    </w:rPr>
                    <w:t>24</w:t>
                  </w:r>
                </w:p>
              </w:tc>
              <w:tc>
                <w:tcPr>
                  <w:tcW w:w="277" w:type="pct"/>
                  <w:vAlign w:val="center"/>
                </w:tcPr>
                <w:p w14:paraId="49B76151">
                  <w:pPr>
                    <w:jc w:val="center"/>
                    <w:rPr>
                      <w:color w:val="auto"/>
                      <w:sz w:val="18"/>
                      <w:szCs w:val="18"/>
                    </w:rPr>
                  </w:pPr>
                  <w:r>
                    <w:rPr>
                      <w:rFonts w:hint="eastAsia"/>
                      <w:color w:val="auto"/>
                      <w:sz w:val="18"/>
                      <w:szCs w:val="18"/>
                    </w:rPr>
                    <w:t>0</w:t>
                  </w:r>
                </w:p>
              </w:tc>
              <w:tc>
                <w:tcPr>
                  <w:tcW w:w="427" w:type="pct"/>
                  <w:shd w:val="clear" w:color="auto" w:fill="auto"/>
                  <w:vAlign w:val="center"/>
                </w:tcPr>
                <w:p w14:paraId="57DADB1E">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56E83B62">
                  <w:pPr>
                    <w:pStyle w:val="89"/>
                    <w:rPr>
                      <w:bCs/>
                      <w:color w:val="auto"/>
                      <w:sz w:val="18"/>
                      <w:szCs w:val="18"/>
                    </w:rPr>
                  </w:pPr>
                  <w:r>
                    <w:rPr>
                      <w:rFonts w:hint="eastAsia"/>
                      <w:bCs/>
                      <w:color w:val="auto"/>
                      <w:sz w:val="18"/>
                      <w:szCs w:val="18"/>
                    </w:rPr>
                    <w:t>75</w:t>
                  </w:r>
                </w:p>
              </w:tc>
              <w:tc>
                <w:tcPr>
                  <w:tcW w:w="234" w:type="pct"/>
                  <w:vMerge w:val="continue"/>
                  <w:vAlign w:val="center"/>
                </w:tcPr>
                <w:p w14:paraId="71CDFBBA">
                  <w:pPr>
                    <w:pStyle w:val="89"/>
                    <w:rPr>
                      <w:bCs/>
                      <w:color w:val="auto"/>
                      <w:sz w:val="18"/>
                      <w:szCs w:val="18"/>
                    </w:rPr>
                  </w:pPr>
                </w:p>
              </w:tc>
              <w:tc>
                <w:tcPr>
                  <w:tcW w:w="444" w:type="pct"/>
                  <w:shd w:val="clear" w:color="auto" w:fill="auto"/>
                  <w:vAlign w:val="center"/>
                </w:tcPr>
                <w:p w14:paraId="5AE6AE2E">
                  <w:pPr>
                    <w:pStyle w:val="89"/>
                    <w:rPr>
                      <w:bCs/>
                      <w:color w:val="auto"/>
                      <w:sz w:val="18"/>
                      <w:szCs w:val="18"/>
                    </w:rPr>
                  </w:pPr>
                  <w:r>
                    <w:rPr>
                      <w:bCs/>
                      <w:color w:val="auto"/>
                      <w:sz w:val="18"/>
                      <w:szCs w:val="18"/>
                    </w:rPr>
                    <w:t>25</w:t>
                  </w:r>
                </w:p>
              </w:tc>
              <w:tc>
                <w:tcPr>
                  <w:tcW w:w="446" w:type="pct"/>
                  <w:shd w:val="clear" w:color="auto" w:fill="auto"/>
                  <w:vAlign w:val="center"/>
                </w:tcPr>
                <w:p w14:paraId="226F125B">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0E4CFCB7">
                  <w:pPr>
                    <w:pStyle w:val="89"/>
                    <w:rPr>
                      <w:bCs/>
                      <w:color w:val="auto"/>
                      <w:sz w:val="18"/>
                      <w:szCs w:val="18"/>
                    </w:rPr>
                  </w:pPr>
                  <w:r>
                    <w:rPr>
                      <w:rFonts w:hint="eastAsia"/>
                      <w:bCs/>
                      <w:color w:val="auto"/>
                      <w:sz w:val="18"/>
                      <w:szCs w:val="18"/>
                    </w:rPr>
                    <w:t>1m</w:t>
                  </w:r>
                </w:p>
              </w:tc>
            </w:tr>
            <w:tr w14:paraId="04D9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016FEDA3">
                  <w:pPr>
                    <w:widowControl/>
                    <w:jc w:val="center"/>
                    <w:textAlignment w:val="center"/>
                    <w:rPr>
                      <w:color w:val="auto"/>
                      <w:sz w:val="18"/>
                      <w:szCs w:val="18"/>
                    </w:rPr>
                  </w:pPr>
                  <w:r>
                    <w:rPr>
                      <w:color w:val="auto"/>
                      <w:kern w:val="0"/>
                      <w:sz w:val="18"/>
                      <w:szCs w:val="18"/>
                      <w:lang w:bidi="ar"/>
                    </w:rPr>
                    <w:t>28</w:t>
                  </w:r>
                </w:p>
              </w:tc>
              <w:tc>
                <w:tcPr>
                  <w:tcW w:w="337" w:type="pct"/>
                  <w:vMerge w:val="restart"/>
                  <w:vAlign w:val="center"/>
                </w:tcPr>
                <w:p w14:paraId="6CA869F5">
                  <w:pPr>
                    <w:pStyle w:val="89"/>
                    <w:rPr>
                      <w:color w:val="auto"/>
                      <w:sz w:val="18"/>
                      <w:szCs w:val="18"/>
                    </w:rPr>
                  </w:pPr>
                  <w:r>
                    <w:rPr>
                      <w:rFonts w:hint="eastAsia"/>
                      <w:color w:val="auto"/>
                      <w:sz w:val="18"/>
                      <w:szCs w:val="18"/>
                    </w:rPr>
                    <w:t>9#车间</w:t>
                  </w:r>
                </w:p>
              </w:tc>
              <w:tc>
                <w:tcPr>
                  <w:tcW w:w="510" w:type="pct"/>
                  <w:shd w:val="clear" w:color="auto" w:fill="auto"/>
                  <w:vAlign w:val="center"/>
                </w:tcPr>
                <w:p w14:paraId="6436F337">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val="en-US" w:eastAsia="zh-CN" w:bidi="ar"/>
                    </w:rPr>
                    <w:t>平面</w:t>
                  </w:r>
                  <w:r>
                    <w:rPr>
                      <w:color w:val="auto"/>
                      <w:kern w:val="0"/>
                      <w:sz w:val="18"/>
                      <w:szCs w:val="18"/>
                      <w:lang w:bidi="ar"/>
                    </w:rPr>
                    <w:t>磨</w:t>
                  </w:r>
                </w:p>
              </w:tc>
              <w:tc>
                <w:tcPr>
                  <w:tcW w:w="434" w:type="pct"/>
                  <w:shd w:val="clear" w:color="auto" w:fill="auto"/>
                  <w:vAlign w:val="center"/>
                </w:tcPr>
                <w:p w14:paraId="2B5D183D">
                  <w:pPr>
                    <w:widowControl/>
                    <w:jc w:val="center"/>
                    <w:textAlignment w:val="center"/>
                    <w:rPr>
                      <w:color w:val="auto"/>
                      <w:sz w:val="18"/>
                      <w:szCs w:val="18"/>
                    </w:rPr>
                  </w:pPr>
                  <w:r>
                    <w:rPr>
                      <w:rFonts w:hint="eastAsia"/>
                      <w:color w:val="auto"/>
                      <w:kern w:val="0"/>
                      <w:sz w:val="18"/>
                      <w:szCs w:val="18"/>
                      <w:lang w:bidi="ar"/>
                    </w:rPr>
                    <w:t>85</w:t>
                  </w:r>
                </w:p>
              </w:tc>
              <w:tc>
                <w:tcPr>
                  <w:tcW w:w="339" w:type="pct"/>
                  <w:vMerge w:val="continue"/>
                  <w:vAlign w:val="center"/>
                </w:tcPr>
                <w:p w14:paraId="162510F5">
                  <w:pPr>
                    <w:pStyle w:val="89"/>
                    <w:rPr>
                      <w:bCs/>
                      <w:color w:val="auto"/>
                      <w:sz w:val="18"/>
                      <w:szCs w:val="18"/>
                    </w:rPr>
                  </w:pPr>
                </w:p>
              </w:tc>
              <w:tc>
                <w:tcPr>
                  <w:tcW w:w="286" w:type="pct"/>
                  <w:vAlign w:val="center"/>
                </w:tcPr>
                <w:p w14:paraId="3D04BD60">
                  <w:pPr>
                    <w:jc w:val="center"/>
                    <w:rPr>
                      <w:color w:val="auto"/>
                      <w:sz w:val="18"/>
                      <w:szCs w:val="18"/>
                    </w:rPr>
                  </w:pPr>
                  <w:r>
                    <w:rPr>
                      <w:rFonts w:hint="eastAsia"/>
                      <w:color w:val="auto"/>
                      <w:sz w:val="18"/>
                      <w:szCs w:val="18"/>
                    </w:rPr>
                    <w:t>204</w:t>
                  </w:r>
                </w:p>
              </w:tc>
              <w:tc>
                <w:tcPr>
                  <w:tcW w:w="313" w:type="pct"/>
                  <w:vAlign w:val="center"/>
                </w:tcPr>
                <w:p w14:paraId="7452918A">
                  <w:pPr>
                    <w:jc w:val="center"/>
                    <w:rPr>
                      <w:color w:val="auto"/>
                      <w:sz w:val="18"/>
                      <w:szCs w:val="18"/>
                    </w:rPr>
                  </w:pPr>
                  <w:r>
                    <w:rPr>
                      <w:rFonts w:hint="eastAsia"/>
                      <w:color w:val="auto"/>
                      <w:sz w:val="18"/>
                      <w:szCs w:val="18"/>
                    </w:rPr>
                    <w:t>34</w:t>
                  </w:r>
                </w:p>
              </w:tc>
              <w:tc>
                <w:tcPr>
                  <w:tcW w:w="277" w:type="pct"/>
                  <w:vAlign w:val="center"/>
                </w:tcPr>
                <w:p w14:paraId="38F431AE">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427" w:type="pct"/>
                  <w:shd w:val="clear" w:color="auto" w:fill="auto"/>
                  <w:vAlign w:val="center"/>
                </w:tcPr>
                <w:p w14:paraId="162B735C">
                  <w:pPr>
                    <w:pStyle w:val="89"/>
                    <w:rPr>
                      <w:bCs/>
                      <w:color w:val="auto"/>
                      <w:sz w:val="18"/>
                      <w:szCs w:val="18"/>
                    </w:rPr>
                  </w:pPr>
                  <w:r>
                    <w:rPr>
                      <w:rFonts w:hint="eastAsia"/>
                      <w:bCs/>
                      <w:color w:val="auto"/>
                      <w:sz w:val="18"/>
                      <w:szCs w:val="18"/>
                    </w:rPr>
                    <w:t>2.6</w:t>
                  </w:r>
                </w:p>
              </w:tc>
              <w:tc>
                <w:tcPr>
                  <w:tcW w:w="444" w:type="pct"/>
                  <w:shd w:val="clear" w:color="auto" w:fill="auto"/>
                  <w:vAlign w:val="center"/>
                </w:tcPr>
                <w:p w14:paraId="3C07AAE8">
                  <w:pPr>
                    <w:pStyle w:val="89"/>
                    <w:rPr>
                      <w:bCs/>
                      <w:color w:val="auto"/>
                      <w:sz w:val="18"/>
                      <w:szCs w:val="18"/>
                    </w:rPr>
                  </w:pPr>
                  <w:r>
                    <w:rPr>
                      <w:rFonts w:hint="eastAsia"/>
                      <w:bCs/>
                      <w:color w:val="auto"/>
                      <w:sz w:val="18"/>
                      <w:szCs w:val="18"/>
                    </w:rPr>
                    <w:t>75</w:t>
                  </w:r>
                </w:p>
              </w:tc>
              <w:tc>
                <w:tcPr>
                  <w:tcW w:w="234" w:type="pct"/>
                  <w:vMerge w:val="continue"/>
                  <w:vAlign w:val="center"/>
                </w:tcPr>
                <w:p w14:paraId="1F57D7A2">
                  <w:pPr>
                    <w:pStyle w:val="89"/>
                    <w:rPr>
                      <w:bCs/>
                      <w:color w:val="auto"/>
                      <w:sz w:val="18"/>
                      <w:szCs w:val="18"/>
                    </w:rPr>
                  </w:pPr>
                </w:p>
              </w:tc>
              <w:tc>
                <w:tcPr>
                  <w:tcW w:w="444" w:type="pct"/>
                  <w:shd w:val="clear" w:color="auto" w:fill="auto"/>
                  <w:vAlign w:val="center"/>
                </w:tcPr>
                <w:p w14:paraId="56F6AC25">
                  <w:pPr>
                    <w:pStyle w:val="89"/>
                    <w:rPr>
                      <w:bCs/>
                      <w:color w:val="auto"/>
                      <w:sz w:val="18"/>
                      <w:szCs w:val="18"/>
                    </w:rPr>
                  </w:pPr>
                  <w:r>
                    <w:rPr>
                      <w:bCs/>
                      <w:color w:val="auto"/>
                      <w:sz w:val="18"/>
                      <w:szCs w:val="18"/>
                    </w:rPr>
                    <w:t>25</w:t>
                  </w:r>
                </w:p>
              </w:tc>
              <w:tc>
                <w:tcPr>
                  <w:tcW w:w="446" w:type="pct"/>
                  <w:shd w:val="clear" w:color="auto" w:fill="auto"/>
                  <w:vAlign w:val="center"/>
                </w:tcPr>
                <w:p w14:paraId="7DF09617">
                  <w:pPr>
                    <w:pStyle w:val="89"/>
                    <w:rPr>
                      <w:bCs/>
                      <w:color w:val="auto"/>
                      <w:sz w:val="18"/>
                      <w:szCs w:val="18"/>
                    </w:rPr>
                  </w:pPr>
                  <w:r>
                    <w:rPr>
                      <w:rFonts w:hint="eastAsia"/>
                      <w:bCs/>
                      <w:color w:val="auto"/>
                      <w:sz w:val="18"/>
                      <w:szCs w:val="18"/>
                    </w:rPr>
                    <w:t>50</w:t>
                  </w:r>
                </w:p>
              </w:tc>
              <w:tc>
                <w:tcPr>
                  <w:tcW w:w="269" w:type="pct"/>
                  <w:shd w:val="clear" w:color="auto" w:fill="auto"/>
                  <w:vAlign w:val="center"/>
                </w:tcPr>
                <w:p w14:paraId="4E17F57A">
                  <w:pPr>
                    <w:pStyle w:val="89"/>
                    <w:rPr>
                      <w:bCs/>
                      <w:color w:val="auto"/>
                      <w:sz w:val="18"/>
                      <w:szCs w:val="18"/>
                    </w:rPr>
                  </w:pPr>
                  <w:r>
                    <w:rPr>
                      <w:rFonts w:hint="eastAsia"/>
                      <w:bCs/>
                      <w:color w:val="auto"/>
                      <w:sz w:val="18"/>
                      <w:szCs w:val="18"/>
                    </w:rPr>
                    <w:t>1m</w:t>
                  </w:r>
                </w:p>
              </w:tc>
            </w:tr>
            <w:tr w14:paraId="61D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DB79735">
                  <w:pPr>
                    <w:widowControl/>
                    <w:jc w:val="center"/>
                    <w:textAlignment w:val="center"/>
                    <w:rPr>
                      <w:color w:val="auto"/>
                      <w:sz w:val="18"/>
                      <w:szCs w:val="18"/>
                    </w:rPr>
                  </w:pPr>
                  <w:r>
                    <w:rPr>
                      <w:color w:val="auto"/>
                      <w:kern w:val="0"/>
                      <w:sz w:val="18"/>
                      <w:szCs w:val="18"/>
                      <w:lang w:bidi="ar"/>
                    </w:rPr>
                    <w:t>29</w:t>
                  </w:r>
                </w:p>
              </w:tc>
              <w:tc>
                <w:tcPr>
                  <w:tcW w:w="337" w:type="pct"/>
                  <w:vMerge w:val="continue"/>
                  <w:vAlign w:val="center"/>
                </w:tcPr>
                <w:p w14:paraId="430CD570">
                  <w:pPr>
                    <w:pStyle w:val="89"/>
                    <w:rPr>
                      <w:color w:val="auto"/>
                      <w:sz w:val="18"/>
                      <w:szCs w:val="18"/>
                    </w:rPr>
                  </w:pPr>
                </w:p>
              </w:tc>
              <w:tc>
                <w:tcPr>
                  <w:tcW w:w="510" w:type="pct"/>
                  <w:shd w:val="clear" w:color="auto" w:fill="auto"/>
                  <w:vAlign w:val="center"/>
                </w:tcPr>
                <w:p w14:paraId="4DFD3E6E">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内圆磨</w:t>
                  </w:r>
                </w:p>
              </w:tc>
              <w:tc>
                <w:tcPr>
                  <w:tcW w:w="434" w:type="pct"/>
                  <w:shd w:val="clear" w:color="auto" w:fill="auto"/>
                  <w:vAlign w:val="center"/>
                </w:tcPr>
                <w:p w14:paraId="575B504B">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8</w:t>
                  </w:r>
                  <w:r>
                    <w:rPr>
                      <w:rFonts w:hint="eastAsia"/>
                      <w:color w:val="auto"/>
                      <w:kern w:val="0"/>
                      <w:sz w:val="18"/>
                      <w:szCs w:val="18"/>
                      <w:lang w:bidi="ar"/>
                    </w:rPr>
                    <w:t>5</w:t>
                  </w:r>
                </w:p>
              </w:tc>
              <w:tc>
                <w:tcPr>
                  <w:tcW w:w="339" w:type="pct"/>
                  <w:vMerge w:val="continue"/>
                  <w:shd w:val="clear" w:color="auto" w:fill="auto"/>
                  <w:vAlign w:val="center"/>
                </w:tcPr>
                <w:p w14:paraId="34E6B024">
                  <w:pPr>
                    <w:pStyle w:val="89"/>
                    <w:rPr>
                      <w:bCs/>
                      <w:color w:val="auto"/>
                      <w:sz w:val="18"/>
                      <w:szCs w:val="18"/>
                    </w:rPr>
                  </w:pPr>
                </w:p>
              </w:tc>
              <w:tc>
                <w:tcPr>
                  <w:tcW w:w="286" w:type="pct"/>
                  <w:shd w:val="clear" w:color="auto" w:fill="auto"/>
                  <w:vAlign w:val="center"/>
                </w:tcPr>
                <w:p w14:paraId="14C77FC9">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204</w:t>
                  </w:r>
                </w:p>
              </w:tc>
              <w:tc>
                <w:tcPr>
                  <w:tcW w:w="313" w:type="pct"/>
                  <w:shd w:val="clear" w:color="auto" w:fill="auto"/>
                  <w:vAlign w:val="center"/>
                </w:tcPr>
                <w:p w14:paraId="2A7606E0">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32</w:t>
                  </w:r>
                </w:p>
              </w:tc>
              <w:tc>
                <w:tcPr>
                  <w:tcW w:w="277" w:type="pct"/>
                  <w:shd w:val="clear" w:color="auto" w:fill="auto"/>
                  <w:vAlign w:val="center"/>
                </w:tcPr>
                <w:p w14:paraId="3340C084">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090AF442">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15B9A587">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shd w:val="clear" w:color="auto" w:fill="auto"/>
                  <w:vAlign w:val="center"/>
                </w:tcPr>
                <w:p w14:paraId="3D4BC0C5">
                  <w:pPr>
                    <w:pStyle w:val="89"/>
                    <w:rPr>
                      <w:bCs/>
                      <w:color w:val="auto"/>
                      <w:sz w:val="18"/>
                      <w:szCs w:val="18"/>
                    </w:rPr>
                  </w:pPr>
                </w:p>
              </w:tc>
              <w:tc>
                <w:tcPr>
                  <w:tcW w:w="444" w:type="pct"/>
                  <w:shd w:val="clear" w:color="auto" w:fill="auto"/>
                  <w:vAlign w:val="center"/>
                </w:tcPr>
                <w:p w14:paraId="6A9AEAB3">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5A191D0B">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65B38C75">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434E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8BE70AE">
                  <w:pPr>
                    <w:widowControl/>
                    <w:jc w:val="center"/>
                    <w:textAlignment w:val="center"/>
                    <w:rPr>
                      <w:color w:val="auto"/>
                      <w:sz w:val="18"/>
                      <w:szCs w:val="18"/>
                    </w:rPr>
                  </w:pPr>
                  <w:r>
                    <w:rPr>
                      <w:color w:val="auto"/>
                      <w:kern w:val="0"/>
                      <w:sz w:val="18"/>
                      <w:szCs w:val="18"/>
                      <w:lang w:bidi="ar"/>
                    </w:rPr>
                    <w:t>30</w:t>
                  </w:r>
                </w:p>
              </w:tc>
              <w:tc>
                <w:tcPr>
                  <w:tcW w:w="337" w:type="pct"/>
                  <w:vMerge w:val="continue"/>
                  <w:vAlign w:val="center"/>
                </w:tcPr>
                <w:p w14:paraId="091D9E35">
                  <w:pPr>
                    <w:pStyle w:val="89"/>
                    <w:rPr>
                      <w:color w:val="auto"/>
                      <w:sz w:val="18"/>
                      <w:szCs w:val="18"/>
                    </w:rPr>
                  </w:pPr>
                </w:p>
              </w:tc>
              <w:tc>
                <w:tcPr>
                  <w:tcW w:w="510" w:type="pct"/>
                  <w:shd w:val="clear" w:color="auto" w:fill="auto"/>
                  <w:vAlign w:val="center"/>
                </w:tcPr>
                <w:p w14:paraId="36B31026">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外圆磨</w:t>
                  </w:r>
                </w:p>
              </w:tc>
              <w:tc>
                <w:tcPr>
                  <w:tcW w:w="434" w:type="pct"/>
                  <w:shd w:val="clear" w:color="auto" w:fill="auto"/>
                  <w:vAlign w:val="center"/>
                </w:tcPr>
                <w:p w14:paraId="7C66520A">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85</w:t>
                  </w:r>
                </w:p>
              </w:tc>
              <w:tc>
                <w:tcPr>
                  <w:tcW w:w="339" w:type="pct"/>
                  <w:vMerge w:val="continue"/>
                  <w:vAlign w:val="center"/>
                </w:tcPr>
                <w:p w14:paraId="26FFC889">
                  <w:pPr>
                    <w:pStyle w:val="89"/>
                    <w:rPr>
                      <w:bCs/>
                      <w:color w:val="auto"/>
                      <w:sz w:val="18"/>
                      <w:szCs w:val="18"/>
                    </w:rPr>
                  </w:pPr>
                </w:p>
              </w:tc>
              <w:tc>
                <w:tcPr>
                  <w:tcW w:w="286" w:type="pct"/>
                  <w:shd w:val="clear" w:color="auto" w:fill="auto"/>
                  <w:vAlign w:val="center"/>
                </w:tcPr>
                <w:p w14:paraId="7EA8B4B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206</w:t>
                  </w:r>
                </w:p>
              </w:tc>
              <w:tc>
                <w:tcPr>
                  <w:tcW w:w="313" w:type="pct"/>
                  <w:shd w:val="clear" w:color="auto" w:fill="auto"/>
                  <w:vAlign w:val="center"/>
                </w:tcPr>
                <w:p w14:paraId="4243E735">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19</w:t>
                  </w:r>
                </w:p>
              </w:tc>
              <w:tc>
                <w:tcPr>
                  <w:tcW w:w="277" w:type="pct"/>
                  <w:shd w:val="clear" w:color="auto" w:fill="auto"/>
                  <w:vAlign w:val="center"/>
                </w:tcPr>
                <w:p w14:paraId="67D464BA">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09FF2DF2">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57426C32">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406437BB">
                  <w:pPr>
                    <w:pStyle w:val="89"/>
                    <w:rPr>
                      <w:bCs/>
                      <w:color w:val="auto"/>
                      <w:sz w:val="18"/>
                      <w:szCs w:val="18"/>
                    </w:rPr>
                  </w:pPr>
                </w:p>
              </w:tc>
              <w:tc>
                <w:tcPr>
                  <w:tcW w:w="444" w:type="pct"/>
                  <w:shd w:val="clear" w:color="auto" w:fill="auto"/>
                  <w:vAlign w:val="center"/>
                </w:tcPr>
                <w:p w14:paraId="54499335">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15DA6781">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35E7A42B">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1997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13994A49">
                  <w:pPr>
                    <w:widowControl/>
                    <w:jc w:val="center"/>
                    <w:textAlignment w:val="center"/>
                    <w:rPr>
                      <w:color w:val="auto"/>
                      <w:sz w:val="18"/>
                      <w:szCs w:val="18"/>
                    </w:rPr>
                  </w:pPr>
                  <w:r>
                    <w:rPr>
                      <w:color w:val="auto"/>
                      <w:kern w:val="0"/>
                      <w:sz w:val="18"/>
                      <w:szCs w:val="18"/>
                      <w:lang w:bidi="ar"/>
                    </w:rPr>
                    <w:t>31</w:t>
                  </w:r>
                </w:p>
              </w:tc>
              <w:tc>
                <w:tcPr>
                  <w:tcW w:w="337" w:type="pct"/>
                  <w:vMerge w:val="continue"/>
                  <w:vAlign w:val="center"/>
                </w:tcPr>
                <w:p w14:paraId="4D4B5395">
                  <w:pPr>
                    <w:pStyle w:val="89"/>
                    <w:rPr>
                      <w:color w:val="auto"/>
                      <w:sz w:val="18"/>
                      <w:szCs w:val="18"/>
                    </w:rPr>
                  </w:pPr>
                </w:p>
              </w:tc>
              <w:tc>
                <w:tcPr>
                  <w:tcW w:w="510" w:type="pct"/>
                  <w:shd w:val="clear" w:color="auto" w:fill="auto"/>
                  <w:vAlign w:val="center"/>
                </w:tcPr>
                <w:p w14:paraId="0C1B4C3D">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车铣加工中心</w:t>
                  </w:r>
                </w:p>
              </w:tc>
              <w:tc>
                <w:tcPr>
                  <w:tcW w:w="434" w:type="pct"/>
                  <w:shd w:val="clear" w:color="auto" w:fill="auto"/>
                  <w:vAlign w:val="center"/>
                </w:tcPr>
                <w:p w14:paraId="61DD4E5A">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85</w:t>
                  </w:r>
                </w:p>
              </w:tc>
              <w:tc>
                <w:tcPr>
                  <w:tcW w:w="339" w:type="pct"/>
                  <w:vMerge w:val="continue"/>
                  <w:vAlign w:val="center"/>
                </w:tcPr>
                <w:p w14:paraId="2AB60ADA">
                  <w:pPr>
                    <w:pStyle w:val="89"/>
                    <w:rPr>
                      <w:bCs/>
                      <w:color w:val="auto"/>
                      <w:sz w:val="18"/>
                      <w:szCs w:val="18"/>
                    </w:rPr>
                  </w:pPr>
                </w:p>
              </w:tc>
              <w:tc>
                <w:tcPr>
                  <w:tcW w:w="286" w:type="pct"/>
                  <w:shd w:val="clear" w:color="auto" w:fill="auto"/>
                  <w:vAlign w:val="center"/>
                </w:tcPr>
                <w:p w14:paraId="7057197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169</w:t>
                  </w:r>
                </w:p>
              </w:tc>
              <w:tc>
                <w:tcPr>
                  <w:tcW w:w="313" w:type="pct"/>
                  <w:shd w:val="clear" w:color="auto" w:fill="auto"/>
                  <w:vAlign w:val="center"/>
                </w:tcPr>
                <w:p w14:paraId="0D79DEBB">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31</w:t>
                  </w:r>
                </w:p>
              </w:tc>
              <w:tc>
                <w:tcPr>
                  <w:tcW w:w="277" w:type="pct"/>
                  <w:shd w:val="clear" w:color="auto" w:fill="auto"/>
                  <w:vAlign w:val="center"/>
                </w:tcPr>
                <w:p w14:paraId="2995D2C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427" w:type="pct"/>
                  <w:shd w:val="clear" w:color="auto" w:fill="auto"/>
                  <w:vAlign w:val="center"/>
                </w:tcPr>
                <w:p w14:paraId="202A7135">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30ABAB69">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10E5F3F2">
                  <w:pPr>
                    <w:pStyle w:val="89"/>
                    <w:rPr>
                      <w:bCs/>
                      <w:color w:val="auto"/>
                      <w:sz w:val="18"/>
                      <w:szCs w:val="18"/>
                    </w:rPr>
                  </w:pPr>
                </w:p>
              </w:tc>
              <w:tc>
                <w:tcPr>
                  <w:tcW w:w="444" w:type="pct"/>
                  <w:shd w:val="clear" w:color="auto" w:fill="auto"/>
                  <w:vAlign w:val="center"/>
                </w:tcPr>
                <w:p w14:paraId="6999732E">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501247B2">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0FF76F2B">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45C5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33842729">
                  <w:pPr>
                    <w:widowControl/>
                    <w:jc w:val="center"/>
                    <w:textAlignment w:val="center"/>
                    <w:rPr>
                      <w:color w:val="auto"/>
                      <w:sz w:val="18"/>
                      <w:szCs w:val="18"/>
                    </w:rPr>
                  </w:pPr>
                  <w:r>
                    <w:rPr>
                      <w:color w:val="auto"/>
                      <w:kern w:val="0"/>
                      <w:sz w:val="18"/>
                      <w:szCs w:val="18"/>
                      <w:lang w:bidi="ar"/>
                    </w:rPr>
                    <w:t>32</w:t>
                  </w:r>
                </w:p>
              </w:tc>
              <w:tc>
                <w:tcPr>
                  <w:tcW w:w="337" w:type="pct"/>
                  <w:vMerge w:val="continue"/>
                  <w:vAlign w:val="center"/>
                </w:tcPr>
                <w:p w14:paraId="1AA152A1">
                  <w:pPr>
                    <w:pStyle w:val="89"/>
                    <w:rPr>
                      <w:color w:val="auto"/>
                      <w:sz w:val="18"/>
                      <w:szCs w:val="18"/>
                    </w:rPr>
                  </w:pPr>
                </w:p>
              </w:tc>
              <w:tc>
                <w:tcPr>
                  <w:tcW w:w="510" w:type="pct"/>
                  <w:shd w:val="clear" w:color="auto" w:fill="auto"/>
                  <w:vAlign w:val="center"/>
                </w:tcPr>
                <w:p w14:paraId="38B69F60">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自动化组装线</w:t>
                  </w:r>
                </w:p>
              </w:tc>
              <w:tc>
                <w:tcPr>
                  <w:tcW w:w="434" w:type="pct"/>
                  <w:shd w:val="clear" w:color="auto" w:fill="auto"/>
                  <w:vAlign w:val="center"/>
                </w:tcPr>
                <w:p w14:paraId="3EC9BAA5">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80</w:t>
                  </w:r>
                </w:p>
              </w:tc>
              <w:tc>
                <w:tcPr>
                  <w:tcW w:w="339" w:type="pct"/>
                  <w:vMerge w:val="continue"/>
                  <w:vAlign w:val="center"/>
                </w:tcPr>
                <w:p w14:paraId="421835B6">
                  <w:pPr>
                    <w:pStyle w:val="89"/>
                    <w:rPr>
                      <w:bCs/>
                      <w:color w:val="auto"/>
                      <w:sz w:val="18"/>
                      <w:szCs w:val="18"/>
                    </w:rPr>
                  </w:pPr>
                </w:p>
              </w:tc>
              <w:tc>
                <w:tcPr>
                  <w:tcW w:w="286" w:type="pct"/>
                  <w:shd w:val="clear" w:color="auto" w:fill="auto"/>
                  <w:vAlign w:val="center"/>
                </w:tcPr>
                <w:p w14:paraId="5A14CCF2">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135</w:t>
                  </w:r>
                </w:p>
              </w:tc>
              <w:tc>
                <w:tcPr>
                  <w:tcW w:w="313" w:type="pct"/>
                  <w:shd w:val="clear" w:color="auto" w:fill="auto"/>
                  <w:vAlign w:val="center"/>
                </w:tcPr>
                <w:p w14:paraId="73B3E2D0">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38</w:t>
                  </w:r>
                </w:p>
              </w:tc>
              <w:tc>
                <w:tcPr>
                  <w:tcW w:w="277" w:type="pct"/>
                  <w:shd w:val="clear" w:color="auto" w:fill="auto"/>
                  <w:vAlign w:val="center"/>
                </w:tcPr>
                <w:p w14:paraId="2D51D0EB">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3556295C">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151AAF3C">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12717C2E">
                  <w:pPr>
                    <w:pStyle w:val="89"/>
                    <w:rPr>
                      <w:bCs/>
                      <w:color w:val="auto"/>
                      <w:sz w:val="18"/>
                      <w:szCs w:val="18"/>
                    </w:rPr>
                  </w:pPr>
                </w:p>
              </w:tc>
              <w:tc>
                <w:tcPr>
                  <w:tcW w:w="444" w:type="pct"/>
                  <w:shd w:val="clear" w:color="auto" w:fill="auto"/>
                  <w:vAlign w:val="center"/>
                </w:tcPr>
                <w:p w14:paraId="38847CCD">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58DB4BDC">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307B0FE5">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2F71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D395501">
                  <w:pPr>
                    <w:widowControl/>
                    <w:jc w:val="center"/>
                    <w:textAlignment w:val="center"/>
                    <w:rPr>
                      <w:color w:val="auto"/>
                      <w:sz w:val="18"/>
                      <w:szCs w:val="18"/>
                    </w:rPr>
                  </w:pPr>
                  <w:r>
                    <w:rPr>
                      <w:color w:val="auto"/>
                      <w:kern w:val="0"/>
                      <w:sz w:val="18"/>
                      <w:szCs w:val="18"/>
                      <w:lang w:bidi="ar"/>
                    </w:rPr>
                    <w:t>33</w:t>
                  </w:r>
                </w:p>
              </w:tc>
              <w:tc>
                <w:tcPr>
                  <w:tcW w:w="337" w:type="pct"/>
                  <w:vMerge w:val="continue"/>
                  <w:vAlign w:val="center"/>
                </w:tcPr>
                <w:p w14:paraId="4F9E6D11">
                  <w:pPr>
                    <w:pStyle w:val="89"/>
                    <w:rPr>
                      <w:color w:val="auto"/>
                      <w:sz w:val="18"/>
                      <w:szCs w:val="18"/>
                    </w:rPr>
                  </w:pPr>
                </w:p>
              </w:tc>
              <w:tc>
                <w:tcPr>
                  <w:tcW w:w="510" w:type="pct"/>
                  <w:shd w:val="clear" w:color="auto" w:fill="auto"/>
                  <w:vAlign w:val="center"/>
                </w:tcPr>
                <w:p w14:paraId="02EAACFD">
                  <w:pPr>
                    <w:widowControl/>
                    <w:jc w:val="center"/>
                    <w:textAlignment w:val="center"/>
                    <w:rPr>
                      <w:rFonts w:ascii="Times New Roman" w:hAnsi="Times New Roman" w:eastAsia="宋体" w:cs="Times New Roman"/>
                      <w:color w:val="auto"/>
                      <w:kern w:val="0"/>
                      <w:sz w:val="18"/>
                      <w:szCs w:val="18"/>
                      <w:lang w:val="en-US" w:eastAsia="zh-CN" w:bidi="ar"/>
                    </w:rPr>
                  </w:pPr>
                  <w:r>
                    <w:rPr>
                      <w:rFonts w:hint="eastAsia"/>
                      <w:color w:val="auto"/>
                      <w:kern w:val="0"/>
                      <w:sz w:val="18"/>
                      <w:szCs w:val="18"/>
                      <w:lang w:bidi="ar"/>
                    </w:rPr>
                    <w:t>柜式烘箱</w:t>
                  </w:r>
                </w:p>
              </w:tc>
              <w:tc>
                <w:tcPr>
                  <w:tcW w:w="434" w:type="pct"/>
                  <w:shd w:val="clear" w:color="auto" w:fill="auto"/>
                  <w:vAlign w:val="center"/>
                </w:tcPr>
                <w:p w14:paraId="51B6BD2A">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31845CF6">
                  <w:pPr>
                    <w:pStyle w:val="89"/>
                    <w:rPr>
                      <w:bCs/>
                      <w:color w:val="auto"/>
                      <w:sz w:val="18"/>
                      <w:szCs w:val="18"/>
                    </w:rPr>
                  </w:pPr>
                </w:p>
              </w:tc>
              <w:tc>
                <w:tcPr>
                  <w:tcW w:w="286" w:type="pct"/>
                  <w:shd w:val="clear" w:color="auto" w:fill="auto"/>
                  <w:vAlign w:val="center"/>
                </w:tcPr>
                <w:p w14:paraId="5466757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148</w:t>
                  </w:r>
                </w:p>
              </w:tc>
              <w:tc>
                <w:tcPr>
                  <w:tcW w:w="313" w:type="pct"/>
                  <w:shd w:val="clear" w:color="auto" w:fill="auto"/>
                  <w:vAlign w:val="center"/>
                </w:tcPr>
                <w:p w14:paraId="7C01C65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33</w:t>
                  </w:r>
                </w:p>
              </w:tc>
              <w:tc>
                <w:tcPr>
                  <w:tcW w:w="277" w:type="pct"/>
                  <w:shd w:val="clear" w:color="auto" w:fill="auto"/>
                  <w:vAlign w:val="center"/>
                </w:tcPr>
                <w:p w14:paraId="68B8846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38F07724">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087B6F90">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123FF5BD">
                  <w:pPr>
                    <w:pStyle w:val="89"/>
                    <w:rPr>
                      <w:bCs/>
                      <w:color w:val="auto"/>
                      <w:sz w:val="18"/>
                      <w:szCs w:val="18"/>
                    </w:rPr>
                  </w:pPr>
                </w:p>
              </w:tc>
              <w:tc>
                <w:tcPr>
                  <w:tcW w:w="444" w:type="pct"/>
                  <w:shd w:val="clear" w:color="auto" w:fill="auto"/>
                  <w:vAlign w:val="center"/>
                </w:tcPr>
                <w:p w14:paraId="25C10B43">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15F281C8">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1823C578">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6086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CF92BB6">
                  <w:pPr>
                    <w:widowControl/>
                    <w:jc w:val="center"/>
                    <w:textAlignment w:val="center"/>
                    <w:rPr>
                      <w:color w:val="auto"/>
                      <w:sz w:val="18"/>
                      <w:szCs w:val="18"/>
                    </w:rPr>
                  </w:pPr>
                  <w:r>
                    <w:rPr>
                      <w:color w:val="auto"/>
                      <w:kern w:val="0"/>
                      <w:sz w:val="18"/>
                      <w:szCs w:val="18"/>
                      <w:lang w:bidi="ar"/>
                    </w:rPr>
                    <w:t>34</w:t>
                  </w:r>
                </w:p>
              </w:tc>
              <w:tc>
                <w:tcPr>
                  <w:tcW w:w="337" w:type="pct"/>
                  <w:vMerge w:val="continue"/>
                  <w:vAlign w:val="center"/>
                </w:tcPr>
                <w:p w14:paraId="1FBF5D04">
                  <w:pPr>
                    <w:pStyle w:val="89"/>
                    <w:rPr>
                      <w:color w:val="auto"/>
                      <w:sz w:val="18"/>
                      <w:szCs w:val="18"/>
                    </w:rPr>
                  </w:pPr>
                </w:p>
              </w:tc>
              <w:tc>
                <w:tcPr>
                  <w:tcW w:w="510" w:type="pct"/>
                  <w:shd w:val="clear" w:color="auto" w:fill="auto"/>
                  <w:vAlign w:val="center"/>
                </w:tcPr>
                <w:p w14:paraId="632FE84A">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检测自动线</w:t>
                  </w:r>
                </w:p>
              </w:tc>
              <w:tc>
                <w:tcPr>
                  <w:tcW w:w="434" w:type="pct"/>
                  <w:shd w:val="clear" w:color="auto" w:fill="auto"/>
                  <w:vAlign w:val="center"/>
                </w:tcPr>
                <w:p w14:paraId="045DD540">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85</w:t>
                  </w:r>
                </w:p>
              </w:tc>
              <w:tc>
                <w:tcPr>
                  <w:tcW w:w="339" w:type="pct"/>
                  <w:vMerge w:val="continue"/>
                  <w:vAlign w:val="center"/>
                </w:tcPr>
                <w:p w14:paraId="0C961B13">
                  <w:pPr>
                    <w:pStyle w:val="89"/>
                    <w:rPr>
                      <w:bCs/>
                      <w:color w:val="auto"/>
                      <w:sz w:val="18"/>
                      <w:szCs w:val="18"/>
                    </w:rPr>
                  </w:pPr>
                </w:p>
              </w:tc>
              <w:tc>
                <w:tcPr>
                  <w:tcW w:w="286" w:type="pct"/>
                  <w:shd w:val="clear" w:color="auto" w:fill="auto"/>
                  <w:vAlign w:val="center"/>
                </w:tcPr>
                <w:p w14:paraId="574F78CB">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142</w:t>
                  </w:r>
                </w:p>
              </w:tc>
              <w:tc>
                <w:tcPr>
                  <w:tcW w:w="313" w:type="pct"/>
                  <w:shd w:val="clear" w:color="auto" w:fill="auto"/>
                  <w:vAlign w:val="center"/>
                </w:tcPr>
                <w:p w14:paraId="2016A5C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42</w:t>
                  </w:r>
                </w:p>
              </w:tc>
              <w:tc>
                <w:tcPr>
                  <w:tcW w:w="277" w:type="pct"/>
                  <w:shd w:val="clear" w:color="auto" w:fill="auto"/>
                  <w:vAlign w:val="center"/>
                </w:tcPr>
                <w:p w14:paraId="4918861D">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3BC3B63F">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6663510D">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04A02E69">
                  <w:pPr>
                    <w:pStyle w:val="89"/>
                    <w:rPr>
                      <w:bCs/>
                      <w:color w:val="auto"/>
                      <w:sz w:val="18"/>
                      <w:szCs w:val="18"/>
                    </w:rPr>
                  </w:pPr>
                </w:p>
              </w:tc>
              <w:tc>
                <w:tcPr>
                  <w:tcW w:w="444" w:type="pct"/>
                  <w:shd w:val="clear" w:color="auto" w:fill="auto"/>
                  <w:vAlign w:val="center"/>
                </w:tcPr>
                <w:p w14:paraId="1205651A">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30B8ED54">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0B5476A4">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4BF4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4AA77B48">
                  <w:pPr>
                    <w:widowControl/>
                    <w:jc w:val="center"/>
                    <w:textAlignment w:val="center"/>
                    <w:rPr>
                      <w:color w:val="auto"/>
                      <w:sz w:val="18"/>
                      <w:szCs w:val="18"/>
                    </w:rPr>
                  </w:pPr>
                  <w:r>
                    <w:rPr>
                      <w:color w:val="auto"/>
                      <w:kern w:val="0"/>
                      <w:sz w:val="18"/>
                      <w:szCs w:val="18"/>
                      <w:lang w:bidi="ar"/>
                    </w:rPr>
                    <w:t>35</w:t>
                  </w:r>
                </w:p>
              </w:tc>
              <w:tc>
                <w:tcPr>
                  <w:tcW w:w="337" w:type="pct"/>
                  <w:vMerge w:val="continue"/>
                  <w:vAlign w:val="center"/>
                </w:tcPr>
                <w:p w14:paraId="67E0FB2F">
                  <w:pPr>
                    <w:pStyle w:val="89"/>
                    <w:rPr>
                      <w:color w:val="auto"/>
                      <w:sz w:val="18"/>
                      <w:szCs w:val="18"/>
                    </w:rPr>
                  </w:pPr>
                </w:p>
              </w:tc>
              <w:tc>
                <w:tcPr>
                  <w:tcW w:w="510" w:type="pct"/>
                  <w:shd w:val="clear" w:color="auto" w:fill="auto"/>
                  <w:vAlign w:val="center"/>
                </w:tcPr>
                <w:p w14:paraId="12728F5A">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充磁自动线</w:t>
                  </w:r>
                </w:p>
              </w:tc>
              <w:tc>
                <w:tcPr>
                  <w:tcW w:w="434" w:type="pct"/>
                  <w:shd w:val="clear" w:color="auto" w:fill="auto"/>
                  <w:vAlign w:val="center"/>
                </w:tcPr>
                <w:p w14:paraId="68089FA3">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85</w:t>
                  </w:r>
                </w:p>
              </w:tc>
              <w:tc>
                <w:tcPr>
                  <w:tcW w:w="339" w:type="pct"/>
                  <w:vMerge w:val="continue"/>
                  <w:vAlign w:val="center"/>
                </w:tcPr>
                <w:p w14:paraId="0F68015D">
                  <w:pPr>
                    <w:pStyle w:val="89"/>
                    <w:rPr>
                      <w:bCs/>
                      <w:color w:val="auto"/>
                      <w:sz w:val="18"/>
                      <w:szCs w:val="18"/>
                    </w:rPr>
                  </w:pPr>
                </w:p>
              </w:tc>
              <w:tc>
                <w:tcPr>
                  <w:tcW w:w="286" w:type="pct"/>
                  <w:shd w:val="clear" w:color="auto" w:fill="auto"/>
                  <w:vAlign w:val="center"/>
                </w:tcPr>
                <w:p w14:paraId="07AEAEC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144</w:t>
                  </w:r>
                </w:p>
              </w:tc>
              <w:tc>
                <w:tcPr>
                  <w:tcW w:w="313" w:type="pct"/>
                  <w:shd w:val="clear" w:color="auto" w:fill="auto"/>
                  <w:vAlign w:val="center"/>
                </w:tcPr>
                <w:p w14:paraId="1F112F69">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38</w:t>
                  </w:r>
                </w:p>
              </w:tc>
              <w:tc>
                <w:tcPr>
                  <w:tcW w:w="277" w:type="pct"/>
                  <w:shd w:val="clear" w:color="auto" w:fill="auto"/>
                  <w:vAlign w:val="center"/>
                </w:tcPr>
                <w:p w14:paraId="5DF1429F">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35FD1F6D">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692C9560">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5ADD7BDB">
                  <w:pPr>
                    <w:pStyle w:val="89"/>
                    <w:rPr>
                      <w:bCs/>
                      <w:color w:val="auto"/>
                      <w:sz w:val="18"/>
                      <w:szCs w:val="18"/>
                    </w:rPr>
                  </w:pPr>
                </w:p>
              </w:tc>
              <w:tc>
                <w:tcPr>
                  <w:tcW w:w="444" w:type="pct"/>
                  <w:shd w:val="clear" w:color="auto" w:fill="auto"/>
                  <w:vAlign w:val="center"/>
                </w:tcPr>
                <w:p w14:paraId="5F5F0914">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146B8B30">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776FE17F">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7127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1A299428">
                  <w:pPr>
                    <w:widowControl/>
                    <w:jc w:val="center"/>
                    <w:textAlignment w:val="center"/>
                    <w:rPr>
                      <w:color w:val="auto"/>
                      <w:sz w:val="18"/>
                      <w:szCs w:val="18"/>
                    </w:rPr>
                  </w:pPr>
                  <w:r>
                    <w:rPr>
                      <w:color w:val="auto"/>
                      <w:kern w:val="0"/>
                      <w:sz w:val="18"/>
                      <w:szCs w:val="18"/>
                      <w:lang w:bidi="ar"/>
                    </w:rPr>
                    <w:t>36</w:t>
                  </w:r>
                </w:p>
              </w:tc>
              <w:tc>
                <w:tcPr>
                  <w:tcW w:w="337" w:type="pct"/>
                  <w:vMerge w:val="continue"/>
                  <w:vAlign w:val="center"/>
                </w:tcPr>
                <w:p w14:paraId="7479C2D7">
                  <w:pPr>
                    <w:pStyle w:val="89"/>
                    <w:rPr>
                      <w:color w:val="auto"/>
                      <w:sz w:val="18"/>
                      <w:szCs w:val="18"/>
                    </w:rPr>
                  </w:pPr>
                </w:p>
              </w:tc>
              <w:tc>
                <w:tcPr>
                  <w:tcW w:w="510" w:type="pct"/>
                  <w:shd w:val="clear" w:color="auto" w:fill="auto"/>
                  <w:vAlign w:val="center"/>
                </w:tcPr>
                <w:p w14:paraId="257EFD87">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AOI视觉检测/基恩士</w:t>
                  </w:r>
                </w:p>
              </w:tc>
              <w:tc>
                <w:tcPr>
                  <w:tcW w:w="434" w:type="pct"/>
                  <w:shd w:val="clear" w:color="auto" w:fill="auto"/>
                  <w:vAlign w:val="center"/>
                </w:tcPr>
                <w:p w14:paraId="2FD82E79">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80</w:t>
                  </w:r>
                </w:p>
              </w:tc>
              <w:tc>
                <w:tcPr>
                  <w:tcW w:w="339" w:type="pct"/>
                  <w:vMerge w:val="continue"/>
                  <w:vAlign w:val="center"/>
                </w:tcPr>
                <w:p w14:paraId="1862D4F4">
                  <w:pPr>
                    <w:pStyle w:val="89"/>
                    <w:rPr>
                      <w:bCs/>
                      <w:color w:val="auto"/>
                      <w:sz w:val="18"/>
                      <w:szCs w:val="18"/>
                    </w:rPr>
                  </w:pPr>
                </w:p>
              </w:tc>
              <w:tc>
                <w:tcPr>
                  <w:tcW w:w="286" w:type="pct"/>
                  <w:shd w:val="clear" w:color="auto" w:fill="auto"/>
                  <w:vAlign w:val="center"/>
                </w:tcPr>
                <w:p w14:paraId="094FA9A4">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145</w:t>
                  </w:r>
                </w:p>
              </w:tc>
              <w:tc>
                <w:tcPr>
                  <w:tcW w:w="313" w:type="pct"/>
                  <w:shd w:val="clear" w:color="auto" w:fill="auto"/>
                  <w:vAlign w:val="center"/>
                </w:tcPr>
                <w:p w14:paraId="4926E21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35</w:t>
                  </w:r>
                </w:p>
              </w:tc>
              <w:tc>
                <w:tcPr>
                  <w:tcW w:w="277" w:type="pct"/>
                  <w:shd w:val="clear" w:color="auto" w:fill="auto"/>
                  <w:vAlign w:val="center"/>
                </w:tcPr>
                <w:p w14:paraId="6D92A5E3">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427" w:type="pct"/>
                  <w:shd w:val="clear" w:color="auto" w:fill="auto"/>
                  <w:vAlign w:val="center"/>
                </w:tcPr>
                <w:p w14:paraId="58EDDF1A">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5ACA5625">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15F3A0DE">
                  <w:pPr>
                    <w:pStyle w:val="89"/>
                    <w:rPr>
                      <w:bCs/>
                      <w:color w:val="auto"/>
                      <w:sz w:val="18"/>
                      <w:szCs w:val="18"/>
                    </w:rPr>
                  </w:pPr>
                </w:p>
              </w:tc>
              <w:tc>
                <w:tcPr>
                  <w:tcW w:w="444" w:type="pct"/>
                  <w:shd w:val="clear" w:color="auto" w:fill="auto"/>
                  <w:vAlign w:val="center"/>
                </w:tcPr>
                <w:p w14:paraId="4851F77E">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4278B64A">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65A28BF1">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62E7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5D3D5FF0">
                  <w:pPr>
                    <w:widowControl/>
                    <w:jc w:val="center"/>
                    <w:textAlignment w:val="center"/>
                    <w:rPr>
                      <w:color w:val="auto"/>
                      <w:sz w:val="18"/>
                      <w:szCs w:val="18"/>
                    </w:rPr>
                  </w:pPr>
                  <w:r>
                    <w:rPr>
                      <w:color w:val="auto"/>
                      <w:kern w:val="0"/>
                      <w:sz w:val="18"/>
                      <w:szCs w:val="18"/>
                      <w:lang w:bidi="ar"/>
                    </w:rPr>
                    <w:t>37</w:t>
                  </w:r>
                </w:p>
              </w:tc>
              <w:tc>
                <w:tcPr>
                  <w:tcW w:w="337" w:type="pct"/>
                  <w:vMerge w:val="continue"/>
                  <w:vAlign w:val="center"/>
                </w:tcPr>
                <w:p w14:paraId="488E846C">
                  <w:pPr>
                    <w:pStyle w:val="89"/>
                    <w:rPr>
                      <w:color w:val="auto"/>
                      <w:sz w:val="18"/>
                      <w:szCs w:val="18"/>
                    </w:rPr>
                  </w:pPr>
                </w:p>
              </w:tc>
              <w:tc>
                <w:tcPr>
                  <w:tcW w:w="510" w:type="pct"/>
                  <w:shd w:val="clear" w:color="auto" w:fill="auto"/>
                  <w:vAlign w:val="center"/>
                </w:tcPr>
                <w:p w14:paraId="4371A397">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包装机</w:t>
                  </w:r>
                </w:p>
              </w:tc>
              <w:tc>
                <w:tcPr>
                  <w:tcW w:w="434" w:type="pct"/>
                  <w:shd w:val="clear" w:color="auto" w:fill="auto"/>
                  <w:vAlign w:val="center"/>
                </w:tcPr>
                <w:p w14:paraId="489C7E9D">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595D6415">
                  <w:pPr>
                    <w:pStyle w:val="89"/>
                    <w:rPr>
                      <w:bCs/>
                      <w:color w:val="auto"/>
                      <w:sz w:val="18"/>
                      <w:szCs w:val="18"/>
                    </w:rPr>
                  </w:pPr>
                </w:p>
              </w:tc>
              <w:tc>
                <w:tcPr>
                  <w:tcW w:w="286" w:type="pct"/>
                  <w:shd w:val="clear" w:color="auto" w:fill="auto"/>
                  <w:vAlign w:val="center"/>
                </w:tcPr>
                <w:p w14:paraId="7B28E7DC">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180</w:t>
                  </w:r>
                </w:p>
              </w:tc>
              <w:tc>
                <w:tcPr>
                  <w:tcW w:w="313" w:type="pct"/>
                  <w:shd w:val="clear" w:color="auto" w:fill="auto"/>
                  <w:vAlign w:val="center"/>
                </w:tcPr>
                <w:p w14:paraId="0B3C8B3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35</w:t>
                  </w:r>
                </w:p>
              </w:tc>
              <w:tc>
                <w:tcPr>
                  <w:tcW w:w="277" w:type="pct"/>
                  <w:shd w:val="clear" w:color="auto" w:fill="auto"/>
                  <w:vAlign w:val="center"/>
                </w:tcPr>
                <w:p w14:paraId="617E664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3ADDEAA3">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2964908A">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65603ED8">
                  <w:pPr>
                    <w:pStyle w:val="89"/>
                    <w:rPr>
                      <w:bCs/>
                      <w:color w:val="auto"/>
                      <w:sz w:val="18"/>
                      <w:szCs w:val="18"/>
                    </w:rPr>
                  </w:pPr>
                </w:p>
              </w:tc>
              <w:tc>
                <w:tcPr>
                  <w:tcW w:w="444" w:type="pct"/>
                  <w:shd w:val="clear" w:color="auto" w:fill="auto"/>
                  <w:vAlign w:val="center"/>
                </w:tcPr>
                <w:p w14:paraId="318042C2">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285B5E93">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3BF15B27">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3E2A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6198D4F5">
                  <w:pPr>
                    <w:widowControl/>
                    <w:jc w:val="center"/>
                    <w:textAlignment w:val="center"/>
                    <w:rPr>
                      <w:color w:val="auto"/>
                      <w:sz w:val="18"/>
                      <w:szCs w:val="18"/>
                    </w:rPr>
                  </w:pPr>
                  <w:r>
                    <w:rPr>
                      <w:color w:val="auto"/>
                      <w:kern w:val="0"/>
                      <w:sz w:val="18"/>
                      <w:szCs w:val="18"/>
                      <w:lang w:bidi="ar"/>
                    </w:rPr>
                    <w:t>38</w:t>
                  </w:r>
                </w:p>
              </w:tc>
              <w:tc>
                <w:tcPr>
                  <w:tcW w:w="337" w:type="pct"/>
                  <w:vMerge w:val="continue"/>
                  <w:vAlign w:val="center"/>
                </w:tcPr>
                <w:p w14:paraId="49F6131B">
                  <w:pPr>
                    <w:pStyle w:val="89"/>
                    <w:rPr>
                      <w:color w:val="auto"/>
                      <w:sz w:val="18"/>
                      <w:szCs w:val="18"/>
                    </w:rPr>
                  </w:pPr>
                </w:p>
              </w:tc>
              <w:tc>
                <w:tcPr>
                  <w:tcW w:w="510" w:type="pct"/>
                  <w:shd w:val="clear" w:color="auto" w:fill="auto"/>
                  <w:vAlign w:val="center"/>
                </w:tcPr>
                <w:p w14:paraId="56EDAB88">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三</w:t>
                  </w:r>
                  <w:r>
                    <w:rPr>
                      <w:rFonts w:hint="eastAsia"/>
                      <w:color w:val="auto"/>
                      <w:kern w:val="0"/>
                      <w:sz w:val="18"/>
                      <w:szCs w:val="18"/>
                      <w:lang w:bidi="ar"/>
                    </w:rPr>
                    <w:t>坐</w:t>
                  </w:r>
                  <w:r>
                    <w:rPr>
                      <w:color w:val="auto"/>
                      <w:kern w:val="0"/>
                      <w:sz w:val="18"/>
                      <w:szCs w:val="18"/>
                      <w:lang w:bidi="ar"/>
                    </w:rPr>
                    <w:t>标</w:t>
                  </w:r>
                </w:p>
              </w:tc>
              <w:tc>
                <w:tcPr>
                  <w:tcW w:w="434" w:type="pct"/>
                  <w:shd w:val="clear" w:color="auto" w:fill="auto"/>
                  <w:vAlign w:val="center"/>
                </w:tcPr>
                <w:p w14:paraId="36DDD6B8">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410D2BFA">
                  <w:pPr>
                    <w:pStyle w:val="89"/>
                    <w:rPr>
                      <w:bCs/>
                      <w:color w:val="auto"/>
                      <w:sz w:val="18"/>
                      <w:szCs w:val="18"/>
                    </w:rPr>
                  </w:pPr>
                </w:p>
              </w:tc>
              <w:tc>
                <w:tcPr>
                  <w:tcW w:w="286" w:type="pct"/>
                  <w:shd w:val="clear" w:color="auto" w:fill="auto"/>
                  <w:vAlign w:val="center"/>
                </w:tcPr>
                <w:p w14:paraId="142D2C0B">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180</w:t>
                  </w:r>
                </w:p>
              </w:tc>
              <w:tc>
                <w:tcPr>
                  <w:tcW w:w="313" w:type="pct"/>
                  <w:shd w:val="clear" w:color="auto" w:fill="auto"/>
                  <w:vAlign w:val="center"/>
                </w:tcPr>
                <w:p w14:paraId="53421844">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35</w:t>
                  </w:r>
                </w:p>
              </w:tc>
              <w:tc>
                <w:tcPr>
                  <w:tcW w:w="277" w:type="pct"/>
                  <w:shd w:val="clear" w:color="auto" w:fill="auto"/>
                  <w:vAlign w:val="center"/>
                </w:tcPr>
                <w:p w14:paraId="54F0F2C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427" w:type="pct"/>
                  <w:shd w:val="clear" w:color="auto" w:fill="auto"/>
                  <w:vAlign w:val="center"/>
                </w:tcPr>
                <w:p w14:paraId="0ABF9B7F">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133A48D7">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shd w:val="clear" w:color="auto" w:fill="auto"/>
                  <w:vAlign w:val="center"/>
                </w:tcPr>
                <w:p w14:paraId="38A90EB2">
                  <w:pPr>
                    <w:pStyle w:val="89"/>
                    <w:rPr>
                      <w:rFonts w:ascii="Times New Roman" w:hAnsi="Times New Roman" w:eastAsia="宋体" w:cs="Times New Roman"/>
                      <w:bCs/>
                      <w:color w:val="auto"/>
                      <w:kern w:val="2"/>
                      <w:position w:val="-10"/>
                      <w:sz w:val="18"/>
                      <w:szCs w:val="18"/>
                      <w:lang w:val="en-US" w:eastAsia="zh-CN" w:bidi="ar-SA"/>
                    </w:rPr>
                  </w:pPr>
                </w:p>
              </w:tc>
              <w:tc>
                <w:tcPr>
                  <w:tcW w:w="444" w:type="pct"/>
                  <w:shd w:val="clear" w:color="auto" w:fill="auto"/>
                  <w:vAlign w:val="center"/>
                </w:tcPr>
                <w:p w14:paraId="2DBA2DF9">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690D2EBE">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4B063068">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4DB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27549EBB">
                  <w:pPr>
                    <w:widowControl/>
                    <w:jc w:val="center"/>
                    <w:textAlignment w:val="center"/>
                    <w:rPr>
                      <w:color w:val="auto"/>
                      <w:sz w:val="18"/>
                      <w:szCs w:val="18"/>
                    </w:rPr>
                  </w:pPr>
                  <w:r>
                    <w:rPr>
                      <w:color w:val="auto"/>
                      <w:kern w:val="0"/>
                      <w:sz w:val="18"/>
                      <w:szCs w:val="18"/>
                      <w:lang w:bidi="ar"/>
                    </w:rPr>
                    <w:t>39</w:t>
                  </w:r>
                </w:p>
              </w:tc>
              <w:tc>
                <w:tcPr>
                  <w:tcW w:w="337" w:type="pct"/>
                  <w:vMerge w:val="continue"/>
                  <w:vAlign w:val="center"/>
                </w:tcPr>
                <w:p w14:paraId="2947D77A">
                  <w:pPr>
                    <w:pStyle w:val="89"/>
                    <w:rPr>
                      <w:color w:val="auto"/>
                      <w:sz w:val="18"/>
                      <w:szCs w:val="18"/>
                    </w:rPr>
                  </w:pPr>
                </w:p>
              </w:tc>
              <w:tc>
                <w:tcPr>
                  <w:tcW w:w="510" w:type="pct"/>
                  <w:shd w:val="clear" w:color="auto" w:fill="auto"/>
                  <w:vAlign w:val="center"/>
                </w:tcPr>
                <w:p w14:paraId="0F870D27">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粗糙度轮廓仪</w:t>
                  </w:r>
                </w:p>
              </w:tc>
              <w:tc>
                <w:tcPr>
                  <w:tcW w:w="434" w:type="pct"/>
                  <w:shd w:val="clear" w:color="auto" w:fill="auto"/>
                  <w:vAlign w:val="center"/>
                </w:tcPr>
                <w:p w14:paraId="28DC7900">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80</w:t>
                  </w:r>
                </w:p>
              </w:tc>
              <w:tc>
                <w:tcPr>
                  <w:tcW w:w="339" w:type="pct"/>
                  <w:vMerge w:val="continue"/>
                  <w:vAlign w:val="center"/>
                </w:tcPr>
                <w:p w14:paraId="70324145">
                  <w:pPr>
                    <w:pStyle w:val="89"/>
                    <w:rPr>
                      <w:bCs/>
                      <w:color w:val="auto"/>
                      <w:sz w:val="18"/>
                      <w:szCs w:val="18"/>
                    </w:rPr>
                  </w:pPr>
                </w:p>
              </w:tc>
              <w:tc>
                <w:tcPr>
                  <w:tcW w:w="286" w:type="pct"/>
                  <w:shd w:val="clear" w:color="auto" w:fill="auto"/>
                  <w:vAlign w:val="center"/>
                </w:tcPr>
                <w:p w14:paraId="4DC48FC7">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168</w:t>
                  </w:r>
                </w:p>
              </w:tc>
              <w:tc>
                <w:tcPr>
                  <w:tcW w:w="313" w:type="pct"/>
                  <w:shd w:val="clear" w:color="auto" w:fill="auto"/>
                  <w:vAlign w:val="center"/>
                </w:tcPr>
                <w:p w14:paraId="5B7E63A2">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42</w:t>
                  </w:r>
                </w:p>
              </w:tc>
              <w:tc>
                <w:tcPr>
                  <w:tcW w:w="277" w:type="pct"/>
                  <w:shd w:val="clear" w:color="auto" w:fill="auto"/>
                  <w:vAlign w:val="center"/>
                </w:tcPr>
                <w:p w14:paraId="46CBD9D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427" w:type="pct"/>
                  <w:shd w:val="clear" w:color="auto" w:fill="auto"/>
                  <w:vAlign w:val="center"/>
                </w:tcPr>
                <w:p w14:paraId="274FE4B8">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3990408A">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34968304">
                  <w:pPr>
                    <w:pStyle w:val="89"/>
                    <w:rPr>
                      <w:bCs/>
                      <w:color w:val="auto"/>
                      <w:sz w:val="18"/>
                      <w:szCs w:val="18"/>
                    </w:rPr>
                  </w:pPr>
                </w:p>
              </w:tc>
              <w:tc>
                <w:tcPr>
                  <w:tcW w:w="444" w:type="pct"/>
                  <w:shd w:val="clear" w:color="auto" w:fill="auto"/>
                  <w:vAlign w:val="center"/>
                </w:tcPr>
                <w:p w14:paraId="0DB0328B">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6C0FA8BC">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7091AF60">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61B9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0F6F056E">
                  <w:pPr>
                    <w:widowControl/>
                    <w:jc w:val="center"/>
                    <w:textAlignment w:val="center"/>
                    <w:rPr>
                      <w:color w:val="auto"/>
                      <w:sz w:val="18"/>
                      <w:szCs w:val="18"/>
                    </w:rPr>
                  </w:pPr>
                  <w:r>
                    <w:rPr>
                      <w:color w:val="auto"/>
                      <w:kern w:val="0"/>
                      <w:sz w:val="18"/>
                      <w:szCs w:val="18"/>
                      <w:lang w:bidi="ar"/>
                    </w:rPr>
                    <w:t>40</w:t>
                  </w:r>
                </w:p>
              </w:tc>
              <w:tc>
                <w:tcPr>
                  <w:tcW w:w="337" w:type="pct"/>
                  <w:vMerge w:val="continue"/>
                  <w:vAlign w:val="center"/>
                </w:tcPr>
                <w:p w14:paraId="11628D60">
                  <w:pPr>
                    <w:pStyle w:val="89"/>
                    <w:rPr>
                      <w:color w:val="auto"/>
                      <w:sz w:val="18"/>
                      <w:szCs w:val="18"/>
                    </w:rPr>
                  </w:pPr>
                </w:p>
              </w:tc>
              <w:tc>
                <w:tcPr>
                  <w:tcW w:w="510" w:type="pct"/>
                  <w:shd w:val="clear" w:color="auto" w:fill="auto"/>
                  <w:vAlign w:val="center"/>
                </w:tcPr>
                <w:p w14:paraId="7D9A68A3">
                  <w:pPr>
                    <w:widowControl/>
                    <w:jc w:val="center"/>
                    <w:textAlignment w:val="center"/>
                    <w:rPr>
                      <w:rFonts w:ascii="Times New Roman" w:hAnsi="Times New Roman" w:eastAsia="宋体" w:cs="Times New Roman"/>
                      <w:color w:val="auto"/>
                      <w:kern w:val="0"/>
                      <w:sz w:val="18"/>
                      <w:szCs w:val="18"/>
                      <w:lang w:val="en-US" w:eastAsia="zh-CN" w:bidi="ar"/>
                    </w:rPr>
                  </w:pPr>
                  <w:r>
                    <w:rPr>
                      <w:rFonts w:hint="eastAsia" w:cs="宋体"/>
                      <w:color w:val="auto"/>
                      <w:kern w:val="0"/>
                      <w:sz w:val="18"/>
                      <w:szCs w:val="18"/>
                      <w:lang w:bidi="ar"/>
                    </w:rPr>
                    <w:t>动平衡</w:t>
                  </w:r>
                </w:p>
              </w:tc>
              <w:tc>
                <w:tcPr>
                  <w:tcW w:w="434" w:type="pct"/>
                  <w:shd w:val="clear" w:color="auto" w:fill="auto"/>
                  <w:vAlign w:val="center"/>
                </w:tcPr>
                <w:p w14:paraId="1CBEF1F0">
                  <w:pPr>
                    <w:widowControl/>
                    <w:jc w:val="center"/>
                    <w:textAlignment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8</w:t>
                  </w:r>
                  <w:r>
                    <w:rPr>
                      <w:rFonts w:hint="eastAsia"/>
                      <w:color w:val="auto"/>
                      <w:kern w:val="0"/>
                      <w:sz w:val="18"/>
                      <w:szCs w:val="18"/>
                      <w:lang w:bidi="ar"/>
                    </w:rPr>
                    <w:t>5</w:t>
                  </w:r>
                </w:p>
              </w:tc>
              <w:tc>
                <w:tcPr>
                  <w:tcW w:w="339" w:type="pct"/>
                  <w:vMerge w:val="continue"/>
                  <w:vAlign w:val="center"/>
                </w:tcPr>
                <w:p w14:paraId="0184EE78">
                  <w:pPr>
                    <w:pStyle w:val="89"/>
                    <w:rPr>
                      <w:bCs/>
                      <w:color w:val="auto"/>
                      <w:sz w:val="18"/>
                      <w:szCs w:val="18"/>
                    </w:rPr>
                  </w:pPr>
                </w:p>
              </w:tc>
              <w:tc>
                <w:tcPr>
                  <w:tcW w:w="286" w:type="pct"/>
                  <w:shd w:val="clear" w:color="auto" w:fill="auto"/>
                  <w:vAlign w:val="center"/>
                </w:tcPr>
                <w:p w14:paraId="783F1803">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119</w:t>
                  </w:r>
                </w:p>
              </w:tc>
              <w:tc>
                <w:tcPr>
                  <w:tcW w:w="313" w:type="pct"/>
                  <w:shd w:val="clear" w:color="auto" w:fill="auto"/>
                  <w:vAlign w:val="center"/>
                </w:tcPr>
                <w:p w14:paraId="24F326A4">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36</w:t>
                  </w:r>
                </w:p>
              </w:tc>
              <w:tc>
                <w:tcPr>
                  <w:tcW w:w="277" w:type="pct"/>
                  <w:shd w:val="clear" w:color="auto" w:fill="auto"/>
                  <w:vAlign w:val="center"/>
                </w:tcPr>
                <w:p w14:paraId="6B58DD37">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6139C7FF">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3A02F4FE">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4CFBF2A1">
                  <w:pPr>
                    <w:pStyle w:val="89"/>
                    <w:rPr>
                      <w:bCs/>
                      <w:color w:val="auto"/>
                      <w:sz w:val="18"/>
                      <w:szCs w:val="18"/>
                    </w:rPr>
                  </w:pPr>
                </w:p>
              </w:tc>
              <w:tc>
                <w:tcPr>
                  <w:tcW w:w="444" w:type="pct"/>
                  <w:shd w:val="clear" w:color="auto" w:fill="auto"/>
                  <w:vAlign w:val="center"/>
                </w:tcPr>
                <w:p w14:paraId="053350B7">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499F0696">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1C949CC2">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r w14:paraId="7142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572F838">
                  <w:pPr>
                    <w:widowControl/>
                    <w:jc w:val="center"/>
                    <w:textAlignment w:val="center"/>
                    <w:rPr>
                      <w:color w:val="auto"/>
                      <w:sz w:val="18"/>
                      <w:szCs w:val="18"/>
                    </w:rPr>
                  </w:pPr>
                  <w:r>
                    <w:rPr>
                      <w:color w:val="auto"/>
                      <w:kern w:val="0"/>
                      <w:sz w:val="18"/>
                      <w:szCs w:val="18"/>
                      <w:lang w:bidi="ar"/>
                    </w:rPr>
                    <w:t>41</w:t>
                  </w:r>
                </w:p>
              </w:tc>
              <w:tc>
                <w:tcPr>
                  <w:tcW w:w="337" w:type="pct"/>
                  <w:vMerge w:val="continue"/>
                  <w:vAlign w:val="center"/>
                </w:tcPr>
                <w:p w14:paraId="1D85AC9F">
                  <w:pPr>
                    <w:pStyle w:val="89"/>
                    <w:rPr>
                      <w:color w:val="auto"/>
                      <w:sz w:val="18"/>
                      <w:szCs w:val="18"/>
                    </w:rPr>
                  </w:pPr>
                </w:p>
              </w:tc>
              <w:tc>
                <w:tcPr>
                  <w:tcW w:w="510" w:type="pct"/>
                  <w:shd w:val="clear" w:color="auto" w:fill="auto"/>
                  <w:vAlign w:val="center"/>
                </w:tcPr>
                <w:p w14:paraId="7FF5C919">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表磁扫描仪</w:t>
                  </w:r>
                </w:p>
              </w:tc>
              <w:tc>
                <w:tcPr>
                  <w:tcW w:w="434" w:type="pct"/>
                  <w:shd w:val="clear" w:color="auto" w:fill="auto"/>
                  <w:vAlign w:val="center"/>
                </w:tcPr>
                <w:p w14:paraId="1BAAE576">
                  <w:pPr>
                    <w:widowControl/>
                    <w:jc w:val="center"/>
                    <w:textAlignment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85</w:t>
                  </w:r>
                </w:p>
              </w:tc>
              <w:tc>
                <w:tcPr>
                  <w:tcW w:w="339" w:type="pct"/>
                  <w:vMerge w:val="continue"/>
                  <w:vAlign w:val="center"/>
                </w:tcPr>
                <w:p w14:paraId="3DAF8306">
                  <w:pPr>
                    <w:pStyle w:val="89"/>
                    <w:rPr>
                      <w:bCs/>
                      <w:color w:val="auto"/>
                      <w:sz w:val="18"/>
                      <w:szCs w:val="18"/>
                    </w:rPr>
                  </w:pPr>
                </w:p>
              </w:tc>
              <w:tc>
                <w:tcPr>
                  <w:tcW w:w="286" w:type="pct"/>
                  <w:shd w:val="clear" w:color="auto" w:fill="auto"/>
                  <w:vAlign w:val="center"/>
                </w:tcPr>
                <w:p w14:paraId="3031AB8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125</w:t>
                  </w:r>
                </w:p>
              </w:tc>
              <w:tc>
                <w:tcPr>
                  <w:tcW w:w="313" w:type="pct"/>
                  <w:shd w:val="clear" w:color="auto" w:fill="auto"/>
                  <w:vAlign w:val="center"/>
                </w:tcPr>
                <w:p w14:paraId="1C943189">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21</w:t>
                  </w:r>
                </w:p>
              </w:tc>
              <w:tc>
                <w:tcPr>
                  <w:tcW w:w="277" w:type="pct"/>
                  <w:shd w:val="clear" w:color="auto" w:fill="auto"/>
                  <w:vAlign w:val="center"/>
                </w:tcPr>
                <w:p w14:paraId="63BE1C34">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7.5</w:t>
                  </w:r>
                </w:p>
              </w:tc>
              <w:tc>
                <w:tcPr>
                  <w:tcW w:w="427" w:type="pct"/>
                  <w:shd w:val="clear" w:color="auto" w:fill="auto"/>
                  <w:vAlign w:val="center"/>
                </w:tcPr>
                <w:p w14:paraId="2A67D3B0">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2.6</w:t>
                  </w:r>
                </w:p>
              </w:tc>
              <w:tc>
                <w:tcPr>
                  <w:tcW w:w="444" w:type="pct"/>
                  <w:shd w:val="clear" w:color="auto" w:fill="auto"/>
                  <w:vAlign w:val="center"/>
                </w:tcPr>
                <w:p w14:paraId="45405597">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75</w:t>
                  </w:r>
                </w:p>
              </w:tc>
              <w:tc>
                <w:tcPr>
                  <w:tcW w:w="234" w:type="pct"/>
                  <w:vMerge w:val="continue"/>
                  <w:vAlign w:val="center"/>
                </w:tcPr>
                <w:p w14:paraId="7B5A5D2D">
                  <w:pPr>
                    <w:pStyle w:val="89"/>
                    <w:rPr>
                      <w:bCs/>
                      <w:color w:val="auto"/>
                      <w:sz w:val="18"/>
                      <w:szCs w:val="18"/>
                    </w:rPr>
                  </w:pPr>
                </w:p>
              </w:tc>
              <w:tc>
                <w:tcPr>
                  <w:tcW w:w="444" w:type="pct"/>
                  <w:shd w:val="clear" w:color="auto" w:fill="auto"/>
                  <w:vAlign w:val="center"/>
                </w:tcPr>
                <w:p w14:paraId="65FCE826">
                  <w:pPr>
                    <w:pStyle w:val="89"/>
                    <w:rPr>
                      <w:rFonts w:ascii="Times New Roman" w:hAnsi="Times New Roman" w:eastAsia="宋体" w:cs="Times New Roman"/>
                      <w:bCs/>
                      <w:color w:val="auto"/>
                      <w:kern w:val="2"/>
                      <w:position w:val="-10"/>
                      <w:sz w:val="18"/>
                      <w:szCs w:val="18"/>
                      <w:lang w:val="en-US" w:eastAsia="zh-CN" w:bidi="ar-SA"/>
                    </w:rPr>
                  </w:pPr>
                  <w:r>
                    <w:rPr>
                      <w:bCs/>
                      <w:color w:val="auto"/>
                      <w:sz w:val="18"/>
                      <w:szCs w:val="18"/>
                    </w:rPr>
                    <w:t>25</w:t>
                  </w:r>
                </w:p>
              </w:tc>
              <w:tc>
                <w:tcPr>
                  <w:tcW w:w="446" w:type="pct"/>
                  <w:shd w:val="clear" w:color="auto" w:fill="auto"/>
                  <w:vAlign w:val="center"/>
                </w:tcPr>
                <w:p w14:paraId="1F7DB1DF">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50</w:t>
                  </w:r>
                </w:p>
              </w:tc>
              <w:tc>
                <w:tcPr>
                  <w:tcW w:w="269" w:type="pct"/>
                  <w:shd w:val="clear" w:color="auto" w:fill="auto"/>
                  <w:vAlign w:val="center"/>
                </w:tcPr>
                <w:p w14:paraId="314B4CA1">
                  <w:pPr>
                    <w:pStyle w:val="89"/>
                    <w:rPr>
                      <w:rFonts w:ascii="Times New Roman" w:hAnsi="Times New Roman" w:eastAsia="宋体" w:cs="Times New Roman"/>
                      <w:bCs/>
                      <w:color w:val="auto"/>
                      <w:kern w:val="2"/>
                      <w:position w:val="-10"/>
                      <w:sz w:val="18"/>
                      <w:szCs w:val="18"/>
                      <w:lang w:val="en-US" w:eastAsia="zh-CN" w:bidi="ar-SA"/>
                    </w:rPr>
                  </w:pPr>
                  <w:r>
                    <w:rPr>
                      <w:rFonts w:hint="eastAsia"/>
                      <w:bCs/>
                      <w:color w:val="auto"/>
                      <w:sz w:val="18"/>
                      <w:szCs w:val="18"/>
                    </w:rPr>
                    <w:t>1m</w:t>
                  </w:r>
                </w:p>
              </w:tc>
            </w:tr>
          </w:tbl>
          <w:p w14:paraId="6DF9F022">
            <w:pPr>
              <w:spacing w:line="360" w:lineRule="auto"/>
              <w:ind w:firstLine="360" w:firstLineChars="200"/>
              <w:rPr>
                <w:color w:val="auto"/>
                <w:sz w:val="18"/>
                <w:szCs w:val="18"/>
              </w:rPr>
            </w:pPr>
            <w:r>
              <w:rPr>
                <w:rFonts w:hint="eastAsia"/>
                <w:color w:val="auto"/>
                <w:sz w:val="18"/>
                <w:szCs w:val="18"/>
              </w:rPr>
              <w:t>注：由于项目同类设备数量较多且按工序集中布置，预测过程将同类设备综合为一个点声源。</w:t>
            </w:r>
          </w:p>
          <w:p w14:paraId="097C34CA">
            <w:pPr>
              <w:spacing w:line="360" w:lineRule="auto"/>
              <w:ind w:firstLine="480" w:firstLineChars="200"/>
              <w:rPr>
                <w:color w:val="auto"/>
                <w:sz w:val="24"/>
              </w:rPr>
            </w:pPr>
            <w:r>
              <w:rPr>
                <w:color w:val="auto"/>
                <w:sz w:val="24"/>
              </w:rPr>
              <w:t>建设单位拟采取相应的降噪、</w:t>
            </w:r>
            <w:r>
              <w:rPr>
                <w:rFonts w:hint="eastAsia"/>
                <w:color w:val="auto"/>
                <w:sz w:val="24"/>
              </w:rPr>
              <w:t>减振</w:t>
            </w:r>
            <w:r>
              <w:rPr>
                <w:color w:val="auto"/>
                <w:sz w:val="24"/>
              </w:rPr>
              <w:t>措施，具体可参考以下措施：</w:t>
            </w:r>
          </w:p>
          <w:p w14:paraId="10F1C78D">
            <w:pPr>
              <w:spacing w:line="360" w:lineRule="auto"/>
              <w:ind w:firstLine="480" w:firstLineChars="200"/>
              <w:rPr>
                <w:color w:val="auto"/>
                <w:sz w:val="24"/>
              </w:rPr>
            </w:pPr>
            <w:r>
              <w:rPr>
                <w:rFonts w:hint="eastAsia"/>
                <w:color w:val="auto"/>
                <w:sz w:val="24"/>
              </w:rPr>
              <w:t>①</w:t>
            </w:r>
            <w:r>
              <w:rPr>
                <w:color w:val="auto"/>
                <w:sz w:val="24"/>
              </w:rPr>
              <w:t>从声源上控制，选择低噪声和符合国家噪声标准的设备；</w:t>
            </w:r>
          </w:p>
          <w:p w14:paraId="1BE53639">
            <w:pPr>
              <w:spacing w:line="360" w:lineRule="auto"/>
              <w:ind w:firstLine="480" w:firstLineChars="200"/>
              <w:rPr>
                <w:color w:val="auto"/>
                <w:sz w:val="24"/>
              </w:rPr>
            </w:pPr>
            <w:r>
              <w:rPr>
                <w:rFonts w:hint="eastAsia"/>
                <w:color w:val="auto"/>
                <w:sz w:val="24"/>
              </w:rPr>
              <w:t>②</w:t>
            </w:r>
            <w:r>
              <w:rPr>
                <w:color w:val="auto"/>
                <w:sz w:val="24"/>
              </w:rPr>
              <w:t>合理布局本项目高噪声的设备，将生产设备全部布置于车间内部，同时将厂房进行封闭，减少对外界的影响；</w:t>
            </w:r>
          </w:p>
          <w:p w14:paraId="374EAA3C">
            <w:pPr>
              <w:spacing w:line="360" w:lineRule="auto"/>
              <w:ind w:firstLine="480" w:firstLineChars="200"/>
              <w:rPr>
                <w:color w:val="auto"/>
                <w:sz w:val="24"/>
              </w:rPr>
            </w:pPr>
            <w:r>
              <w:rPr>
                <w:rFonts w:hint="eastAsia"/>
                <w:color w:val="auto"/>
                <w:sz w:val="24"/>
              </w:rPr>
              <w:t>③</w:t>
            </w:r>
            <w:r>
              <w:rPr>
                <w:color w:val="auto"/>
                <w:sz w:val="24"/>
              </w:rPr>
              <w:t>加强对高噪声设备维护，确保设备处于良好的运转状态，杜绝因设备不正常运转时产生的高噪声现象。</w:t>
            </w:r>
          </w:p>
          <w:p w14:paraId="5B475F6E">
            <w:pPr>
              <w:spacing w:line="360" w:lineRule="auto"/>
              <w:ind w:firstLine="480" w:firstLineChars="200"/>
              <w:rPr>
                <w:color w:val="auto"/>
                <w:sz w:val="24"/>
              </w:rPr>
            </w:pPr>
            <w:r>
              <w:rPr>
                <w:rFonts w:hint="eastAsia"/>
                <w:color w:val="auto"/>
                <w:sz w:val="24"/>
              </w:rPr>
              <w:t>④</w:t>
            </w:r>
            <w:r>
              <w:rPr>
                <w:color w:val="auto"/>
                <w:sz w:val="24"/>
              </w:rPr>
              <w:t>风机进、排风管安装消声器，风机与进、排风管采用橡胶柔性接管连接，在风机和基础之间安装隔振器，尽可能增加机座惰性块的重量，一般为2～3倍机组重量。</w:t>
            </w:r>
          </w:p>
          <w:p w14:paraId="0FBECDC7">
            <w:pPr>
              <w:spacing w:line="360" w:lineRule="auto"/>
              <w:ind w:firstLine="480" w:firstLineChars="200"/>
              <w:rPr>
                <w:color w:val="auto"/>
                <w:sz w:val="24"/>
              </w:rPr>
            </w:pPr>
            <w:r>
              <w:rPr>
                <w:rFonts w:hint="eastAsia"/>
                <w:color w:val="auto"/>
                <w:sz w:val="24"/>
              </w:rPr>
              <w:t>⑤</w:t>
            </w:r>
            <w:r>
              <w:rPr>
                <w:color w:val="auto"/>
                <w:sz w:val="24"/>
              </w:rPr>
              <w:t>在设备和基础之间加弹簧和弹性材料制作的减振器或减振垫层以减少设备基础与墙体振动形成的噪声；</w:t>
            </w:r>
          </w:p>
          <w:p w14:paraId="01F8BBE1">
            <w:pPr>
              <w:spacing w:line="360" w:lineRule="auto"/>
              <w:ind w:firstLine="480" w:firstLineChars="200"/>
              <w:rPr>
                <w:color w:val="auto"/>
                <w:sz w:val="24"/>
              </w:rPr>
            </w:pPr>
            <w:r>
              <w:rPr>
                <w:rFonts w:hint="eastAsia"/>
                <w:color w:val="auto"/>
                <w:sz w:val="24"/>
              </w:rPr>
              <w:t>⑥</w:t>
            </w:r>
            <w:r>
              <w:rPr>
                <w:color w:val="auto"/>
                <w:sz w:val="24"/>
              </w:rPr>
              <w:t>在机械设备结构的连接处作减振处理，如采用弹性的</w:t>
            </w:r>
            <w:r>
              <w:rPr>
                <w:rFonts w:hint="eastAsia"/>
                <w:color w:val="auto"/>
                <w:sz w:val="24"/>
              </w:rPr>
              <w:t>联轴节</w:t>
            </w:r>
            <w:r>
              <w:rPr>
                <w:color w:val="auto"/>
                <w:sz w:val="24"/>
              </w:rPr>
              <w:t>，弹性垫</w:t>
            </w:r>
            <w:r>
              <w:rPr>
                <w:rFonts w:hint="eastAsia"/>
                <w:color w:val="auto"/>
                <w:sz w:val="24"/>
              </w:rPr>
              <w:t>或其他</w:t>
            </w:r>
            <w:r>
              <w:rPr>
                <w:color w:val="auto"/>
                <w:sz w:val="24"/>
              </w:rPr>
              <w:t>装置；</w:t>
            </w:r>
          </w:p>
          <w:p w14:paraId="06A90001">
            <w:pPr>
              <w:spacing w:line="360" w:lineRule="auto"/>
              <w:ind w:firstLine="480" w:firstLineChars="200"/>
              <w:rPr>
                <w:color w:val="auto"/>
                <w:sz w:val="24"/>
              </w:rPr>
            </w:pPr>
            <w:r>
              <w:rPr>
                <w:rFonts w:hint="eastAsia"/>
                <w:color w:val="auto"/>
                <w:sz w:val="24"/>
              </w:rPr>
              <w:t>⑦</w:t>
            </w:r>
            <w:r>
              <w:rPr>
                <w:color w:val="auto"/>
                <w:sz w:val="24"/>
              </w:rPr>
              <w:t>工人佩戴防护用品，如耳塞、耳罩、头盔等，减少噪声对工人的伤害。</w:t>
            </w:r>
          </w:p>
          <w:p w14:paraId="7EB3ADD0">
            <w:pPr>
              <w:spacing w:line="360" w:lineRule="auto"/>
              <w:ind w:firstLine="480" w:firstLineChars="200"/>
              <w:rPr>
                <w:color w:val="auto"/>
                <w:sz w:val="24"/>
              </w:rPr>
            </w:pPr>
            <w:r>
              <w:rPr>
                <w:rFonts w:hint="eastAsia"/>
                <w:color w:val="auto"/>
                <w:sz w:val="24"/>
              </w:rPr>
              <w:t>⑧</w:t>
            </w:r>
            <w:r>
              <w:rPr>
                <w:color w:val="auto"/>
                <w:sz w:val="24"/>
              </w:rPr>
              <w:t>泵类：采用减振、隔振措施，泵的进出口接管做挠性连接或弹性连接，并增加惰性块(钢筋混凝土基础)的重量以增加其稳定性，从而有效地降低振动强度。</w:t>
            </w:r>
          </w:p>
          <w:p w14:paraId="4C171287">
            <w:pPr>
              <w:spacing w:line="360" w:lineRule="auto"/>
              <w:ind w:firstLine="482" w:firstLineChars="200"/>
              <w:rPr>
                <w:b/>
                <w:color w:val="auto"/>
                <w:sz w:val="24"/>
              </w:rPr>
            </w:pPr>
            <w:r>
              <w:rPr>
                <w:rFonts w:hint="eastAsia"/>
                <w:b/>
                <w:color w:val="auto"/>
                <w:sz w:val="24"/>
              </w:rPr>
              <w:t>（2）影响分析</w:t>
            </w:r>
          </w:p>
          <w:p w14:paraId="6DC85CE3">
            <w:pPr>
              <w:spacing w:line="360" w:lineRule="auto"/>
              <w:ind w:firstLine="472" w:firstLineChars="200"/>
              <w:rPr>
                <w:color w:val="auto"/>
                <w:spacing w:val="-2"/>
                <w:sz w:val="24"/>
              </w:rPr>
            </w:pPr>
            <w:r>
              <w:rPr>
                <w:color w:val="auto"/>
                <w:spacing w:val="-2"/>
                <w:sz w:val="24"/>
              </w:rPr>
              <w:t>根据《环境影响评价技术导则（声环境）》（HJ2.4-2021）的有关规定，采用点声源等距离噪声衰减预测模式，并考虑各噪声源所在厂房围护结构、建筑物、围墙等屏障衰减因素，预测项目对厂界噪声的影响。</w:t>
            </w:r>
          </w:p>
          <w:p w14:paraId="509A352F">
            <w:pPr>
              <w:spacing w:line="360" w:lineRule="auto"/>
              <w:ind w:firstLine="480"/>
              <w:rPr>
                <w:color w:val="auto"/>
                <w:sz w:val="24"/>
                <w:lang w:val="zh-CN"/>
              </w:rPr>
            </w:pPr>
            <w:r>
              <w:rPr>
                <w:rFonts w:hint="eastAsia"/>
                <w:color w:val="auto"/>
                <w:sz w:val="24"/>
                <w:lang w:val="zh-CN"/>
              </w:rPr>
              <w:t>选择点声源预测模式。</w:t>
            </w:r>
          </w:p>
          <w:p w14:paraId="5A152BD9">
            <w:pPr>
              <w:spacing w:line="360" w:lineRule="auto"/>
              <w:ind w:firstLine="482"/>
              <w:rPr>
                <w:b/>
                <w:color w:val="auto"/>
                <w:sz w:val="24"/>
                <w:lang w:val="zh-CN"/>
              </w:rPr>
            </w:pPr>
            <w:r>
              <w:rPr>
                <w:b/>
                <w:color w:val="auto"/>
                <w:sz w:val="24"/>
                <w:lang w:val="zh-CN"/>
              </w:rPr>
              <w:t>1）</w:t>
            </w:r>
            <w:r>
              <w:rPr>
                <w:rFonts w:hint="eastAsia"/>
                <w:b/>
                <w:color w:val="auto"/>
                <w:sz w:val="24"/>
                <w:lang w:val="zh-CN"/>
              </w:rPr>
              <w:t>户外声传播的衰减</w:t>
            </w:r>
          </w:p>
          <w:p w14:paraId="4D152EFD">
            <w:pPr>
              <w:spacing w:line="360" w:lineRule="auto"/>
              <w:ind w:firstLine="480"/>
              <w:rPr>
                <w:rFonts w:ascii="宋体" w:hAnsi="宋体"/>
                <w:bCs/>
                <w:color w:val="auto"/>
                <w:sz w:val="24"/>
                <w:lang w:val="zh-CN"/>
              </w:rPr>
            </w:pPr>
            <w:r>
              <w:rPr>
                <w:rFonts w:hint="eastAsia" w:ascii="宋体" w:hAnsi="宋体"/>
                <w:bCs/>
                <w:color w:val="auto"/>
                <w:sz w:val="24"/>
                <w:lang w:val="zh-CN"/>
              </w:rPr>
              <w:t>①基本公式</w:t>
            </w:r>
          </w:p>
          <w:p w14:paraId="7ED66FAF">
            <w:pPr>
              <w:spacing w:line="360" w:lineRule="auto"/>
              <w:ind w:firstLine="480"/>
              <w:rPr>
                <w:bCs/>
                <w:color w:val="auto"/>
                <w:sz w:val="24"/>
                <w:lang w:val="zh-CN"/>
              </w:rPr>
            </w:pPr>
            <w:r>
              <w:rPr>
                <w:rFonts w:hint="eastAsia"/>
                <w:bCs/>
                <w:color w:val="auto"/>
                <w:sz w:val="24"/>
                <w:lang w:val="zh-CN"/>
              </w:rPr>
              <w:t>在环境影响评价中，应根据声源声功率或参考位置处的声压级、户外声传播衰减，计算预测点的声级，分别按式（A</w:t>
            </w:r>
            <w:r>
              <w:rPr>
                <w:bCs/>
                <w:color w:val="auto"/>
                <w:sz w:val="24"/>
                <w:lang w:val="zh-CN"/>
              </w:rPr>
              <w:t>.1</w:t>
            </w:r>
            <w:r>
              <w:rPr>
                <w:rFonts w:hint="eastAsia"/>
                <w:bCs/>
                <w:color w:val="auto"/>
                <w:sz w:val="24"/>
                <w:lang w:val="zh-CN"/>
              </w:rPr>
              <w:t>）或式（A</w:t>
            </w:r>
            <w:r>
              <w:rPr>
                <w:bCs/>
                <w:color w:val="auto"/>
                <w:sz w:val="24"/>
                <w:lang w:val="zh-CN"/>
              </w:rPr>
              <w:t>.2</w:t>
            </w:r>
            <w:r>
              <w:rPr>
                <w:rFonts w:hint="eastAsia"/>
                <w:bCs/>
                <w:color w:val="auto"/>
                <w:sz w:val="24"/>
                <w:lang w:val="zh-CN"/>
              </w:rPr>
              <w:t>）计算：</w:t>
            </w:r>
          </w:p>
          <w:p w14:paraId="6188A7F9">
            <w:pPr>
              <w:spacing w:line="360" w:lineRule="auto"/>
              <w:ind w:firstLine="480"/>
              <w:rPr>
                <w:color w:val="auto"/>
                <w:sz w:val="24"/>
                <w:lang w:val="es-ES"/>
              </w:rPr>
            </w:pPr>
            <w:r>
              <w:rPr>
                <w:color w:val="auto"/>
                <w:sz w:val="24"/>
                <w:lang w:val="es-ES"/>
              </w:rPr>
              <w:t>L</w:t>
            </w:r>
            <w:r>
              <w:rPr>
                <w:color w:val="auto"/>
                <w:sz w:val="24"/>
                <w:vertAlign w:val="subscript"/>
                <w:lang w:val="es-ES"/>
              </w:rPr>
              <w:t>p</w:t>
            </w:r>
            <w:r>
              <w:rPr>
                <w:color w:val="auto"/>
                <w:sz w:val="24"/>
                <w:lang w:val="es-ES"/>
              </w:rPr>
              <w:t>(r)=L</w:t>
            </w:r>
            <w:r>
              <w:rPr>
                <w:color w:val="auto"/>
                <w:sz w:val="24"/>
                <w:vertAlign w:val="subscript"/>
                <w:lang w:val="es-ES"/>
              </w:rPr>
              <w:t>w</w:t>
            </w:r>
            <w:r>
              <w:rPr>
                <w:color w:val="auto"/>
                <w:sz w:val="24"/>
                <w:lang w:val="es-ES"/>
              </w:rPr>
              <w:t>+D</w:t>
            </w:r>
            <w:r>
              <w:rPr>
                <w:color w:val="auto"/>
                <w:sz w:val="24"/>
                <w:vertAlign w:val="subscript"/>
                <w:lang w:val="es-ES"/>
              </w:rPr>
              <w:t>c</w:t>
            </w:r>
            <w:r>
              <w:rPr>
                <w:color w:val="auto"/>
                <w:sz w:val="24"/>
                <w:lang w:val="es-ES"/>
              </w:rPr>
              <w:t>-</w:t>
            </w:r>
            <w:r>
              <w:rPr>
                <w:rFonts w:hint="eastAsia"/>
                <w:color w:val="auto"/>
                <w:sz w:val="24"/>
                <w:lang w:val="es-ES"/>
              </w:rPr>
              <w:t>（</w:t>
            </w:r>
            <w:r>
              <w:rPr>
                <w:color w:val="auto"/>
                <w:sz w:val="24"/>
                <w:lang w:val="es-ES"/>
              </w:rPr>
              <w:t>A</w:t>
            </w:r>
            <w:r>
              <w:rPr>
                <w:color w:val="auto"/>
                <w:sz w:val="24"/>
                <w:vertAlign w:val="subscript"/>
                <w:lang w:val="es-ES"/>
              </w:rPr>
              <w:t>div</w:t>
            </w:r>
            <w:r>
              <w:rPr>
                <w:color w:val="auto"/>
                <w:sz w:val="24"/>
                <w:lang w:val="es-ES"/>
              </w:rPr>
              <w:t>+A</w:t>
            </w:r>
            <w:r>
              <w:rPr>
                <w:color w:val="auto"/>
                <w:sz w:val="24"/>
                <w:vertAlign w:val="subscript"/>
                <w:lang w:val="es-ES"/>
              </w:rPr>
              <w:t>atm</w:t>
            </w:r>
            <w:r>
              <w:rPr>
                <w:color w:val="auto"/>
                <w:sz w:val="24"/>
                <w:lang w:val="es-ES"/>
              </w:rPr>
              <w:t>+A</w:t>
            </w:r>
            <w:r>
              <w:rPr>
                <w:color w:val="auto"/>
                <w:sz w:val="24"/>
                <w:vertAlign w:val="subscript"/>
                <w:lang w:val="es-ES"/>
              </w:rPr>
              <w:t>gr</w:t>
            </w:r>
            <w:r>
              <w:rPr>
                <w:color w:val="auto"/>
                <w:sz w:val="24"/>
                <w:lang w:val="es-ES"/>
              </w:rPr>
              <w:t>+A</w:t>
            </w:r>
            <w:r>
              <w:rPr>
                <w:color w:val="auto"/>
                <w:sz w:val="24"/>
                <w:vertAlign w:val="subscript"/>
                <w:lang w:val="es-ES"/>
              </w:rPr>
              <w:t>bar</w:t>
            </w:r>
            <w:r>
              <w:rPr>
                <w:color w:val="auto"/>
                <w:sz w:val="24"/>
                <w:lang w:val="es-ES"/>
              </w:rPr>
              <w:t>+A</w:t>
            </w:r>
            <w:r>
              <w:rPr>
                <w:color w:val="auto"/>
                <w:sz w:val="24"/>
                <w:vertAlign w:val="subscript"/>
                <w:lang w:val="es-ES"/>
              </w:rPr>
              <w:t>misc</w:t>
            </w:r>
            <w:r>
              <w:rPr>
                <w:rFonts w:hint="eastAsia"/>
                <w:color w:val="auto"/>
                <w:sz w:val="24"/>
                <w:lang w:val="es-ES"/>
              </w:rPr>
              <w:t>）（A</w:t>
            </w:r>
            <w:r>
              <w:rPr>
                <w:color w:val="auto"/>
                <w:sz w:val="24"/>
                <w:lang w:val="es-ES"/>
              </w:rPr>
              <w:t>.1</w:t>
            </w:r>
            <w:r>
              <w:rPr>
                <w:rFonts w:hint="eastAsia"/>
                <w:color w:val="auto"/>
                <w:sz w:val="24"/>
                <w:lang w:val="es-ES"/>
              </w:rPr>
              <w:t>）</w:t>
            </w:r>
          </w:p>
          <w:p w14:paraId="5BE5FAB2">
            <w:pPr>
              <w:spacing w:line="360" w:lineRule="auto"/>
              <w:ind w:firstLine="480"/>
              <w:rPr>
                <w:color w:val="auto"/>
                <w:sz w:val="24"/>
              </w:rPr>
            </w:pPr>
            <w:r>
              <w:rPr>
                <w:color w:val="auto"/>
                <w:sz w:val="24"/>
                <w:lang w:val="es-ES"/>
              </w:rPr>
              <w:t>L</w:t>
            </w:r>
            <w:r>
              <w:rPr>
                <w:color w:val="auto"/>
                <w:sz w:val="24"/>
                <w:vertAlign w:val="subscript"/>
                <w:lang w:val="es-ES"/>
              </w:rPr>
              <w:t>p</w:t>
            </w:r>
            <w:r>
              <w:rPr>
                <w:color w:val="auto"/>
                <w:sz w:val="24"/>
                <w:lang w:val="es-ES"/>
              </w:rPr>
              <w:t>(r)=L</w:t>
            </w:r>
            <w:r>
              <w:rPr>
                <w:color w:val="auto"/>
                <w:sz w:val="24"/>
                <w:vertAlign w:val="subscript"/>
                <w:lang w:val="es-ES"/>
              </w:rPr>
              <w:t>p</w:t>
            </w:r>
            <w:r>
              <w:rPr>
                <w:color w:val="auto"/>
                <w:sz w:val="24"/>
                <w:lang w:val="es-ES"/>
              </w:rPr>
              <w:t>(r</w:t>
            </w:r>
            <w:r>
              <w:rPr>
                <w:color w:val="auto"/>
                <w:sz w:val="24"/>
                <w:vertAlign w:val="subscript"/>
                <w:lang w:val="es-ES"/>
              </w:rPr>
              <w:t>0</w:t>
            </w:r>
            <w:r>
              <w:rPr>
                <w:color w:val="auto"/>
                <w:sz w:val="24"/>
                <w:lang w:val="es-ES"/>
              </w:rPr>
              <w:t>)+D</w:t>
            </w:r>
            <w:r>
              <w:rPr>
                <w:color w:val="auto"/>
                <w:sz w:val="24"/>
                <w:vertAlign w:val="subscript"/>
                <w:lang w:val="es-ES"/>
              </w:rPr>
              <w:t>c</w:t>
            </w:r>
            <w:r>
              <w:rPr>
                <w:color w:val="auto"/>
                <w:sz w:val="24"/>
                <w:lang w:val="es-ES"/>
              </w:rPr>
              <w:t>-</w:t>
            </w:r>
            <w:r>
              <w:rPr>
                <w:rFonts w:hint="eastAsia"/>
                <w:color w:val="auto"/>
                <w:sz w:val="24"/>
                <w:lang w:val="es-ES"/>
              </w:rPr>
              <w:t>（</w:t>
            </w:r>
            <w:r>
              <w:rPr>
                <w:color w:val="auto"/>
                <w:sz w:val="24"/>
                <w:lang w:val="es-ES"/>
              </w:rPr>
              <w:t>A</w:t>
            </w:r>
            <w:r>
              <w:rPr>
                <w:color w:val="auto"/>
                <w:sz w:val="24"/>
                <w:vertAlign w:val="subscript"/>
                <w:lang w:val="es-ES"/>
              </w:rPr>
              <w:t>div</w:t>
            </w:r>
            <w:r>
              <w:rPr>
                <w:color w:val="auto"/>
                <w:sz w:val="24"/>
                <w:lang w:val="es-ES"/>
              </w:rPr>
              <w:t>+A</w:t>
            </w:r>
            <w:r>
              <w:rPr>
                <w:color w:val="auto"/>
                <w:sz w:val="24"/>
                <w:vertAlign w:val="subscript"/>
                <w:lang w:val="es-ES"/>
              </w:rPr>
              <w:t>atm</w:t>
            </w:r>
            <w:r>
              <w:rPr>
                <w:color w:val="auto"/>
                <w:sz w:val="24"/>
                <w:lang w:val="es-ES"/>
              </w:rPr>
              <w:t>+A</w:t>
            </w:r>
            <w:r>
              <w:rPr>
                <w:color w:val="auto"/>
                <w:sz w:val="24"/>
                <w:vertAlign w:val="subscript"/>
                <w:lang w:val="es-ES"/>
              </w:rPr>
              <w:t>gr</w:t>
            </w:r>
            <w:r>
              <w:rPr>
                <w:color w:val="auto"/>
                <w:sz w:val="24"/>
                <w:lang w:val="es-ES"/>
              </w:rPr>
              <w:t>+A</w:t>
            </w:r>
            <w:r>
              <w:rPr>
                <w:color w:val="auto"/>
                <w:sz w:val="24"/>
                <w:vertAlign w:val="subscript"/>
                <w:lang w:val="es-ES"/>
              </w:rPr>
              <w:t>bar</w:t>
            </w:r>
            <w:r>
              <w:rPr>
                <w:color w:val="auto"/>
                <w:sz w:val="24"/>
                <w:lang w:val="es-ES"/>
              </w:rPr>
              <w:t>+A</w:t>
            </w:r>
            <w:r>
              <w:rPr>
                <w:color w:val="auto"/>
                <w:sz w:val="24"/>
                <w:vertAlign w:val="subscript"/>
                <w:lang w:val="es-ES"/>
              </w:rPr>
              <w:t>misc</w:t>
            </w:r>
            <w:r>
              <w:rPr>
                <w:rFonts w:hint="eastAsia"/>
                <w:color w:val="auto"/>
                <w:sz w:val="24"/>
                <w:lang w:val="es-ES"/>
              </w:rPr>
              <w:t>）（A</w:t>
            </w:r>
            <w:r>
              <w:rPr>
                <w:color w:val="auto"/>
                <w:sz w:val="24"/>
                <w:lang w:val="es-ES"/>
              </w:rPr>
              <w:t>.2</w:t>
            </w:r>
            <w:r>
              <w:rPr>
                <w:rFonts w:hint="eastAsia"/>
                <w:color w:val="auto"/>
                <w:sz w:val="24"/>
                <w:lang w:val="es-ES"/>
              </w:rPr>
              <w:t>）</w:t>
            </w:r>
          </w:p>
          <w:p w14:paraId="5EA79934">
            <w:pPr>
              <w:spacing w:line="360" w:lineRule="auto"/>
              <w:ind w:firstLine="480"/>
              <w:rPr>
                <w:color w:val="auto"/>
                <w:sz w:val="24"/>
              </w:rPr>
            </w:pPr>
            <w:r>
              <w:rPr>
                <w:color w:val="auto"/>
                <w:sz w:val="24"/>
                <w:lang w:val="zh-CN"/>
              </w:rPr>
              <w:t>式中</w:t>
            </w:r>
            <w:r>
              <w:rPr>
                <w:color w:val="auto"/>
                <w:sz w:val="24"/>
              </w:rPr>
              <w:t>：</w:t>
            </w:r>
          </w:p>
          <w:p w14:paraId="791B524F">
            <w:pPr>
              <w:spacing w:line="360" w:lineRule="auto"/>
              <w:ind w:firstLine="480"/>
              <w:rPr>
                <w:color w:val="auto"/>
                <w:sz w:val="24"/>
                <w:lang w:val="zh-CN"/>
              </w:rPr>
            </w:pPr>
            <w:r>
              <w:rPr>
                <w:color w:val="auto"/>
                <w:sz w:val="24"/>
                <w:lang w:val="es-ES"/>
              </w:rPr>
              <w:t>L</w:t>
            </w:r>
            <w:r>
              <w:rPr>
                <w:color w:val="auto"/>
                <w:sz w:val="24"/>
                <w:vertAlign w:val="subscript"/>
                <w:lang w:val="es-ES"/>
              </w:rPr>
              <w:t>p</w:t>
            </w:r>
            <w:r>
              <w:rPr>
                <w:color w:val="auto"/>
                <w:sz w:val="24"/>
                <w:lang w:val="es-ES"/>
              </w:rPr>
              <w:t>(r)</w:t>
            </w:r>
            <w:r>
              <w:rPr>
                <w:color w:val="auto"/>
                <w:sz w:val="24"/>
              </w:rPr>
              <w:t>—预测点</w:t>
            </w:r>
            <w:r>
              <w:rPr>
                <w:rFonts w:hint="eastAsia"/>
                <w:color w:val="auto"/>
                <w:sz w:val="24"/>
              </w:rPr>
              <w:t>处</w:t>
            </w:r>
            <w:r>
              <w:rPr>
                <w:color w:val="auto"/>
                <w:sz w:val="24"/>
              </w:rPr>
              <w:t>声压级，dB；</w:t>
            </w:r>
          </w:p>
          <w:p w14:paraId="2E87F28E">
            <w:pPr>
              <w:spacing w:line="360" w:lineRule="auto"/>
              <w:ind w:firstLine="480"/>
              <w:rPr>
                <w:color w:val="auto"/>
                <w:sz w:val="24"/>
                <w:lang w:val="zh-CN"/>
              </w:rPr>
            </w:pPr>
            <w:r>
              <w:rPr>
                <w:color w:val="auto"/>
                <w:sz w:val="24"/>
                <w:lang w:val="es-ES"/>
              </w:rPr>
              <w:t>L</w:t>
            </w:r>
            <w:r>
              <w:rPr>
                <w:color w:val="auto"/>
                <w:sz w:val="24"/>
                <w:vertAlign w:val="subscript"/>
                <w:lang w:val="es-ES"/>
              </w:rPr>
              <w:t>w</w:t>
            </w:r>
            <w:r>
              <w:rPr>
                <w:color w:val="auto"/>
                <w:sz w:val="24"/>
              </w:rPr>
              <w:t>—</w:t>
            </w:r>
            <w:r>
              <w:rPr>
                <w:rFonts w:hint="eastAsia"/>
                <w:color w:val="auto"/>
                <w:sz w:val="24"/>
              </w:rPr>
              <w:t>由点声源产生的声功率级（A计权或倍频带）</w:t>
            </w:r>
            <w:r>
              <w:rPr>
                <w:color w:val="auto"/>
                <w:sz w:val="24"/>
              </w:rPr>
              <w:t>，dB；</w:t>
            </w:r>
          </w:p>
          <w:p w14:paraId="521CEB8D">
            <w:pPr>
              <w:spacing w:line="360" w:lineRule="auto"/>
              <w:ind w:firstLine="480"/>
              <w:rPr>
                <w:color w:val="auto"/>
                <w:sz w:val="24"/>
                <w:lang w:val="zh-CN"/>
              </w:rPr>
            </w:pPr>
            <w:r>
              <w:rPr>
                <w:color w:val="auto"/>
                <w:sz w:val="24"/>
                <w:lang w:val="es-ES"/>
              </w:rPr>
              <w:t>L</w:t>
            </w:r>
            <w:r>
              <w:rPr>
                <w:color w:val="auto"/>
                <w:sz w:val="24"/>
                <w:vertAlign w:val="subscript"/>
                <w:lang w:val="es-ES"/>
              </w:rPr>
              <w:t>p</w:t>
            </w:r>
            <w:r>
              <w:rPr>
                <w:color w:val="auto"/>
                <w:sz w:val="24"/>
                <w:lang w:val="es-ES"/>
              </w:rPr>
              <w:t>(r</w:t>
            </w:r>
            <w:r>
              <w:rPr>
                <w:color w:val="auto"/>
                <w:sz w:val="24"/>
                <w:vertAlign w:val="subscript"/>
                <w:lang w:val="es-ES"/>
              </w:rPr>
              <w:t>0</w:t>
            </w:r>
            <w:r>
              <w:rPr>
                <w:color w:val="auto"/>
                <w:sz w:val="24"/>
                <w:lang w:val="es-ES"/>
              </w:rPr>
              <w:t>)</w:t>
            </w:r>
            <w:r>
              <w:rPr>
                <w:color w:val="auto"/>
                <w:sz w:val="24"/>
              </w:rPr>
              <w:t>—</w:t>
            </w:r>
            <w:r>
              <w:rPr>
                <w:rFonts w:hint="eastAsia"/>
                <w:color w:val="auto"/>
                <w:sz w:val="24"/>
              </w:rPr>
              <w:t>参考位置r</w:t>
            </w:r>
            <w:r>
              <w:rPr>
                <w:color w:val="auto"/>
                <w:sz w:val="24"/>
                <w:vertAlign w:val="subscript"/>
              </w:rPr>
              <w:t>0</w:t>
            </w:r>
            <w:r>
              <w:rPr>
                <w:rFonts w:hint="eastAsia"/>
                <w:color w:val="auto"/>
                <w:sz w:val="24"/>
              </w:rPr>
              <w:t>处的</w:t>
            </w:r>
            <w:r>
              <w:rPr>
                <w:color w:val="auto"/>
                <w:sz w:val="24"/>
              </w:rPr>
              <w:t>声压级，dB；</w:t>
            </w:r>
          </w:p>
          <w:p w14:paraId="7ECC53AE">
            <w:pPr>
              <w:spacing w:line="360" w:lineRule="auto"/>
              <w:ind w:firstLine="480"/>
              <w:rPr>
                <w:color w:val="auto"/>
                <w:sz w:val="24"/>
                <w:lang w:val="zh-CN"/>
              </w:rPr>
            </w:pPr>
            <w:r>
              <w:rPr>
                <w:color w:val="auto"/>
                <w:sz w:val="24"/>
                <w:lang w:val="es-ES"/>
              </w:rPr>
              <w:t>D</w:t>
            </w:r>
            <w:r>
              <w:rPr>
                <w:color w:val="auto"/>
                <w:sz w:val="24"/>
                <w:vertAlign w:val="subscript"/>
                <w:lang w:val="es-ES"/>
              </w:rPr>
              <w:t>c</w:t>
            </w:r>
            <w:r>
              <w:rPr>
                <w:color w:val="auto"/>
                <w:sz w:val="24"/>
              </w:rPr>
              <w:t>—指向性校正，dB；</w:t>
            </w:r>
            <w:r>
              <w:rPr>
                <w:rFonts w:hint="eastAsia"/>
                <w:color w:val="auto"/>
                <w:sz w:val="24"/>
              </w:rPr>
              <w:t>它描述点声源的等效连续声压级与产生声功率级Lw的全向点声源在规定方向的声级的偏差程度。</w:t>
            </w:r>
          </w:p>
          <w:p w14:paraId="19E96170">
            <w:pPr>
              <w:spacing w:line="360" w:lineRule="auto"/>
              <w:ind w:firstLine="480"/>
              <w:rPr>
                <w:color w:val="auto"/>
                <w:sz w:val="24"/>
              </w:rPr>
            </w:pPr>
            <w:r>
              <w:rPr>
                <w:iCs/>
                <w:color w:val="auto"/>
                <w:sz w:val="24"/>
              </w:rPr>
              <w:t>A</w:t>
            </w:r>
            <w:r>
              <w:rPr>
                <w:iCs/>
                <w:color w:val="auto"/>
                <w:sz w:val="24"/>
                <w:vertAlign w:val="subscript"/>
              </w:rPr>
              <w:t>div</w:t>
            </w:r>
            <w:r>
              <w:rPr>
                <w:color w:val="auto"/>
                <w:sz w:val="24"/>
              </w:rPr>
              <w:t>—几何发散引起的衰减，dB；</w:t>
            </w:r>
          </w:p>
          <w:p w14:paraId="1178130D">
            <w:pPr>
              <w:spacing w:line="360" w:lineRule="auto"/>
              <w:ind w:firstLine="480"/>
              <w:rPr>
                <w:color w:val="auto"/>
                <w:sz w:val="24"/>
              </w:rPr>
            </w:pPr>
            <w:r>
              <w:rPr>
                <w:iCs/>
                <w:color w:val="auto"/>
                <w:sz w:val="24"/>
              </w:rPr>
              <w:t>A</w:t>
            </w:r>
            <w:r>
              <w:rPr>
                <w:iCs/>
                <w:color w:val="auto"/>
                <w:sz w:val="24"/>
                <w:vertAlign w:val="subscript"/>
              </w:rPr>
              <w:t>atm</w:t>
            </w:r>
            <w:r>
              <w:rPr>
                <w:color w:val="auto"/>
                <w:sz w:val="24"/>
              </w:rPr>
              <w:t>—大气吸收引起的衰减，dB；</w:t>
            </w:r>
          </w:p>
          <w:p w14:paraId="04B67BBB">
            <w:pPr>
              <w:spacing w:line="360" w:lineRule="auto"/>
              <w:ind w:firstLine="480"/>
              <w:rPr>
                <w:color w:val="auto"/>
                <w:sz w:val="24"/>
              </w:rPr>
            </w:pPr>
            <w:r>
              <w:rPr>
                <w:iCs/>
                <w:color w:val="auto"/>
                <w:sz w:val="24"/>
              </w:rPr>
              <w:t>A</w:t>
            </w:r>
            <w:r>
              <w:rPr>
                <w:iCs/>
                <w:color w:val="auto"/>
                <w:sz w:val="24"/>
                <w:vertAlign w:val="subscript"/>
              </w:rPr>
              <w:t>gr</w:t>
            </w:r>
            <w:r>
              <w:rPr>
                <w:color w:val="auto"/>
                <w:sz w:val="24"/>
              </w:rPr>
              <w:t>—地面效应引起的衰减，dB；</w:t>
            </w:r>
          </w:p>
          <w:p w14:paraId="2CF9FFCE">
            <w:pPr>
              <w:spacing w:line="360" w:lineRule="auto"/>
              <w:ind w:firstLine="480"/>
              <w:rPr>
                <w:color w:val="auto"/>
                <w:sz w:val="24"/>
              </w:rPr>
            </w:pPr>
            <w:r>
              <w:rPr>
                <w:iCs/>
                <w:color w:val="auto"/>
                <w:sz w:val="24"/>
              </w:rPr>
              <w:t>A</w:t>
            </w:r>
            <w:r>
              <w:rPr>
                <w:iCs/>
                <w:color w:val="auto"/>
                <w:sz w:val="24"/>
                <w:vertAlign w:val="subscript"/>
              </w:rPr>
              <w:t>bar</w:t>
            </w:r>
            <w:r>
              <w:rPr>
                <w:color w:val="auto"/>
                <w:sz w:val="24"/>
              </w:rPr>
              <w:t>—声屏障引起的衰减，dB；</w:t>
            </w:r>
          </w:p>
          <w:p w14:paraId="166B0A95">
            <w:pPr>
              <w:spacing w:line="360" w:lineRule="auto"/>
              <w:ind w:firstLine="480"/>
              <w:rPr>
                <w:color w:val="auto"/>
                <w:sz w:val="24"/>
              </w:rPr>
            </w:pPr>
            <w:r>
              <w:rPr>
                <w:iCs/>
                <w:color w:val="auto"/>
                <w:sz w:val="24"/>
              </w:rPr>
              <w:t>A</w:t>
            </w:r>
            <w:r>
              <w:rPr>
                <w:color w:val="auto"/>
                <w:sz w:val="24"/>
                <w:vertAlign w:val="subscript"/>
                <w:lang w:val="es-ES"/>
              </w:rPr>
              <w:t>misc</w:t>
            </w:r>
            <w:r>
              <w:rPr>
                <w:color w:val="auto"/>
                <w:sz w:val="24"/>
              </w:rPr>
              <w:t>—其他多方面效应引起的衰减，dB。</w:t>
            </w:r>
          </w:p>
          <w:p w14:paraId="28615885">
            <w:pPr>
              <w:spacing w:line="360" w:lineRule="auto"/>
              <w:ind w:firstLine="480"/>
              <w:rPr>
                <w:color w:val="auto"/>
                <w:sz w:val="24"/>
                <w:lang w:val="es-ES"/>
              </w:rPr>
            </w:pPr>
            <w:r>
              <w:rPr>
                <w:rFonts w:hint="eastAsia"/>
                <w:color w:val="auto"/>
                <w:sz w:val="24"/>
              </w:rPr>
              <w:t>预测点的A声级</w:t>
            </w:r>
            <w:r>
              <w:rPr>
                <w:color w:val="auto"/>
                <w:sz w:val="24"/>
                <w:lang w:val="es-ES"/>
              </w:rPr>
              <w:t>L</w:t>
            </w:r>
            <w:r>
              <w:rPr>
                <w:color w:val="auto"/>
                <w:sz w:val="24"/>
                <w:vertAlign w:val="subscript"/>
                <w:lang w:val="es-ES"/>
              </w:rPr>
              <w:t>A</w:t>
            </w:r>
            <w:r>
              <w:rPr>
                <w:color w:val="auto"/>
                <w:sz w:val="24"/>
                <w:lang w:val="es-ES"/>
              </w:rPr>
              <w:t>(r)</w:t>
            </w:r>
            <w:r>
              <w:rPr>
                <w:rFonts w:hint="eastAsia"/>
                <w:color w:val="auto"/>
                <w:sz w:val="24"/>
                <w:lang w:val="es-ES"/>
              </w:rPr>
              <w:t>可按式（A</w:t>
            </w:r>
            <w:r>
              <w:rPr>
                <w:color w:val="auto"/>
                <w:sz w:val="24"/>
                <w:lang w:val="es-ES"/>
              </w:rPr>
              <w:t>.3</w:t>
            </w:r>
            <w:r>
              <w:rPr>
                <w:rFonts w:hint="eastAsia"/>
                <w:color w:val="auto"/>
                <w:sz w:val="24"/>
                <w:lang w:val="es-ES"/>
              </w:rPr>
              <w:t>）计算，即8个倍频带声压级合成，计算出预测点的A声级（L</w:t>
            </w:r>
            <w:r>
              <w:rPr>
                <w:color w:val="auto"/>
                <w:sz w:val="24"/>
                <w:vertAlign w:val="subscript"/>
                <w:lang w:val="es-ES"/>
              </w:rPr>
              <w:t>A</w:t>
            </w:r>
            <w:r>
              <w:rPr>
                <w:rFonts w:hint="eastAsia"/>
                <w:color w:val="auto"/>
                <w:sz w:val="24"/>
                <w:vertAlign w:val="subscript"/>
                <w:lang w:val="es-ES"/>
              </w:rPr>
              <w:t>（r）</w:t>
            </w:r>
            <w:r>
              <w:rPr>
                <w:rFonts w:hint="eastAsia"/>
                <w:color w:val="auto"/>
                <w:sz w:val="24"/>
                <w:lang w:val="es-ES"/>
              </w:rPr>
              <w:t>）：</w:t>
            </w:r>
          </w:p>
          <w:p w14:paraId="410AE155">
            <w:pPr>
              <w:spacing w:line="360" w:lineRule="auto"/>
              <w:ind w:firstLine="480"/>
              <w:jc w:val="center"/>
              <w:rPr>
                <w:color w:val="auto"/>
                <w:sz w:val="24"/>
                <w:lang w:val="es-ES"/>
              </w:rPr>
            </w:pPr>
            <w:r>
              <w:rPr>
                <w:color w:val="auto"/>
                <w:sz w:val="24"/>
              </w:rPr>
              <w:drawing>
                <wp:inline distT="0" distB="0" distL="114300" distR="114300">
                  <wp:extent cx="1945005" cy="490220"/>
                  <wp:effectExtent l="0" t="0" r="17145" b="5080"/>
                  <wp:docPr id="6" name="图片 40" descr="166337906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descr="1663379066026"/>
                          <pic:cNvPicPr>
                            <a:picLocks noChangeAspect="1"/>
                          </pic:cNvPicPr>
                        </pic:nvPicPr>
                        <pic:blipFill>
                          <a:blip r:embed="rId31"/>
                          <a:stretch>
                            <a:fillRect/>
                          </a:stretch>
                        </pic:blipFill>
                        <pic:spPr>
                          <a:xfrm>
                            <a:off x="0" y="0"/>
                            <a:ext cx="1945005" cy="490220"/>
                          </a:xfrm>
                          <a:prstGeom prst="rect">
                            <a:avLst/>
                          </a:prstGeom>
                          <a:noFill/>
                          <a:ln>
                            <a:noFill/>
                          </a:ln>
                        </pic:spPr>
                      </pic:pic>
                    </a:graphicData>
                  </a:graphic>
                </wp:inline>
              </w:drawing>
            </w:r>
            <w:r>
              <w:rPr>
                <w:rFonts w:hint="eastAsia"/>
                <w:color w:val="auto"/>
                <w:sz w:val="24"/>
                <w:lang w:val="es-ES"/>
              </w:rPr>
              <w:t>（A</w:t>
            </w:r>
            <w:r>
              <w:rPr>
                <w:color w:val="auto"/>
                <w:sz w:val="24"/>
                <w:lang w:val="es-ES"/>
              </w:rPr>
              <w:t>.3</w:t>
            </w:r>
            <w:r>
              <w:rPr>
                <w:rFonts w:hint="eastAsia"/>
                <w:color w:val="auto"/>
                <w:sz w:val="24"/>
                <w:lang w:val="es-ES"/>
              </w:rPr>
              <w:t>）</w:t>
            </w:r>
          </w:p>
          <w:p w14:paraId="4DD2F972">
            <w:pPr>
              <w:spacing w:line="360" w:lineRule="auto"/>
              <w:ind w:firstLine="480"/>
              <w:rPr>
                <w:color w:val="auto"/>
                <w:sz w:val="24"/>
                <w:lang w:val="es-ES"/>
              </w:rPr>
            </w:pPr>
            <w:r>
              <w:rPr>
                <w:rFonts w:hint="eastAsia"/>
                <w:color w:val="auto"/>
                <w:sz w:val="24"/>
              </w:rPr>
              <w:t>式中</w:t>
            </w:r>
            <w:r>
              <w:rPr>
                <w:rFonts w:hint="eastAsia"/>
                <w:color w:val="auto"/>
                <w:sz w:val="24"/>
                <w:lang w:val="es-ES"/>
              </w:rPr>
              <w:t>：</w:t>
            </w:r>
          </w:p>
          <w:p w14:paraId="0D63F0E2">
            <w:pPr>
              <w:spacing w:line="360" w:lineRule="auto"/>
              <w:ind w:firstLine="480"/>
              <w:rPr>
                <w:color w:val="auto"/>
                <w:sz w:val="24"/>
                <w:lang w:val="es-ES"/>
              </w:rPr>
            </w:pPr>
            <w:r>
              <w:rPr>
                <w:rFonts w:hint="eastAsia"/>
                <w:color w:val="auto"/>
                <w:sz w:val="24"/>
                <w:lang w:val="es-ES"/>
              </w:rPr>
              <w:t>L</w:t>
            </w:r>
            <w:r>
              <w:rPr>
                <w:color w:val="auto"/>
                <w:sz w:val="24"/>
                <w:vertAlign w:val="subscript"/>
                <w:lang w:val="es-ES"/>
              </w:rPr>
              <w:t>A</w:t>
            </w:r>
            <w:r>
              <w:rPr>
                <w:rFonts w:hint="eastAsia"/>
                <w:color w:val="auto"/>
                <w:sz w:val="24"/>
                <w:vertAlign w:val="subscript"/>
                <w:lang w:val="es-ES"/>
              </w:rPr>
              <w:t>（r）</w:t>
            </w:r>
            <w:r>
              <w:rPr>
                <w:rFonts w:hint="eastAsia"/>
                <w:color w:val="auto"/>
                <w:sz w:val="24"/>
                <w:lang w:val="es-ES"/>
              </w:rPr>
              <w:t>—</w:t>
            </w:r>
            <w:r>
              <w:rPr>
                <w:rFonts w:hint="eastAsia"/>
                <w:color w:val="auto"/>
                <w:sz w:val="24"/>
              </w:rPr>
              <w:t>距声源</w:t>
            </w:r>
            <w:r>
              <w:rPr>
                <w:rFonts w:hint="eastAsia"/>
                <w:color w:val="auto"/>
                <w:sz w:val="24"/>
                <w:lang w:val="es-ES"/>
              </w:rPr>
              <w:t>r</w:t>
            </w:r>
            <w:r>
              <w:rPr>
                <w:rFonts w:hint="eastAsia"/>
                <w:color w:val="auto"/>
                <w:sz w:val="24"/>
              </w:rPr>
              <w:t>处的</w:t>
            </w:r>
            <w:r>
              <w:rPr>
                <w:rFonts w:hint="eastAsia"/>
                <w:color w:val="auto"/>
                <w:sz w:val="24"/>
                <w:lang w:val="es-ES"/>
              </w:rPr>
              <w:t>A</w:t>
            </w:r>
            <w:r>
              <w:rPr>
                <w:rFonts w:hint="eastAsia"/>
                <w:color w:val="auto"/>
                <w:sz w:val="24"/>
              </w:rPr>
              <w:t>声级</w:t>
            </w:r>
            <w:r>
              <w:rPr>
                <w:rFonts w:hint="eastAsia"/>
                <w:color w:val="auto"/>
                <w:sz w:val="24"/>
                <w:lang w:val="es-ES"/>
              </w:rPr>
              <w:t>，</w:t>
            </w:r>
            <w:r>
              <w:rPr>
                <w:color w:val="auto"/>
                <w:sz w:val="24"/>
                <w:lang w:val="es-ES"/>
              </w:rPr>
              <w:t>dB(A)</w:t>
            </w:r>
            <w:r>
              <w:rPr>
                <w:rFonts w:hint="eastAsia"/>
                <w:color w:val="auto"/>
                <w:sz w:val="24"/>
                <w:lang w:val="es-ES"/>
              </w:rPr>
              <w:t>；</w:t>
            </w:r>
          </w:p>
          <w:p w14:paraId="1634CE91">
            <w:pPr>
              <w:spacing w:line="360" w:lineRule="auto"/>
              <w:ind w:firstLine="480"/>
              <w:rPr>
                <w:color w:val="auto"/>
                <w:sz w:val="24"/>
              </w:rPr>
            </w:pPr>
            <w:r>
              <w:rPr>
                <w:rFonts w:hint="eastAsia"/>
                <w:color w:val="auto"/>
                <w:sz w:val="24"/>
              </w:rPr>
              <w:t>L</w:t>
            </w:r>
            <w:r>
              <w:rPr>
                <w:color w:val="auto"/>
                <w:sz w:val="24"/>
                <w:vertAlign w:val="subscript"/>
              </w:rPr>
              <w:t>P</w:t>
            </w:r>
            <w:r>
              <w:rPr>
                <w:rFonts w:hint="eastAsia"/>
                <w:color w:val="auto"/>
                <w:sz w:val="24"/>
                <w:vertAlign w:val="subscript"/>
              </w:rPr>
              <w:t>i（r）</w:t>
            </w:r>
            <w:r>
              <w:rPr>
                <w:rFonts w:hint="eastAsia"/>
                <w:color w:val="auto"/>
                <w:sz w:val="24"/>
              </w:rPr>
              <w:t>—预测点（r）处，第i倍频带声压级，</w:t>
            </w:r>
            <w:r>
              <w:rPr>
                <w:color w:val="auto"/>
                <w:sz w:val="24"/>
              </w:rPr>
              <w:t>dB</w:t>
            </w:r>
            <w:r>
              <w:rPr>
                <w:rFonts w:hint="eastAsia"/>
                <w:color w:val="auto"/>
                <w:sz w:val="24"/>
              </w:rPr>
              <w:t>；</w:t>
            </w:r>
          </w:p>
          <w:p w14:paraId="180692AA">
            <w:pPr>
              <w:spacing w:line="360" w:lineRule="auto"/>
              <w:ind w:firstLine="480"/>
              <w:rPr>
                <w:color w:val="auto"/>
                <w:sz w:val="24"/>
              </w:rPr>
            </w:pPr>
            <w:r>
              <w:rPr>
                <w:rFonts w:hint="eastAsia" w:ascii="宋体" w:hAnsi="宋体"/>
                <w:color w:val="auto"/>
                <w:sz w:val="24"/>
              </w:rPr>
              <w:t>Δ</w:t>
            </w:r>
            <w:r>
              <w:rPr>
                <w:color w:val="auto"/>
                <w:sz w:val="24"/>
              </w:rPr>
              <w:t>L</w:t>
            </w:r>
            <w:r>
              <w:rPr>
                <w:rFonts w:hint="eastAsia"/>
                <w:color w:val="auto"/>
                <w:sz w:val="24"/>
                <w:vertAlign w:val="subscript"/>
              </w:rPr>
              <w:t>i</w:t>
            </w:r>
            <w:r>
              <w:rPr>
                <w:rFonts w:hint="eastAsia"/>
                <w:color w:val="auto"/>
                <w:sz w:val="24"/>
              </w:rPr>
              <w:t>—第i倍频带的A计权网络修正值，</w:t>
            </w:r>
            <w:r>
              <w:rPr>
                <w:color w:val="auto"/>
                <w:sz w:val="24"/>
              </w:rPr>
              <w:t>dB</w:t>
            </w:r>
            <w:r>
              <w:rPr>
                <w:rFonts w:hint="eastAsia"/>
                <w:color w:val="auto"/>
                <w:sz w:val="24"/>
              </w:rPr>
              <w:t>。</w:t>
            </w:r>
          </w:p>
          <w:p w14:paraId="26675141">
            <w:pPr>
              <w:spacing w:line="360" w:lineRule="auto"/>
              <w:ind w:firstLine="480"/>
              <w:rPr>
                <w:rFonts w:ascii="宋体" w:hAnsi="宋体"/>
                <w:color w:val="auto"/>
                <w:sz w:val="24"/>
              </w:rPr>
            </w:pPr>
            <w:r>
              <w:rPr>
                <w:rFonts w:hint="eastAsia" w:ascii="宋体" w:hAnsi="宋体"/>
                <w:color w:val="auto"/>
                <w:sz w:val="24"/>
              </w:rPr>
              <w:t>②无指向性点声源几何发散衰减</w:t>
            </w:r>
          </w:p>
          <w:p w14:paraId="55F70842">
            <w:pPr>
              <w:spacing w:line="360" w:lineRule="auto"/>
              <w:ind w:firstLine="480"/>
              <w:rPr>
                <w:rFonts w:ascii="宋体" w:hAnsi="宋体"/>
                <w:color w:val="auto"/>
                <w:sz w:val="24"/>
              </w:rPr>
            </w:pPr>
            <w:r>
              <w:rPr>
                <w:rFonts w:hint="eastAsia" w:ascii="宋体" w:hAnsi="宋体"/>
                <w:color w:val="auto"/>
                <w:sz w:val="24"/>
              </w:rPr>
              <w:t>无指向性点声源几何发散衰减的基本公式是：</w:t>
            </w:r>
          </w:p>
          <w:p w14:paraId="2BDB8EBF">
            <w:pPr>
              <w:spacing w:line="360" w:lineRule="auto"/>
              <w:ind w:firstLine="1920" w:firstLineChars="800"/>
              <w:rPr>
                <w:rFonts w:ascii="宋体" w:hAnsi="宋体"/>
                <w:color w:val="auto"/>
                <w:sz w:val="24"/>
              </w:rPr>
            </w:pPr>
            <w:r>
              <w:rPr>
                <w:color w:val="auto"/>
                <w:sz w:val="24"/>
              </w:rPr>
              <w:t>L</w:t>
            </w:r>
            <w:r>
              <w:rPr>
                <w:color w:val="auto"/>
                <w:sz w:val="24"/>
                <w:vertAlign w:val="subscript"/>
              </w:rPr>
              <w:t>p（r）</w:t>
            </w:r>
            <w:r>
              <w:rPr>
                <w:color w:val="auto"/>
                <w:sz w:val="24"/>
              </w:rPr>
              <w:t>=L</w:t>
            </w:r>
            <w:r>
              <w:rPr>
                <w:color w:val="auto"/>
                <w:sz w:val="24"/>
                <w:vertAlign w:val="subscript"/>
              </w:rPr>
              <w:t>p（r0）</w:t>
            </w:r>
            <w:r>
              <w:rPr>
                <w:color w:val="auto"/>
                <w:sz w:val="24"/>
              </w:rPr>
              <w:t>-20lg（r/r</w:t>
            </w:r>
            <w:r>
              <w:rPr>
                <w:color w:val="auto"/>
                <w:sz w:val="24"/>
                <w:vertAlign w:val="subscript"/>
              </w:rPr>
              <w:t>0</w:t>
            </w:r>
            <w:r>
              <w:rPr>
                <w:color w:val="auto"/>
                <w:sz w:val="24"/>
              </w:rPr>
              <w:t>）（A.5</w:t>
            </w:r>
            <w:r>
              <w:rPr>
                <w:rFonts w:hint="eastAsia" w:ascii="宋体" w:hAnsi="宋体"/>
                <w:color w:val="auto"/>
                <w:sz w:val="24"/>
              </w:rPr>
              <w:t>）</w:t>
            </w:r>
          </w:p>
          <w:p w14:paraId="6379698D">
            <w:pPr>
              <w:spacing w:line="360" w:lineRule="auto"/>
              <w:ind w:firstLine="480"/>
              <w:rPr>
                <w:rFonts w:ascii="宋体" w:hAnsi="宋体"/>
                <w:color w:val="auto"/>
                <w:sz w:val="24"/>
              </w:rPr>
            </w:pPr>
            <w:r>
              <w:rPr>
                <w:rFonts w:hint="eastAsia" w:ascii="宋体" w:hAnsi="宋体"/>
                <w:color w:val="auto"/>
                <w:sz w:val="24"/>
              </w:rPr>
              <w:t>式中：</w:t>
            </w:r>
          </w:p>
          <w:p w14:paraId="46FEE398">
            <w:pPr>
              <w:spacing w:line="360" w:lineRule="auto"/>
              <w:ind w:firstLine="480"/>
              <w:rPr>
                <w:color w:val="auto"/>
                <w:sz w:val="24"/>
                <w:lang w:val="zh-CN"/>
              </w:rPr>
            </w:pPr>
            <w:r>
              <w:rPr>
                <w:color w:val="auto"/>
                <w:sz w:val="24"/>
                <w:lang w:val="es-ES"/>
              </w:rPr>
              <w:t>L</w:t>
            </w:r>
            <w:r>
              <w:rPr>
                <w:color w:val="auto"/>
                <w:sz w:val="24"/>
                <w:vertAlign w:val="subscript"/>
                <w:lang w:val="es-ES"/>
              </w:rPr>
              <w:t>p</w:t>
            </w:r>
            <w:r>
              <w:rPr>
                <w:color w:val="auto"/>
                <w:sz w:val="24"/>
                <w:lang w:val="es-ES"/>
              </w:rPr>
              <w:t>(r)</w:t>
            </w:r>
            <w:r>
              <w:rPr>
                <w:color w:val="auto"/>
                <w:sz w:val="24"/>
              </w:rPr>
              <w:t>—预测点</w:t>
            </w:r>
            <w:r>
              <w:rPr>
                <w:rFonts w:hint="eastAsia"/>
                <w:color w:val="auto"/>
                <w:sz w:val="24"/>
              </w:rPr>
              <w:t>处</w:t>
            </w:r>
            <w:r>
              <w:rPr>
                <w:color w:val="auto"/>
                <w:sz w:val="24"/>
              </w:rPr>
              <w:t>声压级，dB；</w:t>
            </w:r>
          </w:p>
          <w:p w14:paraId="65EA7972">
            <w:pPr>
              <w:spacing w:line="360" w:lineRule="auto"/>
              <w:ind w:firstLine="480"/>
              <w:rPr>
                <w:color w:val="auto"/>
                <w:sz w:val="24"/>
                <w:lang w:val="zh-CN"/>
              </w:rPr>
            </w:pPr>
            <w:r>
              <w:rPr>
                <w:color w:val="auto"/>
                <w:sz w:val="24"/>
                <w:lang w:val="es-ES"/>
              </w:rPr>
              <w:t>L</w:t>
            </w:r>
            <w:r>
              <w:rPr>
                <w:color w:val="auto"/>
                <w:sz w:val="24"/>
                <w:vertAlign w:val="subscript"/>
                <w:lang w:val="es-ES"/>
              </w:rPr>
              <w:t>p</w:t>
            </w:r>
            <w:r>
              <w:rPr>
                <w:color w:val="auto"/>
                <w:sz w:val="24"/>
                <w:lang w:val="es-ES"/>
              </w:rPr>
              <w:t>(r</w:t>
            </w:r>
            <w:r>
              <w:rPr>
                <w:color w:val="auto"/>
                <w:sz w:val="24"/>
                <w:vertAlign w:val="subscript"/>
                <w:lang w:val="es-ES"/>
              </w:rPr>
              <w:t>0</w:t>
            </w:r>
            <w:r>
              <w:rPr>
                <w:color w:val="auto"/>
                <w:sz w:val="24"/>
                <w:lang w:val="es-ES"/>
              </w:rPr>
              <w:t>)</w:t>
            </w:r>
            <w:r>
              <w:rPr>
                <w:color w:val="auto"/>
                <w:sz w:val="24"/>
              </w:rPr>
              <w:t>—</w:t>
            </w:r>
            <w:r>
              <w:rPr>
                <w:rFonts w:hint="eastAsia"/>
                <w:color w:val="auto"/>
                <w:sz w:val="24"/>
              </w:rPr>
              <w:t>参考位置r</w:t>
            </w:r>
            <w:r>
              <w:rPr>
                <w:color w:val="auto"/>
                <w:sz w:val="24"/>
                <w:vertAlign w:val="subscript"/>
              </w:rPr>
              <w:t>0</w:t>
            </w:r>
            <w:r>
              <w:rPr>
                <w:rFonts w:hint="eastAsia"/>
                <w:color w:val="auto"/>
                <w:sz w:val="24"/>
              </w:rPr>
              <w:t>处的</w:t>
            </w:r>
            <w:r>
              <w:rPr>
                <w:color w:val="auto"/>
                <w:sz w:val="24"/>
              </w:rPr>
              <w:t>声压级，dB；</w:t>
            </w:r>
          </w:p>
          <w:p w14:paraId="4E10C8E4">
            <w:pPr>
              <w:spacing w:line="360" w:lineRule="auto"/>
              <w:ind w:firstLine="480"/>
              <w:rPr>
                <w:rFonts w:ascii="宋体" w:hAnsi="宋体"/>
                <w:color w:val="auto"/>
                <w:sz w:val="24"/>
              </w:rPr>
            </w:pPr>
            <w:r>
              <w:rPr>
                <w:rFonts w:hint="eastAsia" w:ascii="宋体" w:hAnsi="宋体"/>
                <w:color w:val="auto"/>
                <w:sz w:val="24"/>
              </w:rPr>
              <w:t>r—预测点距离声源的位置；</w:t>
            </w:r>
          </w:p>
          <w:p w14:paraId="586250D0">
            <w:pPr>
              <w:spacing w:line="360" w:lineRule="auto"/>
              <w:ind w:firstLine="480"/>
              <w:rPr>
                <w:rFonts w:ascii="宋体" w:hAnsi="宋体"/>
                <w:color w:val="auto"/>
                <w:sz w:val="24"/>
              </w:rPr>
            </w:pPr>
            <w:r>
              <w:rPr>
                <w:rFonts w:hint="eastAsia" w:ascii="宋体" w:hAnsi="宋体"/>
                <w:color w:val="auto"/>
                <w:sz w:val="24"/>
              </w:rPr>
              <w:t>r</w:t>
            </w:r>
            <w:r>
              <w:rPr>
                <w:rFonts w:ascii="宋体" w:hAnsi="宋体"/>
                <w:color w:val="auto"/>
                <w:sz w:val="24"/>
                <w:vertAlign w:val="subscript"/>
              </w:rPr>
              <w:t>0</w:t>
            </w:r>
            <w:r>
              <w:rPr>
                <w:rFonts w:hint="eastAsia" w:ascii="宋体" w:hAnsi="宋体"/>
                <w:color w:val="auto"/>
                <w:sz w:val="24"/>
              </w:rPr>
              <w:t>—参考位置距声源的距离。</w:t>
            </w:r>
          </w:p>
          <w:p w14:paraId="7083A66D">
            <w:pPr>
              <w:spacing w:line="360" w:lineRule="auto"/>
              <w:ind w:firstLine="480"/>
              <w:rPr>
                <w:color w:val="auto"/>
                <w:sz w:val="24"/>
              </w:rPr>
            </w:pPr>
            <w:r>
              <w:rPr>
                <w:rFonts w:hint="eastAsia"/>
                <w:color w:val="auto"/>
                <w:sz w:val="24"/>
              </w:rPr>
              <w:t>式A</w:t>
            </w:r>
            <w:r>
              <w:rPr>
                <w:color w:val="auto"/>
                <w:sz w:val="24"/>
              </w:rPr>
              <w:t>.5</w:t>
            </w:r>
            <w:r>
              <w:rPr>
                <w:rFonts w:hint="eastAsia"/>
                <w:color w:val="auto"/>
                <w:sz w:val="24"/>
              </w:rPr>
              <w:t>中第二项2</w:t>
            </w:r>
            <w:r>
              <w:rPr>
                <w:color w:val="auto"/>
                <w:sz w:val="24"/>
              </w:rPr>
              <w:t>0</w:t>
            </w:r>
            <w:r>
              <w:rPr>
                <w:rFonts w:hint="eastAsia"/>
                <w:color w:val="auto"/>
                <w:sz w:val="24"/>
              </w:rPr>
              <w:t>lg（r</w:t>
            </w:r>
            <w:r>
              <w:rPr>
                <w:color w:val="auto"/>
                <w:sz w:val="24"/>
              </w:rPr>
              <w:t>/r</w:t>
            </w:r>
            <w:r>
              <w:rPr>
                <w:color w:val="auto"/>
                <w:sz w:val="24"/>
                <w:vertAlign w:val="subscript"/>
              </w:rPr>
              <w:t>0</w:t>
            </w:r>
            <w:r>
              <w:rPr>
                <w:rFonts w:hint="eastAsia"/>
                <w:color w:val="auto"/>
                <w:sz w:val="24"/>
              </w:rPr>
              <w:t>）表示了点声源的几何发散衰减A</w:t>
            </w:r>
            <w:r>
              <w:rPr>
                <w:rFonts w:hint="eastAsia"/>
                <w:color w:val="auto"/>
                <w:sz w:val="24"/>
                <w:vertAlign w:val="subscript"/>
              </w:rPr>
              <w:t>div</w:t>
            </w:r>
            <w:r>
              <w:rPr>
                <w:rFonts w:hint="eastAsia"/>
                <w:color w:val="auto"/>
                <w:sz w:val="24"/>
              </w:rPr>
              <w:t>。</w:t>
            </w:r>
          </w:p>
          <w:p w14:paraId="24A4B0CF">
            <w:pPr>
              <w:spacing w:line="360" w:lineRule="auto"/>
              <w:ind w:firstLine="482"/>
              <w:rPr>
                <w:b/>
                <w:color w:val="auto"/>
                <w:sz w:val="24"/>
              </w:rPr>
            </w:pPr>
            <w:r>
              <w:rPr>
                <w:b/>
                <w:color w:val="auto"/>
                <w:sz w:val="24"/>
              </w:rPr>
              <w:t>2）室内声源等效室外声源声功率级计算方法</w:t>
            </w:r>
          </w:p>
          <w:p w14:paraId="5EC1AB3C">
            <w:pPr>
              <w:spacing w:line="360" w:lineRule="auto"/>
              <w:ind w:firstLine="480"/>
              <w:rPr>
                <w:color w:val="auto"/>
                <w:sz w:val="24"/>
                <w:lang w:val="zh-CN"/>
              </w:rPr>
            </w:pPr>
            <w:r>
              <w:rPr>
                <w:rFonts w:hint="eastAsia"/>
                <w:color w:val="auto"/>
                <w:sz w:val="24"/>
                <w:lang w:val="zh-CN"/>
              </w:rPr>
              <w:t>声源位于室内，室内声源可采用等效室外声源声功率级法进行计算。设靠近开口处（或窗户）室内、室外某倍频带的声压级或A声级分别为Lp1和Lp2。若声源所在室内声场为近似扩散声场，则室外的倍频带声压级可按式（B.1）近似求出</w:t>
            </w:r>
            <w:r>
              <w:rPr>
                <w:color w:val="auto"/>
                <w:sz w:val="24"/>
                <w:lang w:val="zh-CN"/>
              </w:rPr>
              <w:t>：</w:t>
            </w:r>
          </w:p>
          <w:p w14:paraId="06A4A0CB">
            <w:pPr>
              <w:spacing w:line="360" w:lineRule="auto"/>
              <w:ind w:firstLine="480"/>
              <w:rPr>
                <w:color w:val="auto"/>
                <w:sz w:val="24"/>
              </w:rPr>
            </w:pPr>
            <w:r>
              <w:rPr>
                <w:color w:val="auto"/>
                <w:sz w:val="24"/>
              </w:rPr>
              <w:t>Lp</w:t>
            </w:r>
            <w:r>
              <w:rPr>
                <w:color w:val="auto"/>
                <w:sz w:val="24"/>
                <w:vertAlign w:val="subscript"/>
              </w:rPr>
              <w:t>2</w:t>
            </w:r>
            <w:r>
              <w:rPr>
                <w:color w:val="auto"/>
                <w:sz w:val="24"/>
              </w:rPr>
              <w:t>=Lp</w:t>
            </w:r>
            <w:r>
              <w:rPr>
                <w:color w:val="auto"/>
                <w:sz w:val="24"/>
                <w:vertAlign w:val="subscript"/>
              </w:rPr>
              <w:t>1</w:t>
            </w:r>
            <w:r>
              <w:rPr>
                <w:color w:val="auto"/>
                <w:sz w:val="24"/>
              </w:rPr>
              <w:t>-（TL+6）</w:t>
            </w:r>
            <w:r>
              <w:rPr>
                <w:rFonts w:hint="eastAsia"/>
                <w:color w:val="auto"/>
                <w:sz w:val="24"/>
              </w:rPr>
              <w:t>（B</w:t>
            </w:r>
            <w:r>
              <w:rPr>
                <w:color w:val="auto"/>
                <w:sz w:val="24"/>
              </w:rPr>
              <w:t>.1</w:t>
            </w:r>
            <w:r>
              <w:rPr>
                <w:rFonts w:hint="eastAsia"/>
                <w:color w:val="auto"/>
                <w:sz w:val="24"/>
              </w:rPr>
              <w:t>）</w:t>
            </w:r>
          </w:p>
          <w:p w14:paraId="274A9E3E">
            <w:pPr>
              <w:spacing w:line="360" w:lineRule="auto"/>
              <w:ind w:firstLine="480"/>
              <w:rPr>
                <w:color w:val="auto"/>
                <w:sz w:val="24"/>
              </w:rPr>
            </w:pPr>
            <w:r>
              <w:rPr>
                <w:color w:val="auto"/>
                <w:sz w:val="24"/>
                <w:lang w:val="zh-CN"/>
              </w:rPr>
              <w:t>式中</w:t>
            </w:r>
            <w:r>
              <w:rPr>
                <w:color w:val="auto"/>
                <w:sz w:val="24"/>
              </w:rPr>
              <w:t>：</w:t>
            </w:r>
          </w:p>
          <w:p w14:paraId="5C7D0F94">
            <w:pPr>
              <w:spacing w:line="360" w:lineRule="auto"/>
              <w:ind w:firstLine="480"/>
              <w:rPr>
                <w:color w:val="auto"/>
                <w:sz w:val="24"/>
                <w:lang w:val="zh-CN"/>
              </w:rPr>
            </w:pPr>
            <w:r>
              <w:rPr>
                <w:color w:val="auto"/>
                <w:sz w:val="24"/>
                <w:lang w:val="zh-CN"/>
              </w:rPr>
              <w:t>Lp</w:t>
            </w:r>
            <w:r>
              <w:rPr>
                <w:color w:val="auto"/>
                <w:sz w:val="24"/>
                <w:vertAlign w:val="subscript"/>
                <w:lang w:val="zh-CN"/>
              </w:rPr>
              <w:t>1</w:t>
            </w:r>
            <w:r>
              <w:rPr>
                <w:color w:val="auto"/>
                <w:sz w:val="24"/>
                <w:lang w:val="zh-CN"/>
              </w:rPr>
              <w:t>—</w:t>
            </w:r>
            <w:r>
              <w:rPr>
                <w:rFonts w:hint="eastAsia"/>
                <w:color w:val="auto"/>
                <w:sz w:val="24"/>
                <w:lang w:val="zh-CN"/>
              </w:rPr>
              <w:t>靠近开口处（或窗户）室内某倍频带的声压级或A声级</w:t>
            </w:r>
            <w:r>
              <w:rPr>
                <w:color w:val="auto"/>
                <w:sz w:val="24"/>
                <w:lang w:val="zh-CN"/>
              </w:rPr>
              <w:t>，dB；</w:t>
            </w:r>
          </w:p>
          <w:p w14:paraId="7ED661BE">
            <w:pPr>
              <w:spacing w:line="360" w:lineRule="auto"/>
              <w:ind w:firstLine="480"/>
              <w:rPr>
                <w:color w:val="auto"/>
                <w:sz w:val="24"/>
                <w:lang w:val="zh-CN"/>
              </w:rPr>
            </w:pPr>
            <w:r>
              <w:rPr>
                <w:color w:val="auto"/>
                <w:sz w:val="24"/>
                <w:lang w:val="zh-CN"/>
              </w:rPr>
              <w:t>Lp</w:t>
            </w:r>
            <w:r>
              <w:rPr>
                <w:color w:val="auto"/>
                <w:sz w:val="24"/>
                <w:vertAlign w:val="subscript"/>
                <w:lang w:val="zh-CN"/>
              </w:rPr>
              <w:t>2</w:t>
            </w:r>
            <w:r>
              <w:rPr>
                <w:color w:val="auto"/>
                <w:sz w:val="24"/>
                <w:lang w:val="zh-CN"/>
              </w:rPr>
              <w:t>—</w:t>
            </w:r>
            <w:r>
              <w:rPr>
                <w:rFonts w:hint="eastAsia"/>
                <w:color w:val="auto"/>
                <w:sz w:val="24"/>
                <w:lang w:val="zh-CN"/>
              </w:rPr>
              <w:t>靠近开口处（或窗户）室外某倍频带的声压级或A声级</w:t>
            </w:r>
            <w:r>
              <w:rPr>
                <w:color w:val="auto"/>
                <w:sz w:val="24"/>
                <w:lang w:val="zh-CN"/>
              </w:rPr>
              <w:t>，dB；</w:t>
            </w:r>
          </w:p>
          <w:p w14:paraId="2E9D0708">
            <w:pPr>
              <w:spacing w:line="360" w:lineRule="auto"/>
              <w:ind w:firstLine="480"/>
              <w:rPr>
                <w:color w:val="auto"/>
                <w:sz w:val="24"/>
                <w:lang w:val="zh-CN"/>
              </w:rPr>
            </w:pPr>
            <w:r>
              <w:rPr>
                <w:color w:val="auto"/>
                <w:sz w:val="24"/>
                <w:lang w:val="zh-CN"/>
              </w:rPr>
              <w:t>TL—</w:t>
            </w:r>
            <w:r>
              <w:rPr>
                <w:rFonts w:hint="eastAsia"/>
                <w:color w:val="auto"/>
                <w:sz w:val="24"/>
                <w:lang w:val="zh-CN"/>
              </w:rPr>
              <w:t>隔墙（或窗户）倍频带或A声级的隔声量</w:t>
            </w:r>
            <w:r>
              <w:rPr>
                <w:color w:val="auto"/>
                <w:sz w:val="24"/>
                <w:lang w:val="zh-CN"/>
              </w:rPr>
              <w:t>，dB。</w:t>
            </w:r>
          </w:p>
          <w:p w14:paraId="6C4463B5">
            <w:pPr>
              <w:spacing w:line="360" w:lineRule="auto"/>
              <w:ind w:firstLine="480"/>
              <w:rPr>
                <w:color w:val="auto"/>
                <w:sz w:val="24"/>
                <w:lang w:val="zh-CN"/>
              </w:rPr>
            </w:pPr>
            <w:r>
              <w:rPr>
                <w:rFonts w:hint="eastAsia"/>
                <w:color w:val="auto"/>
                <w:sz w:val="24"/>
                <w:lang w:val="zh-CN"/>
              </w:rPr>
              <w:t>也可按式（B.2）计算某一室内声源靠近围护结构处产生的倍频带声压级或A声级：</w:t>
            </w:r>
          </w:p>
          <w:p w14:paraId="6826432C">
            <w:pPr>
              <w:spacing w:line="360" w:lineRule="auto"/>
              <w:ind w:firstLine="480"/>
              <w:rPr>
                <w:color w:val="auto"/>
                <w:sz w:val="24"/>
              </w:rPr>
            </w:pPr>
            <w:r>
              <w:rPr>
                <w:color w:val="auto"/>
                <w:sz w:val="24"/>
              </w:rPr>
              <w:t>Lp</w:t>
            </w:r>
            <w:r>
              <w:rPr>
                <w:color w:val="auto"/>
                <w:sz w:val="24"/>
                <w:vertAlign w:val="subscript"/>
              </w:rPr>
              <w:t>1</w:t>
            </w:r>
            <w:r>
              <w:rPr>
                <w:color w:val="auto"/>
                <w:sz w:val="24"/>
              </w:rPr>
              <w:t>=Lw+10log(</w:t>
            </w:r>
            <w:r>
              <w:rPr>
                <w:color w:val="auto"/>
                <w:sz w:val="24"/>
                <w:lang w:val="zh-CN"/>
              </w:rPr>
              <w:object>
                <v:shape id="_x0000_i1030" o:spt="75" type="#_x0000_t75" style="height:20pt;width:50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r>
              <w:rPr>
                <w:color w:val="auto"/>
                <w:sz w:val="24"/>
              </w:rPr>
              <w:t>)</w:t>
            </w:r>
            <w:r>
              <w:rPr>
                <w:rFonts w:hint="eastAsia"/>
                <w:color w:val="auto"/>
                <w:sz w:val="24"/>
              </w:rPr>
              <w:t>（</w:t>
            </w:r>
            <w:r>
              <w:rPr>
                <w:color w:val="auto"/>
                <w:sz w:val="24"/>
              </w:rPr>
              <w:t>B.2</w:t>
            </w:r>
            <w:r>
              <w:rPr>
                <w:rFonts w:hint="eastAsia"/>
                <w:color w:val="auto"/>
                <w:sz w:val="24"/>
              </w:rPr>
              <w:t>）</w:t>
            </w:r>
          </w:p>
          <w:p w14:paraId="5DDE2471">
            <w:pPr>
              <w:spacing w:line="360" w:lineRule="auto"/>
              <w:ind w:firstLine="480"/>
              <w:rPr>
                <w:color w:val="auto"/>
                <w:sz w:val="24"/>
                <w:lang w:val="zh-CN"/>
              </w:rPr>
            </w:pPr>
            <w:r>
              <w:rPr>
                <w:color w:val="auto"/>
                <w:sz w:val="24"/>
                <w:lang w:val="zh-CN"/>
              </w:rPr>
              <w:t>式中：</w:t>
            </w:r>
          </w:p>
          <w:p w14:paraId="4E8F11CB">
            <w:pPr>
              <w:spacing w:line="360" w:lineRule="auto"/>
              <w:ind w:firstLine="480"/>
              <w:rPr>
                <w:color w:val="auto"/>
                <w:sz w:val="24"/>
                <w:lang w:val="zh-CN"/>
              </w:rPr>
            </w:pPr>
            <w:r>
              <w:rPr>
                <w:color w:val="auto"/>
                <w:sz w:val="24"/>
                <w:lang w:val="zh-CN"/>
              </w:rPr>
              <w:t>Lp</w:t>
            </w:r>
            <w:r>
              <w:rPr>
                <w:color w:val="auto"/>
                <w:sz w:val="24"/>
                <w:vertAlign w:val="subscript"/>
                <w:lang w:val="zh-CN"/>
              </w:rPr>
              <w:t>1</w:t>
            </w:r>
            <w:r>
              <w:rPr>
                <w:color w:val="auto"/>
                <w:sz w:val="24"/>
                <w:lang w:val="zh-CN"/>
              </w:rPr>
              <w:t>—</w:t>
            </w:r>
            <w:r>
              <w:rPr>
                <w:rFonts w:hint="eastAsia"/>
                <w:color w:val="auto"/>
                <w:sz w:val="24"/>
                <w:lang w:val="zh-CN"/>
              </w:rPr>
              <w:t>靠近开口处（或窗户）室内某倍频带的声压级或A声级</w:t>
            </w:r>
            <w:r>
              <w:rPr>
                <w:color w:val="auto"/>
                <w:sz w:val="24"/>
                <w:lang w:val="zh-CN"/>
              </w:rPr>
              <w:t>，dB；</w:t>
            </w:r>
          </w:p>
          <w:p w14:paraId="1C51E73C">
            <w:pPr>
              <w:spacing w:line="360" w:lineRule="auto"/>
              <w:ind w:firstLine="480"/>
              <w:rPr>
                <w:color w:val="auto"/>
                <w:sz w:val="24"/>
                <w:lang w:val="zh-CN"/>
              </w:rPr>
            </w:pPr>
            <w:r>
              <w:rPr>
                <w:color w:val="auto"/>
                <w:sz w:val="24"/>
                <w:lang w:val="es-ES"/>
              </w:rPr>
              <w:t>L</w:t>
            </w:r>
            <w:r>
              <w:rPr>
                <w:color w:val="auto"/>
                <w:sz w:val="24"/>
                <w:vertAlign w:val="subscript"/>
                <w:lang w:val="es-ES"/>
              </w:rPr>
              <w:t>w</w:t>
            </w:r>
            <w:r>
              <w:rPr>
                <w:color w:val="auto"/>
                <w:sz w:val="24"/>
              </w:rPr>
              <w:t>—</w:t>
            </w:r>
            <w:r>
              <w:rPr>
                <w:rFonts w:hint="eastAsia"/>
                <w:color w:val="auto"/>
                <w:sz w:val="24"/>
              </w:rPr>
              <w:t>点声源声功率级（A计权或倍频带）</w:t>
            </w:r>
            <w:r>
              <w:rPr>
                <w:color w:val="auto"/>
                <w:sz w:val="24"/>
              </w:rPr>
              <w:t>，dB；</w:t>
            </w:r>
          </w:p>
          <w:p w14:paraId="2682F376">
            <w:pPr>
              <w:spacing w:line="360" w:lineRule="auto"/>
              <w:ind w:firstLine="480"/>
              <w:rPr>
                <w:color w:val="auto"/>
                <w:sz w:val="24"/>
                <w:lang w:val="zh-CN"/>
              </w:rPr>
            </w:pPr>
            <w:r>
              <w:rPr>
                <w:color w:val="auto"/>
                <w:sz w:val="24"/>
                <w:lang w:val="zh-CN"/>
              </w:rPr>
              <w:t>Q—指向性因素；通常对无指向性声源，当声源放在房间中心时，Q=1；当放在一面墙的中心时，Q=2；当放在两面墙夹角处时，Q=4；当放在三面墙夹角处时，Q=8。</w:t>
            </w:r>
          </w:p>
          <w:p w14:paraId="1A7B6388">
            <w:pPr>
              <w:spacing w:line="360" w:lineRule="auto"/>
              <w:ind w:firstLine="480"/>
              <w:rPr>
                <w:color w:val="auto"/>
                <w:sz w:val="24"/>
                <w:lang w:val="zh-CN"/>
              </w:rPr>
            </w:pPr>
            <w:r>
              <w:rPr>
                <w:color w:val="auto"/>
                <w:sz w:val="24"/>
                <w:lang w:val="zh-CN"/>
              </w:rPr>
              <w:t>R—房间常数；R=Sα/(1-α），S为房间内表面面积，m</w:t>
            </w:r>
            <w:r>
              <w:rPr>
                <w:color w:val="auto"/>
                <w:sz w:val="24"/>
                <w:vertAlign w:val="superscript"/>
                <w:lang w:val="zh-CN"/>
              </w:rPr>
              <w:t>2</w:t>
            </w:r>
            <w:r>
              <w:rPr>
                <w:color w:val="auto"/>
                <w:sz w:val="24"/>
                <w:lang w:val="zh-CN"/>
              </w:rPr>
              <w:t>；α为平均吸声系数。</w:t>
            </w:r>
          </w:p>
          <w:p w14:paraId="10442483">
            <w:pPr>
              <w:spacing w:line="360" w:lineRule="auto"/>
              <w:ind w:firstLine="480"/>
              <w:rPr>
                <w:color w:val="auto"/>
                <w:sz w:val="24"/>
                <w:lang w:val="zh-CN"/>
              </w:rPr>
            </w:pPr>
            <w:r>
              <w:rPr>
                <w:color w:val="auto"/>
                <w:sz w:val="24"/>
                <w:lang w:val="zh-CN"/>
              </w:rPr>
              <w:t>r—声源到靠近围护结构某点处的距离，m。</w:t>
            </w:r>
          </w:p>
          <w:p w14:paraId="114A6FED">
            <w:pPr>
              <w:spacing w:line="360" w:lineRule="auto"/>
              <w:ind w:firstLine="480"/>
              <w:rPr>
                <w:color w:val="auto"/>
                <w:sz w:val="24"/>
                <w:lang w:val="zh-CN"/>
              </w:rPr>
            </w:pPr>
            <w:r>
              <w:rPr>
                <w:rFonts w:hint="eastAsia"/>
                <w:color w:val="auto"/>
                <w:sz w:val="24"/>
                <w:lang w:val="zh-CN"/>
              </w:rPr>
              <w:t>然后按式（</w:t>
            </w:r>
            <w:r>
              <w:rPr>
                <w:color w:val="auto"/>
                <w:sz w:val="24"/>
                <w:lang w:val="zh-CN"/>
              </w:rPr>
              <w:t>B.3</w:t>
            </w:r>
            <w:r>
              <w:rPr>
                <w:rFonts w:hint="eastAsia"/>
                <w:color w:val="auto"/>
                <w:sz w:val="24"/>
                <w:lang w:val="zh-CN"/>
              </w:rPr>
              <w:t>）计算出所有室内声源在围护结构处产生的i倍频带叠加声压级：</w:t>
            </w:r>
          </w:p>
          <w:p w14:paraId="6949DFA2">
            <w:pPr>
              <w:spacing w:line="360" w:lineRule="auto"/>
              <w:ind w:firstLine="480"/>
              <w:rPr>
                <w:color w:val="auto"/>
                <w:sz w:val="24"/>
              </w:rPr>
            </w:pPr>
            <w:r>
              <w:rPr>
                <w:color w:val="auto"/>
                <w:position w:val="-30"/>
                <w:sz w:val="24"/>
              </w:rPr>
              <w:object>
                <v:shape id="_x0000_i1031" o:spt="75" type="#_x0000_t75" style="height:35pt;width:144.5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r>
              <w:rPr>
                <w:rFonts w:hint="eastAsia"/>
                <w:color w:val="auto"/>
                <w:sz w:val="24"/>
              </w:rPr>
              <w:t>（</w:t>
            </w:r>
            <w:r>
              <w:rPr>
                <w:color w:val="auto"/>
                <w:sz w:val="24"/>
              </w:rPr>
              <w:t>B.3</w:t>
            </w:r>
            <w:r>
              <w:rPr>
                <w:rFonts w:hint="eastAsia"/>
                <w:color w:val="auto"/>
                <w:sz w:val="24"/>
              </w:rPr>
              <w:t>）</w:t>
            </w:r>
          </w:p>
          <w:p w14:paraId="7430222D">
            <w:pPr>
              <w:spacing w:line="360" w:lineRule="auto"/>
              <w:ind w:firstLine="480"/>
              <w:rPr>
                <w:color w:val="auto"/>
                <w:sz w:val="24"/>
              </w:rPr>
            </w:pPr>
            <w:r>
              <w:rPr>
                <w:color w:val="auto"/>
                <w:sz w:val="24"/>
              </w:rPr>
              <w:t>式中：</w:t>
            </w:r>
          </w:p>
          <w:p w14:paraId="3B0C32E1">
            <w:pPr>
              <w:spacing w:line="360" w:lineRule="auto"/>
              <w:ind w:firstLine="480"/>
              <w:rPr>
                <w:color w:val="auto"/>
                <w:sz w:val="24"/>
              </w:rPr>
            </w:pPr>
            <w:r>
              <w:rPr>
                <w:color w:val="auto"/>
                <w:sz w:val="24"/>
              </w:rPr>
              <w:t>L</w:t>
            </w:r>
            <w:r>
              <w:rPr>
                <w:color w:val="auto"/>
                <w:sz w:val="24"/>
                <w:vertAlign w:val="subscript"/>
              </w:rPr>
              <w:t>P1i</w:t>
            </w:r>
            <w:r>
              <w:rPr>
                <w:color w:val="auto"/>
                <w:sz w:val="24"/>
              </w:rPr>
              <w:t>（T)—靠近围护结构处室内N个声源i倍频带的叠加声压级，dB；</w:t>
            </w:r>
          </w:p>
          <w:p w14:paraId="56D2CDB3">
            <w:pPr>
              <w:spacing w:line="360" w:lineRule="auto"/>
              <w:ind w:firstLine="480"/>
              <w:rPr>
                <w:color w:val="auto"/>
                <w:sz w:val="24"/>
              </w:rPr>
            </w:pPr>
            <w:r>
              <w:rPr>
                <w:color w:val="auto"/>
                <w:sz w:val="24"/>
              </w:rPr>
              <w:t>L</w:t>
            </w:r>
            <w:r>
              <w:rPr>
                <w:color w:val="auto"/>
                <w:sz w:val="24"/>
                <w:vertAlign w:val="subscript"/>
              </w:rPr>
              <w:t>P1ij</w:t>
            </w:r>
            <w:r>
              <w:rPr>
                <w:color w:val="auto"/>
                <w:sz w:val="24"/>
              </w:rPr>
              <w:t>（T)—室内j声源i倍频带的声压级，dB；</w:t>
            </w:r>
          </w:p>
          <w:p w14:paraId="26C95C47">
            <w:pPr>
              <w:spacing w:line="360" w:lineRule="auto"/>
              <w:ind w:firstLine="480"/>
              <w:rPr>
                <w:color w:val="auto"/>
                <w:sz w:val="24"/>
                <w:lang w:val="zh-CN"/>
              </w:rPr>
            </w:pPr>
            <w:r>
              <w:rPr>
                <w:color w:val="auto"/>
                <w:sz w:val="24"/>
                <w:lang w:val="zh-CN"/>
              </w:rPr>
              <w:t>N—室内声源总数。</w:t>
            </w:r>
          </w:p>
          <w:p w14:paraId="5DD734A2">
            <w:pPr>
              <w:spacing w:line="360" w:lineRule="auto"/>
              <w:ind w:firstLine="480"/>
              <w:rPr>
                <w:color w:val="auto"/>
                <w:sz w:val="24"/>
                <w:lang w:val="zh-CN"/>
              </w:rPr>
            </w:pPr>
            <w:r>
              <w:rPr>
                <w:rFonts w:hint="eastAsia"/>
                <w:color w:val="auto"/>
                <w:sz w:val="24"/>
                <w:lang w:val="zh-CN"/>
              </w:rPr>
              <w:t>在室内近似为扩散声场时，按式（B</w:t>
            </w:r>
            <w:r>
              <w:rPr>
                <w:color w:val="auto"/>
                <w:sz w:val="24"/>
                <w:lang w:val="zh-CN"/>
              </w:rPr>
              <w:t>.4</w:t>
            </w:r>
            <w:r>
              <w:rPr>
                <w:rFonts w:hint="eastAsia"/>
                <w:color w:val="auto"/>
                <w:sz w:val="24"/>
                <w:lang w:val="zh-CN"/>
              </w:rPr>
              <w:t>）计算出靠近室外围护结构处的声压级：</w:t>
            </w:r>
          </w:p>
          <w:p w14:paraId="1E7BED31">
            <w:pPr>
              <w:spacing w:line="360" w:lineRule="auto"/>
              <w:ind w:firstLine="480"/>
              <w:rPr>
                <w:color w:val="auto"/>
                <w:sz w:val="24"/>
              </w:rPr>
            </w:pPr>
            <w:r>
              <w:rPr>
                <w:color w:val="auto"/>
                <w:sz w:val="24"/>
              </w:rPr>
              <w:t>LP</w:t>
            </w:r>
            <w:r>
              <w:rPr>
                <w:color w:val="auto"/>
                <w:sz w:val="24"/>
                <w:vertAlign w:val="subscript"/>
              </w:rPr>
              <w:t>2i</w:t>
            </w:r>
            <w:r>
              <w:rPr>
                <w:color w:val="auto"/>
                <w:sz w:val="24"/>
              </w:rPr>
              <w:t>（T)=L</w:t>
            </w:r>
            <w:r>
              <w:rPr>
                <w:color w:val="auto"/>
                <w:sz w:val="24"/>
                <w:vertAlign w:val="subscript"/>
              </w:rPr>
              <w:t>P1i</w:t>
            </w:r>
            <w:r>
              <w:rPr>
                <w:color w:val="auto"/>
                <w:sz w:val="24"/>
              </w:rPr>
              <w:t>（T)-（TLi+6）</w:t>
            </w:r>
            <w:r>
              <w:rPr>
                <w:rFonts w:hint="eastAsia"/>
                <w:color w:val="auto"/>
                <w:sz w:val="24"/>
              </w:rPr>
              <w:t>（B</w:t>
            </w:r>
            <w:r>
              <w:rPr>
                <w:color w:val="auto"/>
                <w:sz w:val="24"/>
              </w:rPr>
              <w:t>.4</w:t>
            </w:r>
            <w:r>
              <w:rPr>
                <w:rFonts w:hint="eastAsia"/>
                <w:color w:val="auto"/>
                <w:sz w:val="24"/>
              </w:rPr>
              <w:t>）</w:t>
            </w:r>
          </w:p>
          <w:p w14:paraId="55C89E0F">
            <w:pPr>
              <w:spacing w:line="360" w:lineRule="auto"/>
              <w:ind w:firstLine="480"/>
              <w:rPr>
                <w:color w:val="auto"/>
                <w:sz w:val="24"/>
                <w:lang w:val="zh-CN"/>
              </w:rPr>
            </w:pPr>
            <w:r>
              <w:rPr>
                <w:color w:val="auto"/>
                <w:sz w:val="24"/>
                <w:lang w:val="zh-CN"/>
              </w:rPr>
              <w:t>式中：LP</w:t>
            </w:r>
            <w:r>
              <w:rPr>
                <w:color w:val="auto"/>
                <w:sz w:val="24"/>
                <w:vertAlign w:val="subscript"/>
                <w:lang w:val="zh-CN"/>
              </w:rPr>
              <w:t>2i</w:t>
            </w:r>
            <w:r>
              <w:rPr>
                <w:color w:val="auto"/>
                <w:sz w:val="24"/>
                <w:lang w:val="zh-CN"/>
              </w:rPr>
              <w:t>（T)—靠近围护结构处室外N个声源i倍频带的叠加声压级，dB；</w:t>
            </w:r>
          </w:p>
          <w:p w14:paraId="79540128">
            <w:pPr>
              <w:spacing w:line="360" w:lineRule="auto"/>
              <w:ind w:firstLine="480"/>
              <w:rPr>
                <w:color w:val="auto"/>
                <w:sz w:val="24"/>
                <w:lang w:val="zh-CN"/>
              </w:rPr>
            </w:pPr>
            <w:r>
              <w:rPr>
                <w:color w:val="auto"/>
                <w:sz w:val="24"/>
              </w:rPr>
              <w:t>L</w:t>
            </w:r>
            <w:r>
              <w:rPr>
                <w:color w:val="auto"/>
                <w:sz w:val="24"/>
                <w:vertAlign w:val="subscript"/>
              </w:rPr>
              <w:t>P1i</w:t>
            </w:r>
            <w:r>
              <w:rPr>
                <w:color w:val="auto"/>
                <w:sz w:val="24"/>
              </w:rPr>
              <w:t>（T)—</w:t>
            </w:r>
            <w:r>
              <w:rPr>
                <w:rFonts w:hint="eastAsia"/>
                <w:color w:val="auto"/>
                <w:sz w:val="24"/>
              </w:rPr>
              <w:t>靠近围护结构外室内N个声源i倍频带的叠加声压级，</w:t>
            </w:r>
            <w:r>
              <w:rPr>
                <w:color w:val="auto"/>
                <w:sz w:val="24"/>
                <w:lang w:val="zh-CN"/>
              </w:rPr>
              <w:t>dB；</w:t>
            </w:r>
          </w:p>
          <w:p w14:paraId="300B72A5">
            <w:pPr>
              <w:spacing w:line="360" w:lineRule="auto"/>
              <w:ind w:firstLine="480"/>
              <w:rPr>
                <w:color w:val="auto"/>
                <w:sz w:val="24"/>
                <w:lang w:val="zh-CN"/>
              </w:rPr>
            </w:pPr>
            <w:r>
              <w:rPr>
                <w:color w:val="auto"/>
                <w:sz w:val="24"/>
                <w:lang w:val="zh-CN"/>
              </w:rPr>
              <w:t>TLi—围护结构i倍频带的隔声量，dB。</w:t>
            </w:r>
          </w:p>
          <w:p w14:paraId="29E9D3EB">
            <w:pPr>
              <w:spacing w:line="360" w:lineRule="auto"/>
              <w:ind w:firstLine="480"/>
              <w:rPr>
                <w:color w:val="auto"/>
                <w:sz w:val="24"/>
                <w:lang w:val="zh-CN"/>
              </w:rPr>
            </w:pPr>
            <w:r>
              <w:rPr>
                <w:rFonts w:hint="eastAsia"/>
                <w:color w:val="auto"/>
                <w:sz w:val="24"/>
                <w:lang w:val="zh-CN"/>
              </w:rPr>
              <w:t>然后按式（B.5）将室外声源的声压级和透过面积换算成等效的室外声源，计算出中心位置位于透声面积（S）处的等效声源的倍频带声功率级：</w:t>
            </w:r>
          </w:p>
          <w:p w14:paraId="4CEE9C16">
            <w:pPr>
              <w:spacing w:line="360" w:lineRule="auto"/>
              <w:ind w:firstLine="480"/>
              <w:rPr>
                <w:color w:val="auto"/>
                <w:sz w:val="24"/>
              </w:rPr>
            </w:pPr>
            <w:r>
              <w:rPr>
                <w:color w:val="auto"/>
                <w:sz w:val="24"/>
              </w:rPr>
              <w:t>Lw=L</w:t>
            </w:r>
            <w:r>
              <w:rPr>
                <w:rFonts w:hint="eastAsia"/>
                <w:color w:val="auto"/>
                <w:sz w:val="24"/>
                <w:vertAlign w:val="subscript"/>
              </w:rPr>
              <w:t>p</w:t>
            </w:r>
            <w:r>
              <w:rPr>
                <w:color w:val="auto"/>
                <w:sz w:val="24"/>
                <w:vertAlign w:val="subscript"/>
              </w:rPr>
              <w:t>2</w:t>
            </w:r>
            <w:r>
              <w:rPr>
                <w:color w:val="auto"/>
                <w:sz w:val="24"/>
              </w:rPr>
              <w:t>（T)+10lgS</w:t>
            </w:r>
            <w:r>
              <w:rPr>
                <w:rFonts w:hint="eastAsia"/>
                <w:color w:val="auto"/>
                <w:sz w:val="24"/>
              </w:rPr>
              <w:t>（</w:t>
            </w:r>
            <w:r>
              <w:rPr>
                <w:color w:val="auto"/>
                <w:sz w:val="24"/>
              </w:rPr>
              <w:t>B.5</w:t>
            </w:r>
            <w:r>
              <w:rPr>
                <w:rFonts w:hint="eastAsia"/>
                <w:color w:val="auto"/>
                <w:sz w:val="24"/>
              </w:rPr>
              <w:t>）</w:t>
            </w:r>
          </w:p>
          <w:p w14:paraId="04D9EA24">
            <w:pPr>
              <w:spacing w:line="360" w:lineRule="auto"/>
              <w:ind w:firstLine="480"/>
              <w:rPr>
                <w:color w:val="auto"/>
                <w:sz w:val="24"/>
              </w:rPr>
            </w:pPr>
            <w:r>
              <w:rPr>
                <w:rFonts w:hint="eastAsia"/>
                <w:color w:val="auto"/>
                <w:sz w:val="24"/>
              </w:rPr>
              <w:t>式中：</w:t>
            </w:r>
          </w:p>
          <w:p w14:paraId="0878CBBA">
            <w:pPr>
              <w:spacing w:line="360" w:lineRule="auto"/>
              <w:ind w:firstLine="480"/>
              <w:rPr>
                <w:color w:val="auto"/>
                <w:sz w:val="24"/>
              </w:rPr>
            </w:pPr>
            <w:r>
              <w:rPr>
                <w:rFonts w:hint="eastAsia"/>
                <w:color w:val="auto"/>
                <w:sz w:val="24"/>
              </w:rPr>
              <w:t>Lw——中心位置位于透声面积（S）处的等效声源的倍频带声功率级，dB；</w:t>
            </w:r>
          </w:p>
          <w:p w14:paraId="2C4C7A6A">
            <w:pPr>
              <w:spacing w:line="360" w:lineRule="auto"/>
              <w:ind w:firstLine="480"/>
              <w:rPr>
                <w:color w:val="auto"/>
                <w:sz w:val="24"/>
              </w:rPr>
            </w:pPr>
            <w:r>
              <w:rPr>
                <w:rFonts w:hint="eastAsia"/>
                <w:color w:val="auto"/>
                <w:sz w:val="24"/>
              </w:rPr>
              <w:t>L</w:t>
            </w:r>
            <w:r>
              <w:rPr>
                <w:rFonts w:hint="eastAsia"/>
                <w:color w:val="auto"/>
                <w:sz w:val="24"/>
                <w:vertAlign w:val="subscript"/>
              </w:rPr>
              <w:t>p2</w:t>
            </w:r>
            <w:r>
              <w:rPr>
                <w:rFonts w:hint="eastAsia"/>
                <w:color w:val="auto"/>
                <w:sz w:val="24"/>
              </w:rPr>
              <w:t>(T)——靠近围护结构处室外声源的声压级，dB；</w:t>
            </w:r>
          </w:p>
          <w:p w14:paraId="6392CA0B">
            <w:pPr>
              <w:spacing w:line="360" w:lineRule="auto"/>
              <w:ind w:firstLine="480"/>
              <w:rPr>
                <w:color w:val="auto"/>
                <w:sz w:val="24"/>
              </w:rPr>
            </w:pPr>
            <w:r>
              <w:rPr>
                <w:rFonts w:hint="eastAsia"/>
                <w:color w:val="auto"/>
                <w:sz w:val="24"/>
              </w:rPr>
              <w:t>S——透声面积，m</w:t>
            </w:r>
            <w:r>
              <w:rPr>
                <w:rFonts w:hint="eastAsia"/>
                <w:color w:val="auto"/>
                <w:sz w:val="24"/>
                <w:vertAlign w:val="superscript"/>
              </w:rPr>
              <w:t>2</w:t>
            </w:r>
            <w:r>
              <w:rPr>
                <w:rFonts w:hint="eastAsia"/>
                <w:color w:val="auto"/>
                <w:sz w:val="24"/>
              </w:rPr>
              <w:t>。</w:t>
            </w:r>
          </w:p>
          <w:p w14:paraId="6591882C">
            <w:pPr>
              <w:spacing w:line="360" w:lineRule="auto"/>
              <w:ind w:firstLine="480"/>
              <w:rPr>
                <w:color w:val="auto"/>
                <w:sz w:val="24"/>
              </w:rPr>
            </w:pPr>
            <w:r>
              <w:rPr>
                <w:rFonts w:hint="eastAsia"/>
                <w:color w:val="auto"/>
                <w:sz w:val="24"/>
              </w:rPr>
              <w:t>然后按室外声源预测方法计算预测点处的A声级。</w:t>
            </w:r>
          </w:p>
          <w:p w14:paraId="6D9B61D2">
            <w:pPr>
              <w:spacing w:line="360" w:lineRule="auto"/>
              <w:ind w:firstLine="482"/>
              <w:rPr>
                <w:b/>
                <w:color w:val="auto"/>
                <w:sz w:val="24"/>
              </w:rPr>
            </w:pPr>
            <w:r>
              <w:rPr>
                <w:b/>
                <w:color w:val="auto"/>
                <w:sz w:val="24"/>
              </w:rPr>
              <w:t>3）</w:t>
            </w:r>
            <w:r>
              <w:rPr>
                <w:rFonts w:hint="eastAsia"/>
                <w:b/>
                <w:color w:val="auto"/>
                <w:sz w:val="24"/>
              </w:rPr>
              <w:t>工业企业噪声计算</w:t>
            </w:r>
          </w:p>
          <w:p w14:paraId="7AE2650E">
            <w:pPr>
              <w:spacing w:line="360" w:lineRule="auto"/>
              <w:ind w:firstLine="480"/>
              <w:rPr>
                <w:bCs/>
                <w:color w:val="auto"/>
                <w:sz w:val="24"/>
              </w:rPr>
            </w:pPr>
            <w:r>
              <w:rPr>
                <w:bCs/>
                <w:color w:val="auto"/>
                <w:sz w:val="24"/>
              </w:rPr>
              <w:t>设第i个室外声源在预测点产生的A声级为L</w:t>
            </w:r>
            <w:r>
              <w:rPr>
                <w:bCs/>
                <w:color w:val="auto"/>
                <w:sz w:val="24"/>
                <w:vertAlign w:val="subscript"/>
              </w:rPr>
              <w:t>Ai</w:t>
            </w:r>
            <w:r>
              <w:rPr>
                <w:bCs/>
                <w:color w:val="auto"/>
                <w:sz w:val="24"/>
              </w:rPr>
              <w:t>，在T时间内该声源工作时间为t</w:t>
            </w:r>
            <w:r>
              <w:rPr>
                <w:bCs/>
                <w:color w:val="auto"/>
                <w:sz w:val="24"/>
                <w:vertAlign w:val="subscript"/>
              </w:rPr>
              <w:t>i</w:t>
            </w:r>
            <w:r>
              <w:rPr>
                <w:bCs/>
                <w:color w:val="auto"/>
                <w:sz w:val="24"/>
              </w:rPr>
              <w:t>；第j个等效室外声源在预测点产生的A声级为L</w:t>
            </w:r>
            <w:r>
              <w:rPr>
                <w:bCs/>
                <w:color w:val="auto"/>
                <w:sz w:val="24"/>
                <w:vertAlign w:val="subscript"/>
              </w:rPr>
              <w:t>Aj</w:t>
            </w:r>
            <w:r>
              <w:rPr>
                <w:bCs/>
                <w:color w:val="auto"/>
                <w:sz w:val="24"/>
              </w:rPr>
              <w:t>，在T时间内该声源工作时间为t</w:t>
            </w:r>
            <w:r>
              <w:rPr>
                <w:bCs/>
                <w:color w:val="auto"/>
                <w:sz w:val="24"/>
                <w:vertAlign w:val="subscript"/>
              </w:rPr>
              <w:t>j</w:t>
            </w:r>
            <w:r>
              <w:rPr>
                <w:bCs/>
                <w:color w:val="auto"/>
                <w:sz w:val="24"/>
              </w:rPr>
              <w:t>，则拟建工程声源对预测点产生的贡献值（L</w:t>
            </w:r>
            <w:r>
              <w:rPr>
                <w:bCs/>
                <w:color w:val="auto"/>
                <w:sz w:val="24"/>
                <w:vertAlign w:val="subscript"/>
              </w:rPr>
              <w:t>eqg</w:t>
            </w:r>
            <w:r>
              <w:rPr>
                <w:bCs/>
                <w:color w:val="auto"/>
                <w:sz w:val="24"/>
              </w:rPr>
              <w:t>）为</w:t>
            </w:r>
            <w:r>
              <w:rPr>
                <w:rFonts w:hint="eastAsia"/>
                <w:bCs/>
                <w:color w:val="auto"/>
                <w:sz w:val="24"/>
              </w:rPr>
              <w:t>：</w:t>
            </w:r>
          </w:p>
          <w:p w14:paraId="598C0AD9">
            <w:pPr>
              <w:spacing w:line="360" w:lineRule="auto"/>
              <w:ind w:firstLine="480"/>
              <w:rPr>
                <w:color w:val="auto"/>
                <w:sz w:val="24"/>
              </w:rPr>
            </w:pPr>
            <w:r>
              <w:rPr>
                <w:color w:val="auto"/>
                <w:sz w:val="24"/>
                <w:lang w:val="zh-CN"/>
              </w:rPr>
              <w:object>
                <v:shape id="_x0000_i1032" o:spt="75" type="#_x0000_t75" style="height:37.5pt;width:200.5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r>
              <w:rPr>
                <w:rFonts w:hint="eastAsia"/>
                <w:color w:val="auto"/>
                <w:sz w:val="24"/>
              </w:rPr>
              <w:t>（B</w:t>
            </w:r>
            <w:r>
              <w:rPr>
                <w:color w:val="auto"/>
                <w:sz w:val="24"/>
              </w:rPr>
              <w:t>.6</w:t>
            </w:r>
            <w:r>
              <w:rPr>
                <w:rFonts w:hint="eastAsia"/>
                <w:color w:val="auto"/>
                <w:sz w:val="24"/>
              </w:rPr>
              <w:t>）</w:t>
            </w:r>
          </w:p>
          <w:p w14:paraId="23C8550E">
            <w:pPr>
              <w:spacing w:line="360" w:lineRule="auto"/>
              <w:ind w:firstLine="480"/>
              <w:rPr>
                <w:color w:val="auto"/>
                <w:sz w:val="24"/>
              </w:rPr>
            </w:pPr>
            <w:r>
              <w:rPr>
                <w:color w:val="auto"/>
                <w:sz w:val="24"/>
              </w:rPr>
              <w:t>式中：</w:t>
            </w:r>
          </w:p>
          <w:p w14:paraId="2B82DFB5">
            <w:pPr>
              <w:spacing w:line="360" w:lineRule="auto"/>
              <w:ind w:firstLine="480"/>
              <w:rPr>
                <w:color w:val="auto"/>
                <w:sz w:val="24"/>
              </w:rPr>
            </w:pPr>
            <w:r>
              <w:rPr>
                <w:rFonts w:hint="eastAsia"/>
                <w:iCs/>
                <w:color w:val="auto"/>
                <w:sz w:val="24"/>
              </w:rPr>
              <w:t>Leqg——建设项目声源在预测点产生的噪声贡献值，</w:t>
            </w:r>
            <w:r>
              <w:rPr>
                <w:rFonts w:hint="eastAsia"/>
                <w:color w:val="auto"/>
                <w:sz w:val="24"/>
              </w:rPr>
              <w:t>dB；</w:t>
            </w:r>
          </w:p>
          <w:p w14:paraId="63FDE314">
            <w:pPr>
              <w:spacing w:line="360" w:lineRule="auto"/>
              <w:ind w:firstLine="480"/>
              <w:rPr>
                <w:color w:val="auto"/>
                <w:sz w:val="24"/>
              </w:rPr>
            </w:pPr>
            <w:r>
              <w:rPr>
                <w:color w:val="auto"/>
                <w:sz w:val="24"/>
              </w:rPr>
              <w:t>T—用于计算等效声级的时间，s；</w:t>
            </w:r>
          </w:p>
          <w:p w14:paraId="1D002650">
            <w:pPr>
              <w:spacing w:line="360" w:lineRule="auto"/>
              <w:ind w:firstLine="480"/>
              <w:rPr>
                <w:color w:val="auto"/>
                <w:sz w:val="24"/>
              </w:rPr>
            </w:pPr>
            <w:r>
              <w:rPr>
                <w:color w:val="auto"/>
                <w:sz w:val="24"/>
              </w:rPr>
              <w:t>N—室外声源个数；</w:t>
            </w:r>
          </w:p>
          <w:p w14:paraId="128DD0B6">
            <w:pPr>
              <w:spacing w:line="360" w:lineRule="auto"/>
              <w:ind w:firstLine="480"/>
              <w:rPr>
                <w:color w:val="auto"/>
                <w:sz w:val="24"/>
              </w:rPr>
            </w:pPr>
            <w:r>
              <w:rPr>
                <w:iCs/>
                <w:color w:val="auto"/>
                <w:sz w:val="24"/>
              </w:rPr>
              <w:t>t</w:t>
            </w:r>
            <w:r>
              <w:rPr>
                <w:iCs/>
                <w:color w:val="auto"/>
                <w:sz w:val="24"/>
                <w:vertAlign w:val="subscript"/>
              </w:rPr>
              <w:t>i</w:t>
            </w:r>
            <w:r>
              <w:rPr>
                <w:color w:val="auto"/>
                <w:sz w:val="24"/>
              </w:rPr>
              <w:t>—在T时间内i声源工作时间，s；</w:t>
            </w:r>
          </w:p>
          <w:p w14:paraId="548F6EC0">
            <w:pPr>
              <w:spacing w:line="360" w:lineRule="auto"/>
              <w:ind w:firstLine="480"/>
              <w:rPr>
                <w:color w:val="auto"/>
                <w:sz w:val="24"/>
              </w:rPr>
            </w:pPr>
            <w:r>
              <w:rPr>
                <w:color w:val="auto"/>
                <w:sz w:val="24"/>
              </w:rPr>
              <w:t>M—等效室外声源个数。</w:t>
            </w:r>
          </w:p>
          <w:p w14:paraId="3DF01521">
            <w:pPr>
              <w:spacing w:line="360" w:lineRule="auto"/>
              <w:ind w:firstLine="480"/>
              <w:rPr>
                <w:color w:val="auto"/>
                <w:sz w:val="24"/>
              </w:rPr>
            </w:pPr>
            <w:r>
              <w:rPr>
                <w:iCs/>
                <w:color w:val="auto"/>
                <w:sz w:val="24"/>
              </w:rPr>
              <w:t>t</w:t>
            </w:r>
            <w:r>
              <w:rPr>
                <w:iCs/>
                <w:color w:val="auto"/>
                <w:sz w:val="24"/>
                <w:vertAlign w:val="subscript"/>
              </w:rPr>
              <w:t>j</w:t>
            </w:r>
            <w:r>
              <w:rPr>
                <w:color w:val="auto"/>
                <w:sz w:val="24"/>
              </w:rPr>
              <w:t>—在T时间内j声源工作时间，s</w:t>
            </w:r>
            <w:r>
              <w:rPr>
                <w:rFonts w:hint="eastAsia"/>
                <w:color w:val="auto"/>
                <w:sz w:val="24"/>
              </w:rPr>
              <w:t>。</w:t>
            </w:r>
          </w:p>
          <w:p w14:paraId="1C72573E">
            <w:pPr>
              <w:spacing w:line="360" w:lineRule="auto"/>
              <w:ind w:firstLine="482"/>
              <w:rPr>
                <w:b/>
                <w:bCs/>
                <w:color w:val="auto"/>
                <w:sz w:val="24"/>
              </w:rPr>
            </w:pPr>
            <w:r>
              <w:rPr>
                <w:rFonts w:hint="eastAsia"/>
                <w:b/>
                <w:bCs/>
                <w:color w:val="auto"/>
                <w:sz w:val="24"/>
              </w:rPr>
              <w:t>4）噪声预测值计算</w:t>
            </w:r>
          </w:p>
          <w:p w14:paraId="06B74D0B">
            <w:pPr>
              <w:spacing w:line="360" w:lineRule="auto"/>
              <w:ind w:firstLine="480"/>
              <w:rPr>
                <w:color w:val="auto"/>
                <w:sz w:val="24"/>
              </w:rPr>
            </w:pPr>
            <w:r>
              <w:rPr>
                <w:rFonts w:hint="eastAsia"/>
                <w:color w:val="auto"/>
                <w:sz w:val="24"/>
              </w:rPr>
              <w:t>预测点的贡献值和背景值按能量叠加方法计算得到的声级。噪声预测值（Leq）计算公式为：</w:t>
            </w:r>
          </w:p>
          <w:p w14:paraId="487CC47A">
            <w:pPr>
              <w:spacing w:line="360" w:lineRule="auto"/>
              <w:ind w:firstLine="480"/>
              <w:rPr>
                <w:color w:val="auto"/>
                <w:sz w:val="24"/>
              </w:rPr>
            </w:pPr>
            <w:r>
              <w:rPr>
                <w:rFonts w:hint="eastAsia"/>
                <w:color w:val="auto"/>
                <w:sz w:val="24"/>
              </w:rPr>
              <w:t>Leq=</w:t>
            </w:r>
            <w:r>
              <w:rPr>
                <w:color w:val="auto"/>
                <w:sz w:val="24"/>
              </w:rPr>
              <w:t>10</w:t>
            </w:r>
            <w:r>
              <w:rPr>
                <w:rFonts w:hint="eastAsia"/>
                <w:color w:val="auto"/>
                <w:sz w:val="24"/>
              </w:rPr>
              <w:t>lg（1</w:t>
            </w:r>
            <w:r>
              <w:rPr>
                <w:color w:val="auto"/>
                <w:sz w:val="24"/>
              </w:rPr>
              <w:t>0</w:t>
            </w:r>
            <w:r>
              <w:rPr>
                <w:color w:val="auto"/>
                <w:sz w:val="24"/>
                <w:vertAlign w:val="superscript"/>
              </w:rPr>
              <w:t>0.1Leq</w:t>
            </w:r>
            <w:r>
              <w:rPr>
                <w:rFonts w:hint="eastAsia"/>
                <w:color w:val="auto"/>
                <w:sz w:val="24"/>
                <w:vertAlign w:val="superscript"/>
              </w:rPr>
              <w:t>g</w:t>
            </w:r>
            <w:r>
              <w:rPr>
                <w:color w:val="auto"/>
                <w:sz w:val="24"/>
              </w:rPr>
              <w:t>+</w:t>
            </w:r>
            <w:r>
              <w:rPr>
                <w:rFonts w:hint="eastAsia"/>
                <w:color w:val="auto"/>
                <w:sz w:val="24"/>
              </w:rPr>
              <w:t>1</w:t>
            </w:r>
            <w:r>
              <w:rPr>
                <w:color w:val="auto"/>
                <w:sz w:val="24"/>
              </w:rPr>
              <w:t>0</w:t>
            </w:r>
            <w:r>
              <w:rPr>
                <w:color w:val="auto"/>
                <w:sz w:val="24"/>
                <w:vertAlign w:val="superscript"/>
              </w:rPr>
              <w:t>0.1Leqb</w:t>
            </w:r>
            <w:r>
              <w:rPr>
                <w:rFonts w:hint="eastAsia"/>
                <w:color w:val="auto"/>
                <w:sz w:val="24"/>
              </w:rPr>
              <w:t>）</w:t>
            </w:r>
          </w:p>
          <w:p w14:paraId="79CD7604">
            <w:pPr>
              <w:spacing w:line="360" w:lineRule="auto"/>
              <w:ind w:firstLine="480"/>
              <w:rPr>
                <w:color w:val="auto"/>
                <w:sz w:val="24"/>
              </w:rPr>
            </w:pPr>
            <w:r>
              <w:rPr>
                <w:rFonts w:hint="eastAsia"/>
                <w:color w:val="auto"/>
                <w:sz w:val="24"/>
              </w:rPr>
              <w:t>式中：Leq—预测点的噪声预测值，d</w:t>
            </w:r>
            <w:r>
              <w:rPr>
                <w:color w:val="auto"/>
                <w:sz w:val="24"/>
              </w:rPr>
              <w:t>B</w:t>
            </w:r>
            <w:r>
              <w:rPr>
                <w:rFonts w:hint="eastAsia"/>
                <w:color w:val="auto"/>
                <w:sz w:val="24"/>
              </w:rPr>
              <w:t>；</w:t>
            </w:r>
          </w:p>
          <w:p w14:paraId="6E614A3B">
            <w:pPr>
              <w:spacing w:line="360" w:lineRule="auto"/>
              <w:ind w:firstLine="480"/>
              <w:rPr>
                <w:color w:val="auto"/>
                <w:sz w:val="24"/>
              </w:rPr>
            </w:pPr>
            <w:r>
              <w:rPr>
                <w:color w:val="auto"/>
                <w:sz w:val="24"/>
              </w:rPr>
              <w:t>Leqg</w:t>
            </w:r>
            <w:r>
              <w:rPr>
                <w:rFonts w:hint="eastAsia"/>
                <w:color w:val="auto"/>
                <w:sz w:val="24"/>
              </w:rPr>
              <w:t>—建设项目声源在预测点的等效声级贡献值，d</w:t>
            </w:r>
            <w:r>
              <w:rPr>
                <w:color w:val="auto"/>
                <w:sz w:val="24"/>
              </w:rPr>
              <w:t>B</w:t>
            </w:r>
            <w:r>
              <w:rPr>
                <w:rFonts w:hint="eastAsia"/>
                <w:color w:val="auto"/>
                <w:sz w:val="24"/>
              </w:rPr>
              <w:t>；</w:t>
            </w:r>
          </w:p>
          <w:p w14:paraId="5C78D96D">
            <w:pPr>
              <w:adjustRightInd w:val="0"/>
              <w:snapToGrid w:val="0"/>
              <w:spacing w:line="360" w:lineRule="auto"/>
              <w:ind w:firstLine="480" w:firstLineChars="200"/>
              <w:rPr>
                <w:color w:val="auto"/>
                <w:sz w:val="24"/>
              </w:rPr>
            </w:pPr>
            <w:r>
              <w:rPr>
                <w:color w:val="auto"/>
                <w:sz w:val="24"/>
              </w:rPr>
              <w:t>Leq</w:t>
            </w:r>
            <w:r>
              <w:rPr>
                <w:rFonts w:hint="eastAsia"/>
                <w:color w:val="auto"/>
                <w:sz w:val="24"/>
              </w:rPr>
              <w:t>b—预测点的背景值，d</w:t>
            </w:r>
            <w:r>
              <w:rPr>
                <w:color w:val="auto"/>
                <w:sz w:val="24"/>
              </w:rPr>
              <w:t>B</w:t>
            </w:r>
            <w:r>
              <w:rPr>
                <w:rFonts w:hint="eastAsia"/>
                <w:color w:val="auto"/>
                <w:sz w:val="24"/>
              </w:rPr>
              <w:t>。</w:t>
            </w:r>
          </w:p>
          <w:p w14:paraId="377558BC">
            <w:pPr>
              <w:spacing w:line="360" w:lineRule="auto"/>
              <w:ind w:firstLine="480" w:firstLineChars="200"/>
              <w:rPr>
                <w:color w:val="auto"/>
                <w:sz w:val="24"/>
              </w:rPr>
            </w:pPr>
            <w:r>
              <w:rPr>
                <w:rFonts w:hint="eastAsia" w:ascii="宋体" w:hAnsi="宋体"/>
                <w:bCs/>
                <w:color w:val="auto"/>
                <w:sz w:val="24"/>
              </w:rPr>
              <w:t>⑤</w:t>
            </w:r>
            <w:r>
              <w:rPr>
                <w:bCs/>
                <w:color w:val="auto"/>
                <w:sz w:val="24"/>
              </w:rPr>
              <w:t>预测结果</w:t>
            </w:r>
          </w:p>
          <w:p w14:paraId="4F995A30">
            <w:pPr>
              <w:adjustRightInd w:val="0"/>
              <w:snapToGrid w:val="0"/>
              <w:spacing w:line="360" w:lineRule="auto"/>
              <w:ind w:firstLine="480" w:firstLineChars="200"/>
              <w:rPr>
                <w:b/>
                <w:bCs/>
                <w:color w:val="auto"/>
                <w:sz w:val="24"/>
              </w:rPr>
            </w:pPr>
            <w:r>
              <w:rPr>
                <w:color w:val="auto"/>
                <w:sz w:val="24"/>
              </w:rPr>
              <w:t>利用</w:t>
            </w:r>
            <w:r>
              <w:rPr>
                <w:rFonts w:hint="eastAsia"/>
                <w:color w:val="auto"/>
                <w:sz w:val="24"/>
              </w:rPr>
              <w:t>上述模式</w:t>
            </w:r>
            <w:r>
              <w:rPr>
                <w:color w:val="auto"/>
                <w:sz w:val="24"/>
              </w:rPr>
              <w:t>计算本项目噪声源同时工作时，预测</w:t>
            </w:r>
            <w:r>
              <w:rPr>
                <w:rFonts w:hint="eastAsia"/>
                <w:color w:val="auto"/>
                <w:sz w:val="24"/>
              </w:rPr>
              <w:t>到</w:t>
            </w:r>
            <w:r>
              <w:rPr>
                <w:color w:val="auto"/>
                <w:sz w:val="24"/>
              </w:rPr>
              <w:t>厂界的噪声</w:t>
            </w:r>
            <w:r>
              <w:rPr>
                <w:rFonts w:hint="eastAsia"/>
                <w:color w:val="auto"/>
                <w:sz w:val="24"/>
              </w:rPr>
              <w:t>贡献值</w:t>
            </w:r>
            <w:r>
              <w:rPr>
                <w:color w:val="auto"/>
                <w:sz w:val="24"/>
              </w:rPr>
              <w:t>，预测</w:t>
            </w:r>
            <w:r>
              <w:rPr>
                <w:rFonts w:hint="eastAsia"/>
                <w:color w:val="auto"/>
                <w:sz w:val="24"/>
              </w:rPr>
              <w:t>本项目运行后厂界的噪声值，预测</w:t>
            </w:r>
            <w:r>
              <w:rPr>
                <w:color w:val="auto"/>
                <w:sz w:val="24"/>
              </w:rPr>
              <w:t>结果见表4-1</w:t>
            </w:r>
            <w:r>
              <w:rPr>
                <w:rFonts w:hint="eastAsia"/>
                <w:color w:val="auto"/>
                <w:sz w:val="24"/>
                <w:lang w:val="en-US" w:eastAsia="zh-CN"/>
              </w:rPr>
              <w:t>7</w:t>
            </w:r>
            <w:r>
              <w:rPr>
                <w:rFonts w:hint="eastAsia"/>
                <w:color w:val="auto"/>
                <w:sz w:val="24"/>
              </w:rPr>
              <w:t>所示</w:t>
            </w:r>
            <w:r>
              <w:rPr>
                <w:color w:val="auto"/>
                <w:sz w:val="24"/>
              </w:rPr>
              <w:t>。</w:t>
            </w:r>
          </w:p>
          <w:p w14:paraId="3E14B93F">
            <w:pPr>
              <w:ind w:firstLine="482" w:firstLineChars="200"/>
              <w:jc w:val="center"/>
              <w:rPr>
                <w:b/>
                <w:color w:val="auto"/>
                <w:szCs w:val="21"/>
              </w:rPr>
            </w:pPr>
            <w:r>
              <w:rPr>
                <w:b/>
                <w:color w:val="auto"/>
                <w:sz w:val="24"/>
              </w:rPr>
              <w:t>表4-1</w:t>
            </w:r>
            <w:r>
              <w:rPr>
                <w:rFonts w:hint="eastAsia"/>
                <w:b/>
                <w:color w:val="auto"/>
                <w:sz w:val="24"/>
                <w:lang w:val="en-US" w:eastAsia="zh-CN"/>
              </w:rPr>
              <w:t>7</w:t>
            </w:r>
            <w:r>
              <w:rPr>
                <w:b/>
                <w:color w:val="auto"/>
                <w:sz w:val="24"/>
              </w:rPr>
              <w:t>本项目厂界噪声预测结果单位：dB（A）</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48"/>
              <w:gridCol w:w="625"/>
              <w:gridCol w:w="632"/>
              <w:gridCol w:w="1651"/>
              <w:gridCol w:w="822"/>
              <w:gridCol w:w="829"/>
              <w:gridCol w:w="1252"/>
              <w:gridCol w:w="628"/>
              <w:gridCol w:w="623"/>
            </w:tblGrid>
            <w:tr w14:paraId="0419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restart"/>
                  <w:vAlign w:val="center"/>
                </w:tcPr>
                <w:p w14:paraId="3E2F95C0">
                  <w:pPr>
                    <w:pStyle w:val="89"/>
                    <w:rPr>
                      <w:b/>
                      <w:bCs/>
                      <w:color w:val="auto"/>
                      <w:szCs w:val="21"/>
                    </w:rPr>
                  </w:pPr>
                  <w:r>
                    <w:rPr>
                      <w:b/>
                      <w:bCs/>
                      <w:color w:val="auto"/>
                      <w:szCs w:val="21"/>
                    </w:rPr>
                    <w:t>序号</w:t>
                  </w:r>
                </w:p>
              </w:tc>
              <w:tc>
                <w:tcPr>
                  <w:tcW w:w="558" w:type="pct"/>
                  <w:vMerge w:val="restart"/>
                  <w:vAlign w:val="center"/>
                </w:tcPr>
                <w:p w14:paraId="4162154E">
                  <w:pPr>
                    <w:pStyle w:val="89"/>
                    <w:rPr>
                      <w:b/>
                      <w:bCs/>
                      <w:color w:val="auto"/>
                      <w:szCs w:val="21"/>
                    </w:rPr>
                  </w:pPr>
                  <w:r>
                    <w:rPr>
                      <w:b/>
                      <w:bCs/>
                      <w:color w:val="auto"/>
                      <w:szCs w:val="21"/>
                    </w:rPr>
                    <w:t>声环境保护目标名称</w:t>
                  </w:r>
                </w:p>
              </w:tc>
              <w:tc>
                <w:tcPr>
                  <w:tcW w:w="740" w:type="pct"/>
                  <w:gridSpan w:val="2"/>
                  <w:vAlign w:val="center"/>
                </w:tcPr>
                <w:p w14:paraId="1F336389">
                  <w:pPr>
                    <w:pStyle w:val="89"/>
                    <w:rPr>
                      <w:b/>
                      <w:bCs/>
                      <w:color w:val="auto"/>
                      <w:szCs w:val="21"/>
                    </w:rPr>
                  </w:pPr>
                  <w:r>
                    <w:rPr>
                      <w:b/>
                      <w:bCs/>
                      <w:color w:val="auto"/>
                      <w:szCs w:val="21"/>
                    </w:rPr>
                    <w:t>噪声标准/dB(A)</w:t>
                  </w:r>
                </w:p>
              </w:tc>
              <w:tc>
                <w:tcPr>
                  <w:tcW w:w="972" w:type="pct"/>
                  <w:vMerge w:val="restart"/>
                  <w:vAlign w:val="center"/>
                </w:tcPr>
                <w:p w14:paraId="5CB42FC5">
                  <w:pPr>
                    <w:pStyle w:val="89"/>
                    <w:rPr>
                      <w:b/>
                      <w:bCs/>
                      <w:color w:val="auto"/>
                      <w:szCs w:val="21"/>
                    </w:rPr>
                  </w:pPr>
                  <w:r>
                    <w:rPr>
                      <w:rFonts w:hint="eastAsia"/>
                      <w:b/>
                      <w:bCs/>
                      <w:color w:val="auto"/>
                      <w:sz w:val="21"/>
                      <w:szCs w:val="21"/>
                    </w:rPr>
                    <w:t>现状值</w:t>
                  </w:r>
                </w:p>
              </w:tc>
              <w:tc>
                <w:tcPr>
                  <w:tcW w:w="972" w:type="pct"/>
                  <w:gridSpan w:val="2"/>
                  <w:vAlign w:val="center"/>
                </w:tcPr>
                <w:p w14:paraId="228DDC3D">
                  <w:pPr>
                    <w:pStyle w:val="89"/>
                    <w:rPr>
                      <w:b/>
                      <w:bCs/>
                      <w:color w:val="auto"/>
                      <w:szCs w:val="21"/>
                    </w:rPr>
                  </w:pPr>
                  <w:r>
                    <w:rPr>
                      <w:b/>
                      <w:bCs/>
                      <w:color w:val="auto"/>
                      <w:szCs w:val="21"/>
                    </w:rPr>
                    <w:t>噪声贡献值/dB(A)</w:t>
                  </w:r>
                </w:p>
              </w:tc>
              <w:tc>
                <w:tcPr>
                  <w:tcW w:w="737" w:type="pct"/>
                  <w:vMerge w:val="restart"/>
                  <w:vAlign w:val="center"/>
                </w:tcPr>
                <w:p w14:paraId="0EA86536">
                  <w:pPr>
                    <w:pStyle w:val="89"/>
                    <w:rPr>
                      <w:b/>
                      <w:bCs/>
                      <w:color w:val="auto"/>
                      <w:szCs w:val="21"/>
                    </w:rPr>
                  </w:pPr>
                  <w:r>
                    <w:rPr>
                      <w:rFonts w:hint="eastAsia"/>
                      <w:b/>
                      <w:bCs/>
                      <w:color w:val="auto"/>
                      <w:sz w:val="21"/>
                      <w:szCs w:val="21"/>
                    </w:rPr>
                    <w:t>叠加后噪声值</w:t>
                  </w:r>
                </w:p>
              </w:tc>
              <w:tc>
                <w:tcPr>
                  <w:tcW w:w="737" w:type="pct"/>
                  <w:gridSpan w:val="2"/>
                  <w:vAlign w:val="center"/>
                </w:tcPr>
                <w:p w14:paraId="5749AC0E">
                  <w:pPr>
                    <w:pStyle w:val="89"/>
                    <w:rPr>
                      <w:b/>
                      <w:bCs/>
                      <w:color w:val="auto"/>
                      <w:szCs w:val="21"/>
                    </w:rPr>
                  </w:pPr>
                  <w:r>
                    <w:rPr>
                      <w:b/>
                      <w:bCs/>
                      <w:color w:val="auto"/>
                      <w:szCs w:val="21"/>
                    </w:rPr>
                    <w:t>超标和达标情况</w:t>
                  </w:r>
                </w:p>
              </w:tc>
            </w:tr>
            <w:tr w14:paraId="05F5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Merge w:val="continue"/>
                  <w:vAlign w:val="center"/>
                </w:tcPr>
                <w:p w14:paraId="2ECB4CA0">
                  <w:pPr>
                    <w:pStyle w:val="89"/>
                    <w:rPr>
                      <w:b/>
                      <w:bCs/>
                      <w:color w:val="auto"/>
                      <w:szCs w:val="21"/>
                    </w:rPr>
                  </w:pPr>
                </w:p>
              </w:tc>
              <w:tc>
                <w:tcPr>
                  <w:tcW w:w="558" w:type="pct"/>
                  <w:vMerge w:val="continue"/>
                  <w:vAlign w:val="center"/>
                </w:tcPr>
                <w:p w14:paraId="1ED18FD9">
                  <w:pPr>
                    <w:pStyle w:val="89"/>
                    <w:rPr>
                      <w:b/>
                      <w:bCs/>
                      <w:color w:val="auto"/>
                      <w:szCs w:val="21"/>
                    </w:rPr>
                  </w:pPr>
                </w:p>
              </w:tc>
              <w:tc>
                <w:tcPr>
                  <w:tcW w:w="368" w:type="pct"/>
                  <w:vAlign w:val="center"/>
                </w:tcPr>
                <w:p w14:paraId="1494625F">
                  <w:pPr>
                    <w:pStyle w:val="89"/>
                    <w:rPr>
                      <w:b/>
                      <w:bCs/>
                      <w:color w:val="auto"/>
                      <w:szCs w:val="21"/>
                    </w:rPr>
                  </w:pPr>
                  <w:r>
                    <w:rPr>
                      <w:b/>
                      <w:bCs/>
                      <w:color w:val="auto"/>
                      <w:szCs w:val="21"/>
                    </w:rPr>
                    <w:t>昼间</w:t>
                  </w:r>
                </w:p>
              </w:tc>
              <w:tc>
                <w:tcPr>
                  <w:tcW w:w="372" w:type="pct"/>
                  <w:vAlign w:val="center"/>
                </w:tcPr>
                <w:p w14:paraId="74301D95">
                  <w:pPr>
                    <w:pStyle w:val="89"/>
                    <w:rPr>
                      <w:b/>
                      <w:bCs/>
                      <w:color w:val="auto"/>
                      <w:szCs w:val="21"/>
                    </w:rPr>
                  </w:pPr>
                  <w:r>
                    <w:rPr>
                      <w:b/>
                      <w:bCs/>
                      <w:color w:val="auto"/>
                      <w:szCs w:val="21"/>
                    </w:rPr>
                    <w:t>夜间</w:t>
                  </w:r>
                </w:p>
              </w:tc>
              <w:tc>
                <w:tcPr>
                  <w:tcW w:w="972" w:type="pct"/>
                  <w:vMerge w:val="continue"/>
                  <w:vAlign w:val="center"/>
                </w:tcPr>
                <w:p w14:paraId="11E9888E">
                  <w:pPr>
                    <w:pStyle w:val="89"/>
                    <w:rPr>
                      <w:b/>
                      <w:bCs/>
                      <w:color w:val="auto"/>
                      <w:szCs w:val="21"/>
                    </w:rPr>
                  </w:pPr>
                </w:p>
              </w:tc>
              <w:tc>
                <w:tcPr>
                  <w:tcW w:w="484" w:type="pct"/>
                  <w:vAlign w:val="center"/>
                </w:tcPr>
                <w:p w14:paraId="29D43AB8">
                  <w:pPr>
                    <w:pStyle w:val="89"/>
                    <w:rPr>
                      <w:b/>
                      <w:bCs/>
                      <w:color w:val="auto"/>
                      <w:szCs w:val="21"/>
                    </w:rPr>
                  </w:pPr>
                  <w:r>
                    <w:rPr>
                      <w:b/>
                      <w:bCs/>
                      <w:color w:val="auto"/>
                      <w:szCs w:val="21"/>
                    </w:rPr>
                    <w:t>昼间</w:t>
                  </w:r>
                </w:p>
              </w:tc>
              <w:tc>
                <w:tcPr>
                  <w:tcW w:w="488" w:type="pct"/>
                  <w:vAlign w:val="center"/>
                </w:tcPr>
                <w:p w14:paraId="482EBC99">
                  <w:pPr>
                    <w:pStyle w:val="89"/>
                    <w:rPr>
                      <w:b/>
                      <w:bCs/>
                      <w:color w:val="auto"/>
                      <w:szCs w:val="21"/>
                    </w:rPr>
                  </w:pPr>
                  <w:r>
                    <w:rPr>
                      <w:b/>
                      <w:bCs/>
                      <w:color w:val="auto"/>
                      <w:szCs w:val="21"/>
                    </w:rPr>
                    <w:t>夜间</w:t>
                  </w:r>
                </w:p>
              </w:tc>
              <w:tc>
                <w:tcPr>
                  <w:tcW w:w="737" w:type="pct"/>
                  <w:vMerge w:val="continue"/>
                  <w:vAlign w:val="center"/>
                </w:tcPr>
                <w:p w14:paraId="30112EF1">
                  <w:pPr>
                    <w:pStyle w:val="89"/>
                    <w:rPr>
                      <w:b/>
                      <w:bCs/>
                      <w:color w:val="auto"/>
                      <w:szCs w:val="21"/>
                    </w:rPr>
                  </w:pPr>
                </w:p>
              </w:tc>
              <w:tc>
                <w:tcPr>
                  <w:tcW w:w="370" w:type="pct"/>
                  <w:vAlign w:val="center"/>
                </w:tcPr>
                <w:p w14:paraId="0AF6D937">
                  <w:pPr>
                    <w:pStyle w:val="89"/>
                    <w:rPr>
                      <w:b/>
                      <w:bCs/>
                      <w:color w:val="auto"/>
                      <w:szCs w:val="21"/>
                    </w:rPr>
                  </w:pPr>
                  <w:r>
                    <w:rPr>
                      <w:b/>
                      <w:bCs/>
                      <w:color w:val="auto"/>
                      <w:szCs w:val="21"/>
                    </w:rPr>
                    <w:t>昼间</w:t>
                  </w:r>
                </w:p>
              </w:tc>
              <w:tc>
                <w:tcPr>
                  <w:tcW w:w="367" w:type="pct"/>
                  <w:vAlign w:val="center"/>
                </w:tcPr>
                <w:p w14:paraId="01D797B7">
                  <w:pPr>
                    <w:pStyle w:val="89"/>
                    <w:rPr>
                      <w:b/>
                      <w:bCs/>
                      <w:color w:val="auto"/>
                      <w:szCs w:val="21"/>
                    </w:rPr>
                  </w:pPr>
                  <w:r>
                    <w:rPr>
                      <w:b/>
                      <w:bCs/>
                      <w:color w:val="auto"/>
                      <w:szCs w:val="21"/>
                    </w:rPr>
                    <w:t>夜间</w:t>
                  </w:r>
                </w:p>
              </w:tc>
            </w:tr>
            <w:tr w14:paraId="492A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AA3701C">
                  <w:pPr>
                    <w:pStyle w:val="89"/>
                    <w:rPr>
                      <w:color w:val="auto"/>
                      <w:szCs w:val="21"/>
                    </w:rPr>
                  </w:pPr>
                  <w:r>
                    <w:rPr>
                      <w:color w:val="auto"/>
                      <w:szCs w:val="21"/>
                    </w:rPr>
                    <w:t>1</w:t>
                  </w:r>
                </w:p>
              </w:tc>
              <w:tc>
                <w:tcPr>
                  <w:tcW w:w="558" w:type="pct"/>
                  <w:vAlign w:val="center"/>
                </w:tcPr>
                <w:p w14:paraId="5FA50C53">
                  <w:pPr>
                    <w:pStyle w:val="89"/>
                    <w:rPr>
                      <w:color w:val="auto"/>
                      <w:szCs w:val="21"/>
                    </w:rPr>
                  </w:pPr>
                  <w:r>
                    <w:rPr>
                      <w:color w:val="auto"/>
                      <w:szCs w:val="21"/>
                    </w:rPr>
                    <w:t>厂区东边界外1m</w:t>
                  </w:r>
                </w:p>
              </w:tc>
              <w:tc>
                <w:tcPr>
                  <w:tcW w:w="368" w:type="pct"/>
                  <w:vAlign w:val="center"/>
                </w:tcPr>
                <w:p w14:paraId="4073B61A">
                  <w:pPr>
                    <w:pStyle w:val="89"/>
                    <w:rPr>
                      <w:color w:val="auto"/>
                      <w:szCs w:val="21"/>
                    </w:rPr>
                  </w:pPr>
                  <w:r>
                    <w:rPr>
                      <w:rFonts w:hint="eastAsia"/>
                      <w:color w:val="auto"/>
                      <w:szCs w:val="21"/>
                    </w:rPr>
                    <w:t>65</w:t>
                  </w:r>
                </w:p>
              </w:tc>
              <w:tc>
                <w:tcPr>
                  <w:tcW w:w="372" w:type="pct"/>
                  <w:vAlign w:val="center"/>
                </w:tcPr>
                <w:p w14:paraId="651FB16D">
                  <w:pPr>
                    <w:pStyle w:val="89"/>
                    <w:rPr>
                      <w:color w:val="auto"/>
                      <w:szCs w:val="21"/>
                    </w:rPr>
                  </w:pPr>
                  <w:r>
                    <w:rPr>
                      <w:rFonts w:hint="eastAsia"/>
                      <w:color w:val="auto"/>
                      <w:szCs w:val="21"/>
                    </w:rPr>
                    <w:t>55</w:t>
                  </w:r>
                </w:p>
              </w:tc>
              <w:tc>
                <w:tcPr>
                  <w:tcW w:w="972" w:type="pct"/>
                  <w:vAlign w:val="center"/>
                </w:tcPr>
                <w:p w14:paraId="7D9262C6">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37.69</w:t>
                  </w:r>
                </w:p>
              </w:tc>
              <w:tc>
                <w:tcPr>
                  <w:tcW w:w="484" w:type="pct"/>
                  <w:vAlign w:val="center"/>
                </w:tcPr>
                <w:p w14:paraId="33B08190">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49.22</w:t>
                  </w:r>
                </w:p>
              </w:tc>
              <w:tc>
                <w:tcPr>
                  <w:tcW w:w="488" w:type="pct"/>
                  <w:vAlign w:val="center"/>
                </w:tcPr>
                <w:p w14:paraId="313A0A45">
                  <w:pPr>
                    <w:adjustRightInd w:val="0"/>
                    <w:snapToGrid w:val="0"/>
                    <w:jc w:val="center"/>
                    <w:rPr>
                      <w:color w:val="auto"/>
                      <w:szCs w:val="21"/>
                    </w:rPr>
                  </w:pPr>
                  <w:r>
                    <w:rPr>
                      <w:rFonts w:hint="eastAsia"/>
                      <w:color w:val="auto"/>
                      <w:szCs w:val="21"/>
                    </w:rPr>
                    <w:t>/</w:t>
                  </w:r>
                </w:p>
              </w:tc>
              <w:tc>
                <w:tcPr>
                  <w:tcW w:w="737" w:type="pct"/>
                  <w:vAlign w:val="center"/>
                </w:tcPr>
                <w:p w14:paraId="7DB9A6AA">
                  <w:pPr>
                    <w:adjustRightInd w:val="0"/>
                    <w:snapToGrid w:val="0"/>
                    <w:jc w:val="center"/>
                    <w:rPr>
                      <w:rFonts w:hint="default" w:eastAsia="宋体"/>
                      <w:color w:val="auto"/>
                      <w:szCs w:val="21"/>
                      <w:lang w:val="en-US" w:eastAsia="zh-CN"/>
                    </w:rPr>
                  </w:pPr>
                  <w:r>
                    <w:rPr>
                      <w:rFonts w:hint="eastAsia"/>
                      <w:color w:val="auto"/>
                      <w:szCs w:val="21"/>
                      <w:lang w:val="en-US" w:eastAsia="zh-CN"/>
                    </w:rPr>
                    <w:t>49.52</w:t>
                  </w:r>
                </w:p>
              </w:tc>
              <w:tc>
                <w:tcPr>
                  <w:tcW w:w="370" w:type="pct"/>
                  <w:vAlign w:val="center"/>
                </w:tcPr>
                <w:p w14:paraId="57F5BA68">
                  <w:pPr>
                    <w:pStyle w:val="89"/>
                    <w:rPr>
                      <w:color w:val="auto"/>
                      <w:szCs w:val="21"/>
                    </w:rPr>
                  </w:pPr>
                  <w:r>
                    <w:rPr>
                      <w:color w:val="auto"/>
                      <w:szCs w:val="21"/>
                    </w:rPr>
                    <w:t>达标</w:t>
                  </w:r>
                </w:p>
              </w:tc>
              <w:tc>
                <w:tcPr>
                  <w:tcW w:w="367" w:type="pct"/>
                  <w:vAlign w:val="center"/>
                </w:tcPr>
                <w:p w14:paraId="5D30ECC4">
                  <w:pPr>
                    <w:pStyle w:val="89"/>
                    <w:rPr>
                      <w:color w:val="auto"/>
                      <w:szCs w:val="21"/>
                    </w:rPr>
                  </w:pPr>
                  <w:r>
                    <w:rPr>
                      <w:color w:val="auto"/>
                      <w:szCs w:val="21"/>
                    </w:rPr>
                    <w:t>达标</w:t>
                  </w:r>
                </w:p>
              </w:tc>
            </w:tr>
            <w:tr w14:paraId="5D29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A8FCD6A">
                  <w:pPr>
                    <w:pStyle w:val="89"/>
                    <w:rPr>
                      <w:color w:val="auto"/>
                      <w:szCs w:val="21"/>
                    </w:rPr>
                  </w:pPr>
                  <w:r>
                    <w:rPr>
                      <w:color w:val="auto"/>
                      <w:szCs w:val="21"/>
                    </w:rPr>
                    <w:t>2</w:t>
                  </w:r>
                </w:p>
              </w:tc>
              <w:tc>
                <w:tcPr>
                  <w:tcW w:w="558" w:type="pct"/>
                  <w:vAlign w:val="center"/>
                </w:tcPr>
                <w:p w14:paraId="048C7302">
                  <w:pPr>
                    <w:pStyle w:val="89"/>
                    <w:rPr>
                      <w:color w:val="auto"/>
                      <w:szCs w:val="21"/>
                    </w:rPr>
                  </w:pPr>
                  <w:r>
                    <w:rPr>
                      <w:color w:val="auto"/>
                      <w:szCs w:val="21"/>
                    </w:rPr>
                    <w:t>厂区南边界外1m</w:t>
                  </w:r>
                </w:p>
              </w:tc>
              <w:tc>
                <w:tcPr>
                  <w:tcW w:w="368" w:type="pct"/>
                  <w:vAlign w:val="center"/>
                </w:tcPr>
                <w:p w14:paraId="78656141">
                  <w:pPr>
                    <w:pStyle w:val="89"/>
                    <w:rPr>
                      <w:color w:val="auto"/>
                      <w:szCs w:val="21"/>
                    </w:rPr>
                  </w:pPr>
                  <w:r>
                    <w:rPr>
                      <w:rFonts w:hint="eastAsia"/>
                      <w:color w:val="auto"/>
                      <w:szCs w:val="21"/>
                    </w:rPr>
                    <w:t>65</w:t>
                  </w:r>
                </w:p>
              </w:tc>
              <w:tc>
                <w:tcPr>
                  <w:tcW w:w="372" w:type="pct"/>
                  <w:vAlign w:val="center"/>
                </w:tcPr>
                <w:p w14:paraId="743E1DE8">
                  <w:pPr>
                    <w:pStyle w:val="89"/>
                    <w:rPr>
                      <w:color w:val="auto"/>
                      <w:szCs w:val="21"/>
                    </w:rPr>
                  </w:pPr>
                  <w:r>
                    <w:rPr>
                      <w:rFonts w:hint="eastAsia"/>
                      <w:color w:val="auto"/>
                      <w:szCs w:val="21"/>
                    </w:rPr>
                    <w:t>55</w:t>
                  </w:r>
                </w:p>
              </w:tc>
              <w:tc>
                <w:tcPr>
                  <w:tcW w:w="972" w:type="pct"/>
                  <w:vAlign w:val="center"/>
                </w:tcPr>
                <w:p w14:paraId="4F99BC9A">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39.06</w:t>
                  </w:r>
                </w:p>
              </w:tc>
              <w:tc>
                <w:tcPr>
                  <w:tcW w:w="484" w:type="pct"/>
                  <w:vAlign w:val="center"/>
                </w:tcPr>
                <w:p w14:paraId="591A7E09">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52.57</w:t>
                  </w:r>
                </w:p>
              </w:tc>
              <w:tc>
                <w:tcPr>
                  <w:tcW w:w="488" w:type="pct"/>
                  <w:vAlign w:val="center"/>
                </w:tcPr>
                <w:p w14:paraId="0AD5B95B">
                  <w:pPr>
                    <w:adjustRightInd w:val="0"/>
                    <w:snapToGrid w:val="0"/>
                    <w:jc w:val="center"/>
                    <w:rPr>
                      <w:color w:val="auto"/>
                      <w:szCs w:val="21"/>
                    </w:rPr>
                  </w:pPr>
                  <w:r>
                    <w:rPr>
                      <w:rFonts w:hint="eastAsia"/>
                      <w:color w:val="auto"/>
                      <w:szCs w:val="21"/>
                    </w:rPr>
                    <w:t>/</w:t>
                  </w:r>
                </w:p>
              </w:tc>
              <w:tc>
                <w:tcPr>
                  <w:tcW w:w="737" w:type="pct"/>
                  <w:vAlign w:val="center"/>
                </w:tcPr>
                <w:p w14:paraId="61AB1928">
                  <w:pPr>
                    <w:adjustRightInd w:val="0"/>
                    <w:snapToGrid w:val="0"/>
                    <w:jc w:val="center"/>
                    <w:rPr>
                      <w:rFonts w:hint="default" w:eastAsia="宋体"/>
                      <w:color w:val="auto"/>
                      <w:szCs w:val="21"/>
                      <w:lang w:val="en-US" w:eastAsia="zh-CN"/>
                    </w:rPr>
                  </w:pPr>
                  <w:r>
                    <w:rPr>
                      <w:rFonts w:hint="eastAsia"/>
                      <w:color w:val="auto"/>
                      <w:szCs w:val="21"/>
                      <w:lang w:val="en-US" w:eastAsia="zh-CN"/>
                    </w:rPr>
                    <w:t>52.76</w:t>
                  </w:r>
                </w:p>
              </w:tc>
              <w:tc>
                <w:tcPr>
                  <w:tcW w:w="370" w:type="pct"/>
                  <w:vAlign w:val="center"/>
                </w:tcPr>
                <w:p w14:paraId="4E411819">
                  <w:pPr>
                    <w:pStyle w:val="89"/>
                    <w:rPr>
                      <w:color w:val="auto"/>
                      <w:szCs w:val="21"/>
                    </w:rPr>
                  </w:pPr>
                  <w:r>
                    <w:rPr>
                      <w:color w:val="auto"/>
                      <w:szCs w:val="21"/>
                    </w:rPr>
                    <w:t>达标</w:t>
                  </w:r>
                </w:p>
              </w:tc>
              <w:tc>
                <w:tcPr>
                  <w:tcW w:w="367" w:type="pct"/>
                  <w:vAlign w:val="center"/>
                </w:tcPr>
                <w:p w14:paraId="6B7C47F4">
                  <w:pPr>
                    <w:pStyle w:val="89"/>
                    <w:rPr>
                      <w:color w:val="auto"/>
                      <w:szCs w:val="21"/>
                    </w:rPr>
                  </w:pPr>
                  <w:r>
                    <w:rPr>
                      <w:color w:val="auto"/>
                      <w:szCs w:val="21"/>
                    </w:rPr>
                    <w:t>达标</w:t>
                  </w:r>
                </w:p>
              </w:tc>
            </w:tr>
            <w:tr w14:paraId="3051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6980301">
                  <w:pPr>
                    <w:pStyle w:val="89"/>
                    <w:rPr>
                      <w:color w:val="auto"/>
                      <w:szCs w:val="21"/>
                    </w:rPr>
                  </w:pPr>
                  <w:r>
                    <w:rPr>
                      <w:color w:val="auto"/>
                      <w:szCs w:val="21"/>
                    </w:rPr>
                    <w:t>3</w:t>
                  </w:r>
                </w:p>
              </w:tc>
              <w:tc>
                <w:tcPr>
                  <w:tcW w:w="558" w:type="pct"/>
                  <w:vAlign w:val="center"/>
                </w:tcPr>
                <w:p w14:paraId="4B96F657">
                  <w:pPr>
                    <w:pStyle w:val="89"/>
                    <w:rPr>
                      <w:color w:val="auto"/>
                      <w:szCs w:val="21"/>
                    </w:rPr>
                  </w:pPr>
                  <w:r>
                    <w:rPr>
                      <w:color w:val="auto"/>
                      <w:szCs w:val="21"/>
                    </w:rPr>
                    <w:t>厂区西边界外1m</w:t>
                  </w:r>
                </w:p>
              </w:tc>
              <w:tc>
                <w:tcPr>
                  <w:tcW w:w="368" w:type="pct"/>
                  <w:vAlign w:val="center"/>
                </w:tcPr>
                <w:p w14:paraId="3C693B14">
                  <w:pPr>
                    <w:pStyle w:val="89"/>
                    <w:rPr>
                      <w:color w:val="auto"/>
                      <w:szCs w:val="21"/>
                    </w:rPr>
                  </w:pPr>
                  <w:r>
                    <w:rPr>
                      <w:rFonts w:hint="eastAsia"/>
                      <w:color w:val="auto"/>
                      <w:szCs w:val="21"/>
                    </w:rPr>
                    <w:t>65</w:t>
                  </w:r>
                </w:p>
              </w:tc>
              <w:tc>
                <w:tcPr>
                  <w:tcW w:w="372" w:type="pct"/>
                  <w:vAlign w:val="center"/>
                </w:tcPr>
                <w:p w14:paraId="45C8F83A">
                  <w:pPr>
                    <w:pStyle w:val="89"/>
                    <w:rPr>
                      <w:color w:val="auto"/>
                      <w:szCs w:val="21"/>
                    </w:rPr>
                  </w:pPr>
                  <w:r>
                    <w:rPr>
                      <w:rFonts w:hint="eastAsia"/>
                      <w:color w:val="auto"/>
                      <w:szCs w:val="21"/>
                    </w:rPr>
                    <w:t>55</w:t>
                  </w:r>
                </w:p>
              </w:tc>
              <w:tc>
                <w:tcPr>
                  <w:tcW w:w="972" w:type="pct"/>
                  <w:vAlign w:val="center"/>
                </w:tcPr>
                <w:p w14:paraId="45C65C0B">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35.94</w:t>
                  </w:r>
                </w:p>
              </w:tc>
              <w:tc>
                <w:tcPr>
                  <w:tcW w:w="484" w:type="pct"/>
                  <w:vAlign w:val="center"/>
                </w:tcPr>
                <w:p w14:paraId="26640004">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44.71</w:t>
                  </w:r>
                </w:p>
              </w:tc>
              <w:tc>
                <w:tcPr>
                  <w:tcW w:w="488" w:type="pct"/>
                  <w:vAlign w:val="center"/>
                </w:tcPr>
                <w:p w14:paraId="4CD4E788">
                  <w:pPr>
                    <w:adjustRightInd w:val="0"/>
                    <w:snapToGrid w:val="0"/>
                    <w:jc w:val="center"/>
                    <w:rPr>
                      <w:color w:val="auto"/>
                      <w:szCs w:val="21"/>
                    </w:rPr>
                  </w:pPr>
                  <w:r>
                    <w:rPr>
                      <w:rFonts w:hint="eastAsia"/>
                      <w:color w:val="auto"/>
                      <w:szCs w:val="21"/>
                    </w:rPr>
                    <w:t>/</w:t>
                  </w:r>
                </w:p>
              </w:tc>
              <w:tc>
                <w:tcPr>
                  <w:tcW w:w="737" w:type="pct"/>
                  <w:vAlign w:val="center"/>
                </w:tcPr>
                <w:p w14:paraId="0C02B7AB">
                  <w:pPr>
                    <w:adjustRightInd w:val="0"/>
                    <w:snapToGrid w:val="0"/>
                    <w:jc w:val="center"/>
                    <w:rPr>
                      <w:rFonts w:hint="default" w:eastAsia="宋体"/>
                      <w:color w:val="auto"/>
                      <w:szCs w:val="21"/>
                      <w:lang w:val="en-US" w:eastAsia="zh-CN"/>
                    </w:rPr>
                  </w:pPr>
                  <w:r>
                    <w:rPr>
                      <w:rFonts w:hint="eastAsia"/>
                      <w:color w:val="auto"/>
                      <w:szCs w:val="21"/>
                      <w:lang w:val="en-US" w:eastAsia="zh-CN"/>
                    </w:rPr>
                    <w:t>45.25</w:t>
                  </w:r>
                </w:p>
              </w:tc>
              <w:tc>
                <w:tcPr>
                  <w:tcW w:w="370" w:type="pct"/>
                  <w:vAlign w:val="center"/>
                </w:tcPr>
                <w:p w14:paraId="5B3769AD">
                  <w:pPr>
                    <w:pStyle w:val="89"/>
                    <w:rPr>
                      <w:color w:val="auto"/>
                      <w:szCs w:val="21"/>
                    </w:rPr>
                  </w:pPr>
                  <w:r>
                    <w:rPr>
                      <w:color w:val="auto"/>
                      <w:szCs w:val="21"/>
                    </w:rPr>
                    <w:t>达标</w:t>
                  </w:r>
                </w:p>
              </w:tc>
              <w:tc>
                <w:tcPr>
                  <w:tcW w:w="367" w:type="pct"/>
                  <w:vAlign w:val="center"/>
                </w:tcPr>
                <w:p w14:paraId="3A0803DC">
                  <w:pPr>
                    <w:pStyle w:val="89"/>
                    <w:rPr>
                      <w:color w:val="auto"/>
                      <w:szCs w:val="21"/>
                    </w:rPr>
                  </w:pPr>
                  <w:r>
                    <w:rPr>
                      <w:color w:val="auto"/>
                      <w:szCs w:val="21"/>
                    </w:rPr>
                    <w:t>达标</w:t>
                  </w:r>
                </w:p>
              </w:tc>
            </w:tr>
            <w:tr w14:paraId="72EE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86C7461">
                  <w:pPr>
                    <w:pStyle w:val="89"/>
                    <w:rPr>
                      <w:color w:val="auto"/>
                      <w:szCs w:val="21"/>
                    </w:rPr>
                  </w:pPr>
                  <w:r>
                    <w:rPr>
                      <w:color w:val="auto"/>
                      <w:szCs w:val="21"/>
                    </w:rPr>
                    <w:t>4</w:t>
                  </w:r>
                </w:p>
              </w:tc>
              <w:tc>
                <w:tcPr>
                  <w:tcW w:w="558" w:type="pct"/>
                  <w:vAlign w:val="center"/>
                </w:tcPr>
                <w:p w14:paraId="6371AD40">
                  <w:pPr>
                    <w:pStyle w:val="89"/>
                    <w:rPr>
                      <w:color w:val="auto"/>
                      <w:szCs w:val="21"/>
                    </w:rPr>
                  </w:pPr>
                  <w:r>
                    <w:rPr>
                      <w:color w:val="auto"/>
                      <w:szCs w:val="21"/>
                    </w:rPr>
                    <w:t>厂区北边界外1m</w:t>
                  </w:r>
                </w:p>
              </w:tc>
              <w:tc>
                <w:tcPr>
                  <w:tcW w:w="368" w:type="pct"/>
                  <w:vAlign w:val="center"/>
                </w:tcPr>
                <w:p w14:paraId="0C4CA183">
                  <w:pPr>
                    <w:pStyle w:val="89"/>
                    <w:rPr>
                      <w:color w:val="auto"/>
                      <w:szCs w:val="21"/>
                    </w:rPr>
                  </w:pPr>
                  <w:r>
                    <w:rPr>
                      <w:rFonts w:hint="eastAsia"/>
                      <w:color w:val="auto"/>
                      <w:szCs w:val="21"/>
                    </w:rPr>
                    <w:t>65</w:t>
                  </w:r>
                </w:p>
              </w:tc>
              <w:tc>
                <w:tcPr>
                  <w:tcW w:w="372" w:type="pct"/>
                  <w:vAlign w:val="center"/>
                </w:tcPr>
                <w:p w14:paraId="09E81B43">
                  <w:pPr>
                    <w:pStyle w:val="89"/>
                    <w:rPr>
                      <w:color w:val="auto"/>
                      <w:szCs w:val="21"/>
                    </w:rPr>
                  </w:pPr>
                  <w:r>
                    <w:rPr>
                      <w:rFonts w:hint="eastAsia"/>
                      <w:color w:val="auto"/>
                      <w:szCs w:val="21"/>
                    </w:rPr>
                    <w:t>55</w:t>
                  </w:r>
                </w:p>
              </w:tc>
              <w:tc>
                <w:tcPr>
                  <w:tcW w:w="972" w:type="pct"/>
                  <w:vAlign w:val="center"/>
                </w:tcPr>
                <w:p w14:paraId="41808B9E">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38.66</w:t>
                  </w:r>
                </w:p>
              </w:tc>
              <w:tc>
                <w:tcPr>
                  <w:tcW w:w="484" w:type="pct"/>
                  <w:vAlign w:val="center"/>
                </w:tcPr>
                <w:p w14:paraId="15E75554">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41.97</w:t>
                  </w:r>
                </w:p>
              </w:tc>
              <w:tc>
                <w:tcPr>
                  <w:tcW w:w="488" w:type="pct"/>
                  <w:vAlign w:val="center"/>
                </w:tcPr>
                <w:p w14:paraId="42C452D3">
                  <w:pPr>
                    <w:adjustRightInd w:val="0"/>
                    <w:snapToGrid w:val="0"/>
                    <w:jc w:val="center"/>
                    <w:rPr>
                      <w:color w:val="auto"/>
                      <w:szCs w:val="21"/>
                    </w:rPr>
                  </w:pPr>
                  <w:r>
                    <w:rPr>
                      <w:rFonts w:hint="eastAsia"/>
                      <w:color w:val="auto"/>
                      <w:szCs w:val="21"/>
                    </w:rPr>
                    <w:t>/</w:t>
                  </w:r>
                </w:p>
              </w:tc>
              <w:tc>
                <w:tcPr>
                  <w:tcW w:w="737" w:type="pct"/>
                  <w:vAlign w:val="center"/>
                </w:tcPr>
                <w:p w14:paraId="13438450">
                  <w:pPr>
                    <w:adjustRightInd w:val="0"/>
                    <w:snapToGrid w:val="0"/>
                    <w:jc w:val="center"/>
                    <w:rPr>
                      <w:rFonts w:hint="default" w:eastAsia="宋体"/>
                      <w:color w:val="auto"/>
                      <w:szCs w:val="21"/>
                      <w:lang w:val="en-US" w:eastAsia="zh-CN"/>
                    </w:rPr>
                  </w:pPr>
                  <w:r>
                    <w:rPr>
                      <w:rFonts w:hint="eastAsia"/>
                      <w:color w:val="auto"/>
                      <w:szCs w:val="21"/>
                      <w:lang w:val="en-US" w:eastAsia="zh-CN"/>
                    </w:rPr>
                    <w:t>43.63</w:t>
                  </w:r>
                </w:p>
              </w:tc>
              <w:tc>
                <w:tcPr>
                  <w:tcW w:w="370" w:type="pct"/>
                  <w:vAlign w:val="center"/>
                </w:tcPr>
                <w:p w14:paraId="2453C273">
                  <w:pPr>
                    <w:pStyle w:val="89"/>
                    <w:rPr>
                      <w:color w:val="auto"/>
                      <w:szCs w:val="21"/>
                    </w:rPr>
                  </w:pPr>
                  <w:r>
                    <w:rPr>
                      <w:color w:val="auto"/>
                      <w:szCs w:val="21"/>
                    </w:rPr>
                    <w:t>达标</w:t>
                  </w:r>
                </w:p>
              </w:tc>
              <w:tc>
                <w:tcPr>
                  <w:tcW w:w="367" w:type="pct"/>
                  <w:vAlign w:val="center"/>
                </w:tcPr>
                <w:p w14:paraId="47244C6A">
                  <w:pPr>
                    <w:pStyle w:val="89"/>
                    <w:rPr>
                      <w:color w:val="auto"/>
                      <w:szCs w:val="21"/>
                    </w:rPr>
                  </w:pPr>
                  <w:r>
                    <w:rPr>
                      <w:color w:val="auto"/>
                      <w:szCs w:val="21"/>
                    </w:rPr>
                    <w:t>达标</w:t>
                  </w:r>
                </w:p>
              </w:tc>
            </w:tr>
          </w:tbl>
          <w:p w14:paraId="15205F57">
            <w:pPr>
              <w:adjustRightInd w:val="0"/>
              <w:snapToGrid w:val="0"/>
              <w:spacing w:line="240" w:lineRule="auto"/>
              <w:ind w:firstLine="420" w:firstLineChars="200"/>
              <w:rPr>
                <w:rFonts w:hint="eastAsia"/>
                <w:color w:val="auto"/>
                <w:szCs w:val="21"/>
                <w:lang w:eastAsia="zh-CN"/>
              </w:rPr>
            </w:pPr>
            <w:r>
              <w:rPr>
                <w:rFonts w:hint="eastAsia"/>
                <w:color w:val="auto"/>
                <w:szCs w:val="21"/>
              </w:rPr>
              <w:t>注：</w:t>
            </w:r>
            <w:r>
              <w:rPr>
                <w:rFonts w:hint="eastAsia"/>
                <w:color w:val="auto"/>
                <w:szCs w:val="21"/>
                <w:lang w:val="en-US" w:eastAsia="zh-CN"/>
              </w:rPr>
              <w:t>1、</w:t>
            </w:r>
            <w:r>
              <w:rPr>
                <w:rFonts w:hint="eastAsia"/>
                <w:color w:val="auto"/>
                <w:szCs w:val="21"/>
              </w:rPr>
              <w:t>项目每天生产8小时，每天一班，夜间不生产</w:t>
            </w:r>
            <w:r>
              <w:rPr>
                <w:rFonts w:hint="eastAsia"/>
                <w:color w:val="auto"/>
                <w:szCs w:val="21"/>
                <w:lang w:eastAsia="zh-CN"/>
              </w:rPr>
              <w:t>。</w:t>
            </w:r>
          </w:p>
          <w:p w14:paraId="0E7C5047">
            <w:pPr>
              <w:adjustRightInd w:val="0"/>
              <w:snapToGrid w:val="0"/>
              <w:spacing w:line="240" w:lineRule="auto"/>
              <w:ind w:firstLine="420" w:firstLineChars="200"/>
              <w:rPr>
                <w:rFonts w:hint="default"/>
                <w:color w:val="auto"/>
                <w:szCs w:val="21"/>
                <w:lang w:val="en-US" w:eastAsia="zh-CN"/>
              </w:rPr>
            </w:pPr>
            <w:r>
              <w:rPr>
                <w:rFonts w:hint="eastAsia"/>
                <w:color w:val="auto"/>
                <w:szCs w:val="21"/>
                <w:lang w:val="en-US" w:eastAsia="zh-CN"/>
              </w:rPr>
              <w:t>2、现状值来源于《江西劲诚永磁新材料有限公司高效节能电机用磁材基地项目环境影响报告书》</w:t>
            </w:r>
          </w:p>
          <w:p w14:paraId="79FFD48E">
            <w:pPr>
              <w:adjustRightInd w:val="0"/>
              <w:snapToGrid w:val="0"/>
              <w:spacing w:line="360" w:lineRule="auto"/>
              <w:ind w:firstLine="480" w:firstLineChars="200"/>
              <w:rPr>
                <w:bCs/>
                <w:color w:val="auto"/>
                <w:spacing w:val="-10"/>
                <w:sz w:val="24"/>
              </w:rPr>
            </w:pPr>
            <w:r>
              <w:rPr>
                <w:color w:val="auto"/>
                <w:sz w:val="24"/>
              </w:rPr>
              <w:t>经上表预测可知，项目各厂界噪声经隔声降噪措施后项目噪声值贡献值不大，厂界声环境质量良好，预计项目运营后各厂界噪声均能满足《工业企业厂界环境噪声排放标准》（GB12348-2008）中的3类标准。同时，经现场勘查，</w:t>
            </w:r>
            <w:r>
              <w:rPr>
                <w:rFonts w:hint="eastAsia"/>
                <w:color w:val="auto"/>
                <w:sz w:val="24"/>
              </w:rPr>
              <w:t>本项目厂界外50m范围内无声环境保护目标</w:t>
            </w:r>
            <w:r>
              <w:rPr>
                <w:color w:val="auto"/>
                <w:sz w:val="24"/>
              </w:rPr>
              <w:t>，</w:t>
            </w:r>
            <w:r>
              <w:rPr>
                <w:rFonts w:hint="eastAsia"/>
                <w:color w:val="auto"/>
                <w:sz w:val="24"/>
              </w:rPr>
              <w:t>因此本项目不会对区域声环境质量造成明显的不利影响。</w:t>
            </w:r>
          </w:p>
          <w:p w14:paraId="37D32E37">
            <w:pPr>
              <w:spacing w:line="360" w:lineRule="auto"/>
              <w:ind w:firstLine="482" w:firstLineChars="200"/>
              <w:jc w:val="left"/>
              <w:rPr>
                <w:b/>
                <w:bCs/>
                <w:color w:val="auto"/>
                <w:sz w:val="24"/>
              </w:rPr>
            </w:pPr>
            <w:r>
              <w:rPr>
                <w:rFonts w:hint="eastAsia"/>
                <w:b/>
                <w:bCs/>
                <w:color w:val="auto"/>
                <w:sz w:val="24"/>
              </w:rPr>
              <w:t>（3）环境监测</w:t>
            </w:r>
          </w:p>
          <w:p w14:paraId="46CBB344">
            <w:pPr>
              <w:adjustRightInd w:val="0"/>
              <w:snapToGrid w:val="0"/>
              <w:spacing w:line="360" w:lineRule="auto"/>
              <w:ind w:firstLine="480" w:firstLineChars="200"/>
              <w:rPr>
                <w:color w:val="auto"/>
                <w:sz w:val="24"/>
              </w:rPr>
            </w:pPr>
            <w:r>
              <w:rPr>
                <w:rFonts w:hint="eastAsia"/>
                <w:color w:val="auto"/>
                <w:sz w:val="24"/>
              </w:rPr>
              <w:t>根据《排污单位自行监测技术指南总则》（HJ819-2017）及</w:t>
            </w:r>
            <w:r>
              <w:rPr>
                <w:rFonts w:hint="eastAsia" w:cs="宋体"/>
                <w:color w:val="auto"/>
                <w:sz w:val="24"/>
              </w:rPr>
              <w:t>《排污单位自行监测技术指南电子工业》（HJ1253-2022）</w:t>
            </w:r>
            <w:r>
              <w:rPr>
                <w:rFonts w:hint="eastAsia"/>
                <w:color w:val="auto"/>
                <w:sz w:val="24"/>
              </w:rPr>
              <w:t>，项目环境噪声监测要求见表4-1</w:t>
            </w:r>
            <w:r>
              <w:rPr>
                <w:rFonts w:hint="eastAsia"/>
                <w:color w:val="auto"/>
                <w:sz w:val="24"/>
                <w:lang w:val="en-US" w:eastAsia="zh-CN"/>
              </w:rPr>
              <w:t>8</w:t>
            </w:r>
            <w:r>
              <w:rPr>
                <w:rFonts w:hint="eastAsia"/>
                <w:color w:val="auto"/>
                <w:sz w:val="24"/>
              </w:rPr>
              <w:t>。</w:t>
            </w:r>
          </w:p>
          <w:p w14:paraId="48704D84">
            <w:pPr>
              <w:pStyle w:val="7"/>
              <w:topLinePunct/>
              <w:spacing w:after="0"/>
              <w:ind w:left="0" w:leftChars="0"/>
              <w:jc w:val="center"/>
              <w:rPr>
                <w:color w:val="auto"/>
              </w:rPr>
            </w:pPr>
            <w:r>
              <w:rPr>
                <w:rFonts w:hint="eastAsia"/>
                <w:b/>
                <w:bCs/>
                <w:color w:val="auto"/>
              </w:rPr>
              <w:t>表4-1</w:t>
            </w:r>
            <w:r>
              <w:rPr>
                <w:rFonts w:hint="eastAsia"/>
                <w:b/>
                <w:bCs/>
                <w:color w:val="auto"/>
                <w:lang w:val="en-US" w:eastAsia="zh-CN"/>
              </w:rPr>
              <w:t>8</w:t>
            </w:r>
            <w:r>
              <w:rPr>
                <w:rFonts w:hint="eastAsia"/>
                <w:b/>
                <w:bCs/>
                <w:color w:val="auto"/>
              </w:rPr>
              <w:t>噪声监测情况一览表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6"/>
              <w:gridCol w:w="2925"/>
              <w:gridCol w:w="2485"/>
              <w:gridCol w:w="1988"/>
            </w:tblGrid>
            <w:tr w14:paraId="7CF8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96" w:type="dxa"/>
                  <w:vAlign w:val="center"/>
                </w:tcPr>
                <w:p w14:paraId="75427272">
                  <w:pPr>
                    <w:topLinePunct/>
                    <w:adjustRightInd w:val="0"/>
                    <w:snapToGrid w:val="0"/>
                    <w:jc w:val="center"/>
                    <w:rPr>
                      <w:b/>
                      <w:color w:val="auto"/>
                      <w:spacing w:val="4"/>
                      <w:kern w:val="18"/>
                      <w:szCs w:val="21"/>
                    </w:rPr>
                  </w:pPr>
                  <w:r>
                    <w:rPr>
                      <w:b/>
                      <w:color w:val="auto"/>
                      <w:spacing w:val="4"/>
                      <w:kern w:val="18"/>
                      <w:szCs w:val="21"/>
                    </w:rPr>
                    <w:t>项目</w:t>
                  </w:r>
                </w:p>
              </w:tc>
              <w:tc>
                <w:tcPr>
                  <w:tcW w:w="2925" w:type="dxa"/>
                  <w:vAlign w:val="center"/>
                </w:tcPr>
                <w:p w14:paraId="1E195C21">
                  <w:pPr>
                    <w:topLinePunct/>
                    <w:adjustRightInd w:val="0"/>
                    <w:snapToGrid w:val="0"/>
                    <w:jc w:val="center"/>
                    <w:rPr>
                      <w:b/>
                      <w:color w:val="auto"/>
                      <w:spacing w:val="4"/>
                      <w:kern w:val="18"/>
                      <w:szCs w:val="21"/>
                    </w:rPr>
                  </w:pPr>
                  <w:r>
                    <w:rPr>
                      <w:b/>
                      <w:color w:val="auto"/>
                      <w:spacing w:val="4"/>
                      <w:kern w:val="18"/>
                      <w:szCs w:val="21"/>
                    </w:rPr>
                    <w:t>监测</w:t>
                  </w:r>
                  <w:r>
                    <w:rPr>
                      <w:rFonts w:hint="eastAsia"/>
                      <w:b/>
                      <w:color w:val="auto"/>
                      <w:spacing w:val="4"/>
                      <w:kern w:val="18"/>
                      <w:szCs w:val="21"/>
                    </w:rPr>
                    <w:t>点位</w:t>
                  </w:r>
                </w:p>
              </w:tc>
              <w:tc>
                <w:tcPr>
                  <w:tcW w:w="2485" w:type="dxa"/>
                  <w:vAlign w:val="center"/>
                </w:tcPr>
                <w:p w14:paraId="231584F3">
                  <w:pPr>
                    <w:topLinePunct/>
                    <w:adjustRightInd w:val="0"/>
                    <w:snapToGrid w:val="0"/>
                    <w:jc w:val="center"/>
                    <w:rPr>
                      <w:b/>
                      <w:color w:val="auto"/>
                      <w:spacing w:val="4"/>
                      <w:kern w:val="18"/>
                      <w:szCs w:val="21"/>
                    </w:rPr>
                  </w:pPr>
                  <w:r>
                    <w:rPr>
                      <w:b/>
                      <w:color w:val="auto"/>
                      <w:spacing w:val="4"/>
                      <w:kern w:val="18"/>
                      <w:szCs w:val="21"/>
                    </w:rPr>
                    <w:t>监测</w:t>
                  </w:r>
                  <w:r>
                    <w:rPr>
                      <w:rFonts w:hint="eastAsia"/>
                      <w:b/>
                      <w:color w:val="auto"/>
                      <w:spacing w:val="4"/>
                      <w:kern w:val="18"/>
                      <w:szCs w:val="21"/>
                    </w:rPr>
                    <w:t>因子</w:t>
                  </w:r>
                </w:p>
              </w:tc>
              <w:tc>
                <w:tcPr>
                  <w:tcW w:w="1988" w:type="dxa"/>
                  <w:vAlign w:val="center"/>
                </w:tcPr>
                <w:p w14:paraId="2A04E052">
                  <w:pPr>
                    <w:topLinePunct/>
                    <w:adjustRightInd w:val="0"/>
                    <w:snapToGrid w:val="0"/>
                    <w:jc w:val="center"/>
                    <w:rPr>
                      <w:b/>
                      <w:color w:val="auto"/>
                      <w:spacing w:val="4"/>
                      <w:kern w:val="18"/>
                      <w:szCs w:val="21"/>
                    </w:rPr>
                  </w:pPr>
                  <w:r>
                    <w:rPr>
                      <w:b/>
                      <w:color w:val="auto"/>
                      <w:spacing w:val="4"/>
                      <w:kern w:val="18"/>
                      <w:szCs w:val="21"/>
                    </w:rPr>
                    <w:t>监测频次</w:t>
                  </w:r>
                </w:p>
              </w:tc>
            </w:tr>
            <w:tr w14:paraId="3E5F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96" w:type="dxa"/>
                  <w:vAlign w:val="center"/>
                </w:tcPr>
                <w:p w14:paraId="57AD3FCF">
                  <w:pPr>
                    <w:topLinePunct/>
                    <w:adjustRightInd w:val="0"/>
                    <w:snapToGrid w:val="0"/>
                    <w:jc w:val="center"/>
                    <w:rPr>
                      <w:bCs/>
                      <w:color w:val="auto"/>
                      <w:spacing w:val="4"/>
                      <w:kern w:val="18"/>
                      <w:szCs w:val="21"/>
                    </w:rPr>
                  </w:pPr>
                  <w:r>
                    <w:rPr>
                      <w:rFonts w:hint="eastAsia"/>
                      <w:bCs/>
                      <w:color w:val="auto"/>
                      <w:spacing w:val="4"/>
                      <w:kern w:val="18"/>
                      <w:szCs w:val="21"/>
                    </w:rPr>
                    <w:t>噪声</w:t>
                  </w:r>
                </w:p>
              </w:tc>
              <w:tc>
                <w:tcPr>
                  <w:tcW w:w="2925" w:type="dxa"/>
                  <w:vAlign w:val="center"/>
                </w:tcPr>
                <w:p w14:paraId="7FFF9F30">
                  <w:pPr>
                    <w:topLinePunct/>
                    <w:adjustRightInd w:val="0"/>
                    <w:snapToGrid w:val="0"/>
                    <w:jc w:val="center"/>
                    <w:rPr>
                      <w:bCs/>
                      <w:color w:val="auto"/>
                      <w:spacing w:val="4"/>
                      <w:kern w:val="18"/>
                      <w:szCs w:val="21"/>
                    </w:rPr>
                  </w:pPr>
                  <w:r>
                    <w:rPr>
                      <w:rFonts w:hint="eastAsia"/>
                      <w:bCs/>
                      <w:color w:val="auto"/>
                      <w:spacing w:val="4"/>
                      <w:kern w:val="18"/>
                      <w:szCs w:val="21"/>
                    </w:rPr>
                    <w:t>厂界边界外1m</w:t>
                  </w:r>
                </w:p>
              </w:tc>
              <w:tc>
                <w:tcPr>
                  <w:tcW w:w="2485" w:type="dxa"/>
                  <w:vAlign w:val="center"/>
                </w:tcPr>
                <w:p w14:paraId="2969C1C5">
                  <w:pPr>
                    <w:topLinePunct/>
                    <w:adjustRightInd w:val="0"/>
                    <w:snapToGrid w:val="0"/>
                    <w:jc w:val="center"/>
                    <w:rPr>
                      <w:bCs/>
                      <w:color w:val="auto"/>
                      <w:spacing w:val="4"/>
                      <w:kern w:val="18"/>
                      <w:szCs w:val="21"/>
                    </w:rPr>
                  </w:pPr>
                  <w:r>
                    <w:rPr>
                      <w:color w:val="auto"/>
                      <w:szCs w:val="21"/>
                      <w:shd w:val="clear" w:color="auto" w:fill="FFFFFF"/>
                    </w:rPr>
                    <w:t>等效连续A声级</w:t>
                  </w:r>
                </w:p>
              </w:tc>
              <w:tc>
                <w:tcPr>
                  <w:tcW w:w="1988" w:type="dxa"/>
                  <w:vAlign w:val="center"/>
                </w:tcPr>
                <w:p w14:paraId="3C68D208">
                  <w:pPr>
                    <w:pStyle w:val="50"/>
                    <w:tabs>
                      <w:tab w:val="left" w:pos="1021"/>
                    </w:tabs>
                    <w:topLinePunct/>
                    <w:spacing w:before="24" w:after="24"/>
                    <w:rPr>
                      <w:rFonts w:ascii="Times New Roman"/>
                      <w:b/>
                      <w:snapToGrid w:val="0"/>
                      <w:color w:val="auto"/>
                      <w:spacing w:val="4"/>
                      <w:kern w:val="18"/>
                      <w:szCs w:val="21"/>
                    </w:rPr>
                  </w:pPr>
                  <w:r>
                    <w:rPr>
                      <w:rFonts w:hint="eastAsia"/>
                      <w:color w:val="auto"/>
                    </w:rPr>
                    <w:t>1次/季度</w:t>
                  </w:r>
                </w:p>
              </w:tc>
            </w:tr>
          </w:tbl>
          <w:p w14:paraId="090F626A">
            <w:pPr>
              <w:pStyle w:val="15"/>
              <w:pBdr>
                <w:top w:val="none" w:color="auto" w:sz="0" w:space="1"/>
                <w:left w:val="none" w:color="auto" w:sz="0" w:space="4"/>
                <w:bottom w:val="none" w:color="auto" w:sz="0" w:space="1"/>
                <w:right w:val="none" w:color="auto" w:sz="0" w:space="4"/>
              </w:pBdr>
              <w:topLinePunct/>
              <w:spacing w:before="120" w:beforeLines="50" w:line="360" w:lineRule="auto"/>
              <w:ind w:firstLine="482" w:firstLineChars="200"/>
              <w:jc w:val="left"/>
              <w:rPr>
                <w:b/>
                <w:bCs/>
                <w:color w:val="auto"/>
                <w:sz w:val="24"/>
              </w:rPr>
            </w:pPr>
            <w:r>
              <w:rPr>
                <w:rFonts w:hint="eastAsia"/>
                <w:b/>
                <w:bCs/>
                <w:color w:val="auto"/>
                <w:sz w:val="24"/>
              </w:rPr>
              <w:t>4、固体废物环境影响和防治措施</w:t>
            </w:r>
          </w:p>
          <w:p w14:paraId="4C4B7623">
            <w:pPr>
              <w:pStyle w:val="6"/>
              <w:overflowPunct w:val="0"/>
              <w:topLinePunct/>
              <w:spacing w:before="0" w:after="0" w:line="360" w:lineRule="auto"/>
              <w:ind w:right="0" w:firstLine="480" w:firstLineChars="200"/>
              <w:rPr>
                <w:color w:val="auto"/>
                <w:kern w:val="2"/>
                <w:sz w:val="24"/>
                <w:szCs w:val="24"/>
              </w:rPr>
            </w:pPr>
            <w:r>
              <w:rPr>
                <w:rFonts w:hint="eastAsia"/>
                <w:color w:val="auto"/>
                <w:kern w:val="2"/>
                <w:sz w:val="24"/>
                <w:szCs w:val="24"/>
              </w:rPr>
              <w:t>（1）固体废物产生量核算</w:t>
            </w:r>
          </w:p>
          <w:p w14:paraId="0823D335">
            <w:pPr>
              <w:adjustRightInd w:val="0"/>
              <w:snapToGrid w:val="0"/>
              <w:spacing w:line="360" w:lineRule="auto"/>
              <w:ind w:firstLine="480" w:firstLineChars="200"/>
              <w:rPr>
                <w:color w:val="auto"/>
                <w:sz w:val="24"/>
              </w:rPr>
            </w:pPr>
            <w:r>
              <w:rPr>
                <w:rFonts w:hint="eastAsia" w:ascii="宋体" w:hAnsi="宋体" w:cs="宋体"/>
                <w:color w:val="auto"/>
                <w:sz w:val="24"/>
              </w:rPr>
              <w:t>1）</w:t>
            </w:r>
            <w:r>
              <w:rPr>
                <w:rFonts w:hint="eastAsia"/>
                <w:color w:val="auto"/>
                <w:sz w:val="24"/>
              </w:rPr>
              <w:t>生活垃圾</w:t>
            </w:r>
          </w:p>
          <w:p w14:paraId="1C987EAA">
            <w:pPr>
              <w:adjustRightInd w:val="0"/>
              <w:snapToGrid w:val="0"/>
              <w:spacing w:line="360" w:lineRule="auto"/>
              <w:ind w:firstLine="480" w:firstLineChars="200"/>
              <w:rPr>
                <w:rFonts w:cs="宋体"/>
                <w:color w:val="auto"/>
                <w:sz w:val="24"/>
              </w:rPr>
            </w:pPr>
            <w:r>
              <w:rPr>
                <w:rFonts w:cs="宋体"/>
                <w:color w:val="auto"/>
                <w:sz w:val="24"/>
              </w:rPr>
              <w:t>本项目共有员工</w:t>
            </w:r>
            <w:r>
              <w:rPr>
                <w:rFonts w:hint="eastAsia" w:cs="宋体"/>
                <w:color w:val="auto"/>
                <w:sz w:val="24"/>
              </w:rPr>
              <w:t>213</w:t>
            </w:r>
            <w:r>
              <w:rPr>
                <w:rFonts w:cs="宋体"/>
                <w:color w:val="auto"/>
                <w:sz w:val="24"/>
              </w:rPr>
              <w:t>人，生活垃圾产生量以</w:t>
            </w:r>
            <w:r>
              <w:rPr>
                <w:rFonts w:hint="eastAsia" w:cs="宋体"/>
                <w:color w:val="auto"/>
                <w:sz w:val="24"/>
              </w:rPr>
              <w:t>0.5</w:t>
            </w:r>
            <w:r>
              <w:rPr>
                <w:rFonts w:cs="宋体"/>
                <w:color w:val="auto"/>
                <w:sz w:val="24"/>
              </w:rPr>
              <w:t>kg/人·天计，则本项目员工生活垃圾产生量为</w:t>
            </w:r>
            <w:r>
              <w:rPr>
                <w:rFonts w:hint="eastAsia" w:cs="宋体"/>
                <w:color w:val="auto"/>
                <w:sz w:val="24"/>
              </w:rPr>
              <w:t>106.5</w:t>
            </w:r>
            <w:r>
              <w:rPr>
                <w:rFonts w:cs="宋体"/>
                <w:color w:val="auto"/>
                <w:sz w:val="24"/>
              </w:rPr>
              <w:t>kg/d（</w:t>
            </w:r>
            <w:r>
              <w:rPr>
                <w:rFonts w:hint="eastAsia" w:cs="宋体"/>
                <w:color w:val="auto"/>
                <w:sz w:val="24"/>
              </w:rPr>
              <w:t>31.95</w:t>
            </w:r>
            <w:r>
              <w:rPr>
                <w:rFonts w:cs="宋体"/>
                <w:color w:val="auto"/>
                <w:sz w:val="24"/>
              </w:rPr>
              <w:t>t/a）；由垃圾桶袋装收集，每天由环卫部门定时清运。</w:t>
            </w:r>
            <w:r>
              <w:rPr>
                <w:rFonts w:hint="eastAsia" w:cs="宋体"/>
                <w:color w:val="auto"/>
                <w:sz w:val="24"/>
              </w:rPr>
              <w:t>本</w:t>
            </w:r>
            <w:r>
              <w:rPr>
                <w:rFonts w:cs="宋体"/>
                <w:color w:val="auto"/>
                <w:sz w:val="24"/>
              </w:rPr>
              <w:t>项目员工生活垃圾须避雨集中堆放，统一由环卫部门运往垃圾处理场作无害化处理，日产日清，并要选择好垃圾临时存放地的位置，尽量避免垃圾散发的臭味逸散。</w:t>
            </w:r>
          </w:p>
          <w:p w14:paraId="0EB325EA">
            <w:pPr>
              <w:adjustRightInd w:val="0"/>
              <w:snapToGrid w:val="0"/>
              <w:spacing w:line="360" w:lineRule="auto"/>
              <w:ind w:firstLine="480" w:firstLineChars="200"/>
              <w:rPr>
                <w:rFonts w:cs="宋体"/>
                <w:color w:val="auto"/>
                <w:sz w:val="24"/>
              </w:rPr>
            </w:pPr>
            <w:r>
              <w:rPr>
                <w:rFonts w:hint="eastAsia" w:cs="宋体"/>
                <w:color w:val="auto"/>
                <w:sz w:val="24"/>
              </w:rPr>
              <w:t>2）一般固废</w:t>
            </w:r>
          </w:p>
          <w:p w14:paraId="1B5D7305">
            <w:pPr>
              <w:adjustRightInd w:val="0"/>
              <w:snapToGrid w:val="0"/>
              <w:spacing w:line="360" w:lineRule="auto"/>
              <w:ind w:firstLine="480" w:firstLineChars="200"/>
              <w:rPr>
                <w:rFonts w:cs="宋体"/>
                <w:color w:val="auto"/>
                <w:sz w:val="24"/>
              </w:rPr>
            </w:pPr>
            <w:r>
              <w:rPr>
                <w:rFonts w:hint="eastAsia" w:cs="宋体"/>
                <w:color w:val="auto"/>
                <w:sz w:val="24"/>
              </w:rPr>
              <w:t>①不合格品</w:t>
            </w:r>
          </w:p>
          <w:p w14:paraId="78F8F6A6">
            <w:pPr>
              <w:adjustRightInd w:val="0"/>
              <w:snapToGrid w:val="0"/>
              <w:spacing w:line="360" w:lineRule="auto"/>
              <w:ind w:firstLine="480" w:firstLineChars="200"/>
              <w:rPr>
                <w:rFonts w:cs="宋体"/>
                <w:color w:val="auto"/>
                <w:sz w:val="24"/>
              </w:rPr>
            </w:pPr>
            <w:r>
              <w:rPr>
                <w:rFonts w:hint="eastAsia" w:cs="宋体"/>
                <w:color w:val="auto"/>
                <w:sz w:val="24"/>
              </w:rPr>
              <w:t>项目在机加工生产过程中经过检验会产生不合格品，根据建设单位提供资料，</w:t>
            </w:r>
            <w:r>
              <w:rPr>
                <w:rFonts w:hint="eastAsia" w:cs="宋体"/>
                <w:color w:val="auto"/>
                <w:sz w:val="24"/>
                <w:lang w:val="en-US" w:eastAsia="zh-CN"/>
              </w:rPr>
              <w:t>约机加工4600t/a成品的1%，故</w:t>
            </w:r>
            <w:r>
              <w:rPr>
                <w:rFonts w:hint="eastAsia" w:cs="宋体"/>
                <w:color w:val="auto"/>
                <w:sz w:val="24"/>
              </w:rPr>
              <w:t>产生量约</w:t>
            </w:r>
            <w:r>
              <w:rPr>
                <w:rFonts w:hint="eastAsia" w:cs="宋体"/>
                <w:color w:val="auto"/>
                <w:sz w:val="24"/>
                <w:lang w:val="en-US" w:eastAsia="zh-CN"/>
              </w:rPr>
              <w:t>4.6</w:t>
            </w:r>
            <w:r>
              <w:rPr>
                <w:rFonts w:hint="eastAsia" w:cs="宋体"/>
                <w:color w:val="auto"/>
                <w:sz w:val="24"/>
              </w:rPr>
              <w:t>t/a，为一般工业固体废物，暂存至一般固废暂存间定期交由专业公司进行处理后回用于生产。根据《</w:t>
            </w:r>
            <w:r>
              <w:rPr>
                <w:rFonts w:hint="eastAsia" w:cs="宋体"/>
                <w:color w:val="auto"/>
                <w:sz w:val="24"/>
                <w:lang w:eastAsia="zh-CN"/>
              </w:rPr>
              <w:t>固体废物分类与代码目录</w:t>
            </w:r>
            <w:r>
              <w:rPr>
                <w:rFonts w:hint="eastAsia" w:cs="宋体"/>
                <w:color w:val="auto"/>
                <w:sz w:val="24"/>
              </w:rPr>
              <w:t>》（</w:t>
            </w:r>
            <w:r>
              <w:rPr>
                <w:rFonts w:hint="eastAsia" w:cs="宋体"/>
                <w:color w:val="auto"/>
                <w:sz w:val="24"/>
                <w:lang w:eastAsia="zh-CN"/>
              </w:rPr>
              <w:t>2024年第4号</w:t>
            </w:r>
            <w:r>
              <w:rPr>
                <w:rFonts w:hint="eastAsia" w:cs="宋体"/>
                <w:color w:val="auto"/>
                <w:sz w:val="24"/>
              </w:rPr>
              <w:t>），类别代码为SW59其他工业固体废物（代码900-099-S59）。</w:t>
            </w:r>
          </w:p>
          <w:p w14:paraId="4B27133D">
            <w:pPr>
              <w:adjustRightInd w:val="0"/>
              <w:snapToGrid w:val="0"/>
              <w:spacing w:line="360" w:lineRule="auto"/>
              <w:ind w:firstLine="480" w:firstLineChars="200"/>
              <w:rPr>
                <w:rFonts w:cs="宋体"/>
                <w:color w:val="auto"/>
                <w:sz w:val="24"/>
              </w:rPr>
            </w:pPr>
            <w:r>
              <w:rPr>
                <w:rFonts w:hint="eastAsia" w:ascii="宋体" w:hAnsi="宋体" w:cs="宋体"/>
                <w:color w:val="auto"/>
                <w:sz w:val="24"/>
              </w:rPr>
              <w:t>②</w:t>
            </w:r>
            <w:r>
              <w:rPr>
                <w:rFonts w:hint="eastAsia" w:cs="宋体"/>
                <w:color w:val="auto"/>
                <w:sz w:val="24"/>
              </w:rPr>
              <w:t>废包装材料</w:t>
            </w:r>
          </w:p>
          <w:p w14:paraId="0D7C383C">
            <w:pPr>
              <w:adjustRightInd w:val="0"/>
              <w:snapToGrid w:val="0"/>
              <w:spacing w:line="360" w:lineRule="auto"/>
              <w:ind w:firstLine="480" w:firstLineChars="200"/>
              <w:rPr>
                <w:rFonts w:hint="eastAsia" w:cs="宋体"/>
                <w:color w:val="auto"/>
                <w:sz w:val="24"/>
              </w:rPr>
            </w:pPr>
            <w:r>
              <w:rPr>
                <w:rFonts w:hint="eastAsia" w:cs="宋体"/>
                <w:color w:val="auto"/>
                <w:sz w:val="24"/>
              </w:rPr>
              <w:t>本项目在粘胶组件中会使用包装材料，包装废料产生量约为0.2t/a，为一般工业固废，交由有回收资质单位处理。根据《</w:t>
            </w:r>
            <w:r>
              <w:rPr>
                <w:rFonts w:hint="eastAsia" w:cs="宋体"/>
                <w:color w:val="auto"/>
                <w:sz w:val="24"/>
                <w:lang w:eastAsia="zh-CN"/>
              </w:rPr>
              <w:t>固体废物分类与代码目录</w:t>
            </w:r>
            <w:r>
              <w:rPr>
                <w:rFonts w:hint="eastAsia" w:cs="宋体"/>
                <w:color w:val="auto"/>
                <w:sz w:val="24"/>
              </w:rPr>
              <w:t>》（</w:t>
            </w:r>
            <w:r>
              <w:rPr>
                <w:rFonts w:hint="eastAsia" w:cs="宋体"/>
                <w:color w:val="auto"/>
                <w:sz w:val="24"/>
                <w:lang w:eastAsia="zh-CN"/>
              </w:rPr>
              <w:t>2024年第4号</w:t>
            </w:r>
            <w:r>
              <w:rPr>
                <w:rFonts w:hint="eastAsia" w:cs="宋体"/>
                <w:color w:val="auto"/>
                <w:sz w:val="24"/>
              </w:rPr>
              <w:t>），类别代码为SW59其他工业固体废物（代码900-099-S59）。</w:t>
            </w:r>
          </w:p>
          <w:p w14:paraId="04213B7B">
            <w:pPr>
              <w:adjustRightInd w:val="0"/>
              <w:snapToGrid w:val="0"/>
              <w:spacing w:line="360" w:lineRule="auto"/>
              <w:ind w:firstLine="480" w:firstLineChars="200"/>
              <w:rPr>
                <w:rFonts w:hint="eastAsia" w:eastAsia="宋体" w:cs="宋体"/>
                <w:color w:val="auto"/>
                <w:sz w:val="24"/>
                <w:lang w:val="en-US" w:eastAsia="zh-CN"/>
              </w:rPr>
            </w:pPr>
            <w:r>
              <w:rPr>
                <w:rFonts w:hint="eastAsia" w:ascii="宋体" w:hAnsi="宋体" w:eastAsia="宋体" w:cs="宋体"/>
                <w:color w:val="auto"/>
                <w:sz w:val="24"/>
              </w:rPr>
              <w:t>③</w:t>
            </w:r>
            <w:r>
              <w:rPr>
                <w:rFonts w:hint="eastAsia" w:eastAsia="宋体" w:cs="宋体"/>
                <w:color w:val="auto"/>
                <w:sz w:val="24"/>
                <w:lang w:val="en-US" w:eastAsia="zh-CN"/>
              </w:rPr>
              <w:t>废石板</w:t>
            </w:r>
          </w:p>
          <w:p w14:paraId="369ADDDD">
            <w:pPr>
              <w:adjustRightInd w:val="0"/>
              <w:snapToGrid w:val="0"/>
              <w:spacing w:line="360" w:lineRule="auto"/>
              <w:ind w:firstLine="480" w:firstLineChars="200"/>
              <w:rPr>
                <w:rFonts w:hint="default" w:eastAsia="宋体" w:cs="宋体"/>
                <w:color w:val="auto"/>
                <w:sz w:val="24"/>
                <w:lang w:val="en-US" w:eastAsia="zh-CN"/>
              </w:rPr>
            </w:pPr>
            <w:r>
              <w:rPr>
                <w:rFonts w:hint="eastAsia" w:cs="宋体"/>
                <w:color w:val="auto"/>
                <w:sz w:val="24"/>
              </w:rPr>
              <w:t>本项目在</w:t>
            </w:r>
            <w:r>
              <w:rPr>
                <w:rFonts w:hint="eastAsia" w:cs="宋体"/>
                <w:color w:val="auto"/>
                <w:sz w:val="24"/>
                <w:lang w:val="en-US" w:eastAsia="zh-CN"/>
              </w:rPr>
              <w:t>机加工半成品自动粘胶过程中会使用大理石板，废石板产生量为790t/a，</w:t>
            </w:r>
            <w:r>
              <w:rPr>
                <w:rFonts w:hint="eastAsia" w:cs="宋体"/>
                <w:color w:val="auto"/>
                <w:sz w:val="24"/>
              </w:rPr>
              <w:t>为一般工业固废，</w:t>
            </w:r>
            <w:r>
              <w:rPr>
                <w:rFonts w:hint="eastAsia" w:cs="宋体"/>
                <w:color w:val="auto"/>
                <w:sz w:val="24"/>
                <w:lang w:val="en-US" w:eastAsia="zh-CN"/>
              </w:rPr>
              <w:t>定期外售。</w:t>
            </w:r>
            <w:r>
              <w:rPr>
                <w:rFonts w:hint="eastAsia" w:cs="宋体"/>
                <w:color w:val="auto"/>
                <w:sz w:val="24"/>
              </w:rPr>
              <w:t>根据《</w:t>
            </w:r>
            <w:r>
              <w:rPr>
                <w:rFonts w:hint="eastAsia" w:cs="宋体"/>
                <w:color w:val="auto"/>
                <w:sz w:val="24"/>
                <w:lang w:eastAsia="zh-CN"/>
              </w:rPr>
              <w:t>固体废物分类与代码目录</w:t>
            </w:r>
            <w:r>
              <w:rPr>
                <w:rFonts w:hint="eastAsia" w:cs="宋体"/>
                <w:color w:val="auto"/>
                <w:sz w:val="24"/>
              </w:rPr>
              <w:t>》（</w:t>
            </w:r>
            <w:r>
              <w:rPr>
                <w:rFonts w:hint="eastAsia" w:cs="宋体"/>
                <w:color w:val="auto"/>
                <w:sz w:val="24"/>
                <w:lang w:eastAsia="zh-CN"/>
              </w:rPr>
              <w:t>2024年第4号</w:t>
            </w:r>
            <w:r>
              <w:rPr>
                <w:rFonts w:hint="eastAsia" w:cs="宋体"/>
                <w:color w:val="auto"/>
                <w:sz w:val="24"/>
              </w:rPr>
              <w:t>），类别代码为SW59其他工业固体废物（代码900-099-S59）。</w:t>
            </w:r>
          </w:p>
          <w:p w14:paraId="7993C600">
            <w:pPr>
              <w:spacing w:line="360" w:lineRule="auto"/>
              <w:ind w:firstLine="480" w:firstLineChars="200"/>
              <w:rPr>
                <w:rFonts w:hint="eastAsia" w:ascii="宋体" w:hAnsi="宋体" w:eastAsia="宋体" w:cs="宋体"/>
                <w:color w:val="auto"/>
                <w:sz w:val="24"/>
                <w:lang w:eastAsia="zh-CN"/>
              </w:rPr>
            </w:pPr>
            <w:r>
              <w:rPr>
                <w:color w:val="auto"/>
                <w:sz w:val="24"/>
              </w:rPr>
              <w:t>3</w:t>
            </w:r>
            <w:r>
              <w:rPr>
                <w:rFonts w:hint="eastAsia" w:ascii="宋体" w:hAnsi="宋体" w:cs="宋体"/>
                <w:color w:val="auto"/>
                <w:sz w:val="24"/>
              </w:rPr>
              <w:t>）危险</w:t>
            </w:r>
            <w:r>
              <w:rPr>
                <w:rFonts w:hint="eastAsia" w:ascii="宋体" w:hAnsi="宋体" w:cs="宋体"/>
                <w:color w:val="auto"/>
                <w:sz w:val="24"/>
                <w:lang w:val="en-US" w:eastAsia="zh-CN"/>
              </w:rPr>
              <w:t>废物</w:t>
            </w:r>
          </w:p>
          <w:p w14:paraId="072CD01B">
            <w:pPr>
              <w:adjustRightInd w:val="0"/>
              <w:snapToGrid w:val="0"/>
              <w:spacing w:line="360" w:lineRule="auto"/>
              <w:ind w:firstLine="480" w:firstLineChars="200"/>
              <w:rPr>
                <w:rFonts w:ascii="宋体" w:hAnsi="宋体" w:cs="宋体"/>
                <w:color w:val="auto"/>
                <w:sz w:val="24"/>
              </w:rPr>
            </w:pPr>
            <w:r>
              <w:rPr>
                <w:rFonts w:hint="eastAsia" w:ascii="宋体" w:hAnsi="宋体" w:eastAsia="宋体" w:cs="宋体"/>
                <w:color w:val="auto"/>
                <w:sz w:val="24"/>
              </w:rPr>
              <w:t>①</w:t>
            </w:r>
            <w:r>
              <w:rPr>
                <w:rFonts w:hint="eastAsia" w:ascii="宋体" w:hAnsi="宋体" w:cs="宋体"/>
                <w:color w:val="auto"/>
                <w:sz w:val="24"/>
              </w:rPr>
              <w:t>废切削液</w:t>
            </w:r>
          </w:p>
          <w:p w14:paraId="421FE562">
            <w:pPr>
              <w:pStyle w:val="7"/>
              <w:spacing w:after="0" w:line="360" w:lineRule="auto"/>
              <w:ind w:left="0" w:leftChars="0" w:firstLine="480" w:firstLineChars="200"/>
              <w:jc w:val="left"/>
              <w:rPr>
                <w:color w:val="auto"/>
              </w:rPr>
            </w:pPr>
            <w:r>
              <w:rPr>
                <w:color w:val="auto"/>
                <w:szCs w:val="24"/>
              </w:rPr>
              <w:t>本项目在切削液使用过程中，会</w:t>
            </w:r>
            <w:r>
              <w:rPr>
                <w:rFonts w:hint="eastAsia"/>
                <w:color w:val="auto"/>
                <w:szCs w:val="24"/>
              </w:rPr>
              <w:t>产生部分</w:t>
            </w:r>
            <w:r>
              <w:rPr>
                <w:color w:val="auto"/>
                <w:szCs w:val="24"/>
              </w:rPr>
              <w:t>废切削液。根据建设单位提供的资料及类比同类项目，废切削液产污系数按原料的</w:t>
            </w:r>
            <w:r>
              <w:rPr>
                <w:rFonts w:eastAsia="仿宋_GB2312"/>
                <w:bCs/>
                <w:color w:val="auto"/>
                <w:spacing w:val="-10"/>
              </w:rPr>
              <w:t>0.02%计</w:t>
            </w:r>
            <w:r>
              <w:rPr>
                <w:color w:val="auto"/>
                <w:szCs w:val="24"/>
              </w:rPr>
              <w:t>，本项目</w:t>
            </w:r>
            <w:r>
              <w:rPr>
                <w:rFonts w:hint="eastAsia"/>
                <w:color w:val="auto"/>
                <w:szCs w:val="24"/>
              </w:rPr>
              <w:t>年用</w:t>
            </w:r>
            <w:r>
              <w:rPr>
                <w:color w:val="auto"/>
                <w:szCs w:val="24"/>
              </w:rPr>
              <w:t>切削液</w:t>
            </w:r>
            <w:r>
              <w:rPr>
                <w:rFonts w:hint="eastAsia"/>
                <w:color w:val="auto"/>
                <w:szCs w:val="24"/>
              </w:rPr>
              <w:t>13.28</w:t>
            </w:r>
            <w:r>
              <w:rPr>
                <w:color w:val="auto"/>
                <w:szCs w:val="24"/>
              </w:rPr>
              <w:t>t，则本项目废切削液产生量为</w:t>
            </w:r>
            <w:r>
              <w:rPr>
                <w:rFonts w:hint="eastAsia"/>
                <w:color w:val="auto"/>
                <w:szCs w:val="24"/>
              </w:rPr>
              <w:t>0.0027</w:t>
            </w:r>
            <w:r>
              <w:rPr>
                <w:color w:val="auto"/>
                <w:szCs w:val="24"/>
              </w:rPr>
              <w:t>t/a。</w:t>
            </w:r>
            <w:r>
              <w:rPr>
                <w:rFonts w:hint="eastAsia"/>
                <w:color w:val="auto"/>
              </w:rPr>
              <w:t>根据《国家危险废物名录（202</w:t>
            </w:r>
            <w:r>
              <w:rPr>
                <w:rFonts w:hint="eastAsia"/>
                <w:color w:val="auto"/>
                <w:lang w:val="en-US" w:eastAsia="zh-CN"/>
              </w:rPr>
              <w:t>5</w:t>
            </w:r>
            <w:r>
              <w:rPr>
                <w:rFonts w:hint="eastAsia"/>
                <w:color w:val="auto"/>
              </w:rPr>
              <w:t>）》，</w:t>
            </w:r>
            <w:r>
              <w:rPr>
                <w:color w:val="auto"/>
                <w:szCs w:val="24"/>
              </w:rPr>
              <w:t>废切削液</w:t>
            </w:r>
            <w:r>
              <w:rPr>
                <w:rFonts w:hint="eastAsia"/>
                <w:color w:val="auto"/>
              </w:rPr>
              <w:t>属于危险废物（HW09），危废代码为900-006-09，收集后暂存至危废暂存间，定期委托有资质的危险废物处置单位进行处置。</w:t>
            </w:r>
          </w:p>
          <w:p w14:paraId="2EF658E1">
            <w:pPr>
              <w:adjustRightInd w:val="0"/>
              <w:snapToGrid w:val="0"/>
              <w:spacing w:line="360" w:lineRule="auto"/>
              <w:ind w:firstLine="480" w:firstLineChars="200"/>
              <w:rPr>
                <w:rFonts w:ascii="宋体" w:hAnsi="宋体" w:cs="宋体"/>
                <w:color w:val="auto"/>
                <w:sz w:val="24"/>
              </w:rPr>
            </w:pPr>
            <w:r>
              <w:rPr>
                <w:rFonts w:hint="eastAsia" w:ascii="宋体" w:hAnsi="宋体" w:eastAsia="宋体" w:cs="宋体"/>
                <w:color w:val="auto"/>
                <w:sz w:val="24"/>
              </w:rPr>
              <w:t>②</w:t>
            </w:r>
            <w:r>
              <w:rPr>
                <w:rFonts w:hint="eastAsia" w:ascii="宋体" w:hAnsi="宋体" w:cs="宋体"/>
                <w:color w:val="auto"/>
                <w:sz w:val="24"/>
              </w:rPr>
              <w:t>废胶水瓶</w:t>
            </w:r>
          </w:p>
          <w:p w14:paraId="4D7416B9">
            <w:pPr>
              <w:pStyle w:val="7"/>
              <w:spacing w:after="0" w:line="360" w:lineRule="auto"/>
              <w:ind w:left="0" w:leftChars="0" w:firstLine="480" w:firstLineChars="200"/>
              <w:jc w:val="left"/>
              <w:rPr>
                <w:color w:val="auto"/>
              </w:rPr>
            </w:pPr>
            <w:r>
              <w:rPr>
                <w:rFonts w:hint="eastAsia" w:cs="宋体"/>
                <w:color w:val="auto"/>
              </w:rPr>
              <w:t>项目机加工自动粘胶工序会使用磁材胶，故会产生废胶水瓶，根据建设单位提供资料，废胶水瓶约产生0.2t/a。</w:t>
            </w:r>
            <w:r>
              <w:rPr>
                <w:rFonts w:hint="eastAsia"/>
                <w:color w:val="auto"/>
              </w:rPr>
              <w:t>根据《国家危险废物名录（202</w:t>
            </w:r>
            <w:r>
              <w:rPr>
                <w:rFonts w:hint="eastAsia"/>
                <w:color w:val="auto"/>
                <w:lang w:val="en-US" w:eastAsia="zh-CN"/>
              </w:rPr>
              <w:t>5</w:t>
            </w:r>
            <w:r>
              <w:rPr>
                <w:rFonts w:hint="eastAsia"/>
                <w:color w:val="auto"/>
              </w:rPr>
              <w:t>）》，</w:t>
            </w:r>
            <w:r>
              <w:rPr>
                <w:rFonts w:hint="eastAsia" w:ascii="宋体" w:hAnsi="宋体" w:cs="宋体"/>
                <w:color w:val="auto"/>
              </w:rPr>
              <w:t>废胶水瓶</w:t>
            </w:r>
            <w:r>
              <w:rPr>
                <w:rFonts w:hint="eastAsia"/>
                <w:color w:val="auto"/>
              </w:rPr>
              <w:t>属于危险废物（HW49），危废代码为900-041-49，收集后暂存至危废暂存间，定期委托有资质的危险废物处置单位进行处置。</w:t>
            </w:r>
          </w:p>
          <w:p w14:paraId="2E5E5C5C">
            <w:pPr>
              <w:adjustRightInd w:val="0"/>
              <w:snapToGrid w:val="0"/>
              <w:spacing w:line="360" w:lineRule="auto"/>
              <w:ind w:firstLine="480" w:firstLineChars="200"/>
              <w:rPr>
                <w:rFonts w:cs="宋体"/>
                <w:color w:val="auto"/>
                <w:sz w:val="24"/>
              </w:rPr>
            </w:pPr>
            <w:r>
              <w:rPr>
                <w:rFonts w:hint="eastAsia" w:ascii="宋体" w:hAnsi="宋体" w:eastAsia="宋体" w:cs="宋体"/>
                <w:color w:val="auto"/>
                <w:kern w:val="0"/>
                <w:sz w:val="24"/>
              </w:rPr>
              <w:t>③</w:t>
            </w:r>
            <w:r>
              <w:rPr>
                <w:rFonts w:hint="eastAsia" w:cs="宋体"/>
                <w:color w:val="auto"/>
                <w:sz w:val="24"/>
              </w:rPr>
              <w:t>废机油</w:t>
            </w:r>
          </w:p>
          <w:p w14:paraId="7A03A2CD">
            <w:pPr>
              <w:adjustRightInd w:val="0"/>
              <w:snapToGrid w:val="0"/>
              <w:spacing w:line="360" w:lineRule="auto"/>
              <w:ind w:firstLine="480" w:firstLineChars="200"/>
              <w:rPr>
                <w:rFonts w:cs="宋体"/>
                <w:color w:val="auto"/>
                <w:sz w:val="24"/>
              </w:rPr>
            </w:pPr>
            <w:r>
              <w:rPr>
                <w:rFonts w:hint="eastAsia" w:cs="宋体"/>
                <w:color w:val="auto"/>
                <w:sz w:val="24"/>
              </w:rPr>
              <w:t>本项目机械维修维护等会产生少量废机油，产生量约为0.2t/a。根据《国家危险废物名录》（</w:t>
            </w:r>
            <w:r>
              <w:rPr>
                <w:rFonts w:hint="eastAsia" w:cs="宋体"/>
                <w:color w:val="auto"/>
                <w:sz w:val="24"/>
                <w:lang w:eastAsia="zh-CN"/>
              </w:rPr>
              <w:t>2025年版</w:t>
            </w:r>
            <w:r>
              <w:rPr>
                <w:rFonts w:hint="eastAsia" w:cs="宋体"/>
                <w:color w:val="auto"/>
                <w:sz w:val="24"/>
              </w:rPr>
              <w:t>），废机油属于危险废物（HW08），废物代码为900-214-08，收集后暂存至危废暂存间，后交由有资质的危废处置单位进行处置。</w:t>
            </w:r>
          </w:p>
          <w:p w14:paraId="009C9B86">
            <w:pPr>
              <w:spacing w:line="360" w:lineRule="auto"/>
              <w:ind w:firstLine="480" w:firstLineChars="200"/>
              <w:rPr>
                <w:color w:val="auto"/>
                <w:kern w:val="0"/>
                <w:sz w:val="24"/>
              </w:rPr>
            </w:pPr>
            <w:r>
              <w:rPr>
                <w:rFonts w:hint="eastAsia" w:ascii="宋体" w:hAnsi="宋体" w:eastAsia="宋体" w:cs="宋体"/>
                <w:color w:val="auto"/>
                <w:kern w:val="0"/>
                <w:sz w:val="24"/>
              </w:rPr>
              <w:t>④</w:t>
            </w:r>
            <w:r>
              <w:rPr>
                <w:rFonts w:hint="eastAsia" w:ascii="宋体" w:hAnsi="宋体" w:cs="宋体"/>
                <w:color w:val="auto"/>
                <w:kern w:val="0"/>
                <w:sz w:val="24"/>
              </w:rPr>
              <w:t>设备维修</w:t>
            </w:r>
            <w:r>
              <w:rPr>
                <w:rFonts w:hint="eastAsia"/>
                <w:color w:val="auto"/>
                <w:kern w:val="0"/>
                <w:sz w:val="24"/>
              </w:rPr>
              <w:t>含油废抹布及手套</w:t>
            </w:r>
          </w:p>
          <w:p w14:paraId="5EEBF88D">
            <w:pPr>
              <w:adjustRightInd w:val="0"/>
              <w:snapToGrid w:val="0"/>
              <w:spacing w:line="360" w:lineRule="auto"/>
              <w:ind w:firstLine="480" w:firstLineChars="200"/>
              <w:rPr>
                <w:color w:val="auto"/>
                <w:sz w:val="24"/>
              </w:rPr>
            </w:pPr>
            <w:r>
              <w:rPr>
                <w:rFonts w:hint="eastAsia" w:cs="宋体"/>
                <w:color w:val="auto"/>
                <w:sz w:val="24"/>
              </w:rPr>
              <w:t>本项目设备维修过程中会产生的含油废抹布、手套产生量约为0.02t/a，根据《国家危险废物名录》（</w:t>
            </w:r>
            <w:r>
              <w:rPr>
                <w:rFonts w:hint="eastAsia" w:cs="宋体"/>
                <w:color w:val="auto"/>
                <w:sz w:val="24"/>
                <w:lang w:eastAsia="zh-CN"/>
              </w:rPr>
              <w:t>2025年版</w:t>
            </w:r>
            <w:r>
              <w:rPr>
                <w:rFonts w:hint="eastAsia" w:cs="宋体"/>
                <w:color w:val="auto"/>
                <w:sz w:val="24"/>
              </w:rPr>
              <w:t>）废含油抹布、手套属于危险废物</w:t>
            </w:r>
            <w:r>
              <w:rPr>
                <w:rFonts w:hint="eastAsia"/>
                <w:color w:val="auto"/>
                <w:sz w:val="24"/>
              </w:rPr>
              <w:t>（</w:t>
            </w:r>
            <w:r>
              <w:rPr>
                <w:color w:val="auto"/>
                <w:sz w:val="24"/>
              </w:rPr>
              <w:t>HW</w:t>
            </w:r>
            <w:r>
              <w:rPr>
                <w:rFonts w:hint="eastAsia"/>
                <w:color w:val="auto"/>
                <w:sz w:val="24"/>
              </w:rPr>
              <w:t>49）</w:t>
            </w:r>
            <w:r>
              <w:rPr>
                <w:rFonts w:hint="eastAsia" w:cs="宋体"/>
                <w:color w:val="auto"/>
                <w:sz w:val="24"/>
              </w:rPr>
              <w:t>，</w:t>
            </w:r>
            <w:r>
              <w:rPr>
                <w:color w:val="auto"/>
                <w:sz w:val="24"/>
              </w:rPr>
              <w:t>废物代码为</w:t>
            </w:r>
            <w:r>
              <w:rPr>
                <w:rFonts w:hint="eastAsia"/>
                <w:color w:val="auto"/>
                <w:sz w:val="24"/>
              </w:rPr>
              <w:t>900-041-49</w:t>
            </w:r>
            <w:r>
              <w:rPr>
                <w:color w:val="auto"/>
                <w:sz w:val="24"/>
              </w:rPr>
              <w:t>，</w:t>
            </w:r>
            <w:r>
              <w:rPr>
                <w:rFonts w:hint="eastAsia"/>
                <w:color w:val="auto"/>
                <w:sz w:val="24"/>
              </w:rPr>
              <w:t>收集后暂存至危废暂存间，后交由有资质的危废处置单位进行处置。</w:t>
            </w:r>
          </w:p>
          <w:p w14:paraId="4C193877">
            <w:pPr>
              <w:adjustRightInd w:val="0"/>
              <w:snapToGrid w:val="0"/>
              <w:spacing w:line="360" w:lineRule="auto"/>
              <w:ind w:firstLine="480" w:firstLineChars="200"/>
              <w:rPr>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color w:val="auto"/>
                <w:sz w:val="24"/>
              </w:rPr>
              <w:t>磁泥</w:t>
            </w:r>
          </w:p>
          <w:p w14:paraId="7F1797B9">
            <w:pPr>
              <w:spacing w:line="360" w:lineRule="auto"/>
              <w:ind w:firstLine="480" w:firstLineChars="200"/>
              <w:rPr>
                <w:rFonts w:hint="eastAsia"/>
                <w:color w:val="auto"/>
                <w:kern w:val="0"/>
                <w:sz w:val="24"/>
                <w:lang w:val="en-US" w:eastAsia="zh-CN"/>
              </w:rPr>
            </w:pPr>
            <w:r>
              <w:rPr>
                <w:rFonts w:hint="eastAsia"/>
                <w:color w:val="auto"/>
                <w:kern w:val="0"/>
                <w:sz w:val="24"/>
              </w:rPr>
              <w:t>项目在循环水池和污水池沉淀后会有</w:t>
            </w:r>
            <w:r>
              <w:rPr>
                <w:rFonts w:hint="eastAsia"/>
                <w:color w:val="auto"/>
                <w:sz w:val="24"/>
              </w:rPr>
              <w:t>磁泥</w:t>
            </w:r>
            <w:r>
              <w:rPr>
                <w:rFonts w:hint="eastAsia"/>
                <w:color w:val="auto"/>
                <w:kern w:val="0"/>
                <w:sz w:val="24"/>
              </w:rPr>
              <w:t>产生，项目定期清捞的</w:t>
            </w:r>
            <w:r>
              <w:rPr>
                <w:rFonts w:hint="eastAsia"/>
                <w:color w:val="auto"/>
                <w:sz w:val="24"/>
              </w:rPr>
              <w:t>磁泥</w:t>
            </w:r>
            <w:r>
              <w:rPr>
                <w:rFonts w:hint="eastAsia"/>
                <w:color w:val="auto"/>
                <w:kern w:val="0"/>
                <w:sz w:val="24"/>
              </w:rPr>
              <w:t>，</w:t>
            </w:r>
            <w:r>
              <w:rPr>
                <w:rFonts w:hint="eastAsia"/>
                <w:color w:val="auto"/>
                <w:kern w:val="0"/>
                <w:sz w:val="24"/>
                <w:lang w:val="en-US" w:eastAsia="zh-CN"/>
              </w:rPr>
              <w:t>为半固态，</w:t>
            </w:r>
            <w:r>
              <w:rPr>
                <w:rFonts w:hint="eastAsia"/>
                <w:color w:val="auto"/>
                <w:sz w:val="24"/>
                <w:lang w:val="en-US" w:eastAsia="zh-CN"/>
              </w:rPr>
              <w:t>根据建设单位提供资料，总体机加工环节损耗为30%（含粗磨、打孔精磨等）</w:t>
            </w:r>
            <w:r>
              <w:rPr>
                <w:rFonts w:hint="eastAsia"/>
                <w:color w:val="auto"/>
                <w:kern w:val="0"/>
                <w:sz w:val="24"/>
              </w:rPr>
              <w:t>，磁泥产生量</w:t>
            </w:r>
            <w:r>
              <w:rPr>
                <w:rFonts w:hint="eastAsia"/>
                <w:color w:val="auto"/>
                <w:kern w:val="0"/>
                <w:sz w:val="24"/>
                <w:lang w:val="en-US" w:eastAsia="zh-CN"/>
              </w:rPr>
              <w:t>约为1435.8</w:t>
            </w:r>
            <w:r>
              <w:rPr>
                <w:rFonts w:hint="eastAsia"/>
                <w:color w:val="auto"/>
                <w:kern w:val="0"/>
                <w:sz w:val="24"/>
              </w:rPr>
              <w:t>t/a</w:t>
            </w:r>
            <w:r>
              <w:rPr>
                <w:rFonts w:hint="eastAsia"/>
                <w:color w:val="auto"/>
                <w:kern w:val="0"/>
                <w:sz w:val="24"/>
                <w:lang w:eastAsia="zh-CN"/>
              </w:rPr>
              <w:t>（</w:t>
            </w:r>
            <w:r>
              <w:rPr>
                <w:rFonts w:hint="eastAsia"/>
                <w:color w:val="auto"/>
                <w:kern w:val="0"/>
                <w:sz w:val="24"/>
                <w:lang w:val="en-US" w:eastAsia="zh-CN"/>
              </w:rPr>
              <w:t>折干计</w:t>
            </w:r>
            <w:r>
              <w:rPr>
                <w:rFonts w:hint="eastAsia"/>
                <w:color w:val="auto"/>
                <w:kern w:val="0"/>
                <w:sz w:val="24"/>
                <w:lang w:eastAsia="zh-CN"/>
              </w:rPr>
              <w:t>），</w:t>
            </w:r>
            <w:r>
              <w:rPr>
                <w:rFonts w:hint="eastAsia"/>
                <w:color w:val="auto"/>
                <w:kern w:val="0"/>
                <w:sz w:val="24"/>
                <w:lang w:val="en-US" w:eastAsia="zh-CN"/>
              </w:rPr>
              <w:t>采用桶装的方式贮存</w:t>
            </w:r>
            <w:r>
              <w:rPr>
                <w:rFonts w:hint="eastAsia"/>
                <w:color w:val="auto"/>
                <w:kern w:val="0"/>
                <w:sz w:val="24"/>
              </w:rPr>
              <w:t>。参考《东阳瑞邦磁业有限公司年加工500吨钕铁硼磁钢项目》中根据《东阳市钕铁硼切割加工行业环保整治咨询意见》，对照《钕铁硼生产加工回收料》(GB/T23588-2020)相关内容以及参照同类型企业提供的检验报告，磁泥符合《钕铁硼生产加工回收料》(GB/T23588-2020)表1磁泥、块</w:t>
            </w:r>
            <w:r>
              <w:rPr>
                <w:rFonts w:hint="eastAsia"/>
                <w:color w:val="auto"/>
                <w:kern w:val="0"/>
                <w:sz w:val="24"/>
                <w:lang w:val="en-US" w:eastAsia="zh-CN"/>
              </w:rPr>
              <w:t>片</w:t>
            </w:r>
            <w:r>
              <w:rPr>
                <w:rFonts w:hint="eastAsia"/>
                <w:color w:val="auto"/>
                <w:kern w:val="0"/>
                <w:sz w:val="24"/>
              </w:rPr>
              <w:t>料等回收料分类要求。项目磁泥产生量共计1435.8t/a</w:t>
            </w:r>
            <w:r>
              <w:rPr>
                <w:rFonts w:hint="eastAsia"/>
                <w:color w:val="auto"/>
                <w:kern w:val="0"/>
                <w:sz w:val="24"/>
                <w:lang w:eastAsia="zh-CN"/>
              </w:rPr>
              <w:t>（</w:t>
            </w:r>
            <w:r>
              <w:rPr>
                <w:rFonts w:hint="eastAsia"/>
                <w:color w:val="auto"/>
                <w:kern w:val="0"/>
                <w:sz w:val="24"/>
                <w:lang w:val="en-US" w:eastAsia="zh-CN"/>
              </w:rPr>
              <w:t>折干计</w:t>
            </w:r>
            <w:r>
              <w:rPr>
                <w:rFonts w:hint="eastAsia"/>
                <w:color w:val="auto"/>
                <w:kern w:val="0"/>
                <w:sz w:val="24"/>
                <w:lang w:eastAsia="zh-CN"/>
              </w:rPr>
              <w:t>）</w:t>
            </w:r>
            <w:r>
              <w:rPr>
                <w:rFonts w:hint="eastAsia"/>
                <w:color w:val="auto"/>
                <w:kern w:val="0"/>
                <w:sz w:val="24"/>
              </w:rPr>
              <w:t>，作为副产品再生利用，不作为固废管理，要求不允许混入与生产、加工无关的夹杂物，</w:t>
            </w:r>
            <w:r>
              <w:rPr>
                <w:rFonts w:hint="eastAsia"/>
                <w:color w:val="auto"/>
                <w:kern w:val="0"/>
                <w:sz w:val="24"/>
                <w:lang w:val="en-US" w:eastAsia="zh-CN"/>
              </w:rPr>
              <w:t>可先暂存至一般固废间，</w:t>
            </w:r>
            <w:r>
              <w:rPr>
                <w:rFonts w:hint="eastAsia"/>
                <w:color w:val="auto"/>
                <w:kern w:val="0"/>
                <w:sz w:val="24"/>
              </w:rPr>
              <w:t>收集后出售给合法公司进行综合利用，重新焙烧制得稀土材料。</w:t>
            </w:r>
            <w:r>
              <w:rPr>
                <w:rFonts w:hint="eastAsia"/>
                <w:color w:val="auto"/>
                <w:kern w:val="0"/>
                <w:sz w:val="24"/>
                <w:lang w:val="en-US" w:eastAsia="zh-CN"/>
              </w:rPr>
              <w:t>采用车辆转移，采用密闭车辆，防渗漏。</w:t>
            </w:r>
          </w:p>
          <w:p w14:paraId="2496477A">
            <w:pPr>
              <w:adjustRightInd w:val="0"/>
              <w:snapToGrid w:val="0"/>
              <w:spacing w:line="360" w:lineRule="auto"/>
              <w:ind w:firstLine="480" w:firstLineChars="200"/>
              <w:rPr>
                <w:rFonts w:ascii="宋体" w:hAnsi="宋体" w:cs="宋体"/>
                <w:color w:val="auto"/>
                <w:sz w:val="24"/>
              </w:rPr>
            </w:pPr>
            <w:r>
              <w:rPr>
                <w:rFonts w:hint="eastAsia" w:cs="宋体"/>
                <w:color w:val="auto"/>
                <w:sz w:val="24"/>
                <w:lang w:val="en-US" w:eastAsia="zh-CN"/>
              </w:rPr>
              <w:t>5</w:t>
            </w:r>
            <w:r>
              <w:rPr>
                <w:rFonts w:hint="eastAsia" w:cs="宋体"/>
                <w:color w:val="auto"/>
                <w:sz w:val="24"/>
                <w:lang w:eastAsia="zh-CN"/>
              </w:rPr>
              <w:t>）</w:t>
            </w:r>
            <w:r>
              <w:rPr>
                <w:rFonts w:hint="eastAsia" w:cs="宋体"/>
                <w:color w:val="auto"/>
                <w:sz w:val="24"/>
              </w:rPr>
              <w:t>废边角料</w:t>
            </w:r>
          </w:p>
          <w:p w14:paraId="6C73FF90">
            <w:pPr>
              <w:spacing w:line="360" w:lineRule="auto"/>
              <w:ind w:firstLine="480" w:firstLineChars="200"/>
              <w:rPr>
                <w:rFonts w:hint="default" w:eastAsia="宋体"/>
                <w:color w:val="auto"/>
                <w:kern w:val="0"/>
                <w:sz w:val="24"/>
                <w:lang w:val="en-US" w:eastAsia="zh-CN"/>
              </w:rPr>
            </w:pPr>
            <w:r>
              <w:rPr>
                <w:rFonts w:hint="eastAsia" w:cs="宋体"/>
                <w:color w:val="auto"/>
                <w:sz w:val="24"/>
              </w:rPr>
              <w:t>项目在机加工打孔工序会产生废边角料，</w:t>
            </w:r>
            <w:r>
              <w:rPr>
                <w:rFonts w:hint="eastAsia"/>
                <w:color w:val="auto"/>
                <w:sz w:val="24"/>
              </w:rPr>
              <w:t>根据建设单位提供资料，项目钕铁硼毛坯料使用量为6000t/a，</w:t>
            </w:r>
            <w:r>
              <w:rPr>
                <w:rFonts w:hint="eastAsia"/>
                <w:color w:val="auto"/>
                <w:sz w:val="24"/>
                <w:lang w:val="en-US" w:eastAsia="zh-CN"/>
              </w:rPr>
              <w:t>根据建设单位提供资料，总体机加工环节损耗约为23%（含粗磨、打孔精磨等），</w:t>
            </w:r>
            <w:r>
              <w:rPr>
                <w:rFonts w:hint="eastAsia"/>
                <w:color w:val="auto"/>
                <w:sz w:val="24"/>
              </w:rPr>
              <w:t>则</w:t>
            </w:r>
            <w:r>
              <w:rPr>
                <w:color w:val="auto"/>
                <w:sz w:val="24"/>
              </w:rPr>
              <w:t>项目</w:t>
            </w:r>
            <w:r>
              <w:rPr>
                <w:rFonts w:hint="eastAsia" w:cs="宋体"/>
                <w:color w:val="auto"/>
                <w:sz w:val="24"/>
              </w:rPr>
              <w:t>机加工</w:t>
            </w:r>
            <w:r>
              <w:rPr>
                <w:rFonts w:hint="eastAsia" w:ascii="宋体" w:hAnsi="宋体" w:cs="宋体"/>
                <w:color w:val="auto"/>
                <w:sz w:val="24"/>
              </w:rPr>
              <w:t>废边角料</w:t>
            </w:r>
            <w:r>
              <w:rPr>
                <w:color w:val="auto"/>
                <w:sz w:val="24"/>
              </w:rPr>
              <w:t>产生量约</w:t>
            </w:r>
            <w:r>
              <w:rPr>
                <w:rFonts w:hint="eastAsia"/>
                <w:color w:val="auto"/>
                <w:sz w:val="24"/>
                <w:lang w:val="en-US" w:eastAsia="zh-CN"/>
              </w:rPr>
              <w:t>为600</w:t>
            </w:r>
            <w:r>
              <w:rPr>
                <w:rFonts w:hint="eastAsia"/>
                <w:color w:val="auto"/>
                <w:sz w:val="24"/>
              </w:rPr>
              <w:t>t/a</w:t>
            </w:r>
            <w:r>
              <w:rPr>
                <w:rFonts w:hint="eastAsia"/>
                <w:color w:val="auto"/>
                <w:sz w:val="24"/>
                <w:lang w:eastAsia="zh-CN"/>
              </w:rPr>
              <w:t>。</w:t>
            </w:r>
            <w:r>
              <w:rPr>
                <w:rFonts w:hint="eastAsia"/>
                <w:color w:val="auto"/>
                <w:sz w:val="24"/>
                <w:lang w:val="en-US" w:eastAsia="zh-CN"/>
              </w:rPr>
              <w:t>在粘胶组件产品生产过程中，转轴加工也会产生废边角料，损率约90%左右，则粘胶组件废边角料产生量为2009.177t/a。项目总废边角料产生量为2609.177t/a。</w:t>
            </w:r>
            <w:r>
              <w:rPr>
                <w:rFonts w:hint="eastAsia"/>
                <w:color w:val="auto"/>
                <w:kern w:val="0"/>
                <w:sz w:val="24"/>
              </w:rPr>
              <w:t>参考《东阳瑞邦磁业有限公司年加工500吨钕铁硼磁钢项目》中根据《东阳市钕铁硼切割加工行业环保整治咨询意见》，对照《钕铁硼生产加工回收料》(GB/T23588-2020)相关内容以及参照同类型企业提供的检验报告，</w:t>
            </w:r>
            <w:r>
              <w:rPr>
                <w:rFonts w:hint="eastAsia"/>
                <w:color w:val="auto"/>
                <w:kern w:val="0"/>
                <w:sz w:val="24"/>
                <w:lang w:val="en-US" w:eastAsia="zh-CN"/>
              </w:rPr>
              <w:t>废边角料</w:t>
            </w:r>
            <w:r>
              <w:rPr>
                <w:rFonts w:hint="eastAsia"/>
                <w:color w:val="auto"/>
                <w:kern w:val="0"/>
                <w:sz w:val="24"/>
              </w:rPr>
              <w:t>符合《钕铁硼生产加工回收料》(GB/T23588-2020)表1磁泥、块</w:t>
            </w:r>
            <w:r>
              <w:rPr>
                <w:rFonts w:hint="eastAsia"/>
                <w:color w:val="auto"/>
                <w:kern w:val="0"/>
                <w:sz w:val="24"/>
                <w:lang w:val="en-US" w:eastAsia="zh-CN"/>
              </w:rPr>
              <w:t>片</w:t>
            </w:r>
            <w:r>
              <w:rPr>
                <w:rFonts w:hint="eastAsia"/>
                <w:color w:val="auto"/>
                <w:kern w:val="0"/>
                <w:sz w:val="24"/>
              </w:rPr>
              <w:t>料等回收料分类要求。项目</w:t>
            </w:r>
            <w:r>
              <w:rPr>
                <w:rFonts w:hint="eastAsia"/>
                <w:color w:val="auto"/>
                <w:kern w:val="0"/>
                <w:sz w:val="24"/>
                <w:lang w:val="en-US" w:eastAsia="zh-CN"/>
              </w:rPr>
              <w:t>废边角料</w:t>
            </w:r>
            <w:r>
              <w:rPr>
                <w:rFonts w:hint="eastAsia"/>
                <w:color w:val="auto"/>
                <w:kern w:val="0"/>
                <w:sz w:val="24"/>
              </w:rPr>
              <w:t>产生量共计2609.</w:t>
            </w:r>
            <w:r>
              <w:rPr>
                <w:rFonts w:hint="eastAsia"/>
                <w:color w:val="auto"/>
                <w:kern w:val="0"/>
                <w:sz w:val="24"/>
                <w:lang w:val="en-US" w:eastAsia="zh-CN"/>
              </w:rPr>
              <w:t>177</w:t>
            </w:r>
            <w:r>
              <w:rPr>
                <w:rFonts w:hint="eastAsia"/>
                <w:color w:val="auto"/>
                <w:kern w:val="0"/>
                <w:sz w:val="24"/>
              </w:rPr>
              <w:t>t/a，作为副产品再生利用，不作为固废管理，要求不允许混入与生产、加工无关的夹杂物，</w:t>
            </w:r>
            <w:r>
              <w:rPr>
                <w:rFonts w:hint="eastAsia"/>
                <w:color w:val="auto"/>
                <w:kern w:val="0"/>
                <w:sz w:val="24"/>
                <w:lang w:val="en-US" w:eastAsia="zh-CN"/>
              </w:rPr>
              <w:t>可先暂存至一般固废间，</w:t>
            </w:r>
            <w:r>
              <w:rPr>
                <w:rFonts w:hint="eastAsia"/>
                <w:color w:val="auto"/>
                <w:kern w:val="0"/>
                <w:sz w:val="24"/>
              </w:rPr>
              <w:t>收集后出售给合法公司进行综合利用，重新焙烧制得稀土材料。</w:t>
            </w:r>
            <w:r>
              <w:rPr>
                <w:rFonts w:hint="eastAsia"/>
                <w:color w:val="auto"/>
                <w:kern w:val="0"/>
                <w:sz w:val="24"/>
                <w:lang w:val="en-US" w:eastAsia="zh-CN"/>
              </w:rPr>
              <w:t>采用车辆转移，采用密闭车辆，防渗漏。</w:t>
            </w:r>
          </w:p>
          <w:p w14:paraId="3C04945C">
            <w:pPr>
              <w:pStyle w:val="6"/>
              <w:overflowPunct w:val="0"/>
              <w:topLinePunct/>
              <w:snapToGrid/>
              <w:spacing w:before="0" w:after="0" w:line="360" w:lineRule="auto"/>
              <w:ind w:right="0" w:firstLine="480" w:firstLineChars="200"/>
              <w:rPr>
                <w:color w:val="auto"/>
                <w:sz w:val="24"/>
                <w:szCs w:val="22"/>
              </w:rPr>
            </w:pPr>
            <w:r>
              <w:rPr>
                <w:rFonts w:hint="eastAsia"/>
                <w:color w:val="auto"/>
                <w:sz w:val="24"/>
                <w:szCs w:val="22"/>
              </w:rPr>
              <w:t>（2）固废产生及处理情况汇总</w:t>
            </w:r>
          </w:p>
          <w:p w14:paraId="5218D2D0">
            <w:pPr>
              <w:pStyle w:val="6"/>
              <w:overflowPunct w:val="0"/>
              <w:topLinePunct/>
              <w:snapToGrid/>
              <w:spacing w:before="0" w:after="0" w:line="360" w:lineRule="auto"/>
              <w:ind w:right="0" w:firstLine="480" w:firstLineChars="200"/>
              <w:rPr>
                <w:color w:val="auto"/>
                <w:sz w:val="24"/>
                <w:szCs w:val="22"/>
              </w:rPr>
            </w:pPr>
            <w:r>
              <w:rPr>
                <w:rFonts w:hint="eastAsia"/>
                <w:color w:val="auto"/>
                <w:sz w:val="24"/>
                <w:szCs w:val="22"/>
              </w:rPr>
              <w:t>根据《建设项目危险废物环境影响评价指南》，根据前面分析，项目固体废物汇总表详见表4-1</w:t>
            </w:r>
            <w:r>
              <w:rPr>
                <w:rFonts w:hint="eastAsia"/>
                <w:color w:val="auto"/>
                <w:sz w:val="24"/>
                <w:szCs w:val="22"/>
                <w:lang w:val="en-US" w:eastAsia="zh-CN"/>
              </w:rPr>
              <w:t>9</w:t>
            </w:r>
            <w:r>
              <w:rPr>
                <w:rFonts w:hint="eastAsia"/>
                <w:color w:val="auto"/>
                <w:sz w:val="24"/>
                <w:szCs w:val="22"/>
              </w:rPr>
              <w:t>，危险废物基本情况详见表4-</w:t>
            </w:r>
            <w:r>
              <w:rPr>
                <w:rFonts w:hint="eastAsia"/>
                <w:color w:val="auto"/>
                <w:sz w:val="24"/>
                <w:szCs w:val="22"/>
                <w:lang w:val="en-US" w:eastAsia="zh-CN"/>
              </w:rPr>
              <w:t>20</w:t>
            </w:r>
            <w:r>
              <w:rPr>
                <w:rFonts w:hint="eastAsia"/>
                <w:color w:val="auto"/>
                <w:sz w:val="24"/>
                <w:szCs w:val="22"/>
              </w:rPr>
              <w:t>，危险废物贮存场所基本情况详见表4-</w:t>
            </w:r>
            <w:r>
              <w:rPr>
                <w:rFonts w:hint="eastAsia"/>
                <w:color w:val="auto"/>
                <w:sz w:val="24"/>
                <w:szCs w:val="22"/>
                <w:lang w:val="en-US" w:eastAsia="zh-CN"/>
              </w:rPr>
              <w:t>21</w:t>
            </w:r>
            <w:r>
              <w:rPr>
                <w:rFonts w:hint="eastAsia"/>
                <w:color w:val="auto"/>
                <w:sz w:val="24"/>
                <w:szCs w:val="22"/>
              </w:rPr>
              <w:t>。</w:t>
            </w:r>
          </w:p>
          <w:p w14:paraId="0C8CE446">
            <w:pPr>
              <w:jc w:val="center"/>
              <w:rPr>
                <w:b/>
                <w:bCs/>
                <w:color w:val="auto"/>
                <w:sz w:val="24"/>
              </w:rPr>
            </w:pPr>
            <w:r>
              <w:rPr>
                <w:rFonts w:hint="eastAsia"/>
                <w:b/>
                <w:bCs/>
                <w:color w:val="auto"/>
                <w:sz w:val="24"/>
              </w:rPr>
              <w:t>表4-1</w:t>
            </w:r>
            <w:r>
              <w:rPr>
                <w:rFonts w:hint="eastAsia"/>
                <w:b/>
                <w:bCs/>
                <w:color w:val="auto"/>
                <w:sz w:val="24"/>
                <w:lang w:val="en-US" w:eastAsia="zh-CN"/>
              </w:rPr>
              <w:t>9</w:t>
            </w:r>
            <w:r>
              <w:rPr>
                <w:rFonts w:hint="eastAsia"/>
                <w:b/>
                <w:bCs/>
                <w:color w:val="auto"/>
                <w:sz w:val="24"/>
              </w:rPr>
              <w:t>固体废物汇总表详见表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5"/>
              <w:gridCol w:w="740"/>
              <w:gridCol w:w="1099"/>
              <w:gridCol w:w="975"/>
              <w:gridCol w:w="914"/>
              <w:gridCol w:w="1313"/>
              <w:gridCol w:w="1173"/>
              <w:gridCol w:w="1007"/>
            </w:tblGrid>
            <w:tr w14:paraId="0937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14:paraId="32A4ACC8">
                  <w:pPr>
                    <w:jc w:val="center"/>
                    <w:rPr>
                      <w:b/>
                      <w:bCs/>
                      <w:color w:val="auto"/>
                      <w:szCs w:val="21"/>
                    </w:rPr>
                  </w:pPr>
                  <w:r>
                    <w:rPr>
                      <w:rFonts w:hint="eastAsia"/>
                      <w:b/>
                      <w:bCs/>
                      <w:color w:val="auto"/>
                      <w:szCs w:val="21"/>
                    </w:rPr>
                    <w:t>序号</w:t>
                  </w:r>
                </w:p>
              </w:tc>
              <w:tc>
                <w:tcPr>
                  <w:tcW w:w="492" w:type="pct"/>
                  <w:vAlign w:val="center"/>
                </w:tcPr>
                <w:p w14:paraId="0C55A36D">
                  <w:pPr>
                    <w:jc w:val="center"/>
                    <w:rPr>
                      <w:b/>
                      <w:bCs/>
                      <w:color w:val="auto"/>
                      <w:szCs w:val="21"/>
                    </w:rPr>
                  </w:pPr>
                  <w:r>
                    <w:rPr>
                      <w:rFonts w:hint="eastAsia"/>
                      <w:b/>
                      <w:bCs/>
                      <w:color w:val="auto"/>
                      <w:szCs w:val="21"/>
                    </w:rPr>
                    <w:t>产生工序</w:t>
                  </w:r>
                </w:p>
              </w:tc>
              <w:tc>
                <w:tcPr>
                  <w:tcW w:w="436" w:type="pct"/>
                  <w:vAlign w:val="center"/>
                </w:tcPr>
                <w:p w14:paraId="088FD4C9">
                  <w:pPr>
                    <w:jc w:val="center"/>
                    <w:rPr>
                      <w:b/>
                      <w:bCs/>
                      <w:color w:val="auto"/>
                      <w:szCs w:val="21"/>
                    </w:rPr>
                  </w:pPr>
                  <w:r>
                    <w:rPr>
                      <w:rFonts w:hint="eastAsia"/>
                      <w:b/>
                      <w:bCs/>
                      <w:color w:val="auto"/>
                      <w:szCs w:val="21"/>
                    </w:rPr>
                    <w:t>固废名称</w:t>
                  </w:r>
                </w:p>
              </w:tc>
              <w:tc>
                <w:tcPr>
                  <w:tcW w:w="647" w:type="pct"/>
                  <w:vAlign w:val="center"/>
                </w:tcPr>
                <w:p w14:paraId="1F3B7DDD">
                  <w:pPr>
                    <w:jc w:val="center"/>
                    <w:rPr>
                      <w:b/>
                      <w:bCs/>
                      <w:color w:val="auto"/>
                      <w:szCs w:val="21"/>
                    </w:rPr>
                  </w:pPr>
                  <w:r>
                    <w:rPr>
                      <w:rFonts w:hint="eastAsia"/>
                      <w:b/>
                      <w:bCs/>
                      <w:color w:val="auto"/>
                      <w:szCs w:val="21"/>
                    </w:rPr>
                    <w:t>产生量（t/a）</w:t>
                  </w:r>
                </w:p>
              </w:tc>
              <w:tc>
                <w:tcPr>
                  <w:tcW w:w="574" w:type="pct"/>
                  <w:vAlign w:val="center"/>
                </w:tcPr>
                <w:p w14:paraId="7E8A39A1">
                  <w:pPr>
                    <w:jc w:val="center"/>
                    <w:rPr>
                      <w:b/>
                      <w:bCs/>
                      <w:color w:val="auto"/>
                      <w:szCs w:val="21"/>
                    </w:rPr>
                  </w:pPr>
                  <w:r>
                    <w:rPr>
                      <w:rFonts w:hint="eastAsia"/>
                      <w:b/>
                      <w:bCs/>
                      <w:color w:val="auto"/>
                      <w:szCs w:val="21"/>
                    </w:rPr>
                    <w:t>废物属性</w:t>
                  </w:r>
                </w:p>
              </w:tc>
              <w:tc>
                <w:tcPr>
                  <w:tcW w:w="538" w:type="pct"/>
                  <w:vAlign w:val="center"/>
                </w:tcPr>
                <w:p w14:paraId="4870E2CB">
                  <w:pPr>
                    <w:jc w:val="center"/>
                    <w:rPr>
                      <w:rFonts w:hint="eastAsia"/>
                      <w:b/>
                      <w:bCs/>
                      <w:color w:val="auto"/>
                      <w:szCs w:val="21"/>
                    </w:rPr>
                  </w:pPr>
                  <w:r>
                    <w:rPr>
                      <w:rFonts w:hint="eastAsia"/>
                      <w:b/>
                      <w:bCs/>
                      <w:color w:val="auto"/>
                      <w:sz w:val="21"/>
                      <w:szCs w:val="21"/>
                    </w:rPr>
                    <w:t>废物类别</w:t>
                  </w:r>
                </w:p>
              </w:tc>
              <w:tc>
                <w:tcPr>
                  <w:tcW w:w="773" w:type="pct"/>
                  <w:vAlign w:val="center"/>
                </w:tcPr>
                <w:p w14:paraId="4641AFDA">
                  <w:pPr>
                    <w:jc w:val="center"/>
                    <w:rPr>
                      <w:b/>
                      <w:bCs/>
                      <w:color w:val="auto"/>
                      <w:szCs w:val="21"/>
                    </w:rPr>
                  </w:pPr>
                  <w:r>
                    <w:rPr>
                      <w:rFonts w:hint="eastAsia"/>
                      <w:b/>
                      <w:bCs/>
                      <w:color w:val="auto"/>
                      <w:szCs w:val="21"/>
                    </w:rPr>
                    <w:t>废物代码</w:t>
                  </w:r>
                </w:p>
              </w:tc>
              <w:tc>
                <w:tcPr>
                  <w:tcW w:w="691" w:type="pct"/>
                  <w:vAlign w:val="center"/>
                </w:tcPr>
                <w:p w14:paraId="4E97EBF4">
                  <w:pPr>
                    <w:jc w:val="center"/>
                    <w:rPr>
                      <w:rFonts w:hint="default" w:eastAsia="宋体"/>
                      <w:b/>
                      <w:bCs/>
                      <w:color w:val="auto"/>
                      <w:szCs w:val="21"/>
                      <w:lang w:val="en-US" w:eastAsia="zh-CN"/>
                    </w:rPr>
                  </w:pPr>
                  <w:r>
                    <w:rPr>
                      <w:rFonts w:hint="eastAsia"/>
                      <w:b/>
                      <w:bCs/>
                      <w:color w:val="auto"/>
                      <w:szCs w:val="21"/>
                      <w:lang w:val="en-US" w:eastAsia="zh-CN"/>
                    </w:rPr>
                    <w:t>贮存方式</w:t>
                  </w:r>
                </w:p>
              </w:tc>
              <w:tc>
                <w:tcPr>
                  <w:tcW w:w="593" w:type="pct"/>
                  <w:vAlign w:val="center"/>
                </w:tcPr>
                <w:p w14:paraId="5C5C1FF3">
                  <w:pPr>
                    <w:jc w:val="center"/>
                    <w:rPr>
                      <w:b/>
                      <w:bCs/>
                      <w:color w:val="auto"/>
                      <w:szCs w:val="21"/>
                    </w:rPr>
                  </w:pPr>
                  <w:r>
                    <w:rPr>
                      <w:rFonts w:hint="eastAsia"/>
                      <w:b/>
                      <w:bCs/>
                      <w:color w:val="auto"/>
                      <w:szCs w:val="21"/>
                    </w:rPr>
                    <w:t>处置方式</w:t>
                  </w:r>
                </w:p>
              </w:tc>
            </w:tr>
            <w:tr w14:paraId="43D9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14:paraId="14249797">
                  <w:pPr>
                    <w:jc w:val="center"/>
                    <w:rPr>
                      <w:color w:val="auto"/>
                      <w:szCs w:val="21"/>
                    </w:rPr>
                  </w:pPr>
                  <w:r>
                    <w:rPr>
                      <w:rFonts w:hint="eastAsia"/>
                      <w:color w:val="auto"/>
                      <w:szCs w:val="21"/>
                    </w:rPr>
                    <w:t>1</w:t>
                  </w:r>
                </w:p>
              </w:tc>
              <w:tc>
                <w:tcPr>
                  <w:tcW w:w="492" w:type="pct"/>
                  <w:vAlign w:val="center"/>
                </w:tcPr>
                <w:p w14:paraId="4DFCB7C2">
                  <w:pPr>
                    <w:jc w:val="center"/>
                    <w:rPr>
                      <w:color w:val="auto"/>
                      <w:szCs w:val="21"/>
                    </w:rPr>
                  </w:pPr>
                  <w:r>
                    <w:rPr>
                      <w:rFonts w:hint="eastAsia"/>
                      <w:color w:val="auto"/>
                      <w:szCs w:val="21"/>
                    </w:rPr>
                    <w:t>员工生活</w:t>
                  </w:r>
                </w:p>
              </w:tc>
              <w:tc>
                <w:tcPr>
                  <w:tcW w:w="436" w:type="pct"/>
                  <w:vAlign w:val="center"/>
                </w:tcPr>
                <w:p w14:paraId="198B9B44">
                  <w:pPr>
                    <w:jc w:val="center"/>
                    <w:rPr>
                      <w:color w:val="auto"/>
                      <w:szCs w:val="21"/>
                    </w:rPr>
                  </w:pPr>
                  <w:r>
                    <w:rPr>
                      <w:rFonts w:hint="eastAsia"/>
                      <w:color w:val="auto"/>
                      <w:szCs w:val="21"/>
                    </w:rPr>
                    <w:t>生活垃圾</w:t>
                  </w:r>
                </w:p>
              </w:tc>
              <w:tc>
                <w:tcPr>
                  <w:tcW w:w="647" w:type="pct"/>
                  <w:vAlign w:val="center"/>
                </w:tcPr>
                <w:p w14:paraId="0FD3C359">
                  <w:pPr>
                    <w:jc w:val="center"/>
                    <w:rPr>
                      <w:color w:val="auto"/>
                      <w:szCs w:val="21"/>
                    </w:rPr>
                  </w:pPr>
                  <w:r>
                    <w:rPr>
                      <w:color w:val="auto"/>
                      <w:szCs w:val="21"/>
                    </w:rPr>
                    <w:t>31.95</w:t>
                  </w:r>
                </w:p>
              </w:tc>
              <w:tc>
                <w:tcPr>
                  <w:tcW w:w="574" w:type="pct"/>
                  <w:vAlign w:val="center"/>
                </w:tcPr>
                <w:p w14:paraId="4C7CE1F3">
                  <w:pPr>
                    <w:jc w:val="center"/>
                    <w:rPr>
                      <w:color w:val="auto"/>
                      <w:szCs w:val="21"/>
                    </w:rPr>
                  </w:pPr>
                  <w:r>
                    <w:rPr>
                      <w:rFonts w:hint="eastAsia"/>
                      <w:color w:val="auto"/>
                      <w:szCs w:val="21"/>
                    </w:rPr>
                    <w:t>生活垃圾</w:t>
                  </w:r>
                </w:p>
              </w:tc>
              <w:tc>
                <w:tcPr>
                  <w:tcW w:w="538" w:type="pct"/>
                  <w:vAlign w:val="center"/>
                </w:tcPr>
                <w:p w14:paraId="5DC7A3B5">
                  <w:pPr>
                    <w:jc w:val="center"/>
                    <w:rPr>
                      <w:rFonts w:hint="eastAsia" w:eastAsia="宋体"/>
                      <w:color w:val="auto"/>
                      <w:szCs w:val="21"/>
                      <w:lang w:val="en-US" w:eastAsia="zh-CN"/>
                    </w:rPr>
                  </w:pPr>
                  <w:r>
                    <w:rPr>
                      <w:rFonts w:hint="eastAsia"/>
                      <w:color w:val="auto"/>
                      <w:szCs w:val="21"/>
                      <w:lang w:val="en-US" w:eastAsia="zh-CN"/>
                    </w:rPr>
                    <w:t>/</w:t>
                  </w:r>
                </w:p>
              </w:tc>
              <w:tc>
                <w:tcPr>
                  <w:tcW w:w="773" w:type="pct"/>
                  <w:vAlign w:val="center"/>
                </w:tcPr>
                <w:p w14:paraId="2C0395A6">
                  <w:pPr>
                    <w:jc w:val="center"/>
                    <w:rPr>
                      <w:color w:val="auto"/>
                      <w:szCs w:val="21"/>
                    </w:rPr>
                  </w:pPr>
                  <w:r>
                    <w:rPr>
                      <w:rFonts w:hint="eastAsia"/>
                      <w:color w:val="auto"/>
                      <w:szCs w:val="21"/>
                    </w:rPr>
                    <w:t>/</w:t>
                  </w:r>
                </w:p>
              </w:tc>
              <w:tc>
                <w:tcPr>
                  <w:tcW w:w="691" w:type="pct"/>
                  <w:vAlign w:val="center"/>
                </w:tcPr>
                <w:p w14:paraId="4F3E8CA5">
                  <w:pPr>
                    <w:jc w:val="center"/>
                    <w:rPr>
                      <w:rFonts w:hint="eastAsia" w:eastAsia="宋体"/>
                      <w:color w:val="auto"/>
                      <w:szCs w:val="21"/>
                      <w:lang w:val="en-US" w:eastAsia="zh-CN"/>
                    </w:rPr>
                  </w:pPr>
                  <w:r>
                    <w:rPr>
                      <w:rFonts w:hint="eastAsia"/>
                      <w:color w:val="auto"/>
                      <w:szCs w:val="21"/>
                      <w:lang w:val="en-US" w:eastAsia="zh-CN"/>
                    </w:rPr>
                    <w:t>/</w:t>
                  </w:r>
                </w:p>
              </w:tc>
              <w:tc>
                <w:tcPr>
                  <w:tcW w:w="593" w:type="pct"/>
                  <w:vAlign w:val="center"/>
                </w:tcPr>
                <w:p w14:paraId="0E437E24">
                  <w:pPr>
                    <w:jc w:val="center"/>
                    <w:rPr>
                      <w:color w:val="auto"/>
                      <w:szCs w:val="21"/>
                    </w:rPr>
                  </w:pPr>
                  <w:r>
                    <w:rPr>
                      <w:rFonts w:hint="eastAsia"/>
                      <w:color w:val="auto"/>
                      <w:szCs w:val="21"/>
                    </w:rPr>
                    <w:t>由环卫部门处置</w:t>
                  </w:r>
                </w:p>
              </w:tc>
            </w:tr>
            <w:tr w14:paraId="4666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shd w:val="clear" w:color="auto" w:fill="auto"/>
                  <w:vAlign w:val="center"/>
                </w:tcPr>
                <w:p w14:paraId="3FCF6236">
                  <w:pPr>
                    <w:jc w:val="center"/>
                    <w:rPr>
                      <w:color w:val="auto"/>
                      <w:szCs w:val="21"/>
                    </w:rPr>
                  </w:pPr>
                  <w:r>
                    <w:rPr>
                      <w:rFonts w:hint="eastAsia"/>
                      <w:color w:val="auto"/>
                      <w:szCs w:val="21"/>
                    </w:rPr>
                    <w:t>2</w:t>
                  </w:r>
                </w:p>
              </w:tc>
              <w:tc>
                <w:tcPr>
                  <w:tcW w:w="492" w:type="pct"/>
                  <w:shd w:val="clear" w:color="auto" w:fill="auto"/>
                  <w:vAlign w:val="center"/>
                </w:tcPr>
                <w:p w14:paraId="3F0FA471">
                  <w:pPr>
                    <w:jc w:val="center"/>
                    <w:rPr>
                      <w:color w:val="auto"/>
                      <w:szCs w:val="21"/>
                    </w:rPr>
                  </w:pPr>
                  <w:r>
                    <w:rPr>
                      <w:rFonts w:hint="eastAsia"/>
                      <w:color w:val="auto"/>
                      <w:szCs w:val="21"/>
                    </w:rPr>
                    <w:t>循环水池、污水池</w:t>
                  </w:r>
                </w:p>
              </w:tc>
              <w:tc>
                <w:tcPr>
                  <w:tcW w:w="436" w:type="pct"/>
                  <w:shd w:val="clear" w:color="auto" w:fill="auto"/>
                  <w:vAlign w:val="center"/>
                </w:tcPr>
                <w:p w14:paraId="112233F9">
                  <w:pPr>
                    <w:jc w:val="center"/>
                    <w:rPr>
                      <w:color w:val="auto"/>
                      <w:szCs w:val="21"/>
                    </w:rPr>
                  </w:pPr>
                  <w:r>
                    <w:rPr>
                      <w:rFonts w:hint="eastAsia"/>
                      <w:color w:val="auto"/>
                      <w:szCs w:val="21"/>
                    </w:rPr>
                    <w:t>磁泥</w:t>
                  </w:r>
                </w:p>
              </w:tc>
              <w:tc>
                <w:tcPr>
                  <w:tcW w:w="647" w:type="pct"/>
                  <w:shd w:val="clear" w:color="auto" w:fill="auto"/>
                  <w:vAlign w:val="center"/>
                </w:tcPr>
                <w:p w14:paraId="1BD84070">
                  <w:pPr>
                    <w:jc w:val="center"/>
                    <w:rPr>
                      <w:color w:val="auto"/>
                      <w:szCs w:val="21"/>
                    </w:rPr>
                  </w:pPr>
                  <w:r>
                    <w:rPr>
                      <w:rFonts w:hint="eastAsia"/>
                      <w:color w:val="auto"/>
                      <w:szCs w:val="21"/>
                      <w:lang w:val="en-US" w:eastAsia="zh-CN"/>
                    </w:rPr>
                    <w:t>1435.8</w:t>
                  </w:r>
                  <w:r>
                    <w:rPr>
                      <w:rFonts w:hint="eastAsia"/>
                      <w:color w:val="auto"/>
                      <w:szCs w:val="21"/>
                    </w:rPr>
                    <w:t>t/a</w:t>
                  </w:r>
                </w:p>
              </w:tc>
              <w:tc>
                <w:tcPr>
                  <w:tcW w:w="574" w:type="pct"/>
                  <w:shd w:val="clear" w:color="auto" w:fill="auto"/>
                  <w:vAlign w:val="center"/>
                </w:tcPr>
                <w:p w14:paraId="5CC89D2E">
                  <w:pPr>
                    <w:jc w:val="center"/>
                    <w:rPr>
                      <w:color w:val="auto"/>
                      <w:szCs w:val="21"/>
                    </w:rPr>
                  </w:pPr>
                  <w:r>
                    <w:rPr>
                      <w:rFonts w:hint="eastAsia"/>
                      <w:color w:val="auto"/>
                      <w:szCs w:val="21"/>
                    </w:rPr>
                    <w:t>/</w:t>
                  </w:r>
                </w:p>
              </w:tc>
              <w:tc>
                <w:tcPr>
                  <w:tcW w:w="538" w:type="pct"/>
                  <w:shd w:val="clear" w:color="auto" w:fill="auto"/>
                  <w:vAlign w:val="center"/>
                </w:tcPr>
                <w:p w14:paraId="7250F2A1">
                  <w:pPr>
                    <w:jc w:val="center"/>
                    <w:rPr>
                      <w:rFonts w:hint="eastAsia" w:eastAsia="宋体"/>
                      <w:color w:val="auto"/>
                      <w:szCs w:val="21"/>
                      <w:lang w:val="en-US" w:eastAsia="zh-CN"/>
                    </w:rPr>
                  </w:pPr>
                  <w:r>
                    <w:rPr>
                      <w:rFonts w:hint="eastAsia"/>
                      <w:color w:val="auto"/>
                      <w:szCs w:val="21"/>
                      <w:lang w:val="en-US" w:eastAsia="zh-CN"/>
                    </w:rPr>
                    <w:t>/</w:t>
                  </w:r>
                </w:p>
              </w:tc>
              <w:tc>
                <w:tcPr>
                  <w:tcW w:w="773" w:type="pct"/>
                  <w:shd w:val="clear" w:color="auto" w:fill="auto"/>
                  <w:vAlign w:val="center"/>
                </w:tcPr>
                <w:p w14:paraId="07904353">
                  <w:pPr>
                    <w:jc w:val="center"/>
                    <w:rPr>
                      <w:color w:val="auto"/>
                      <w:szCs w:val="21"/>
                    </w:rPr>
                  </w:pPr>
                  <w:r>
                    <w:rPr>
                      <w:rFonts w:hint="eastAsia"/>
                      <w:color w:val="auto"/>
                      <w:szCs w:val="21"/>
                    </w:rPr>
                    <w:t>/</w:t>
                  </w:r>
                </w:p>
              </w:tc>
              <w:tc>
                <w:tcPr>
                  <w:tcW w:w="691" w:type="pct"/>
                  <w:vAlign w:val="center"/>
                </w:tcPr>
                <w:p w14:paraId="21F5247E">
                  <w:pPr>
                    <w:jc w:val="center"/>
                    <w:rPr>
                      <w:rFonts w:hint="eastAsia" w:eastAsia="宋体"/>
                      <w:color w:val="auto"/>
                      <w:szCs w:val="21"/>
                      <w:lang w:val="en-US" w:eastAsia="zh-CN"/>
                    </w:rPr>
                  </w:pPr>
                  <w:r>
                    <w:rPr>
                      <w:rFonts w:hint="eastAsia"/>
                      <w:color w:val="auto"/>
                      <w:szCs w:val="21"/>
                      <w:lang w:val="en-US" w:eastAsia="zh-CN"/>
                    </w:rPr>
                    <w:t>桶装</w:t>
                  </w:r>
                </w:p>
              </w:tc>
              <w:tc>
                <w:tcPr>
                  <w:tcW w:w="593" w:type="pct"/>
                  <w:vMerge w:val="restart"/>
                  <w:vAlign w:val="center"/>
                </w:tcPr>
                <w:p w14:paraId="546801E0">
                  <w:pPr>
                    <w:jc w:val="center"/>
                    <w:rPr>
                      <w:color w:val="auto"/>
                      <w:szCs w:val="21"/>
                    </w:rPr>
                  </w:pPr>
                  <w:r>
                    <w:rPr>
                      <w:rFonts w:hint="eastAsia"/>
                      <w:color w:val="auto"/>
                      <w:szCs w:val="21"/>
                    </w:rPr>
                    <w:t>综合利用</w:t>
                  </w:r>
                </w:p>
              </w:tc>
            </w:tr>
            <w:tr w14:paraId="277A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shd w:val="clear" w:color="auto" w:fill="auto"/>
                  <w:vAlign w:val="center"/>
                </w:tcPr>
                <w:p w14:paraId="6175B5A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p>
              </w:tc>
              <w:tc>
                <w:tcPr>
                  <w:tcW w:w="492" w:type="pct"/>
                  <w:shd w:val="clear" w:color="auto" w:fill="auto"/>
                  <w:vAlign w:val="center"/>
                </w:tcPr>
                <w:p w14:paraId="2F9E6C20">
                  <w:pPr>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Cs w:val="21"/>
                    </w:rPr>
                    <w:t>打孔</w:t>
                  </w:r>
                  <w:r>
                    <w:rPr>
                      <w:rFonts w:hint="eastAsia" w:ascii="宋体" w:hAnsi="宋体" w:cs="宋体"/>
                      <w:color w:val="auto"/>
                      <w:szCs w:val="21"/>
                      <w:lang w:eastAsia="zh-CN"/>
                    </w:rPr>
                    <w:t>、</w:t>
                  </w:r>
                  <w:r>
                    <w:rPr>
                      <w:rFonts w:hint="eastAsia" w:ascii="宋体" w:hAnsi="宋体" w:cs="宋体"/>
                      <w:color w:val="auto"/>
                      <w:szCs w:val="21"/>
                      <w:lang w:val="en-US" w:eastAsia="zh-CN"/>
                    </w:rPr>
                    <w:t>转轴加工</w:t>
                  </w:r>
                </w:p>
              </w:tc>
              <w:tc>
                <w:tcPr>
                  <w:tcW w:w="436" w:type="pct"/>
                  <w:shd w:val="clear" w:color="auto" w:fill="auto"/>
                  <w:vAlign w:val="center"/>
                </w:tcPr>
                <w:p w14:paraId="139A9412">
                  <w:pPr>
                    <w:jc w:val="center"/>
                    <w:rPr>
                      <w:rFonts w:hint="eastAsia" w:ascii="宋体" w:hAnsi="宋体" w:eastAsia="宋体" w:cs="宋体"/>
                      <w:color w:val="auto"/>
                      <w:kern w:val="2"/>
                      <w:sz w:val="21"/>
                      <w:szCs w:val="21"/>
                      <w:lang w:val="en-US" w:eastAsia="zh-CN" w:bidi="ar-SA"/>
                    </w:rPr>
                  </w:pPr>
                  <w:r>
                    <w:rPr>
                      <w:rFonts w:hint="eastAsia"/>
                      <w:color w:val="auto"/>
                      <w:szCs w:val="21"/>
                    </w:rPr>
                    <w:t>废边角料</w:t>
                  </w:r>
                </w:p>
              </w:tc>
              <w:tc>
                <w:tcPr>
                  <w:tcW w:w="647" w:type="pct"/>
                  <w:shd w:val="clear" w:color="auto" w:fill="auto"/>
                  <w:vAlign w:val="center"/>
                </w:tcPr>
                <w:p w14:paraId="70857B0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2609.177</w:t>
                  </w:r>
                </w:p>
              </w:tc>
              <w:tc>
                <w:tcPr>
                  <w:tcW w:w="574" w:type="pct"/>
                  <w:shd w:val="clear" w:color="auto" w:fill="auto"/>
                  <w:vAlign w:val="center"/>
                </w:tcPr>
                <w:p w14:paraId="761FA5B2">
                  <w:pPr>
                    <w:jc w:val="center"/>
                    <w:rPr>
                      <w:rFonts w:hint="eastAsia" w:eastAsia="宋体"/>
                      <w:color w:val="auto"/>
                      <w:szCs w:val="21"/>
                      <w:lang w:val="en-US" w:eastAsia="zh-CN"/>
                    </w:rPr>
                  </w:pPr>
                  <w:r>
                    <w:rPr>
                      <w:rFonts w:hint="eastAsia"/>
                      <w:color w:val="auto"/>
                      <w:szCs w:val="21"/>
                      <w:lang w:val="en-US" w:eastAsia="zh-CN"/>
                    </w:rPr>
                    <w:t>/</w:t>
                  </w:r>
                </w:p>
              </w:tc>
              <w:tc>
                <w:tcPr>
                  <w:tcW w:w="538" w:type="pct"/>
                  <w:shd w:val="clear" w:color="auto" w:fill="auto"/>
                  <w:vAlign w:val="center"/>
                </w:tcPr>
                <w:p w14:paraId="2942C25D">
                  <w:pPr>
                    <w:jc w:val="center"/>
                    <w:rPr>
                      <w:rFonts w:hint="default"/>
                      <w:color w:val="auto"/>
                      <w:szCs w:val="21"/>
                      <w:lang w:val="en-US" w:eastAsia="zh-CN"/>
                    </w:rPr>
                  </w:pPr>
                  <w:r>
                    <w:rPr>
                      <w:rFonts w:hint="eastAsia"/>
                      <w:color w:val="auto"/>
                      <w:szCs w:val="21"/>
                      <w:lang w:val="en-US" w:eastAsia="zh-CN"/>
                    </w:rPr>
                    <w:t>/</w:t>
                  </w:r>
                </w:p>
              </w:tc>
              <w:tc>
                <w:tcPr>
                  <w:tcW w:w="773" w:type="pct"/>
                  <w:shd w:val="clear" w:color="auto" w:fill="auto"/>
                  <w:vAlign w:val="center"/>
                </w:tcPr>
                <w:p w14:paraId="1F0F59C9">
                  <w:pPr>
                    <w:jc w:val="center"/>
                    <w:rPr>
                      <w:rFonts w:hint="eastAsia" w:eastAsia="宋体"/>
                      <w:color w:val="auto"/>
                      <w:szCs w:val="21"/>
                      <w:lang w:val="en-US" w:eastAsia="zh-CN"/>
                    </w:rPr>
                  </w:pPr>
                  <w:r>
                    <w:rPr>
                      <w:rFonts w:hint="eastAsia"/>
                      <w:color w:val="auto"/>
                      <w:szCs w:val="21"/>
                      <w:lang w:val="en-US" w:eastAsia="zh-CN"/>
                    </w:rPr>
                    <w:t>/</w:t>
                  </w:r>
                </w:p>
              </w:tc>
              <w:tc>
                <w:tcPr>
                  <w:tcW w:w="691" w:type="pct"/>
                  <w:vAlign w:val="center"/>
                </w:tcPr>
                <w:p w14:paraId="38445A01">
                  <w:pPr>
                    <w:jc w:val="center"/>
                    <w:rPr>
                      <w:rFonts w:hint="default"/>
                      <w:color w:val="auto"/>
                      <w:szCs w:val="21"/>
                      <w:lang w:val="en-US" w:eastAsia="zh-CN"/>
                    </w:rPr>
                  </w:pPr>
                  <w:r>
                    <w:rPr>
                      <w:rFonts w:hint="default"/>
                      <w:color w:val="auto"/>
                      <w:szCs w:val="21"/>
                      <w:lang w:val="en-US" w:eastAsia="zh-CN"/>
                    </w:rPr>
                    <w:t>桶装</w:t>
                  </w:r>
                </w:p>
              </w:tc>
              <w:tc>
                <w:tcPr>
                  <w:tcW w:w="593" w:type="pct"/>
                  <w:vMerge w:val="continue"/>
                  <w:vAlign w:val="center"/>
                </w:tcPr>
                <w:p w14:paraId="6265D36D">
                  <w:pPr>
                    <w:jc w:val="center"/>
                    <w:rPr>
                      <w:rFonts w:hint="eastAsia"/>
                      <w:color w:val="auto"/>
                      <w:szCs w:val="21"/>
                    </w:rPr>
                  </w:pPr>
                </w:p>
              </w:tc>
            </w:tr>
            <w:tr w14:paraId="5E5C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shd w:val="clear" w:color="auto" w:fill="auto"/>
                  <w:vAlign w:val="center"/>
                </w:tcPr>
                <w:p w14:paraId="533E03C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w:t>
                  </w:r>
                </w:p>
              </w:tc>
              <w:tc>
                <w:tcPr>
                  <w:tcW w:w="492" w:type="pct"/>
                  <w:vAlign w:val="center"/>
                </w:tcPr>
                <w:p w14:paraId="15CD92AF">
                  <w:pPr>
                    <w:jc w:val="center"/>
                    <w:rPr>
                      <w:color w:val="auto"/>
                      <w:szCs w:val="21"/>
                    </w:rPr>
                  </w:pPr>
                  <w:r>
                    <w:rPr>
                      <w:rFonts w:hint="eastAsia"/>
                      <w:color w:val="auto"/>
                      <w:szCs w:val="21"/>
                    </w:rPr>
                    <w:t>检验</w:t>
                  </w:r>
                </w:p>
              </w:tc>
              <w:tc>
                <w:tcPr>
                  <w:tcW w:w="436" w:type="pct"/>
                  <w:vAlign w:val="center"/>
                </w:tcPr>
                <w:p w14:paraId="0D4655E3">
                  <w:pPr>
                    <w:jc w:val="center"/>
                    <w:rPr>
                      <w:color w:val="auto"/>
                      <w:szCs w:val="21"/>
                    </w:rPr>
                  </w:pPr>
                  <w:r>
                    <w:rPr>
                      <w:rFonts w:hint="eastAsia"/>
                      <w:color w:val="auto"/>
                      <w:szCs w:val="21"/>
                    </w:rPr>
                    <w:t>不合格品</w:t>
                  </w:r>
                </w:p>
              </w:tc>
              <w:tc>
                <w:tcPr>
                  <w:tcW w:w="647" w:type="pct"/>
                  <w:vAlign w:val="center"/>
                </w:tcPr>
                <w:p w14:paraId="545332E2">
                  <w:pPr>
                    <w:jc w:val="center"/>
                    <w:rPr>
                      <w:rFonts w:hint="default" w:eastAsia="宋体"/>
                      <w:color w:val="auto"/>
                      <w:szCs w:val="21"/>
                      <w:lang w:val="en-US" w:eastAsia="zh-CN"/>
                    </w:rPr>
                  </w:pPr>
                  <w:r>
                    <w:rPr>
                      <w:rFonts w:hint="eastAsia"/>
                      <w:color w:val="auto"/>
                      <w:szCs w:val="21"/>
                      <w:lang w:val="en-US" w:eastAsia="zh-CN"/>
                    </w:rPr>
                    <w:t>4.6</w:t>
                  </w:r>
                </w:p>
              </w:tc>
              <w:tc>
                <w:tcPr>
                  <w:tcW w:w="574" w:type="pct"/>
                  <w:vMerge w:val="restart"/>
                  <w:vAlign w:val="center"/>
                </w:tcPr>
                <w:p w14:paraId="6E3237F5">
                  <w:pPr>
                    <w:jc w:val="center"/>
                    <w:rPr>
                      <w:color w:val="auto"/>
                      <w:szCs w:val="21"/>
                    </w:rPr>
                  </w:pPr>
                  <w:r>
                    <w:rPr>
                      <w:rFonts w:hint="eastAsia"/>
                      <w:color w:val="auto"/>
                      <w:szCs w:val="21"/>
                    </w:rPr>
                    <w:t>一般固废</w:t>
                  </w:r>
                </w:p>
              </w:tc>
              <w:tc>
                <w:tcPr>
                  <w:tcW w:w="538" w:type="pct"/>
                  <w:vAlign w:val="center"/>
                </w:tcPr>
                <w:p w14:paraId="60132D01">
                  <w:pPr>
                    <w:jc w:val="center"/>
                    <w:rPr>
                      <w:rFonts w:hint="eastAsia" w:eastAsia="宋体" w:cs="宋体"/>
                      <w:color w:val="auto"/>
                      <w:sz w:val="21"/>
                      <w:szCs w:val="21"/>
                      <w:lang w:val="en-US" w:eastAsia="zh-CN"/>
                    </w:rPr>
                  </w:pPr>
                  <w:r>
                    <w:rPr>
                      <w:rFonts w:hint="eastAsia" w:cs="宋体"/>
                      <w:color w:val="auto"/>
                      <w:sz w:val="21"/>
                      <w:szCs w:val="21"/>
                    </w:rPr>
                    <w:t>S59</w:t>
                  </w:r>
                </w:p>
              </w:tc>
              <w:tc>
                <w:tcPr>
                  <w:tcW w:w="773" w:type="pct"/>
                  <w:vAlign w:val="center"/>
                </w:tcPr>
                <w:p w14:paraId="32C3AB8D">
                  <w:pPr>
                    <w:jc w:val="center"/>
                    <w:rPr>
                      <w:color w:val="auto"/>
                      <w:sz w:val="21"/>
                      <w:szCs w:val="21"/>
                    </w:rPr>
                  </w:pPr>
                  <w:r>
                    <w:rPr>
                      <w:rFonts w:hint="eastAsia" w:cs="宋体"/>
                      <w:color w:val="auto"/>
                      <w:sz w:val="21"/>
                      <w:szCs w:val="21"/>
                    </w:rPr>
                    <w:t>900-099-S59</w:t>
                  </w:r>
                </w:p>
              </w:tc>
              <w:tc>
                <w:tcPr>
                  <w:tcW w:w="691" w:type="pct"/>
                  <w:vAlign w:val="center"/>
                </w:tcPr>
                <w:p w14:paraId="03D21FA9">
                  <w:pPr>
                    <w:jc w:val="center"/>
                    <w:rPr>
                      <w:rFonts w:hint="eastAsia"/>
                      <w:color w:val="auto"/>
                      <w:szCs w:val="21"/>
                    </w:rPr>
                  </w:pPr>
                  <w:r>
                    <w:rPr>
                      <w:rFonts w:hint="eastAsia"/>
                      <w:color w:val="auto"/>
                      <w:szCs w:val="21"/>
                      <w:lang w:val="en-US" w:eastAsia="zh-CN"/>
                    </w:rPr>
                    <w:t>桶装</w:t>
                  </w:r>
                </w:p>
              </w:tc>
              <w:tc>
                <w:tcPr>
                  <w:tcW w:w="593" w:type="pct"/>
                  <w:vAlign w:val="center"/>
                </w:tcPr>
                <w:p w14:paraId="69952561">
                  <w:pPr>
                    <w:jc w:val="center"/>
                    <w:rPr>
                      <w:color w:val="auto"/>
                      <w:szCs w:val="21"/>
                    </w:rPr>
                  </w:pPr>
                  <w:r>
                    <w:rPr>
                      <w:rFonts w:hint="eastAsia"/>
                      <w:color w:val="auto"/>
                      <w:szCs w:val="21"/>
                    </w:rPr>
                    <w:t>定期交由专业公司进行处理后回用于生产</w:t>
                  </w:r>
                </w:p>
              </w:tc>
            </w:tr>
            <w:tr w14:paraId="672F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shd w:val="clear" w:color="auto" w:fill="auto"/>
                  <w:vAlign w:val="center"/>
                </w:tcPr>
                <w:p w14:paraId="7CDC3E5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492" w:type="pct"/>
                  <w:vAlign w:val="center"/>
                </w:tcPr>
                <w:p w14:paraId="1564F0E0">
                  <w:pPr>
                    <w:jc w:val="center"/>
                    <w:rPr>
                      <w:color w:val="auto"/>
                      <w:szCs w:val="21"/>
                    </w:rPr>
                  </w:pPr>
                  <w:r>
                    <w:rPr>
                      <w:rFonts w:hint="eastAsia"/>
                      <w:color w:val="auto"/>
                      <w:szCs w:val="21"/>
                    </w:rPr>
                    <w:t>包装</w:t>
                  </w:r>
                </w:p>
              </w:tc>
              <w:tc>
                <w:tcPr>
                  <w:tcW w:w="436" w:type="pct"/>
                  <w:vAlign w:val="center"/>
                </w:tcPr>
                <w:p w14:paraId="73B774DE">
                  <w:pPr>
                    <w:jc w:val="center"/>
                    <w:rPr>
                      <w:color w:val="auto"/>
                      <w:szCs w:val="21"/>
                    </w:rPr>
                  </w:pPr>
                  <w:r>
                    <w:rPr>
                      <w:color w:val="auto"/>
                      <w:szCs w:val="21"/>
                    </w:rPr>
                    <w:t>废包装材</w:t>
                  </w:r>
                  <w:r>
                    <w:rPr>
                      <w:rFonts w:hint="eastAsia"/>
                      <w:color w:val="auto"/>
                      <w:szCs w:val="21"/>
                    </w:rPr>
                    <w:t>料</w:t>
                  </w:r>
                </w:p>
              </w:tc>
              <w:tc>
                <w:tcPr>
                  <w:tcW w:w="647" w:type="pct"/>
                  <w:vAlign w:val="center"/>
                </w:tcPr>
                <w:p w14:paraId="1A33F133">
                  <w:pPr>
                    <w:jc w:val="center"/>
                    <w:rPr>
                      <w:color w:val="auto"/>
                      <w:szCs w:val="21"/>
                    </w:rPr>
                  </w:pPr>
                  <w:r>
                    <w:rPr>
                      <w:rFonts w:hint="eastAsia"/>
                      <w:color w:val="auto"/>
                      <w:szCs w:val="21"/>
                    </w:rPr>
                    <w:t>0.2</w:t>
                  </w:r>
                </w:p>
              </w:tc>
              <w:tc>
                <w:tcPr>
                  <w:tcW w:w="574" w:type="pct"/>
                  <w:vMerge w:val="continue"/>
                  <w:vAlign w:val="center"/>
                </w:tcPr>
                <w:p w14:paraId="6CAD8B99">
                  <w:pPr>
                    <w:jc w:val="center"/>
                    <w:rPr>
                      <w:color w:val="auto"/>
                      <w:szCs w:val="21"/>
                    </w:rPr>
                  </w:pPr>
                </w:p>
              </w:tc>
              <w:tc>
                <w:tcPr>
                  <w:tcW w:w="538" w:type="pct"/>
                  <w:vAlign w:val="center"/>
                </w:tcPr>
                <w:p w14:paraId="3CF43D23">
                  <w:pPr>
                    <w:jc w:val="center"/>
                    <w:rPr>
                      <w:rFonts w:hint="eastAsia" w:eastAsia="宋体" w:cs="宋体"/>
                      <w:color w:val="auto"/>
                      <w:sz w:val="21"/>
                      <w:szCs w:val="21"/>
                      <w:lang w:val="en-US" w:eastAsia="zh-CN"/>
                    </w:rPr>
                  </w:pPr>
                  <w:r>
                    <w:rPr>
                      <w:rFonts w:hint="eastAsia" w:cs="宋体"/>
                      <w:color w:val="auto"/>
                      <w:sz w:val="21"/>
                      <w:szCs w:val="21"/>
                    </w:rPr>
                    <w:t>S59</w:t>
                  </w:r>
                </w:p>
              </w:tc>
              <w:tc>
                <w:tcPr>
                  <w:tcW w:w="773" w:type="pct"/>
                  <w:vAlign w:val="center"/>
                </w:tcPr>
                <w:p w14:paraId="49E104C5">
                  <w:pPr>
                    <w:jc w:val="center"/>
                    <w:rPr>
                      <w:color w:val="auto"/>
                      <w:sz w:val="21"/>
                      <w:szCs w:val="21"/>
                    </w:rPr>
                  </w:pPr>
                  <w:r>
                    <w:rPr>
                      <w:rFonts w:hint="eastAsia" w:cs="宋体"/>
                      <w:color w:val="auto"/>
                      <w:sz w:val="21"/>
                      <w:szCs w:val="21"/>
                    </w:rPr>
                    <w:t>900-099-S59</w:t>
                  </w:r>
                </w:p>
              </w:tc>
              <w:tc>
                <w:tcPr>
                  <w:tcW w:w="691" w:type="pct"/>
                  <w:vAlign w:val="center"/>
                </w:tcPr>
                <w:p w14:paraId="705B4DE0">
                  <w:pPr>
                    <w:jc w:val="center"/>
                    <w:rPr>
                      <w:rFonts w:hint="eastAsia" w:eastAsia="宋体"/>
                      <w:color w:val="auto"/>
                      <w:szCs w:val="21"/>
                      <w:lang w:val="en-US" w:eastAsia="zh-CN"/>
                    </w:rPr>
                  </w:pPr>
                  <w:r>
                    <w:rPr>
                      <w:rFonts w:hint="eastAsia"/>
                      <w:color w:val="auto"/>
                      <w:szCs w:val="21"/>
                      <w:lang w:val="en-US" w:eastAsia="zh-CN"/>
                    </w:rPr>
                    <w:t>散装</w:t>
                  </w:r>
                </w:p>
              </w:tc>
              <w:tc>
                <w:tcPr>
                  <w:tcW w:w="593" w:type="pct"/>
                  <w:vAlign w:val="center"/>
                </w:tcPr>
                <w:p w14:paraId="03D20680">
                  <w:pPr>
                    <w:jc w:val="center"/>
                    <w:rPr>
                      <w:color w:val="auto"/>
                      <w:szCs w:val="21"/>
                    </w:rPr>
                  </w:pPr>
                  <w:r>
                    <w:rPr>
                      <w:rFonts w:hint="eastAsia"/>
                      <w:color w:val="auto"/>
                      <w:szCs w:val="21"/>
                    </w:rPr>
                    <w:t>定期交由专业公司回收处理</w:t>
                  </w:r>
                </w:p>
              </w:tc>
            </w:tr>
            <w:tr w14:paraId="5CF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shd w:val="clear" w:color="auto" w:fill="auto"/>
                  <w:vAlign w:val="center"/>
                </w:tcPr>
                <w:p w14:paraId="4E00A78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p>
              </w:tc>
              <w:tc>
                <w:tcPr>
                  <w:tcW w:w="492" w:type="pct"/>
                  <w:vAlign w:val="center"/>
                </w:tcPr>
                <w:p w14:paraId="15AD1645">
                  <w:pPr>
                    <w:jc w:val="center"/>
                    <w:rPr>
                      <w:rFonts w:hint="default" w:eastAsia="宋体"/>
                      <w:color w:val="auto"/>
                      <w:szCs w:val="21"/>
                      <w:lang w:val="en-US" w:eastAsia="zh-CN"/>
                    </w:rPr>
                  </w:pPr>
                  <w:r>
                    <w:rPr>
                      <w:rFonts w:hint="eastAsia"/>
                      <w:color w:val="auto"/>
                      <w:szCs w:val="21"/>
                      <w:lang w:val="en-US" w:eastAsia="zh-CN"/>
                    </w:rPr>
                    <w:t>自动粘胶</w:t>
                  </w:r>
                </w:p>
              </w:tc>
              <w:tc>
                <w:tcPr>
                  <w:tcW w:w="436" w:type="pct"/>
                  <w:vAlign w:val="center"/>
                </w:tcPr>
                <w:p w14:paraId="456BEA30">
                  <w:pPr>
                    <w:jc w:val="center"/>
                    <w:rPr>
                      <w:rFonts w:hint="eastAsia" w:eastAsia="宋体"/>
                      <w:color w:val="auto"/>
                      <w:szCs w:val="21"/>
                      <w:lang w:val="en-US" w:eastAsia="zh-CN"/>
                    </w:rPr>
                  </w:pPr>
                  <w:r>
                    <w:rPr>
                      <w:rFonts w:hint="eastAsia"/>
                      <w:color w:val="auto"/>
                      <w:szCs w:val="21"/>
                      <w:lang w:val="en-US" w:eastAsia="zh-CN"/>
                    </w:rPr>
                    <w:t>废石板</w:t>
                  </w:r>
                </w:p>
              </w:tc>
              <w:tc>
                <w:tcPr>
                  <w:tcW w:w="647" w:type="pct"/>
                  <w:vAlign w:val="center"/>
                </w:tcPr>
                <w:p w14:paraId="58D0796D">
                  <w:pPr>
                    <w:jc w:val="center"/>
                    <w:rPr>
                      <w:rFonts w:hint="default" w:eastAsia="宋体"/>
                      <w:color w:val="auto"/>
                      <w:szCs w:val="21"/>
                      <w:lang w:val="en-US" w:eastAsia="zh-CN"/>
                    </w:rPr>
                  </w:pPr>
                  <w:r>
                    <w:rPr>
                      <w:rFonts w:hint="eastAsia"/>
                      <w:color w:val="auto"/>
                      <w:szCs w:val="21"/>
                      <w:lang w:val="en-US" w:eastAsia="zh-CN"/>
                    </w:rPr>
                    <w:t>790</w:t>
                  </w:r>
                </w:p>
              </w:tc>
              <w:tc>
                <w:tcPr>
                  <w:tcW w:w="574" w:type="pct"/>
                  <w:vMerge w:val="continue"/>
                  <w:vAlign w:val="center"/>
                </w:tcPr>
                <w:p w14:paraId="4DA67A83">
                  <w:pPr>
                    <w:jc w:val="center"/>
                    <w:rPr>
                      <w:color w:val="auto"/>
                      <w:szCs w:val="21"/>
                    </w:rPr>
                  </w:pPr>
                </w:p>
              </w:tc>
              <w:tc>
                <w:tcPr>
                  <w:tcW w:w="538" w:type="pct"/>
                  <w:shd w:val="clear" w:color="auto" w:fill="auto"/>
                  <w:vAlign w:val="center"/>
                </w:tcPr>
                <w:p w14:paraId="35CDBD71">
                  <w:pPr>
                    <w:jc w:val="center"/>
                    <w:rPr>
                      <w:rFonts w:hint="eastAsia" w:ascii="Times New Roman" w:hAnsi="Times New Roman" w:eastAsia="宋体" w:cs="宋体"/>
                      <w:color w:val="auto"/>
                      <w:kern w:val="2"/>
                      <w:sz w:val="21"/>
                      <w:szCs w:val="21"/>
                      <w:lang w:val="en-US" w:eastAsia="zh-CN" w:bidi="ar-SA"/>
                    </w:rPr>
                  </w:pPr>
                  <w:r>
                    <w:rPr>
                      <w:rFonts w:hint="eastAsia" w:cs="宋体"/>
                      <w:color w:val="auto"/>
                      <w:sz w:val="21"/>
                      <w:szCs w:val="21"/>
                    </w:rPr>
                    <w:t>S59</w:t>
                  </w:r>
                </w:p>
              </w:tc>
              <w:tc>
                <w:tcPr>
                  <w:tcW w:w="773" w:type="pct"/>
                  <w:shd w:val="clear" w:color="auto" w:fill="auto"/>
                  <w:vAlign w:val="center"/>
                </w:tcPr>
                <w:p w14:paraId="4C7583E0">
                  <w:pPr>
                    <w:jc w:val="center"/>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rPr>
                    <w:t>900-099-S59</w:t>
                  </w:r>
                </w:p>
              </w:tc>
              <w:tc>
                <w:tcPr>
                  <w:tcW w:w="691" w:type="pct"/>
                  <w:vAlign w:val="center"/>
                </w:tcPr>
                <w:p w14:paraId="4B371324">
                  <w:pPr>
                    <w:jc w:val="center"/>
                    <w:rPr>
                      <w:rFonts w:hint="eastAsia"/>
                      <w:color w:val="auto"/>
                      <w:szCs w:val="21"/>
                      <w:lang w:val="en-US" w:eastAsia="zh-CN"/>
                    </w:rPr>
                  </w:pPr>
                  <w:r>
                    <w:rPr>
                      <w:rFonts w:hint="eastAsia"/>
                      <w:color w:val="auto"/>
                      <w:szCs w:val="21"/>
                      <w:lang w:val="en-US" w:eastAsia="zh-CN"/>
                    </w:rPr>
                    <w:t>散装</w:t>
                  </w:r>
                </w:p>
              </w:tc>
              <w:tc>
                <w:tcPr>
                  <w:tcW w:w="593" w:type="pct"/>
                  <w:vAlign w:val="center"/>
                </w:tcPr>
                <w:p w14:paraId="66CA9DD8">
                  <w:pPr>
                    <w:jc w:val="center"/>
                    <w:rPr>
                      <w:rFonts w:hint="default" w:eastAsia="宋体"/>
                      <w:color w:val="auto"/>
                      <w:szCs w:val="21"/>
                      <w:lang w:val="en-US" w:eastAsia="zh-CN"/>
                    </w:rPr>
                  </w:pPr>
                  <w:r>
                    <w:rPr>
                      <w:rFonts w:hint="eastAsia"/>
                      <w:color w:val="auto"/>
                      <w:szCs w:val="21"/>
                      <w:lang w:val="en-US" w:eastAsia="zh-CN"/>
                    </w:rPr>
                    <w:t>定期外售</w:t>
                  </w:r>
                </w:p>
              </w:tc>
            </w:tr>
            <w:tr w14:paraId="575F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1" w:type="pct"/>
                  <w:shd w:val="clear" w:color="auto" w:fill="auto"/>
                  <w:vAlign w:val="center"/>
                </w:tcPr>
                <w:p w14:paraId="08D9D95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w:t>
                  </w:r>
                </w:p>
              </w:tc>
              <w:tc>
                <w:tcPr>
                  <w:tcW w:w="492" w:type="pct"/>
                  <w:vAlign w:val="center"/>
                </w:tcPr>
                <w:p w14:paraId="7C06F9EC">
                  <w:pPr>
                    <w:jc w:val="center"/>
                    <w:rPr>
                      <w:color w:val="auto"/>
                      <w:szCs w:val="21"/>
                    </w:rPr>
                  </w:pPr>
                  <w:r>
                    <w:rPr>
                      <w:rFonts w:hint="eastAsia"/>
                      <w:color w:val="auto"/>
                      <w:szCs w:val="21"/>
                    </w:rPr>
                    <w:t>打孔</w:t>
                  </w:r>
                </w:p>
              </w:tc>
              <w:tc>
                <w:tcPr>
                  <w:tcW w:w="436" w:type="pct"/>
                  <w:vAlign w:val="center"/>
                </w:tcPr>
                <w:p w14:paraId="5D60C14A">
                  <w:pPr>
                    <w:jc w:val="center"/>
                    <w:rPr>
                      <w:color w:val="auto"/>
                      <w:szCs w:val="21"/>
                    </w:rPr>
                  </w:pPr>
                  <w:r>
                    <w:rPr>
                      <w:rFonts w:hint="eastAsia"/>
                      <w:color w:val="auto"/>
                      <w:szCs w:val="21"/>
                    </w:rPr>
                    <w:t>废切削液</w:t>
                  </w:r>
                </w:p>
              </w:tc>
              <w:tc>
                <w:tcPr>
                  <w:tcW w:w="647" w:type="pct"/>
                  <w:vAlign w:val="center"/>
                </w:tcPr>
                <w:p w14:paraId="664E4E1D">
                  <w:pPr>
                    <w:jc w:val="center"/>
                    <w:rPr>
                      <w:color w:val="auto"/>
                      <w:szCs w:val="21"/>
                    </w:rPr>
                  </w:pPr>
                  <w:r>
                    <w:rPr>
                      <w:rFonts w:hint="eastAsia"/>
                      <w:color w:val="auto"/>
                      <w:szCs w:val="21"/>
                    </w:rPr>
                    <w:t>0.0027</w:t>
                  </w:r>
                </w:p>
              </w:tc>
              <w:tc>
                <w:tcPr>
                  <w:tcW w:w="574" w:type="pct"/>
                  <w:vMerge w:val="continue"/>
                  <w:vAlign w:val="center"/>
                </w:tcPr>
                <w:p w14:paraId="524FEB71">
                  <w:pPr>
                    <w:jc w:val="center"/>
                    <w:rPr>
                      <w:color w:val="auto"/>
                      <w:szCs w:val="21"/>
                    </w:rPr>
                  </w:pPr>
                </w:p>
              </w:tc>
              <w:tc>
                <w:tcPr>
                  <w:tcW w:w="538" w:type="pct"/>
                  <w:vAlign w:val="center"/>
                </w:tcPr>
                <w:p w14:paraId="6778F48F">
                  <w:pPr>
                    <w:jc w:val="center"/>
                    <w:rPr>
                      <w:rFonts w:hint="eastAsia"/>
                      <w:color w:val="auto"/>
                    </w:rPr>
                  </w:pPr>
                  <w:r>
                    <w:rPr>
                      <w:rFonts w:hint="eastAsia"/>
                      <w:color w:val="auto"/>
                    </w:rPr>
                    <w:t>HW09</w:t>
                  </w:r>
                </w:p>
              </w:tc>
              <w:tc>
                <w:tcPr>
                  <w:tcW w:w="773" w:type="pct"/>
                  <w:vAlign w:val="center"/>
                </w:tcPr>
                <w:p w14:paraId="50F5E06B">
                  <w:pPr>
                    <w:jc w:val="center"/>
                    <w:rPr>
                      <w:color w:val="auto"/>
                      <w:szCs w:val="21"/>
                    </w:rPr>
                  </w:pPr>
                  <w:r>
                    <w:rPr>
                      <w:rFonts w:hint="eastAsia"/>
                      <w:color w:val="auto"/>
                    </w:rPr>
                    <w:t>900-006-09</w:t>
                  </w:r>
                </w:p>
              </w:tc>
              <w:tc>
                <w:tcPr>
                  <w:tcW w:w="691" w:type="pct"/>
                  <w:shd w:val="clear" w:color="auto" w:fill="auto"/>
                  <w:vAlign w:val="center"/>
                </w:tcPr>
                <w:p w14:paraId="27566D59">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桶装</w:t>
                  </w:r>
                </w:p>
              </w:tc>
              <w:tc>
                <w:tcPr>
                  <w:tcW w:w="593" w:type="pct"/>
                  <w:vMerge w:val="restart"/>
                  <w:vAlign w:val="center"/>
                </w:tcPr>
                <w:p w14:paraId="2C7BE05B">
                  <w:pPr>
                    <w:jc w:val="center"/>
                    <w:rPr>
                      <w:color w:val="auto"/>
                      <w:szCs w:val="21"/>
                    </w:rPr>
                  </w:pPr>
                  <w:r>
                    <w:rPr>
                      <w:color w:val="auto"/>
                      <w:szCs w:val="21"/>
                    </w:rPr>
                    <w:t>暂存至危废暂存间，定期交由有资质单位处置</w:t>
                  </w:r>
                </w:p>
              </w:tc>
            </w:tr>
            <w:tr w14:paraId="321C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51" w:type="pct"/>
                  <w:shd w:val="clear" w:color="auto" w:fill="auto"/>
                  <w:vAlign w:val="center"/>
                </w:tcPr>
                <w:p w14:paraId="63431A1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w:t>
                  </w:r>
                </w:p>
              </w:tc>
              <w:tc>
                <w:tcPr>
                  <w:tcW w:w="492" w:type="pct"/>
                  <w:vAlign w:val="center"/>
                </w:tcPr>
                <w:p w14:paraId="6B5EB486">
                  <w:pPr>
                    <w:jc w:val="center"/>
                    <w:rPr>
                      <w:color w:val="auto"/>
                      <w:szCs w:val="21"/>
                    </w:rPr>
                  </w:pPr>
                  <w:r>
                    <w:rPr>
                      <w:rFonts w:hint="eastAsia"/>
                      <w:color w:val="auto"/>
                      <w:szCs w:val="21"/>
                    </w:rPr>
                    <w:t>自动粘胶</w:t>
                  </w:r>
                </w:p>
              </w:tc>
              <w:tc>
                <w:tcPr>
                  <w:tcW w:w="436" w:type="pct"/>
                  <w:vAlign w:val="center"/>
                </w:tcPr>
                <w:p w14:paraId="26F21A56">
                  <w:pPr>
                    <w:jc w:val="center"/>
                    <w:rPr>
                      <w:color w:val="auto"/>
                      <w:szCs w:val="21"/>
                    </w:rPr>
                  </w:pPr>
                  <w:r>
                    <w:rPr>
                      <w:rFonts w:hint="eastAsia"/>
                      <w:color w:val="auto"/>
                      <w:szCs w:val="21"/>
                    </w:rPr>
                    <w:t>废胶水瓶</w:t>
                  </w:r>
                </w:p>
              </w:tc>
              <w:tc>
                <w:tcPr>
                  <w:tcW w:w="647" w:type="pct"/>
                  <w:vAlign w:val="center"/>
                </w:tcPr>
                <w:p w14:paraId="65E9E89E">
                  <w:pPr>
                    <w:jc w:val="center"/>
                    <w:rPr>
                      <w:color w:val="auto"/>
                      <w:sz w:val="24"/>
                    </w:rPr>
                  </w:pPr>
                  <w:r>
                    <w:rPr>
                      <w:rFonts w:hint="eastAsia"/>
                      <w:color w:val="auto"/>
                      <w:sz w:val="24"/>
                    </w:rPr>
                    <w:t>0.2</w:t>
                  </w:r>
                </w:p>
              </w:tc>
              <w:tc>
                <w:tcPr>
                  <w:tcW w:w="574" w:type="pct"/>
                  <w:vMerge w:val="continue"/>
                  <w:vAlign w:val="center"/>
                </w:tcPr>
                <w:p w14:paraId="6D49170B">
                  <w:pPr>
                    <w:jc w:val="center"/>
                    <w:rPr>
                      <w:color w:val="auto"/>
                      <w:szCs w:val="21"/>
                    </w:rPr>
                  </w:pPr>
                </w:p>
              </w:tc>
              <w:tc>
                <w:tcPr>
                  <w:tcW w:w="538" w:type="pct"/>
                  <w:vAlign w:val="center"/>
                </w:tcPr>
                <w:p w14:paraId="698B52DC">
                  <w:pPr>
                    <w:jc w:val="center"/>
                    <w:rPr>
                      <w:rFonts w:hint="eastAsia"/>
                      <w:color w:val="auto"/>
                    </w:rPr>
                  </w:pPr>
                  <w:r>
                    <w:rPr>
                      <w:rFonts w:hint="eastAsia"/>
                      <w:color w:val="auto"/>
                    </w:rPr>
                    <w:t>HW49</w:t>
                  </w:r>
                </w:p>
              </w:tc>
              <w:tc>
                <w:tcPr>
                  <w:tcW w:w="773" w:type="pct"/>
                  <w:vAlign w:val="center"/>
                </w:tcPr>
                <w:p w14:paraId="01CDF257">
                  <w:pPr>
                    <w:jc w:val="center"/>
                    <w:rPr>
                      <w:color w:val="auto"/>
                      <w:szCs w:val="21"/>
                    </w:rPr>
                  </w:pPr>
                  <w:r>
                    <w:rPr>
                      <w:rFonts w:hint="eastAsia"/>
                      <w:color w:val="auto"/>
                    </w:rPr>
                    <w:t>900-041-49</w:t>
                  </w:r>
                </w:p>
              </w:tc>
              <w:tc>
                <w:tcPr>
                  <w:tcW w:w="691" w:type="pct"/>
                  <w:shd w:val="clear" w:color="auto" w:fill="auto"/>
                  <w:vAlign w:val="center"/>
                </w:tcPr>
                <w:p w14:paraId="2377BBB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桶装</w:t>
                  </w:r>
                </w:p>
              </w:tc>
              <w:tc>
                <w:tcPr>
                  <w:tcW w:w="593" w:type="pct"/>
                  <w:vMerge w:val="continue"/>
                  <w:vAlign w:val="center"/>
                </w:tcPr>
                <w:p w14:paraId="4BDF2401">
                  <w:pPr>
                    <w:jc w:val="center"/>
                    <w:rPr>
                      <w:color w:val="auto"/>
                      <w:szCs w:val="21"/>
                    </w:rPr>
                  </w:pPr>
                </w:p>
              </w:tc>
            </w:tr>
            <w:tr w14:paraId="56CF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shd w:val="clear" w:color="auto" w:fill="auto"/>
                  <w:vAlign w:val="center"/>
                </w:tcPr>
                <w:p w14:paraId="52A4ADF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492" w:type="pct"/>
                  <w:vMerge w:val="restart"/>
                  <w:vAlign w:val="center"/>
                </w:tcPr>
                <w:p w14:paraId="04AD0973">
                  <w:pPr>
                    <w:jc w:val="center"/>
                    <w:rPr>
                      <w:color w:val="auto"/>
                      <w:szCs w:val="21"/>
                    </w:rPr>
                  </w:pPr>
                  <w:r>
                    <w:rPr>
                      <w:rFonts w:hint="eastAsia"/>
                      <w:color w:val="auto"/>
                      <w:szCs w:val="21"/>
                    </w:rPr>
                    <w:t>设备维修</w:t>
                  </w:r>
                </w:p>
              </w:tc>
              <w:tc>
                <w:tcPr>
                  <w:tcW w:w="436" w:type="pct"/>
                  <w:vAlign w:val="center"/>
                </w:tcPr>
                <w:p w14:paraId="36238740">
                  <w:pPr>
                    <w:jc w:val="center"/>
                    <w:rPr>
                      <w:color w:val="auto"/>
                      <w:szCs w:val="21"/>
                    </w:rPr>
                  </w:pPr>
                  <w:r>
                    <w:rPr>
                      <w:rFonts w:hint="eastAsia"/>
                      <w:color w:val="auto"/>
                      <w:szCs w:val="21"/>
                    </w:rPr>
                    <w:t>废机油</w:t>
                  </w:r>
                </w:p>
              </w:tc>
              <w:tc>
                <w:tcPr>
                  <w:tcW w:w="647" w:type="pct"/>
                  <w:vAlign w:val="center"/>
                </w:tcPr>
                <w:p w14:paraId="676C879D">
                  <w:pPr>
                    <w:jc w:val="center"/>
                    <w:rPr>
                      <w:color w:val="auto"/>
                      <w:szCs w:val="21"/>
                    </w:rPr>
                  </w:pPr>
                  <w:r>
                    <w:rPr>
                      <w:rFonts w:hint="eastAsia"/>
                      <w:color w:val="auto"/>
                      <w:szCs w:val="21"/>
                    </w:rPr>
                    <w:t>0.2</w:t>
                  </w:r>
                </w:p>
              </w:tc>
              <w:tc>
                <w:tcPr>
                  <w:tcW w:w="574" w:type="pct"/>
                  <w:vMerge w:val="continue"/>
                  <w:vAlign w:val="center"/>
                </w:tcPr>
                <w:p w14:paraId="17AD81AC">
                  <w:pPr>
                    <w:jc w:val="center"/>
                    <w:rPr>
                      <w:color w:val="auto"/>
                      <w:szCs w:val="21"/>
                    </w:rPr>
                  </w:pPr>
                </w:p>
              </w:tc>
              <w:tc>
                <w:tcPr>
                  <w:tcW w:w="538" w:type="pct"/>
                  <w:vAlign w:val="center"/>
                </w:tcPr>
                <w:p w14:paraId="4DC5FEDC">
                  <w:pPr>
                    <w:jc w:val="center"/>
                    <w:rPr>
                      <w:rFonts w:hint="eastAsia"/>
                      <w:color w:val="auto"/>
                      <w:szCs w:val="21"/>
                    </w:rPr>
                  </w:pPr>
                  <w:r>
                    <w:rPr>
                      <w:rFonts w:hint="eastAsia"/>
                      <w:color w:val="auto"/>
                      <w:szCs w:val="21"/>
                    </w:rPr>
                    <w:t>HW08</w:t>
                  </w:r>
                </w:p>
              </w:tc>
              <w:tc>
                <w:tcPr>
                  <w:tcW w:w="773" w:type="pct"/>
                  <w:vAlign w:val="center"/>
                </w:tcPr>
                <w:p w14:paraId="19BCF7FE">
                  <w:pPr>
                    <w:jc w:val="center"/>
                    <w:rPr>
                      <w:color w:val="auto"/>
                      <w:szCs w:val="21"/>
                    </w:rPr>
                  </w:pPr>
                  <w:r>
                    <w:rPr>
                      <w:rFonts w:hint="eastAsia"/>
                      <w:color w:val="auto"/>
                      <w:szCs w:val="21"/>
                    </w:rPr>
                    <w:t>900-214-08</w:t>
                  </w:r>
                </w:p>
              </w:tc>
              <w:tc>
                <w:tcPr>
                  <w:tcW w:w="691" w:type="pct"/>
                  <w:shd w:val="clear" w:color="auto" w:fill="auto"/>
                  <w:vAlign w:val="center"/>
                </w:tcPr>
                <w:p w14:paraId="182041E1">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桶装</w:t>
                  </w:r>
                </w:p>
              </w:tc>
              <w:tc>
                <w:tcPr>
                  <w:tcW w:w="593" w:type="pct"/>
                  <w:vMerge w:val="continue"/>
                  <w:vAlign w:val="center"/>
                </w:tcPr>
                <w:p w14:paraId="13549DD7">
                  <w:pPr>
                    <w:jc w:val="center"/>
                    <w:rPr>
                      <w:color w:val="auto"/>
                      <w:szCs w:val="21"/>
                    </w:rPr>
                  </w:pPr>
                </w:p>
              </w:tc>
            </w:tr>
            <w:tr w14:paraId="1F09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shd w:val="clear" w:color="auto" w:fill="auto"/>
                  <w:vAlign w:val="center"/>
                </w:tcPr>
                <w:p w14:paraId="20E1A93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492" w:type="pct"/>
                  <w:vMerge w:val="continue"/>
                  <w:vAlign w:val="center"/>
                </w:tcPr>
                <w:p w14:paraId="69DA9C7E">
                  <w:pPr>
                    <w:jc w:val="center"/>
                    <w:rPr>
                      <w:color w:val="auto"/>
                      <w:szCs w:val="21"/>
                    </w:rPr>
                  </w:pPr>
                </w:p>
              </w:tc>
              <w:tc>
                <w:tcPr>
                  <w:tcW w:w="436" w:type="pct"/>
                  <w:vAlign w:val="center"/>
                </w:tcPr>
                <w:p w14:paraId="7197E591">
                  <w:pPr>
                    <w:jc w:val="center"/>
                    <w:rPr>
                      <w:color w:val="auto"/>
                      <w:szCs w:val="21"/>
                    </w:rPr>
                  </w:pPr>
                  <w:r>
                    <w:rPr>
                      <w:rFonts w:hint="eastAsia"/>
                      <w:color w:val="auto"/>
                      <w:szCs w:val="21"/>
                    </w:rPr>
                    <w:t>废含油抹布、手套</w:t>
                  </w:r>
                </w:p>
              </w:tc>
              <w:tc>
                <w:tcPr>
                  <w:tcW w:w="647" w:type="pct"/>
                  <w:vAlign w:val="center"/>
                </w:tcPr>
                <w:p w14:paraId="1875FBF5">
                  <w:pPr>
                    <w:jc w:val="center"/>
                    <w:rPr>
                      <w:color w:val="auto"/>
                      <w:szCs w:val="21"/>
                    </w:rPr>
                  </w:pPr>
                  <w:r>
                    <w:rPr>
                      <w:rFonts w:hint="eastAsia"/>
                      <w:color w:val="auto"/>
                      <w:szCs w:val="21"/>
                    </w:rPr>
                    <w:t>0.02</w:t>
                  </w:r>
                </w:p>
              </w:tc>
              <w:tc>
                <w:tcPr>
                  <w:tcW w:w="574" w:type="pct"/>
                  <w:vMerge w:val="continue"/>
                  <w:vAlign w:val="center"/>
                </w:tcPr>
                <w:p w14:paraId="0817E379">
                  <w:pPr>
                    <w:jc w:val="center"/>
                    <w:rPr>
                      <w:color w:val="auto"/>
                      <w:szCs w:val="21"/>
                    </w:rPr>
                  </w:pPr>
                </w:p>
              </w:tc>
              <w:tc>
                <w:tcPr>
                  <w:tcW w:w="538" w:type="pct"/>
                  <w:vAlign w:val="center"/>
                </w:tcPr>
                <w:p w14:paraId="49CB952C">
                  <w:pPr>
                    <w:jc w:val="center"/>
                    <w:rPr>
                      <w:rFonts w:hint="eastAsia"/>
                      <w:color w:val="auto"/>
                      <w:szCs w:val="21"/>
                    </w:rPr>
                  </w:pPr>
                  <w:r>
                    <w:rPr>
                      <w:rFonts w:hint="eastAsia"/>
                      <w:color w:val="auto"/>
                      <w:szCs w:val="21"/>
                    </w:rPr>
                    <w:t>HW49</w:t>
                  </w:r>
                </w:p>
              </w:tc>
              <w:tc>
                <w:tcPr>
                  <w:tcW w:w="773" w:type="pct"/>
                  <w:vAlign w:val="center"/>
                </w:tcPr>
                <w:p w14:paraId="1F3741CF">
                  <w:pPr>
                    <w:jc w:val="center"/>
                    <w:rPr>
                      <w:color w:val="auto"/>
                      <w:szCs w:val="21"/>
                    </w:rPr>
                  </w:pPr>
                  <w:r>
                    <w:rPr>
                      <w:rFonts w:hint="eastAsia"/>
                      <w:color w:val="auto"/>
                      <w:szCs w:val="21"/>
                    </w:rPr>
                    <w:t>900-041-49</w:t>
                  </w:r>
                </w:p>
              </w:tc>
              <w:tc>
                <w:tcPr>
                  <w:tcW w:w="691" w:type="pct"/>
                  <w:shd w:val="clear" w:color="auto" w:fill="auto"/>
                  <w:vAlign w:val="center"/>
                </w:tcPr>
                <w:p w14:paraId="1C82C34E">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袋装</w:t>
                  </w:r>
                </w:p>
              </w:tc>
              <w:tc>
                <w:tcPr>
                  <w:tcW w:w="593" w:type="pct"/>
                  <w:vMerge w:val="continue"/>
                  <w:vAlign w:val="center"/>
                </w:tcPr>
                <w:p w14:paraId="3C99EA0F">
                  <w:pPr>
                    <w:jc w:val="center"/>
                    <w:rPr>
                      <w:color w:val="auto"/>
                      <w:szCs w:val="21"/>
                    </w:rPr>
                  </w:pPr>
                </w:p>
              </w:tc>
            </w:tr>
          </w:tbl>
          <w:p w14:paraId="281F8C19">
            <w:pPr>
              <w:jc w:val="center"/>
              <w:rPr>
                <w:b/>
                <w:bCs/>
                <w:color w:val="auto"/>
                <w:sz w:val="24"/>
              </w:rPr>
            </w:pPr>
            <w:r>
              <w:rPr>
                <w:rFonts w:hint="eastAsia"/>
                <w:b/>
                <w:bCs/>
                <w:color w:val="auto"/>
                <w:sz w:val="24"/>
              </w:rPr>
              <w:t>表4-</w:t>
            </w:r>
            <w:r>
              <w:rPr>
                <w:rFonts w:hint="eastAsia"/>
                <w:b/>
                <w:bCs/>
                <w:color w:val="auto"/>
                <w:sz w:val="24"/>
                <w:lang w:val="en-US" w:eastAsia="zh-CN"/>
              </w:rPr>
              <w:t>20危险废物</w:t>
            </w:r>
            <w:r>
              <w:rPr>
                <w:rFonts w:hint="eastAsia"/>
                <w:b/>
                <w:bCs/>
                <w:color w:val="auto"/>
                <w:sz w:val="24"/>
              </w:rPr>
              <w:t>汇总表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64"/>
              <w:gridCol w:w="886"/>
              <w:gridCol w:w="1395"/>
              <w:gridCol w:w="965"/>
              <w:gridCol w:w="658"/>
              <w:gridCol w:w="536"/>
              <w:gridCol w:w="745"/>
              <w:gridCol w:w="594"/>
              <w:gridCol w:w="614"/>
              <w:gridCol w:w="748"/>
            </w:tblGrid>
            <w:tr w14:paraId="2992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239177B8">
                  <w:pPr>
                    <w:pStyle w:val="6"/>
                    <w:snapToGrid/>
                    <w:spacing w:before="0" w:after="0" w:line="240" w:lineRule="auto"/>
                    <w:ind w:right="0"/>
                    <w:jc w:val="center"/>
                    <w:rPr>
                      <w:b/>
                      <w:bCs/>
                      <w:color w:val="auto"/>
                      <w:sz w:val="21"/>
                      <w:szCs w:val="21"/>
                    </w:rPr>
                  </w:pPr>
                  <w:r>
                    <w:rPr>
                      <w:rFonts w:hint="eastAsia"/>
                      <w:b/>
                      <w:bCs/>
                      <w:color w:val="auto"/>
                      <w:sz w:val="21"/>
                      <w:szCs w:val="21"/>
                    </w:rPr>
                    <w:t>序号</w:t>
                  </w:r>
                </w:p>
              </w:tc>
              <w:tc>
                <w:tcPr>
                  <w:tcW w:w="509" w:type="pct"/>
                  <w:vAlign w:val="center"/>
                </w:tcPr>
                <w:p w14:paraId="42EC4CF7">
                  <w:pPr>
                    <w:pStyle w:val="6"/>
                    <w:snapToGrid/>
                    <w:spacing w:before="0" w:after="0" w:line="240" w:lineRule="auto"/>
                    <w:ind w:right="0"/>
                    <w:jc w:val="center"/>
                    <w:rPr>
                      <w:b/>
                      <w:bCs/>
                      <w:color w:val="auto"/>
                      <w:sz w:val="21"/>
                      <w:szCs w:val="21"/>
                    </w:rPr>
                  </w:pPr>
                  <w:r>
                    <w:rPr>
                      <w:rFonts w:hint="eastAsia"/>
                      <w:b/>
                      <w:bCs/>
                      <w:color w:val="auto"/>
                      <w:sz w:val="21"/>
                      <w:szCs w:val="21"/>
                    </w:rPr>
                    <w:t>固废名称</w:t>
                  </w:r>
                </w:p>
              </w:tc>
              <w:tc>
                <w:tcPr>
                  <w:tcW w:w="522" w:type="pct"/>
                  <w:vAlign w:val="center"/>
                </w:tcPr>
                <w:p w14:paraId="449668FA">
                  <w:pPr>
                    <w:pStyle w:val="6"/>
                    <w:snapToGrid/>
                    <w:spacing w:before="0" w:after="0" w:line="240" w:lineRule="auto"/>
                    <w:ind w:right="0"/>
                    <w:jc w:val="center"/>
                    <w:rPr>
                      <w:b/>
                      <w:bCs/>
                      <w:color w:val="auto"/>
                      <w:sz w:val="21"/>
                      <w:szCs w:val="21"/>
                    </w:rPr>
                  </w:pPr>
                  <w:r>
                    <w:rPr>
                      <w:rFonts w:hint="eastAsia"/>
                      <w:b/>
                      <w:bCs/>
                      <w:color w:val="auto"/>
                      <w:sz w:val="21"/>
                      <w:szCs w:val="21"/>
                    </w:rPr>
                    <w:t>危险废物类别</w:t>
                  </w:r>
                </w:p>
              </w:tc>
              <w:tc>
                <w:tcPr>
                  <w:tcW w:w="822" w:type="pct"/>
                  <w:vAlign w:val="center"/>
                </w:tcPr>
                <w:p w14:paraId="1577D14C">
                  <w:pPr>
                    <w:pStyle w:val="6"/>
                    <w:snapToGrid/>
                    <w:spacing w:before="0" w:after="0" w:line="240" w:lineRule="auto"/>
                    <w:ind w:right="0"/>
                    <w:jc w:val="center"/>
                    <w:rPr>
                      <w:b/>
                      <w:bCs/>
                      <w:color w:val="auto"/>
                      <w:sz w:val="21"/>
                      <w:szCs w:val="21"/>
                    </w:rPr>
                  </w:pPr>
                  <w:r>
                    <w:rPr>
                      <w:rFonts w:hint="eastAsia"/>
                      <w:b/>
                      <w:bCs/>
                      <w:color w:val="auto"/>
                      <w:sz w:val="21"/>
                      <w:szCs w:val="21"/>
                    </w:rPr>
                    <w:t>危险废物代码</w:t>
                  </w:r>
                </w:p>
              </w:tc>
              <w:tc>
                <w:tcPr>
                  <w:tcW w:w="569" w:type="pct"/>
                  <w:vAlign w:val="center"/>
                </w:tcPr>
                <w:p w14:paraId="2ED48227">
                  <w:pPr>
                    <w:pStyle w:val="6"/>
                    <w:snapToGrid/>
                    <w:spacing w:before="0" w:after="0" w:line="240" w:lineRule="auto"/>
                    <w:ind w:right="0"/>
                    <w:jc w:val="center"/>
                    <w:rPr>
                      <w:b/>
                      <w:bCs/>
                      <w:color w:val="auto"/>
                      <w:sz w:val="21"/>
                      <w:szCs w:val="21"/>
                    </w:rPr>
                  </w:pPr>
                  <w:r>
                    <w:rPr>
                      <w:rFonts w:hint="eastAsia"/>
                      <w:b/>
                      <w:bCs/>
                      <w:color w:val="auto"/>
                      <w:sz w:val="21"/>
                      <w:szCs w:val="21"/>
                    </w:rPr>
                    <w:t>产生量</w:t>
                  </w:r>
                </w:p>
                <w:p w14:paraId="39405673">
                  <w:pPr>
                    <w:pStyle w:val="6"/>
                    <w:snapToGrid/>
                    <w:spacing w:before="0" w:after="0" w:line="240" w:lineRule="auto"/>
                    <w:ind w:right="0"/>
                    <w:jc w:val="center"/>
                    <w:rPr>
                      <w:b/>
                      <w:bCs/>
                      <w:color w:val="auto"/>
                      <w:sz w:val="21"/>
                      <w:szCs w:val="21"/>
                    </w:rPr>
                  </w:pPr>
                  <w:r>
                    <w:rPr>
                      <w:rFonts w:hint="eastAsia"/>
                      <w:b/>
                      <w:bCs/>
                      <w:color w:val="auto"/>
                      <w:sz w:val="21"/>
                      <w:szCs w:val="21"/>
                    </w:rPr>
                    <w:t>（t/a）</w:t>
                  </w:r>
                </w:p>
              </w:tc>
              <w:tc>
                <w:tcPr>
                  <w:tcW w:w="388" w:type="pct"/>
                  <w:vAlign w:val="center"/>
                </w:tcPr>
                <w:p w14:paraId="15100930">
                  <w:pPr>
                    <w:pStyle w:val="6"/>
                    <w:snapToGrid/>
                    <w:spacing w:before="0" w:after="0" w:line="240" w:lineRule="auto"/>
                    <w:ind w:right="0"/>
                    <w:jc w:val="center"/>
                    <w:rPr>
                      <w:b/>
                      <w:bCs/>
                      <w:color w:val="auto"/>
                      <w:sz w:val="21"/>
                      <w:szCs w:val="21"/>
                    </w:rPr>
                  </w:pPr>
                  <w:r>
                    <w:rPr>
                      <w:rFonts w:hint="eastAsia"/>
                      <w:b/>
                      <w:bCs/>
                      <w:color w:val="auto"/>
                      <w:sz w:val="21"/>
                      <w:szCs w:val="21"/>
                    </w:rPr>
                    <w:t>产生工序</w:t>
                  </w:r>
                </w:p>
              </w:tc>
              <w:tc>
                <w:tcPr>
                  <w:tcW w:w="316" w:type="pct"/>
                  <w:vAlign w:val="center"/>
                </w:tcPr>
                <w:p w14:paraId="086D41F7">
                  <w:pPr>
                    <w:pStyle w:val="6"/>
                    <w:snapToGrid/>
                    <w:spacing w:before="0" w:after="0" w:line="240" w:lineRule="auto"/>
                    <w:ind w:right="0"/>
                    <w:jc w:val="center"/>
                    <w:rPr>
                      <w:b/>
                      <w:bCs/>
                      <w:color w:val="auto"/>
                      <w:sz w:val="21"/>
                      <w:szCs w:val="21"/>
                    </w:rPr>
                  </w:pPr>
                  <w:r>
                    <w:rPr>
                      <w:rFonts w:hint="eastAsia"/>
                      <w:b/>
                      <w:bCs/>
                      <w:color w:val="auto"/>
                      <w:sz w:val="21"/>
                      <w:szCs w:val="21"/>
                    </w:rPr>
                    <w:t>形态</w:t>
                  </w:r>
                </w:p>
              </w:tc>
              <w:tc>
                <w:tcPr>
                  <w:tcW w:w="439" w:type="pct"/>
                  <w:vAlign w:val="center"/>
                </w:tcPr>
                <w:p w14:paraId="43C329D4">
                  <w:pPr>
                    <w:pStyle w:val="6"/>
                    <w:snapToGrid/>
                    <w:spacing w:before="0" w:after="0" w:line="240" w:lineRule="auto"/>
                    <w:ind w:right="0"/>
                    <w:jc w:val="center"/>
                    <w:rPr>
                      <w:b/>
                      <w:bCs/>
                      <w:color w:val="auto"/>
                      <w:sz w:val="21"/>
                      <w:szCs w:val="21"/>
                    </w:rPr>
                  </w:pPr>
                  <w:r>
                    <w:rPr>
                      <w:rFonts w:hint="eastAsia"/>
                      <w:b/>
                      <w:bCs/>
                      <w:color w:val="auto"/>
                      <w:sz w:val="21"/>
                      <w:szCs w:val="21"/>
                    </w:rPr>
                    <w:t>主要成分</w:t>
                  </w:r>
                </w:p>
              </w:tc>
              <w:tc>
                <w:tcPr>
                  <w:tcW w:w="350" w:type="pct"/>
                  <w:vAlign w:val="center"/>
                </w:tcPr>
                <w:p w14:paraId="0FDB6EA0">
                  <w:pPr>
                    <w:pStyle w:val="6"/>
                    <w:snapToGrid/>
                    <w:spacing w:before="0" w:after="0" w:line="240" w:lineRule="auto"/>
                    <w:ind w:right="0"/>
                    <w:jc w:val="center"/>
                    <w:rPr>
                      <w:b/>
                      <w:bCs/>
                      <w:color w:val="auto"/>
                      <w:sz w:val="21"/>
                      <w:szCs w:val="21"/>
                    </w:rPr>
                  </w:pPr>
                  <w:r>
                    <w:rPr>
                      <w:rFonts w:hint="eastAsia"/>
                      <w:b/>
                      <w:bCs/>
                      <w:color w:val="auto"/>
                      <w:sz w:val="21"/>
                      <w:szCs w:val="21"/>
                    </w:rPr>
                    <w:t>产废周期</w:t>
                  </w:r>
                </w:p>
              </w:tc>
              <w:tc>
                <w:tcPr>
                  <w:tcW w:w="362" w:type="pct"/>
                  <w:vAlign w:val="center"/>
                </w:tcPr>
                <w:p w14:paraId="65EF25C4">
                  <w:pPr>
                    <w:pStyle w:val="6"/>
                    <w:snapToGrid/>
                    <w:spacing w:before="0" w:after="0" w:line="240" w:lineRule="auto"/>
                    <w:ind w:right="0"/>
                    <w:jc w:val="center"/>
                    <w:rPr>
                      <w:b/>
                      <w:bCs/>
                      <w:color w:val="auto"/>
                      <w:sz w:val="21"/>
                      <w:szCs w:val="21"/>
                    </w:rPr>
                  </w:pPr>
                  <w:r>
                    <w:rPr>
                      <w:rFonts w:hint="eastAsia"/>
                      <w:b/>
                      <w:bCs/>
                      <w:color w:val="auto"/>
                      <w:sz w:val="21"/>
                      <w:szCs w:val="21"/>
                    </w:rPr>
                    <w:t>危险</w:t>
                  </w:r>
                </w:p>
                <w:p w14:paraId="283BD5AB">
                  <w:pPr>
                    <w:pStyle w:val="6"/>
                    <w:snapToGrid/>
                    <w:spacing w:before="0" w:after="0" w:line="240" w:lineRule="auto"/>
                    <w:ind w:right="0"/>
                    <w:jc w:val="center"/>
                    <w:rPr>
                      <w:b/>
                      <w:bCs/>
                      <w:color w:val="auto"/>
                      <w:sz w:val="21"/>
                      <w:szCs w:val="21"/>
                    </w:rPr>
                  </w:pPr>
                  <w:r>
                    <w:rPr>
                      <w:rFonts w:hint="eastAsia"/>
                      <w:b/>
                      <w:bCs/>
                      <w:color w:val="auto"/>
                      <w:sz w:val="21"/>
                      <w:szCs w:val="21"/>
                    </w:rPr>
                    <w:t>特性</w:t>
                  </w:r>
                </w:p>
              </w:tc>
              <w:tc>
                <w:tcPr>
                  <w:tcW w:w="441" w:type="pct"/>
                  <w:vAlign w:val="center"/>
                </w:tcPr>
                <w:p w14:paraId="5BC9FF27">
                  <w:pPr>
                    <w:pStyle w:val="6"/>
                    <w:snapToGrid/>
                    <w:spacing w:before="0" w:after="0" w:line="240" w:lineRule="auto"/>
                    <w:ind w:right="0"/>
                    <w:jc w:val="center"/>
                    <w:rPr>
                      <w:b/>
                      <w:bCs/>
                      <w:color w:val="auto"/>
                      <w:sz w:val="21"/>
                      <w:szCs w:val="21"/>
                    </w:rPr>
                  </w:pPr>
                  <w:r>
                    <w:rPr>
                      <w:rFonts w:hint="eastAsia"/>
                      <w:b/>
                      <w:bCs/>
                      <w:color w:val="auto"/>
                      <w:sz w:val="21"/>
                      <w:szCs w:val="21"/>
                    </w:rPr>
                    <w:t>污染防治措施</w:t>
                  </w:r>
                </w:p>
              </w:tc>
            </w:tr>
            <w:tr w14:paraId="4360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2E6CE6B4">
                  <w:pPr>
                    <w:pStyle w:val="6"/>
                    <w:snapToGrid/>
                    <w:spacing w:before="0" w:after="0" w:line="240" w:lineRule="auto"/>
                    <w:ind w:right="0"/>
                    <w:jc w:val="center"/>
                    <w:rPr>
                      <w:rFonts w:hint="eastAsia" w:eastAsia="宋体"/>
                      <w:color w:val="auto"/>
                      <w:sz w:val="21"/>
                      <w:szCs w:val="21"/>
                      <w:lang w:eastAsia="zh-CN"/>
                    </w:rPr>
                  </w:pPr>
                  <w:r>
                    <w:rPr>
                      <w:rFonts w:hint="eastAsia"/>
                      <w:color w:val="auto"/>
                      <w:sz w:val="21"/>
                      <w:szCs w:val="21"/>
                      <w:lang w:val="en-US" w:eastAsia="zh-CN"/>
                    </w:rPr>
                    <w:t>1</w:t>
                  </w:r>
                </w:p>
              </w:tc>
              <w:tc>
                <w:tcPr>
                  <w:tcW w:w="509" w:type="pct"/>
                  <w:shd w:val="clear" w:color="auto" w:fill="auto"/>
                  <w:vAlign w:val="center"/>
                </w:tcPr>
                <w:p w14:paraId="3A997C74">
                  <w:pPr>
                    <w:jc w:val="center"/>
                    <w:rPr>
                      <w:color w:val="auto"/>
                      <w:szCs w:val="21"/>
                    </w:rPr>
                  </w:pPr>
                  <w:r>
                    <w:rPr>
                      <w:rFonts w:hint="eastAsia"/>
                      <w:color w:val="auto"/>
                      <w:szCs w:val="21"/>
                    </w:rPr>
                    <w:t>废切削液</w:t>
                  </w:r>
                </w:p>
              </w:tc>
              <w:tc>
                <w:tcPr>
                  <w:tcW w:w="522" w:type="pct"/>
                  <w:shd w:val="clear" w:color="auto" w:fill="auto"/>
                  <w:vAlign w:val="center"/>
                </w:tcPr>
                <w:p w14:paraId="21475579">
                  <w:pPr>
                    <w:jc w:val="center"/>
                    <w:rPr>
                      <w:color w:val="auto"/>
                      <w:szCs w:val="21"/>
                    </w:rPr>
                  </w:pPr>
                  <w:r>
                    <w:rPr>
                      <w:rFonts w:hint="eastAsia"/>
                      <w:color w:val="auto"/>
                    </w:rPr>
                    <w:t>HW09</w:t>
                  </w:r>
                </w:p>
              </w:tc>
              <w:tc>
                <w:tcPr>
                  <w:tcW w:w="822" w:type="pct"/>
                  <w:vAlign w:val="center"/>
                </w:tcPr>
                <w:p w14:paraId="4D018C3C">
                  <w:pPr>
                    <w:jc w:val="center"/>
                    <w:rPr>
                      <w:color w:val="auto"/>
                      <w:szCs w:val="21"/>
                    </w:rPr>
                  </w:pPr>
                  <w:r>
                    <w:rPr>
                      <w:rFonts w:hint="eastAsia"/>
                      <w:color w:val="auto"/>
                    </w:rPr>
                    <w:t>900-006-09</w:t>
                  </w:r>
                </w:p>
              </w:tc>
              <w:tc>
                <w:tcPr>
                  <w:tcW w:w="569" w:type="pct"/>
                  <w:shd w:val="clear" w:color="auto" w:fill="auto"/>
                  <w:vAlign w:val="center"/>
                </w:tcPr>
                <w:p w14:paraId="54AC065C">
                  <w:pPr>
                    <w:jc w:val="center"/>
                    <w:rPr>
                      <w:color w:val="auto"/>
                      <w:szCs w:val="21"/>
                    </w:rPr>
                  </w:pPr>
                  <w:r>
                    <w:rPr>
                      <w:rFonts w:hint="eastAsia"/>
                      <w:color w:val="auto"/>
                      <w:szCs w:val="21"/>
                    </w:rPr>
                    <w:t>0.0027</w:t>
                  </w:r>
                </w:p>
              </w:tc>
              <w:tc>
                <w:tcPr>
                  <w:tcW w:w="388" w:type="pct"/>
                  <w:shd w:val="clear" w:color="auto" w:fill="auto"/>
                  <w:vAlign w:val="center"/>
                </w:tcPr>
                <w:p w14:paraId="25E38667">
                  <w:pPr>
                    <w:jc w:val="center"/>
                    <w:rPr>
                      <w:color w:val="auto"/>
                      <w:szCs w:val="21"/>
                    </w:rPr>
                  </w:pPr>
                  <w:r>
                    <w:rPr>
                      <w:rFonts w:hint="eastAsia"/>
                      <w:color w:val="auto"/>
                      <w:szCs w:val="21"/>
                    </w:rPr>
                    <w:t>打孔</w:t>
                  </w:r>
                </w:p>
              </w:tc>
              <w:tc>
                <w:tcPr>
                  <w:tcW w:w="316" w:type="pct"/>
                  <w:vAlign w:val="center"/>
                </w:tcPr>
                <w:p w14:paraId="4166ED38">
                  <w:pPr>
                    <w:pStyle w:val="6"/>
                    <w:snapToGrid/>
                    <w:spacing w:before="0" w:after="0" w:line="240" w:lineRule="auto"/>
                    <w:ind w:right="0"/>
                    <w:jc w:val="center"/>
                    <w:rPr>
                      <w:color w:val="auto"/>
                      <w:sz w:val="21"/>
                      <w:szCs w:val="21"/>
                    </w:rPr>
                  </w:pPr>
                  <w:r>
                    <w:rPr>
                      <w:rFonts w:hint="eastAsia"/>
                      <w:color w:val="auto"/>
                      <w:sz w:val="21"/>
                      <w:szCs w:val="21"/>
                    </w:rPr>
                    <w:t>固态</w:t>
                  </w:r>
                </w:p>
              </w:tc>
              <w:tc>
                <w:tcPr>
                  <w:tcW w:w="439" w:type="pct"/>
                  <w:vAlign w:val="center"/>
                </w:tcPr>
                <w:p w14:paraId="0A81E335">
                  <w:pPr>
                    <w:pStyle w:val="79"/>
                    <w:rPr>
                      <w:rFonts w:ascii="Times New Roman"/>
                      <w:color w:val="auto"/>
                      <w:szCs w:val="21"/>
                    </w:rPr>
                  </w:pPr>
                  <w:r>
                    <w:rPr>
                      <w:rFonts w:hint="eastAsia"/>
                      <w:color w:val="auto"/>
                      <w:szCs w:val="21"/>
                    </w:rPr>
                    <w:t>切削液</w:t>
                  </w:r>
                </w:p>
              </w:tc>
              <w:tc>
                <w:tcPr>
                  <w:tcW w:w="350" w:type="pct"/>
                  <w:vAlign w:val="center"/>
                </w:tcPr>
                <w:p w14:paraId="7C39664C">
                  <w:pPr>
                    <w:pStyle w:val="6"/>
                    <w:snapToGrid/>
                    <w:spacing w:before="0" w:after="0" w:line="240" w:lineRule="auto"/>
                    <w:ind w:right="0"/>
                    <w:jc w:val="center"/>
                    <w:rPr>
                      <w:bCs/>
                      <w:color w:val="auto"/>
                      <w:sz w:val="21"/>
                      <w:szCs w:val="21"/>
                    </w:rPr>
                  </w:pPr>
                  <w:r>
                    <w:rPr>
                      <w:rFonts w:hint="eastAsia"/>
                      <w:bCs/>
                      <w:color w:val="auto"/>
                      <w:sz w:val="21"/>
                      <w:szCs w:val="21"/>
                      <w:lang w:val="en-US" w:eastAsia="zh-CN"/>
                    </w:rPr>
                    <w:t>6</w:t>
                  </w:r>
                  <w:r>
                    <w:rPr>
                      <w:rFonts w:hint="eastAsia"/>
                      <w:bCs/>
                      <w:color w:val="auto"/>
                      <w:sz w:val="21"/>
                      <w:szCs w:val="21"/>
                    </w:rPr>
                    <w:t>个月</w:t>
                  </w:r>
                </w:p>
              </w:tc>
              <w:tc>
                <w:tcPr>
                  <w:tcW w:w="362" w:type="pct"/>
                  <w:vAlign w:val="center"/>
                </w:tcPr>
                <w:p w14:paraId="6FD43ACB">
                  <w:pPr>
                    <w:pStyle w:val="6"/>
                    <w:snapToGrid/>
                    <w:spacing w:before="0" w:after="0" w:line="240" w:lineRule="auto"/>
                    <w:ind w:right="0"/>
                    <w:jc w:val="center"/>
                    <w:rPr>
                      <w:color w:val="auto"/>
                      <w:sz w:val="21"/>
                      <w:szCs w:val="21"/>
                    </w:rPr>
                  </w:pPr>
                  <w:r>
                    <w:rPr>
                      <w:rFonts w:hint="eastAsia"/>
                      <w:bCs/>
                      <w:color w:val="auto"/>
                      <w:sz w:val="21"/>
                      <w:szCs w:val="21"/>
                    </w:rPr>
                    <w:t>T</w:t>
                  </w:r>
                </w:p>
              </w:tc>
              <w:tc>
                <w:tcPr>
                  <w:tcW w:w="441" w:type="pct"/>
                  <w:vMerge w:val="restart"/>
                  <w:vAlign w:val="center"/>
                </w:tcPr>
                <w:p w14:paraId="6A0B0EF1">
                  <w:pPr>
                    <w:pStyle w:val="6"/>
                    <w:snapToGrid/>
                    <w:spacing w:before="0" w:after="0" w:line="240" w:lineRule="auto"/>
                    <w:ind w:right="0"/>
                    <w:jc w:val="center"/>
                    <w:rPr>
                      <w:color w:val="auto"/>
                      <w:sz w:val="21"/>
                      <w:szCs w:val="21"/>
                    </w:rPr>
                  </w:pPr>
                  <w:r>
                    <w:rPr>
                      <w:color w:val="auto"/>
                      <w:sz w:val="21"/>
                      <w:szCs w:val="21"/>
                    </w:rPr>
                    <w:t>暂存至危废暂存间，定期交由有资质单位处置</w:t>
                  </w:r>
                </w:p>
              </w:tc>
            </w:tr>
            <w:tr w14:paraId="5E39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3D1D7AF">
                  <w:pPr>
                    <w:pStyle w:val="6"/>
                    <w:snapToGrid/>
                    <w:spacing w:before="0" w:after="0" w:line="240" w:lineRule="auto"/>
                    <w:ind w:right="0"/>
                    <w:jc w:val="center"/>
                    <w:rPr>
                      <w:rFonts w:hint="eastAsia" w:eastAsia="宋体"/>
                      <w:color w:val="auto"/>
                      <w:sz w:val="21"/>
                      <w:szCs w:val="21"/>
                      <w:lang w:eastAsia="zh-CN"/>
                    </w:rPr>
                  </w:pPr>
                  <w:r>
                    <w:rPr>
                      <w:rFonts w:hint="eastAsia"/>
                      <w:color w:val="auto"/>
                      <w:sz w:val="21"/>
                      <w:szCs w:val="21"/>
                      <w:lang w:val="en-US" w:eastAsia="zh-CN"/>
                    </w:rPr>
                    <w:t>2</w:t>
                  </w:r>
                </w:p>
              </w:tc>
              <w:tc>
                <w:tcPr>
                  <w:tcW w:w="509" w:type="pct"/>
                  <w:shd w:val="clear" w:color="auto" w:fill="auto"/>
                  <w:vAlign w:val="center"/>
                </w:tcPr>
                <w:p w14:paraId="1391B037">
                  <w:pPr>
                    <w:jc w:val="center"/>
                    <w:rPr>
                      <w:color w:val="auto"/>
                      <w:szCs w:val="21"/>
                    </w:rPr>
                  </w:pPr>
                  <w:r>
                    <w:rPr>
                      <w:rFonts w:hint="eastAsia"/>
                      <w:color w:val="auto"/>
                      <w:szCs w:val="21"/>
                    </w:rPr>
                    <w:t>废胶水瓶</w:t>
                  </w:r>
                </w:p>
              </w:tc>
              <w:tc>
                <w:tcPr>
                  <w:tcW w:w="522" w:type="pct"/>
                  <w:shd w:val="clear" w:color="auto" w:fill="auto"/>
                  <w:vAlign w:val="center"/>
                </w:tcPr>
                <w:p w14:paraId="0B8FF0A1">
                  <w:pPr>
                    <w:jc w:val="center"/>
                    <w:rPr>
                      <w:color w:val="auto"/>
                      <w:szCs w:val="21"/>
                    </w:rPr>
                  </w:pPr>
                  <w:r>
                    <w:rPr>
                      <w:rFonts w:hint="eastAsia"/>
                      <w:color w:val="auto"/>
                    </w:rPr>
                    <w:t>HW49</w:t>
                  </w:r>
                </w:p>
              </w:tc>
              <w:tc>
                <w:tcPr>
                  <w:tcW w:w="822" w:type="pct"/>
                  <w:vAlign w:val="center"/>
                </w:tcPr>
                <w:p w14:paraId="29835FF1">
                  <w:pPr>
                    <w:jc w:val="center"/>
                    <w:rPr>
                      <w:color w:val="auto"/>
                      <w:spacing w:val="6"/>
                      <w:szCs w:val="21"/>
                      <w:lang w:bidi="ar"/>
                    </w:rPr>
                  </w:pPr>
                  <w:r>
                    <w:rPr>
                      <w:rFonts w:hint="eastAsia"/>
                      <w:color w:val="auto"/>
                    </w:rPr>
                    <w:t>900-041-49</w:t>
                  </w:r>
                </w:p>
              </w:tc>
              <w:tc>
                <w:tcPr>
                  <w:tcW w:w="569" w:type="pct"/>
                  <w:shd w:val="clear" w:color="auto" w:fill="auto"/>
                  <w:vAlign w:val="center"/>
                </w:tcPr>
                <w:p w14:paraId="3EAC625A">
                  <w:pPr>
                    <w:jc w:val="center"/>
                    <w:rPr>
                      <w:color w:val="auto"/>
                      <w:sz w:val="24"/>
                    </w:rPr>
                  </w:pPr>
                  <w:r>
                    <w:rPr>
                      <w:rFonts w:hint="eastAsia"/>
                      <w:color w:val="auto"/>
                      <w:sz w:val="24"/>
                    </w:rPr>
                    <w:t>0.2</w:t>
                  </w:r>
                </w:p>
              </w:tc>
              <w:tc>
                <w:tcPr>
                  <w:tcW w:w="388" w:type="pct"/>
                  <w:shd w:val="clear" w:color="auto" w:fill="auto"/>
                  <w:vAlign w:val="center"/>
                </w:tcPr>
                <w:p w14:paraId="7248FFCB">
                  <w:pPr>
                    <w:jc w:val="center"/>
                    <w:rPr>
                      <w:color w:val="auto"/>
                      <w:szCs w:val="21"/>
                    </w:rPr>
                  </w:pPr>
                  <w:r>
                    <w:rPr>
                      <w:rFonts w:hint="eastAsia"/>
                      <w:color w:val="auto"/>
                      <w:szCs w:val="21"/>
                    </w:rPr>
                    <w:t>自动粘胶</w:t>
                  </w:r>
                </w:p>
              </w:tc>
              <w:tc>
                <w:tcPr>
                  <w:tcW w:w="316" w:type="pct"/>
                  <w:vAlign w:val="center"/>
                </w:tcPr>
                <w:p w14:paraId="4B4533B0">
                  <w:pPr>
                    <w:pStyle w:val="6"/>
                    <w:snapToGrid/>
                    <w:spacing w:before="0" w:after="0" w:line="240" w:lineRule="auto"/>
                    <w:ind w:right="0"/>
                    <w:jc w:val="center"/>
                    <w:rPr>
                      <w:color w:val="auto"/>
                      <w:sz w:val="21"/>
                      <w:szCs w:val="21"/>
                    </w:rPr>
                  </w:pPr>
                  <w:r>
                    <w:rPr>
                      <w:rFonts w:hint="eastAsia"/>
                      <w:color w:val="auto"/>
                      <w:sz w:val="21"/>
                      <w:szCs w:val="21"/>
                    </w:rPr>
                    <w:t>固态</w:t>
                  </w:r>
                </w:p>
              </w:tc>
              <w:tc>
                <w:tcPr>
                  <w:tcW w:w="439" w:type="pct"/>
                  <w:vAlign w:val="center"/>
                </w:tcPr>
                <w:p w14:paraId="03A468A1">
                  <w:pPr>
                    <w:pStyle w:val="79"/>
                    <w:rPr>
                      <w:rFonts w:ascii="Times New Roman"/>
                      <w:color w:val="auto"/>
                      <w:szCs w:val="21"/>
                    </w:rPr>
                  </w:pPr>
                  <w:r>
                    <w:rPr>
                      <w:rFonts w:ascii="Times New Roman"/>
                      <w:color w:val="auto"/>
                      <w:szCs w:val="21"/>
                    </w:rPr>
                    <w:t>α-氰基丙烯酸乙酯</w:t>
                  </w:r>
                </w:p>
              </w:tc>
              <w:tc>
                <w:tcPr>
                  <w:tcW w:w="350" w:type="pct"/>
                  <w:vAlign w:val="center"/>
                </w:tcPr>
                <w:p w14:paraId="4FB38D53">
                  <w:pPr>
                    <w:pStyle w:val="6"/>
                    <w:snapToGrid/>
                    <w:spacing w:before="0" w:after="0" w:line="240" w:lineRule="auto"/>
                    <w:ind w:right="0"/>
                    <w:jc w:val="center"/>
                    <w:rPr>
                      <w:bCs/>
                      <w:color w:val="auto"/>
                      <w:sz w:val="21"/>
                      <w:szCs w:val="21"/>
                    </w:rPr>
                  </w:pPr>
                  <w:r>
                    <w:rPr>
                      <w:rFonts w:hint="eastAsia"/>
                      <w:bCs/>
                      <w:color w:val="auto"/>
                      <w:sz w:val="21"/>
                      <w:szCs w:val="21"/>
                      <w:lang w:val="en-US" w:eastAsia="zh-CN"/>
                    </w:rPr>
                    <w:t>6</w:t>
                  </w:r>
                  <w:r>
                    <w:rPr>
                      <w:rFonts w:hint="eastAsia"/>
                      <w:bCs/>
                      <w:color w:val="auto"/>
                      <w:sz w:val="21"/>
                      <w:szCs w:val="21"/>
                    </w:rPr>
                    <w:t>个月</w:t>
                  </w:r>
                </w:p>
              </w:tc>
              <w:tc>
                <w:tcPr>
                  <w:tcW w:w="362" w:type="pct"/>
                  <w:vAlign w:val="center"/>
                </w:tcPr>
                <w:p w14:paraId="3880E6B7">
                  <w:pPr>
                    <w:pStyle w:val="6"/>
                    <w:snapToGrid/>
                    <w:spacing w:before="0" w:after="0" w:line="240" w:lineRule="auto"/>
                    <w:ind w:right="0"/>
                    <w:jc w:val="center"/>
                    <w:rPr>
                      <w:bCs/>
                      <w:color w:val="auto"/>
                      <w:sz w:val="21"/>
                      <w:szCs w:val="21"/>
                    </w:rPr>
                  </w:pPr>
                  <w:r>
                    <w:rPr>
                      <w:rFonts w:hint="eastAsia"/>
                      <w:color w:val="auto"/>
                      <w:sz w:val="21"/>
                      <w:szCs w:val="21"/>
                    </w:rPr>
                    <w:t>T/In</w:t>
                  </w:r>
                </w:p>
              </w:tc>
              <w:tc>
                <w:tcPr>
                  <w:tcW w:w="441" w:type="pct"/>
                  <w:vMerge w:val="continue"/>
                  <w:vAlign w:val="center"/>
                </w:tcPr>
                <w:p w14:paraId="7DDE4EA3">
                  <w:pPr>
                    <w:pStyle w:val="6"/>
                    <w:snapToGrid/>
                    <w:spacing w:before="0" w:after="0" w:line="240" w:lineRule="auto"/>
                    <w:ind w:right="0"/>
                    <w:jc w:val="center"/>
                    <w:rPr>
                      <w:color w:val="auto"/>
                      <w:sz w:val="21"/>
                      <w:szCs w:val="21"/>
                    </w:rPr>
                  </w:pPr>
                </w:p>
              </w:tc>
            </w:tr>
            <w:tr w14:paraId="68BB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58151CD7">
                  <w:pPr>
                    <w:pStyle w:val="6"/>
                    <w:snapToGrid/>
                    <w:spacing w:before="0" w:after="0" w:line="240" w:lineRule="auto"/>
                    <w:ind w:right="0"/>
                    <w:jc w:val="center"/>
                    <w:rPr>
                      <w:rFonts w:hint="eastAsia" w:eastAsia="宋体"/>
                      <w:color w:val="auto"/>
                      <w:sz w:val="21"/>
                      <w:szCs w:val="21"/>
                      <w:lang w:eastAsia="zh-CN"/>
                    </w:rPr>
                  </w:pPr>
                  <w:r>
                    <w:rPr>
                      <w:rFonts w:hint="eastAsia"/>
                      <w:color w:val="auto"/>
                      <w:sz w:val="21"/>
                      <w:szCs w:val="21"/>
                      <w:lang w:val="en-US" w:eastAsia="zh-CN"/>
                    </w:rPr>
                    <w:t>3</w:t>
                  </w:r>
                </w:p>
              </w:tc>
              <w:tc>
                <w:tcPr>
                  <w:tcW w:w="509" w:type="pct"/>
                  <w:shd w:val="clear" w:color="auto" w:fill="auto"/>
                  <w:vAlign w:val="center"/>
                </w:tcPr>
                <w:p w14:paraId="635B61B6">
                  <w:pPr>
                    <w:jc w:val="center"/>
                    <w:rPr>
                      <w:color w:val="auto"/>
                      <w:szCs w:val="21"/>
                    </w:rPr>
                  </w:pPr>
                  <w:r>
                    <w:rPr>
                      <w:rFonts w:hint="eastAsia"/>
                      <w:color w:val="auto"/>
                      <w:szCs w:val="21"/>
                    </w:rPr>
                    <w:t>废机油</w:t>
                  </w:r>
                </w:p>
              </w:tc>
              <w:tc>
                <w:tcPr>
                  <w:tcW w:w="522" w:type="pct"/>
                  <w:vAlign w:val="center"/>
                </w:tcPr>
                <w:p w14:paraId="4CC81EE3">
                  <w:pPr>
                    <w:pStyle w:val="63"/>
                    <w:rPr>
                      <w:color w:val="auto"/>
                    </w:rPr>
                  </w:pPr>
                  <w:r>
                    <w:rPr>
                      <w:rFonts w:hint="eastAsia"/>
                      <w:color w:val="auto"/>
                    </w:rPr>
                    <w:t>HW08</w:t>
                  </w:r>
                </w:p>
              </w:tc>
              <w:tc>
                <w:tcPr>
                  <w:tcW w:w="822" w:type="pct"/>
                  <w:vAlign w:val="center"/>
                </w:tcPr>
                <w:p w14:paraId="64BF4045">
                  <w:pPr>
                    <w:jc w:val="center"/>
                    <w:rPr>
                      <w:color w:val="auto"/>
                      <w:szCs w:val="21"/>
                    </w:rPr>
                  </w:pPr>
                  <w:r>
                    <w:rPr>
                      <w:rFonts w:hint="eastAsia"/>
                      <w:color w:val="auto"/>
                      <w:szCs w:val="21"/>
                    </w:rPr>
                    <w:t>900-214-08</w:t>
                  </w:r>
                </w:p>
              </w:tc>
              <w:tc>
                <w:tcPr>
                  <w:tcW w:w="569" w:type="pct"/>
                  <w:vAlign w:val="center"/>
                </w:tcPr>
                <w:p w14:paraId="1B1CA346">
                  <w:pPr>
                    <w:jc w:val="center"/>
                    <w:rPr>
                      <w:color w:val="auto"/>
                      <w:szCs w:val="21"/>
                    </w:rPr>
                  </w:pPr>
                  <w:r>
                    <w:rPr>
                      <w:rFonts w:hint="eastAsia"/>
                      <w:color w:val="auto"/>
                      <w:szCs w:val="21"/>
                    </w:rPr>
                    <w:t>0.2</w:t>
                  </w:r>
                </w:p>
              </w:tc>
              <w:tc>
                <w:tcPr>
                  <w:tcW w:w="388" w:type="pct"/>
                  <w:vMerge w:val="restart"/>
                  <w:vAlign w:val="center"/>
                </w:tcPr>
                <w:p w14:paraId="0DFDBFC3">
                  <w:pPr>
                    <w:pStyle w:val="79"/>
                    <w:rPr>
                      <w:rFonts w:ascii="Times New Roman"/>
                      <w:color w:val="auto"/>
                      <w:szCs w:val="21"/>
                    </w:rPr>
                  </w:pPr>
                  <w:r>
                    <w:rPr>
                      <w:rFonts w:hint="eastAsia" w:ascii="Times New Roman"/>
                      <w:color w:val="auto"/>
                      <w:szCs w:val="21"/>
                    </w:rPr>
                    <w:t>设备维修</w:t>
                  </w:r>
                </w:p>
              </w:tc>
              <w:tc>
                <w:tcPr>
                  <w:tcW w:w="316" w:type="pct"/>
                  <w:vAlign w:val="center"/>
                </w:tcPr>
                <w:p w14:paraId="18B7E558">
                  <w:pPr>
                    <w:pStyle w:val="6"/>
                    <w:snapToGrid/>
                    <w:spacing w:before="0" w:after="0" w:line="240" w:lineRule="auto"/>
                    <w:ind w:right="0"/>
                    <w:jc w:val="center"/>
                    <w:rPr>
                      <w:color w:val="auto"/>
                      <w:sz w:val="21"/>
                      <w:szCs w:val="21"/>
                    </w:rPr>
                  </w:pPr>
                  <w:r>
                    <w:rPr>
                      <w:rFonts w:hint="eastAsia"/>
                      <w:color w:val="auto"/>
                      <w:sz w:val="21"/>
                      <w:szCs w:val="21"/>
                    </w:rPr>
                    <w:t>液态</w:t>
                  </w:r>
                </w:p>
              </w:tc>
              <w:tc>
                <w:tcPr>
                  <w:tcW w:w="439" w:type="pct"/>
                  <w:vAlign w:val="center"/>
                </w:tcPr>
                <w:p w14:paraId="356FFB11">
                  <w:pPr>
                    <w:pStyle w:val="72"/>
                    <w:spacing w:line="240" w:lineRule="auto"/>
                    <w:ind w:right="0" w:firstLine="0" w:firstLineChars="0"/>
                    <w:jc w:val="center"/>
                    <w:rPr>
                      <w:rFonts w:hAnsi="Times New Roman"/>
                      <w:color w:val="auto"/>
                      <w:sz w:val="21"/>
                      <w:szCs w:val="21"/>
                    </w:rPr>
                  </w:pPr>
                  <w:r>
                    <w:rPr>
                      <w:rFonts w:hint="eastAsia" w:hAnsi="Times New Roman"/>
                      <w:color w:val="auto"/>
                      <w:sz w:val="21"/>
                      <w:szCs w:val="21"/>
                    </w:rPr>
                    <w:t>矿物油</w:t>
                  </w:r>
                </w:p>
              </w:tc>
              <w:tc>
                <w:tcPr>
                  <w:tcW w:w="350" w:type="pct"/>
                  <w:vAlign w:val="center"/>
                </w:tcPr>
                <w:p w14:paraId="77C2E06E">
                  <w:pPr>
                    <w:pStyle w:val="6"/>
                    <w:snapToGrid/>
                    <w:spacing w:before="0" w:after="0" w:line="240" w:lineRule="auto"/>
                    <w:ind w:right="0"/>
                    <w:jc w:val="center"/>
                    <w:rPr>
                      <w:bCs/>
                      <w:color w:val="auto"/>
                      <w:sz w:val="21"/>
                      <w:szCs w:val="21"/>
                    </w:rPr>
                  </w:pPr>
                  <w:r>
                    <w:rPr>
                      <w:rFonts w:hint="eastAsia"/>
                      <w:bCs/>
                      <w:color w:val="auto"/>
                      <w:sz w:val="21"/>
                      <w:szCs w:val="21"/>
                    </w:rPr>
                    <w:t>6个月</w:t>
                  </w:r>
                </w:p>
              </w:tc>
              <w:tc>
                <w:tcPr>
                  <w:tcW w:w="362" w:type="pct"/>
                  <w:vAlign w:val="center"/>
                </w:tcPr>
                <w:p w14:paraId="488A6F00">
                  <w:pPr>
                    <w:jc w:val="center"/>
                    <w:rPr>
                      <w:color w:val="auto"/>
                    </w:rPr>
                  </w:pPr>
                  <w:r>
                    <w:rPr>
                      <w:rFonts w:hint="eastAsia"/>
                      <w:color w:val="auto"/>
                    </w:rPr>
                    <w:t>T，I</w:t>
                  </w:r>
                </w:p>
              </w:tc>
              <w:tc>
                <w:tcPr>
                  <w:tcW w:w="441" w:type="pct"/>
                  <w:vMerge w:val="continue"/>
                  <w:vAlign w:val="center"/>
                </w:tcPr>
                <w:p w14:paraId="4AF126AE">
                  <w:pPr>
                    <w:pStyle w:val="6"/>
                    <w:snapToGrid/>
                    <w:spacing w:before="0" w:after="0" w:line="240" w:lineRule="auto"/>
                    <w:ind w:right="0"/>
                    <w:jc w:val="center"/>
                    <w:rPr>
                      <w:color w:val="auto"/>
                      <w:sz w:val="21"/>
                      <w:szCs w:val="21"/>
                    </w:rPr>
                  </w:pPr>
                </w:p>
              </w:tc>
            </w:tr>
            <w:tr w14:paraId="3A8E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8022977">
                  <w:pPr>
                    <w:pStyle w:val="6"/>
                    <w:snapToGrid/>
                    <w:spacing w:before="0" w:after="0" w:line="240" w:lineRule="auto"/>
                    <w:ind w:right="0"/>
                    <w:jc w:val="center"/>
                    <w:rPr>
                      <w:rFonts w:hint="eastAsia" w:eastAsia="宋体"/>
                      <w:color w:val="auto"/>
                      <w:sz w:val="21"/>
                      <w:szCs w:val="21"/>
                      <w:lang w:eastAsia="zh-CN"/>
                    </w:rPr>
                  </w:pPr>
                  <w:r>
                    <w:rPr>
                      <w:rFonts w:hint="eastAsia"/>
                      <w:color w:val="auto"/>
                      <w:sz w:val="21"/>
                      <w:szCs w:val="21"/>
                      <w:lang w:val="en-US" w:eastAsia="zh-CN"/>
                    </w:rPr>
                    <w:t>4</w:t>
                  </w:r>
                </w:p>
              </w:tc>
              <w:tc>
                <w:tcPr>
                  <w:tcW w:w="509" w:type="pct"/>
                  <w:shd w:val="clear" w:color="auto" w:fill="auto"/>
                  <w:vAlign w:val="center"/>
                </w:tcPr>
                <w:p w14:paraId="6503BFB4">
                  <w:pPr>
                    <w:jc w:val="center"/>
                    <w:rPr>
                      <w:color w:val="auto"/>
                      <w:szCs w:val="21"/>
                    </w:rPr>
                  </w:pPr>
                  <w:r>
                    <w:rPr>
                      <w:rFonts w:hint="eastAsia"/>
                      <w:color w:val="auto"/>
                      <w:szCs w:val="21"/>
                    </w:rPr>
                    <w:t>废含油抹布、手套</w:t>
                  </w:r>
                </w:p>
              </w:tc>
              <w:tc>
                <w:tcPr>
                  <w:tcW w:w="522" w:type="pct"/>
                  <w:vAlign w:val="center"/>
                </w:tcPr>
                <w:p w14:paraId="2F257DB8">
                  <w:pPr>
                    <w:pStyle w:val="63"/>
                    <w:rPr>
                      <w:color w:val="auto"/>
                    </w:rPr>
                  </w:pPr>
                  <w:r>
                    <w:rPr>
                      <w:rFonts w:hint="eastAsia"/>
                      <w:color w:val="auto"/>
                    </w:rPr>
                    <w:t>HW49</w:t>
                  </w:r>
                </w:p>
              </w:tc>
              <w:tc>
                <w:tcPr>
                  <w:tcW w:w="822" w:type="pct"/>
                  <w:vAlign w:val="center"/>
                </w:tcPr>
                <w:p w14:paraId="73EF06D9">
                  <w:pPr>
                    <w:jc w:val="center"/>
                    <w:rPr>
                      <w:color w:val="auto"/>
                      <w:szCs w:val="21"/>
                    </w:rPr>
                  </w:pPr>
                  <w:r>
                    <w:rPr>
                      <w:rFonts w:hint="eastAsia"/>
                      <w:color w:val="auto"/>
                      <w:szCs w:val="21"/>
                    </w:rPr>
                    <w:t>900-041-49</w:t>
                  </w:r>
                </w:p>
              </w:tc>
              <w:tc>
                <w:tcPr>
                  <w:tcW w:w="569" w:type="pct"/>
                  <w:vAlign w:val="center"/>
                </w:tcPr>
                <w:p w14:paraId="762EAE63">
                  <w:pPr>
                    <w:jc w:val="center"/>
                    <w:rPr>
                      <w:color w:val="auto"/>
                      <w:szCs w:val="21"/>
                    </w:rPr>
                  </w:pPr>
                  <w:r>
                    <w:rPr>
                      <w:rFonts w:hint="eastAsia"/>
                      <w:color w:val="auto"/>
                      <w:szCs w:val="21"/>
                    </w:rPr>
                    <w:t>0.02</w:t>
                  </w:r>
                </w:p>
              </w:tc>
              <w:tc>
                <w:tcPr>
                  <w:tcW w:w="388" w:type="pct"/>
                  <w:vMerge w:val="continue"/>
                  <w:vAlign w:val="center"/>
                </w:tcPr>
                <w:p w14:paraId="461C1CCE">
                  <w:pPr>
                    <w:pStyle w:val="79"/>
                    <w:rPr>
                      <w:rFonts w:ascii="Times New Roman"/>
                      <w:color w:val="auto"/>
                      <w:szCs w:val="21"/>
                    </w:rPr>
                  </w:pPr>
                </w:p>
              </w:tc>
              <w:tc>
                <w:tcPr>
                  <w:tcW w:w="316" w:type="pct"/>
                  <w:vAlign w:val="center"/>
                </w:tcPr>
                <w:p w14:paraId="7BAB3BDB">
                  <w:pPr>
                    <w:pStyle w:val="6"/>
                    <w:snapToGrid/>
                    <w:spacing w:before="0" w:after="0" w:line="240" w:lineRule="auto"/>
                    <w:ind w:right="0"/>
                    <w:jc w:val="center"/>
                    <w:rPr>
                      <w:color w:val="auto"/>
                      <w:sz w:val="21"/>
                      <w:szCs w:val="21"/>
                    </w:rPr>
                  </w:pPr>
                  <w:r>
                    <w:rPr>
                      <w:rFonts w:hint="eastAsia"/>
                      <w:color w:val="auto"/>
                      <w:sz w:val="21"/>
                      <w:szCs w:val="21"/>
                    </w:rPr>
                    <w:t>固态</w:t>
                  </w:r>
                </w:p>
              </w:tc>
              <w:tc>
                <w:tcPr>
                  <w:tcW w:w="439" w:type="pct"/>
                  <w:vAlign w:val="center"/>
                </w:tcPr>
                <w:p w14:paraId="54FFC58D">
                  <w:pPr>
                    <w:pStyle w:val="72"/>
                    <w:spacing w:line="240" w:lineRule="auto"/>
                    <w:ind w:right="0" w:firstLine="0" w:firstLineChars="0"/>
                    <w:jc w:val="center"/>
                    <w:rPr>
                      <w:rFonts w:hAnsi="Times New Roman"/>
                      <w:color w:val="auto"/>
                      <w:sz w:val="21"/>
                      <w:szCs w:val="21"/>
                    </w:rPr>
                  </w:pPr>
                  <w:r>
                    <w:rPr>
                      <w:rFonts w:hint="eastAsia" w:hAnsi="Times New Roman"/>
                      <w:color w:val="auto"/>
                      <w:sz w:val="21"/>
                      <w:szCs w:val="21"/>
                    </w:rPr>
                    <w:t>矿物油</w:t>
                  </w:r>
                </w:p>
              </w:tc>
              <w:tc>
                <w:tcPr>
                  <w:tcW w:w="350" w:type="pct"/>
                  <w:vAlign w:val="center"/>
                </w:tcPr>
                <w:p w14:paraId="233D9DC3">
                  <w:pPr>
                    <w:pStyle w:val="6"/>
                    <w:snapToGrid/>
                    <w:spacing w:before="0" w:after="0" w:line="240" w:lineRule="auto"/>
                    <w:ind w:right="0"/>
                    <w:jc w:val="center"/>
                    <w:rPr>
                      <w:bCs/>
                      <w:color w:val="auto"/>
                      <w:sz w:val="21"/>
                      <w:szCs w:val="21"/>
                    </w:rPr>
                  </w:pPr>
                  <w:r>
                    <w:rPr>
                      <w:rFonts w:hint="eastAsia"/>
                      <w:bCs/>
                      <w:color w:val="auto"/>
                      <w:sz w:val="21"/>
                      <w:szCs w:val="21"/>
                    </w:rPr>
                    <w:t>6个月</w:t>
                  </w:r>
                </w:p>
              </w:tc>
              <w:tc>
                <w:tcPr>
                  <w:tcW w:w="362" w:type="pct"/>
                  <w:vAlign w:val="center"/>
                </w:tcPr>
                <w:p w14:paraId="679DBA33">
                  <w:pPr>
                    <w:jc w:val="center"/>
                    <w:rPr>
                      <w:color w:val="auto"/>
                    </w:rPr>
                  </w:pPr>
                  <w:r>
                    <w:rPr>
                      <w:rFonts w:hint="eastAsia"/>
                      <w:color w:val="auto"/>
                    </w:rPr>
                    <w:t>T/In</w:t>
                  </w:r>
                </w:p>
              </w:tc>
              <w:tc>
                <w:tcPr>
                  <w:tcW w:w="441" w:type="pct"/>
                  <w:vMerge w:val="continue"/>
                  <w:vAlign w:val="center"/>
                </w:tcPr>
                <w:p w14:paraId="4DCC78CB">
                  <w:pPr>
                    <w:pStyle w:val="6"/>
                    <w:snapToGrid/>
                    <w:spacing w:before="0" w:after="0" w:line="240" w:lineRule="auto"/>
                    <w:ind w:right="0"/>
                    <w:jc w:val="center"/>
                    <w:rPr>
                      <w:color w:val="auto"/>
                      <w:sz w:val="21"/>
                      <w:szCs w:val="21"/>
                    </w:rPr>
                  </w:pPr>
                </w:p>
              </w:tc>
            </w:tr>
          </w:tbl>
          <w:p w14:paraId="7FA198CF">
            <w:pPr>
              <w:pStyle w:val="59"/>
              <w:overflowPunct w:val="0"/>
              <w:topLinePunct/>
              <w:spacing w:before="120" w:beforeLines="50"/>
              <w:rPr>
                <w:rFonts w:ascii="Times New Roman" w:hAnsi="Times New Roman" w:eastAsia="宋体" w:cs="Times New Roman"/>
                <w:color w:val="auto"/>
                <w:lang w:val="en-US" w:bidi="ar-SA"/>
              </w:rPr>
            </w:pPr>
            <w:r>
              <w:rPr>
                <w:rFonts w:hint="eastAsia" w:ascii="Times New Roman" w:hAnsi="Times New Roman" w:eastAsia="宋体" w:cs="Times New Roman"/>
                <w:b/>
                <w:bCs/>
                <w:color w:val="auto"/>
                <w:sz w:val="24"/>
                <w:lang w:val="en-US" w:bidi="ar-SA"/>
              </w:rPr>
              <w:t>表4-</w:t>
            </w:r>
            <w:r>
              <w:rPr>
                <w:rFonts w:hint="eastAsia" w:ascii="Times New Roman" w:hAnsi="Times New Roman" w:eastAsia="宋体" w:cs="Times New Roman"/>
                <w:b/>
                <w:bCs/>
                <w:color w:val="auto"/>
                <w:sz w:val="24"/>
                <w:lang w:val="en-US" w:eastAsia="zh-CN" w:bidi="ar-SA"/>
              </w:rPr>
              <w:t>21</w:t>
            </w:r>
            <w:r>
              <w:rPr>
                <w:rFonts w:hint="eastAsia" w:ascii="Times New Roman" w:hAnsi="Times New Roman" w:eastAsia="宋体" w:cs="Times New Roman"/>
                <w:b/>
                <w:bCs/>
                <w:color w:val="auto"/>
                <w:sz w:val="24"/>
                <w:lang w:val="en-US" w:bidi="ar-SA"/>
              </w:rPr>
              <w:t>危险废物贮存场所基本情况表</w:t>
            </w:r>
          </w:p>
          <w:tbl>
            <w:tblPr>
              <w:tblStyle w:val="25"/>
              <w:tblW w:w="83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823"/>
              <w:gridCol w:w="868"/>
              <w:gridCol w:w="807"/>
              <w:gridCol w:w="1151"/>
              <w:gridCol w:w="711"/>
              <w:gridCol w:w="763"/>
              <w:gridCol w:w="781"/>
              <w:gridCol w:w="1001"/>
              <w:gridCol w:w="821"/>
            </w:tblGrid>
            <w:tr w14:paraId="3892A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 w:type="dxa"/>
                  <w:vAlign w:val="center"/>
                </w:tcPr>
                <w:p w14:paraId="73DD1915">
                  <w:pPr>
                    <w:jc w:val="center"/>
                    <w:rPr>
                      <w:b/>
                      <w:bCs/>
                      <w:color w:val="auto"/>
                      <w:szCs w:val="21"/>
                    </w:rPr>
                  </w:pPr>
                  <w:r>
                    <w:rPr>
                      <w:rFonts w:hint="eastAsia"/>
                      <w:b/>
                      <w:bCs/>
                      <w:color w:val="auto"/>
                      <w:szCs w:val="21"/>
                    </w:rPr>
                    <w:t>序号</w:t>
                  </w:r>
                </w:p>
              </w:tc>
              <w:tc>
                <w:tcPr>
                  <w:tcW w:w="823" w:type="dxa"/>
                  <w:vAlign w:val="center"/>
                </w:tcPr>
                <w:p w14:paraId="4FFD68F7">
                  <w:pPr>
                    <w:jc w:val="center"/>
                    <w:rPr>
                      <w:b/>
                      <w:bCs/>
                      <w:color w:val="auto"/>
                      <w:szCs w:val="21"/>
                    </w:rPr>
                  </w:pPr>
                  <w:r>
                    <w:rPr>
                      <w:rFonts w:hint="eastAsia"/>
                      <w:b/>
                      <w:bCs/>
                      <w:color w:val="auto"/>
                      <w:szCs w:val="21"/>
                    </w:rPr>
                    <w:t>贮存场所名称</w:t>
                  </w:r>
                </w:p>
              </w:tc>
              <w:tc>
                <w:tcPr>
                  <w:tcW w:w="868" w:type="dxa"/>
                  <w:vAlign w:val="center"/>
                </w:tcPr>
                <w:p w14:paraId="75F3D122">
                  <w:pPr>
                    <w:jc w:val="center"/>
                    <w:rPr>
                      <w:b/>
                      <w:bCs/>
                      <w:color w:val="auto"/>
                      <w:szCs w:val="21"/>
                    </w:rPr>
                  </w:pPr>
                  <w:r>
                    <w:rPr>
                      <w:rFonts w:hint="eastAsia"/>
                      <w:b/>
                      <w:bCs/>
                      <w:color w:val="auto"/>
                      <w:szCs w:val="21"/>
                    </w:rPr>
                    <w:t>危险废物名称</w:t>
                  </w:r>
                </w:p>
              </w:tc>
              <w:tc>
                <w:tcPr>
                  <w:tcW w:w="807" w:type="dxa"/>
                  <w:vAlign w:val="center"/>
                </w:tcPr>
                <w:p w14:paraId="5EDE122A">
                  <w:pPr>
                    <w:jc w:val="center"/>
                    <w:rPr>
                      <w:b/>
                      <w:bCs/>
                      <w:color w:val="auto"/>
                      <w:szCs w:val="21"/>
                    </w:rPr>
                  </w:pPr>
                  <w:r>
                    <w:rPr>
                      <w:b/>
                      <w:bCs/>
                      <w:color w:val="auto"/>
                      <w:szCs w:val="21"/>
                    </w:rPr>
                    <w:t>危险</w:t>
                  </w:r>
                </w:p>
                <w:p w14:paraId="131CD76D">
                  <w:pPr>
                    <w:jc w:val="center"/>
                    <w:rPr>
                      <w:b/>
                      <w:bCs/>
                      <w:color w:val="auto"/>
                      <w:szCs w:val="21"/>
                    </w:rPr>
                  </w:pPr>
                  <w:r>
                    <w:rPr>
                      <w:rFonts w:hint="eastAsia"/>
                      <w:b/>
                      <w:bCs/>
                      <w:color w:val="auto"/>
                      <w:szCs w:val="21"/>
                    </w:rPr>
                    <w:t>废物</w:t>
                  </w:r>
                </w:p>
                <w:p w14:paraId="211F0D6E">
                  <w:pPr>
                    <w:jc w:val="center"/>
                    <w:rPr>
                      <w:b/>
                      <w:bCs/>
                      <w:color w:val="auto"/>
                      <w:szCs w:val="21"/>
                    </w:rPr>
                  </w:pPr>
                  <w:r>
                    <w:rPr>
                      <w:rFonts w:hint="eastAsia"/>
                      <w:b/>
                      <w:bCs/>
                      <w:color w:val="auto"/>
                      <w:szCs w:val="21"/>
                    </w:rPr>
                    <w:t>类别</w:t>
                  </w:r>
                </w:p>
              </w:tc>
              <w:tc>
                <w:tcPr>
                  <w:tcW w:w="1151" w:type="dxa"/>
                  <w:vAlign w:val="center"/>
                </w:tcPr>
                <w:p w14:paraId="3537EAB1">
                  <w:pPr>
                    <w:jc w:val="center"/>
                    <w:rPr>
                      <w:b/>
                      <w:bCs/>
                      <w:color w:val="auto"/>
                      <w:szCs w:val="21"/>
                    </w:rPr>
                  </w:pPr>
                  <w:r>
                    <w:rPr>
                      <w:b/>
                      <w:bCs/>
                      <w:color w:val="auto"/>
                      <w:szCs w:val="21"/>
                    </w:rPr>
                    <w:t>危险</w:t>
                  </w:r>
                </w:p>
                <w:p w14:paraId="626513DC">
                  <w:pPr>
                    <w:jc w:val="center"/>
                    <w:rPr>
                      <w:b/>
                      <w:bCs/>
                      <w:color w:val="auto"/>
                      <w:szCs w:val="21"/>
                    </w:rPr>
                  </w:pPr>
                  <w:r>
                    <w:rPr>
                      <w:rFonts w:hint="eastAsia"/>
                      <w:b/>
                      <w:bCs/>
                      <w:color w:val="auto"/>
                      <w:szCs w:val="21"/>
                    </w:rPr>
                    <w:t>废物</w:t>
                  </w:r>
                </w:p>
                <w:p w14:paraId="14A0D7D3">
                  <w:pPr>
                    <w:jc w:val="center"/>
                    <w:rPr>
                      <w:b/>
                      <w:bCs/>
                      <w:color w:val="auto"/>
                      <w:szCs w:val="21"/>
                    </w:rPr>
                  </w:pPr>
                  <w:r>
                    <w:rPr>
                      <w:rFonts w:hint="eastAsia"/>
                      <w:b/>
                      <w:bCs/>
                      <w:color w:val="auto"/>
                      <w:szCs w:val="21"/>
                    </w:rPr>
                    <w:t>代码</w:t>
                  </w:r>
                </w:p>
              </w:tc>
              <w:tc>
                <w:tcPr>
                  <w:tcW w:w="711" w:type="dxa"/>
                  <w:vAlign w:val="center"/>
                </w:tcPr>
                <w:p w14:paraId="3C224DA8">
                  <w:pPr>
                    <w:jc w:val="center"/>
                    <w:rPr>
                      <w:b/>
                      <w:bCs/>
                      <w:color w:val="auto"/>
                      <w:szCs w:val="21"/>
                    </w:rPr>
                  </w:pPr>
                  <w:r>
                    <w:rPr>
                      <w:b/>
                      <w:bCs/>
                      <w:color w:val="auto"/>
                      <w:szCs w:val="21"/>
                    </w:rPr>
                    <w:t>位置</w:t>
                  </w:r>
                </w:p>
              </w:tc>
              <w:tc>
                <w:tcPr>
                  <w:tcW w:w="763" w:type="dxa"/>
                  <w:vAlign w:val="center"/>
                </w:tcPr>
                <w:p w14:paraId="5919F189">
                  <w:pPr>
                    <w:jc w:val="center"/>
                    <w:rPr>
                      <w:b/>
                      <w:bCs/>
                      <w:color w:val="auto"/>
                      <w:szCs w:val="21"/>
                    </w:rPr>
                  </w:pPr>
                  <w:r>
                    <w:rPr>
                      <w:b/>
                      <w:bCs/>
                      <w:color w:val="auto"/>
                      <w:szCs w:val="21"/>
                    </w:rPr>
                    <w:t>占地面积</w:t>
                  </w:r>
                </w:p>
              </w:tc>
              <w:tc>
                <w:tcPr>
                  <w:tcW w:w="781" w:type="dxa"/>
                  <w:vAlign w:val="center"/>
                </w:tcPr>
                <w:p w14:paraId="3E42214E">
                  <w:pPr>
                    <w:jc w:val="center"/>
                    <w:rPr>
                      <w:b/>
                      <w:bCs/>
                      <w:color w:val="auto"/>
                      <w:szCs w:val="21"/>
                    </w:rPr>
                  </w:pPr>
                  <w:r>
                    <w:rPr>
                      <w:b/>
                      <w:bCs/>
                      <w:color w:val="auto"/>
                      <w:szCs w:val="21"/>
                    </w:rPr>
                    <w:t>贮存方式</w:t>
                  </w:r>
                </w:p>
              </w:tc>
              <w:tc>
                <w:tcPr>
                  <w:tcW w:w="1001" w:type="dxa"/>
                  <w:vAlign w:val="center"/>
                </w:tcPr>
                <w:p w14:paraId="518049FB">
                  <w:pPr>
                    <w:jc w:val="center"/>
                    <w:rPr>
                      <w:b/>
                      <w:bCs/>
                      <w:color w:val="auto"/>
                      <w:szCs w:val="21"/>
                    </w:rPr>
                  </w:pPr>
                  <w:r>
                    <w:rPr>
                      <w:b/>
                      <w:bCs/>
                      <w:color w:val="auto"/>
                      <w:szCs w:val="21"/>
                    </w:rPr>
                    <w:t>贮存</w:t>
                  </w:r>
                </w:p>
                <w:p w14:paraId="53F7749E">
                  <w:pPr>
                    <w:jc w:val="center"/>
                    <w:rPr>
                      <w:b/>
                      <w:bCs/>
                      <w:color w:val="auto"/>
                      <w:szCs w:val="21"/>
                    </w:rPr>
                  </w:pPr>
                  <w:r>
                    <w:rPr>
                      <w:rFonts w:hint="eastAsia"/>
                      <w:b/>
                      <w:bCs/>
                      <w:color w:val="auto"/>
                      <w:szCs w:val="21"/>
                    </w:rPr>
                    <w:t>能力</w:t>
                  </w:r>
                </w:p>
              </w:tc>
              <w:tc>
                <w:tcPr>
                  <w:tcW w:w="821" w:type="dxa"/>
                  <w:vAlign w:val="center"/>
                </w:tcPr>
                <w:p w14:paraId="35862FC7">
                  <w:pPr>
                    <w:jc w:val="center"/>
                    <w:rPr>
                      <w:b/>
                      <w:bCs/>
                      <w:color w:val="auto"/>
                      <w:szCs w:val="21"/>
                    </w:rPr>
                  </w:pPr>
                  <w:r>
                    <w:rPr>
                      <w:b/>
                      <w:bCs/>
                      <w:color w:val="auto"/>
                      <w:szCs w:val="21"/>
                    </w:rPr>
                    <w:t>贮存</w:t>
                  </w:r>
                </w:p>
                <w:p w14:paraId="2492D8CB">
                  <w:pPr>
                    <w:jc w:val="center"/>
                    <w:rPr>
                      <w:b/>
                      <w:bCs/>
                      <w:color w:val="auto"/>
                      <w:szCs w:val="21"/>
                    </w:rPr>
                  </w:pPr>
                  <w:r>
                    <w:rPr>
                      <w:rFonts w:hint="eastAsia"/>
                      <w:b/>
                      <w:bCs/>
                      <w:color w:val="auto"/>
                      <w:szCs w:val="21"/>
                    </w:rPr>
                    <w:t>周期</w:t>
                  </w:r>
                </w:p>
              </w:tc>
            </w:tr>
            <w:tr w14:paraId="122F5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 w:type="dxa"/>
                  <w:vAlign w:val="center"/>
                </w:tcPr>
                <w:p w14:paraId="5CE66477">
                  <w:pPr>
                    <w:jc w:val="center"/>
                    <w:rPr>
                      <w:color w:val="auto"/>
                      <w:szCs w:val="21"/>
                    </w:rPr>
                  </w:pPr>
                  <w:r>
                    <w:rPr>
                      <w:rFonts w:hint="eastAsia"/>
                      <w:color w:val="auto"/>
                      <w:szCs w:val="21"/>
                    </w:rPr>
                    <w:t>1</w:t>
                  </w:r>
                </w:p>
              </w:tc>
              <w:tc>
                <w:tcPr>
                  <w:tcW w:w="823" w:type="dxa"/>
                  <w:vMerge w:val="restart"/>
                  <w:vAlign w:val="center"/>
                </w:tcPr>
                <w:p w14:paraId="51BE3404">
                  <w:pPr>
                    <w:jc w:val="center"/>
                    <w:rPr>
                      <w:color w:val="auto"/>
                      <w:szCs w:val="21"/>
                    </w:rPr>
                  </w:pPr>
                  <w:r>
                    <w:rPr>
                      <w:rFonts w:hint="eastAsia"/>
                      <w:color w:val="auto"/>
                      <w:szCs w:val="21"/>
                    </w:rPr>
                    <w:t>危废暂存间</w:t>
                  </w:r>
                </w:p>
              </w:tc>
              <w:tc>
                <w:tcPr>
                  <w:tcW w:w="868" w:type="dxa"/>
                  <w:shd w:val="clear" w:color="auto" w:fill="auto"/>
                  <w:vAlign w:val="center"/>
                </w:tcPr>
                <w:p w14:paraId="62B1BC94">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废切削液</w:t>
                  </w:r>
                </w:p>
              </w:tc>
              <w:tc>
                <w:tcPr>
                  <w:tcW w:w="807" w:type="dxa"/>
                  <w:shd w:val="clear" w:color="auto" w:fill="auto"/>
                  <w:vAlign w:val="center"/>
                </w:tcPr>
                <w:p w14:paraId="09F19B56">
                  <w:pPr>
                    <w:jc w:val="center"/>
                    <w:rPr>
                      <w:rFonts w:hint="default" w:ascii="Times New Roman" w:hAnsi="Times New Roman" w:eastAsia="宋体" w:cs="Times New Roman"/>
                      <w:color w:val="auto"/>
                      <w:kern w:val="2"/>
                      <w:sz w:val="21"/>
                      <w:szCs w:val="21"/>
                      <w:lang w:val="en-US" w:eastAsia="zh-CN" w:bidi="ar-SA"/>
                    </w:rPr>
                  </w:pPr>
                  <w:r>
                    <w:rPr>
                      <w:rFonts w:hint="eastAsia"/>
                      <w:color w:val="auto"/>
                    </w:rPr>
                    <w:t>HW09</w:t>
                  </w:r>
                </w:p>
              </w:tc>
              <w:tc>
                <w:tcPr>
                  <w:tcW w:w="1151" w:type="dxa"/>
                  <w:shd w:val="clear" w:color="auto" w:fill="auto"/>
                  <w:vAlign w:val="center"/>
                </w:tcPr>
                <w:p w14:paraId="78899B36">
                  <w:pPr>
                    <w:jc w:val="center"/>
                    <w:rPr>
                      <w:rFonts w:ascii="Times New Roman" w:hAnsi="Times New Roman" w:eastAsia="宋体" w:cs="Times New Roman"/>
                      <w:color w:val="auto"/>
                      <w:kern w:val="2"/>
                      <w:sz w:val="21"/>
                      <w:szCs w:val="21"/>
                      <w:lang w:val="en-US" w:eastAsia="zh-CN" w:bidi="ar-SA"/>
                    </w:rPr>
                  </w:pPr>
                  <w:r>
                    <w:rPr>
                      <w:rFonts w:hint="eastAsia"/>
                      <w:color w:val="auto"/>
                    </w:rPr>
                    <w:t>900-006-09</w:t>
                  </w:r>
                </w:p>
              </w:tc>
              <w:tc>
                <w:tcPr>
                  <w:tcW w:w="711" w:type="dxa"/>
                  <w:vMerge w:val="restart"/>
                  <w:vAlign w:val="center"/>
                </w:tcPr>
                <w:p w14:paraId="76BE434E">
                  <w:pPr>
                    <w:jc w:val="center"/>
                    <w:rPr>
                      <w:color w:val="auto"/>
                      <w:szCs w:val="21"/>
                    </w:rPr>
                  </w:pPr>
                  <w:r>
                    <w:rPr>
                      <w:rFonts w:hint="eastAsia"/>
                      <w:color w:val="auto"/>
                      <w:szCs w:val="21"/>
                    </w:rPr>
                    <w:t>依托一期危废暂存间</w:t>
                  </w:r>
                </w:p>
              </w:tc>
              <w:tc>
                <w:tcPr>
                  <w:tcW w:w="763" w:type="dxa"/>
                  <w:vMerge w:val="restart"/>
                  <w:vAlign w:val="center"/>
                </w:tcPr>
                <w:p w14:paraId="24856605">
                  <w:pPr>
                    <w:jc w:val="center"/>
                    <w:rPr>
                      <w:color w:val="auto"/>
                      <w:szCs w:val="21"/>
                    </w:rPr>
                  </w:pPr>
                  <w:r>
                    <w:rPr>
                      <w:rFonts w:hint="eastAsia"/>
                      <w:color w:val="auto"/>
                      <w:szCs w:val="21"/>
                    </w:rPr>
                    <w:t>340m</w:t>
                  </w:r>
                  <w:r>
                    <w:rPr>
                      <w:rFonts w:hint="eastAsia"/>
                      <w:color w:val="auto"/>
                      <w:szCs w:val="21"/>
                      <w:vertAlign w:val="superscript"/>
                    </w:rPr>
                    <w:t>2</w:t>
                  </w:r>
                </w:p>
              </w:tc>
              <w:tc>
                <w:tcPr>
                  <w:tcW w:w="781" w:type="dxa"/>
                  <w:vAlign w:val="center"/>
                </w:tcPr>
                <w:p w14:paraId="143EA8E7">
                  <w:pPr>
                    <w:jc w:val="center"/>
                    <w:rPr>
                      <w:color w:val="auto"/>
                      <w:szCs w:val="21"/>
                    </w:rPr>
                  </w:pPr>
                  <w:r>
                    <w:rPr>
                      <w:rFonts w:hint="eastAsia"/>
                      <w:color w:val="auto"/>
                      <w:szCs w:val="21"/>
                    </w:rPr>
                    <w:t>桶装</w:t>
                  </w:r>
                </w:p>
              </w:tc>
              <w:tc>
                <w:tcPr>
                  <w:tcW w:w="1001" w:type="dxa"/>
                  <w:vMerge w:val="restart"/>
                  <w:vAlign w:val="center"/>
                </w:tcPr>
                <w:p w14:paraId="1E1F6A8A">
                  <w:pPr>
                    <w:jc w:val="center"/>
                    <w:rPr>
                      <w:color w:val="auto"/>
                      <w:szCs w:val="21"/>
                    </w:rPr>
                  </w:pPr>
                  <w:r>
                    <w:rPr>
                      <w:rFonts w:hint="eastAsia"/>
                      <w:color w:val="auto"/>
                      <w:szCs w:val="21"/>
                    </w:rPr>
                    <w:t>253.52t</w:t>
                  </w:r>
                </w:p>
              </w:tc>
              <w:tc>
                <w:tcPr>
                  <w:tcW w:w="821" w:type="dxa"/>
                  <w:vMerge w:val="restart"/>
                  <w:vAlign w:val="center"/>
                </w:tcPr>
                <w:p w14:paraId="3752A096">
                  <w:pPr>
                    <w:jc w:val="center"/>
                    <w:rPr>
                      <w:color w:val="auto"/>
                      <w:szCs w:val="21"/>
                    </w:rPr>
                  </w:pPr>
                  <w:r>
                    <w:rPr>
                      <w:rFonts w:hint="eastAsia"/>
                      <w:color w:val="auto"/>
                      <w:szCs w:val="21"/>
                    </w:rPr>
                    <w:t>30天</w:t>
                  </w:r>
                </w:p>
              </w:tc>
            </w:tr>
            <w:tr w14:paraId="7EBD6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 w:type="dxa"/>
                  <w:vAlign w:val="center"/>
                </w:tcPr>
                <w:p w14:paraId="5F51D90D">
                  <w:pPr>
                    <w:jc w:val="center"/>
                    <w:rPr>
                      <w:color w:val="auto"/>
                      <w:szCs w:val="21"/>
                    </w:rPr>
                  </w:pPr>
                  <w:r>
                    <w:rPr>
                      <w:rFonts w:hint="eastAsia"/>
                      <w:color w:val="auto"/>
                      <w:szCs w:val="21"/>
                    </w:rPr>
                    <w:t>2</w:t>
                  </w:r>
                </w:p>
              </w:tc>
              <w:tc>
                <w:tcPr>
                  <w:tcW w:w="823" w:type="dxa"/>
                  <w:vMerge w:val="continue"/>
                  <w:vAlign w:val="center"/>
                </w:tcPr>
                <w:p w14:paraId="3830E60F">
                  <w:pPr>
                    <w:jc w:val="center"/>
                    <w:rPr>
                      <w:color w:val="auto"/>
                      <w:szCs w:val="21"/>
                    </w:rPr>
                  </w:pPr>
                </w:p>
              </w:tc>
              <w:tc>
                <w:tcPr>
                  <w:tcW w:w="868" w:type="dxa"/>
                  <w:shd w:val="clear" w:color="auto" w:fill="auto"/>
                  <w:vAlign w:val="center"/>
                </w:tcPr>
                <w:p w14:paraId="58D419C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废胶水瓶</w:t>
                  </w:r>
                </w:p>
              </w:tc>
              <w:tc>
                <w:tcPr>
                  <w:tcW w:w="807" w:type="dxa"/>
                  <w:shd w:val="clear" w:color="auto" w:fill="auto"/>
                  <w:vAlign w:val="center"/>
                </w:tcPr>
                <w:p w14:paraId="51DB11AB">
                  <w:pPr>
                    <w:jc w:val="center"/>
                    <w:rPr>
                      <w:rFonts w:ascii="Times New Roman" w:hAnsi="Times New Roman" w:eastAsia="宋体" w:cs="Times New Roman"/>
                      <w:color w:val="auto"/>
                      <w:kern w:val="2"/>
                      <w:sz w:val="21"/>
                      <w:szCs w:val="21"/>
                      <w:lang w:val="en-US" w:eastAsia="zh-CN" w:bidi="ar-SA"/>
                    </w:rPr>
                  </w:pPr>
                  <w:r>
                    <w:rPr>
                      <w:rFonts w:hint="eastAsia"/>
                      <w:color w:val="auto"/>
                    </w:rPr>
                    <w:t>HW49</w:t>
                  </w:r>
                </w:p>
              </w:tc>
              <w:tc>
                <w:tcPr>
                  <w:tcW w:w="1151" w:type="dxa"/>
                  <w:shd w:val="clear" w:color="auto" w:fill="auto"/>
                  <w:vAlign w:val="center"/>
                </w:tcPr>
                <w:p w14:paraId="66753063">
                  <w:pPr>
                    <w:jc w:val="center"/>
                    <w:rPr>
                      <w:rFonts w:ascii="Times New Roman" w:hAnsi="Times New Roman" w:eastAsia="宋体" w:cs="Times New Roman"/>
                      <w:color w:val="auto"/>
                      <w:spacing w:val="6"/>
                      <w:kern w:val="2"/>
                      <w:sz w:val="21"/>
                      <w:szCs w:val="21"/>
                      <w:lang w:val="en-US" w:eastAsia="zh-CN" w:bidi="ar"/>
                    </w:rPr>
                  </w:pPr>
                  <w:r>
                    <w:rPr>
                      <w:rFonts w:hint="eastAsia"/>
                      <w:color w:val="auto"/>
                    </w:rPr>
                    <w:t>900-041-49</w:t>
                  </w:r>
                </w:p>
              </w:tc>
              <w:tc>
                <w:tcPr>
                  <w:tcW w:w="711" w:type="dxa"/>
                  <w:vMerge w:val="continue"/>
                  <w:vAlign w:val="center"/>
                </w:tcPr>
                <w:p w14:paraId="7DF90781">
                  <w:pPr>
                    <w:jc w:val="center"/>
                    <w:rPr>
                      <w:color w:val="auto"/>
                      <w:szCs w:val="21"/>
                    </w:rPr>
                  </w:pPr>
                </w:p>
              </w:tc>
              <w:tc>
                <w:tcPr>
                  <w:tcW w:w="763" w:type="dxa"/>
                  <w:vMerge w:val="continue"/>
                  <w:vAlign w:val="center"/>
                </w:tcPr>
                <w:p w14:paraId="46287AC7">
                  <w:pPr>
                    <w:jc w:val="center"/>
                    <w:rPr>
                      <w:color w:val="auto"/>
                      <w:szCs w:val="21"/>
                    </w:rPr>
                  </w:pPr>
                </w:p>
              </w:tc>
              <w:tc>
                <w:tcPr>
                  <w:tcW w:w="781" w:type="dxa"/>
                  <w:vAlign w:val="center"/>
                </w:tcPr>
                <w:p w14:paraId="45AFECA5">
                  <w:pPr>
                    <w:jc w:val="center"/>
                    <w:rPr>
                      <w:color w:val="auto"/>
                      <w:szCs w:val="21"/>
                    </w:rPr>
                  </w:pPr>
                  <w:r>
                    <w:rPr>
                      <w:rFonts w:hint="eastAsia"/>
                      <w:color w:val="auto"/>
                      <w:szCs w:val="21"/>
                    </w:rPr>
                    <w:t>桶装</w:t>
                  </w:r>
                </w:p>
              </w:tc>
              <w:tc>
                <w:tcPr>
                  <w:tcW w:w="1001" w:type="dxa"/>
                  <w:vMerge w:val="continue"/>
                  <w:vAlign w:val="center"/>
                </w:tcPr>
                <w:p w14:paraId="434CEC18">
                  <w:pPr>
                    <w:jc w:val="center"/>
                    <w:rPr>
                      <w:color w:val="auto"/>
                      <w:szCs w:val="21"/>
                    </w:rPr>
                  </w:pPr>
                </w:p>
              </w:tc>
              <w:tc>
                <w:tcPr>
                  <w:tcW w:w="821" w:type="dxa"/>
                  <w:vMerge w:val="continue"/>
                  <w:vAlign w:val="center"/>
                </w:tcPr>
                <w:p w14:paraId="4F6745B9">
                  <w:pPr>
                    <w:jc w:val="center"/>
                    <w:rPr>
                      <w:color w:val="auto"/>
                      <w:szCs w:val="21"/>
                    </w:rPr>
                  </w:pPr>
                </w:p>
              </w:tc>
            </w:tr>
            <w:tr w14:paraId="60557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 w:type="dxa"/>
                  <w:vAlign w:val="center"/>
                </w:tcPr>
                <w:p w14:paraId="5A5CE46B">
                  <w:pPr>
                    <w:jc w:val="center"/>
                    <w:rPr>
                      <w:color w:val="auto"/>
                      <w:szCs w:val="21"/>
                    </w:rPr>
                  </w:pPr>
                  <w:r>
                    <w:rPr>
                      <w:rFonts w:hint="eastAsia"/>
                      <w:color w:val="auto"/>
                      <w:szCs w:val="21"/>
                    </w:rPr>
                    <w:t>3</w:t>
                  </w:r>
                </w:p>
              </w:tc>
              <w:tc>
                <w:tcPr>
                  <w:tcW w:w="823" w:type="dxa"/>
                  <w:vMerge w:val="continue"/>
                  <w:vAlign w:val="center"/>
                </w:tcPr>
                <w:p w14:paraId="691058BE">
                  <w:pPr>
                    <w:jc w:val="center"/>
                    <w:rPr>
                      <w:color w:val="auto"/>
                      <w:szCs w:val="21"/>
                    </w:rPr>
                  </w:pPr>
                </w:p>
              </w:tc>
              <w:tc>
                <w:tcPr>
                  <w:tcW w:w="868" w:type="dxa"/>
                  <w:shd w:val="clear" w:color="auto" w:fill="auto"/>
                  <w:vAlign w:val="center"/>
                </w:tcPr>
                <w:p w14:paraId="6BDF8B7A">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废机油</w:t>
                  </w:r>
                </w:p>
              </w:tc>
              <w:tc>
                <w:tcPr>
                  <w:tcW w:w="807" w:type="dxa"/>
                  <w:shd w:val="clear" w:color="auto" w:fill="auto"/>
                  <w:vAlign w:val="center"/>
                </w:tcPr>
                <w:p w14:paraId="51A6E09C">
                  <w:pPr>
                    <w:pStyle w:val="63"/>
                    <w:rPr>
                      <w:rFonts w:ascii="Times New Roman" w:hAnsi="Times New Roman" w:eastAsia="宋体" w:cs="Times New Roman"/>
                      <w:color w:val="auto"/>
                      <w:spacing w:val="6"/>
                      <w:kern w:val="2"/>
                      <w:sz w:val="21"/>
                      <w:szCs w:val="21"/>
                      <w:lang w:val="en-US" w:eastAsia="zh-CN" w:bidi="ar-SA"/>
                    </w:rPr>
                  </w:pPr>
                  <w:r>
                    <w:rPr>
                      <w:rFonts w:hint="eastAsia"/>
                      <w:color w:val="auto"/>
                    </w:rPr>
                    <w:t>HW08</w:t>
                  </w:r>
                </w:p>
              </w:tc>
              <w:tc>
                <w:tcPr>
                  <w:tcW w:w="1151" w:type="dxa"/>
                  <w:shd w:val="clear" w:color="auto" w:fill="auto"/>
                  <w:vAlign w:val="center"/>
                </w:tcPr>
                <w:p w14:paraId="67C380A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900-214-08</w:t>
                  </w:r>
                </w:p>
              </w:tc>
              <w:tc>
                <w:tcPr>
                  <w:tcW w:w="711" w:type="dxa"/>
                  <w:vMerge w:val="continue"/>
                  <w:vAlign w:val="center"/>
                </w:tcPr>
                <w:p w14:paraId="589377AC">
                  <w:pPr>
                    <w:jc w:val="center"/>
                    <w:rPr>
                      <w:color w:val="auto"/>
                      <w:szCs w:val="21"/>
                    </w:rPr>
                  </w:pPr>
                </w:p>
              </w:tc>
              <w:tc>
                <w:tcPr>
                  <w:tcW w:w="763" w:type="dxa"/>
                  <w:vMerge w:val="continue"/>
                  <w:vAlign w:val="center"/>
                </w:tcPr>
                <w:p w14:paraId="3B2D2E6C">
                  <w:pPr>
                    <w:jc w:val="center"/>
                    <w:rPr>
                      <w:color w:val="auto"/>
                      <w:szCs w:val="21"/>
                    </w:rPr>
                  </w:pPr>
                </w:p>
              </w:tc>
              <w:tc>
                <w:tcPr>
                  <w:tcW w:w="781" w:type="dxa"/>
                  <w:vAlign w:val="center"/>
                </w:tcPr>
                <w:p w14:paraId="5A12A8AF">
                  <w:pPr>
                    <w:jc w:val="center"/>
                    <w:rPr>
                      <w:color w:val="auto"/>
                      <w:szCs w:val="21"/>
                    </w:rPr>
                  </w:pPr>
                  <w:r>
                    <w:rPr>
                      <w:rFonts w:hint="eastAsia"/>
                      <w:color w:val="auto"/>
                      <w:szCs w:val="21"/>
                    </w:rPr>
                    <w:t>桶装</w:t>
                  </w:r>
                </w:p>
              </w:tc>
              <w:tc>
                <w:tcPr>
                  <w:tcW w:w="1001" w:type="dxa"/>
                  <w:vMerge w:val="continue"/>
                  <w:vAlign w:val="center"/>
                </w:tcPr>
                <w:p w14:paraId="53C046D2">
                  <w:pPr>
                    <w:jc w:val="center"/>
                    <w:rPr>
                      <w:color w:val="auto"/>
                      <w:szCs w:val="21"/>
                    </w:rPr>
                  </w:pPr>
                </w:p>
              </w:tc>
              <w:tc>
                <w:tcPr>
                  <w:tcW w:w="821" w:type="dxa"/>
                  <w:vMerge w:val="continue"/>
                  <w:vAlign w:val="center"/>
                </w:tcPr>
                <w:p w14:paraId="40AB2073">
                  <w:pPr>
                    <w:jc w:val="center"/>
                    <w:rPr>
                      <w:color w:val="auto"/>
                      <w:szCs w:val="21"/>
                    </w:rPr>
                  </w:pPr>
                </w:p>
              </w:tc>
            </w:tr>
            <w:tr w14:paraId="57173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 w:type="dxa"/>
                  <w:vAlign w:val="center"/>
                </w:tcPr>
                <w:p w14:paraId="2CF27B82">
                  <w:pPr>
                    <w:jc w:val="center"/>
                    <w:rPr>
                      <w:rFonts w:hint="eastAsia" w:eastAsia="宋体"/>
                      <w:color w:val="auto"/>
                      <w:szCs w:val="21"/>
                      <w:lang w:eastAsia="zh-CN"/>
                    </w:rPr>
                  </w:pPr>
                  <w:r>
                    <w:rPr>
                      <w:rFonts w:hint="eastAsia"/>
                      <w:color w:val="auto"/>
                      <w:szCs w:val="21"/>
                      <w:lang w:val="en-US" w:eastAsia="zh-CN"/>
                    </w:rPr>
                    <w:t>4</w:t>
                  </w:r>
                </w:p>
              </w:tc>
              <w:tc>
                <w:tcPr>
                  <w:tcW w:w="823" w:type="dxa"/>
                  <w:vMerge w:val="continue"/>
                  <w:vAlign w:val="center"/>
                </w:tcPr>
                <w:p w14:paraId="6F5C7D63">
                  <w:pPr>
                    <w:jc w:val="center"/>
                    <w:rPr>
                      <w:color w:val="auto"/>
                      <w:szCs w:val="21"/>
                    </w:rPr>
                  </w:pPr>
                </w:p>
              </w:tc>
              <w:tc>
                <w:tcPr>
                  <w:tcW w:w="868" w:type="dxa"/>
                  <w:shd w:val="clear" w:color="auto" w:fill="auto"/>
                  <w:vAlign w:val="center"/>
                </w:tcPr>
                <w:p w14:paraId="1FC10D7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废含油抹布、手套</w:t>
                  </w:r>
                </w:p>
              </w:tc>
              <w:tc>
                <w:tcPr>
                  <w:tcW w:w="807" w:type="dxa"/>
                  <w:shd w:val="clear" w:color="auto" w:fill="auto"/>
                  <w:vAlign w:val="center"/>
                </w:tcPr>
                <w:p w14:paraId="27E8B6F4">
                  <w:pPr>
                    <w:pStyle w:val="63"/>
                    <w:rPr>
                      <w:rFonts w:ascii="Times New Roman" w:hAnsi="Times New Roman" w:eastAsia="宋体" w:cs="Times New Roman"/>
                      <w:color w:val="auto"/>
                      <w:spacing w:val="6"/>
                      <w:kern w:val="2"/>
                      <w:sz w:val="21"/>
                      <w:szCs w:val="21"/>
                      <w:lang w:val="en-US" w:eastAsia="zh-CN" w:bidi="ar-SA"/>
                    </w:rPr>
                  </w:pPr>
                  <w:r>
                    <w:rPr>
                      <w:rFonts w:hint="eastAsia"/>
                      <w:color w:val="auto"/>
                    </w:rPr>
                    <w:t>HW49</w:t>
                  </w:r>
                </w:p>
              </w:tc>
              <w:tc>
                <w:tcPr>
                  <w:tcW w:w="1151" w:type="dxa"/>
                  <w:shd w:val="clear" w:color="auto" w:fill="auto"/>
                  <w:vAlign w:val="center"/>
                </w:tcPr>
                <w:p w14:paraId="4BFCF8F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900-041-49</w:t>
                  </w:r>
                </w:p>
              </w:tc>
              <w:tc>
                <w:tcPr>
                  <w:tcW w:w="711" w:type="dxa"/>
                  <w:vMerge w:val="continue"/>
                  <w:vAlign w:val="center"/>
                </w:tcPr>
                <w:p w14:paraId="74FC9A46">
                  <w:pPr>
                    <w:jc w:val="center"/>
                    <w:rPr>
                      <w:color w:val="auto"/>
                      <w:szCs w:val="21"/>
                    </w:rPr>
                  </w:pPr>
                </w:p>
              </w:tc>
              <w:tc>
                <w:tcPr>
                  <w:tcW w:w="763" w:type="dxa"/>
                  <w:vMerge w:val="continue"/>
                  <w:vAlign w:val="center"/>
                </w:tcPr>
                <w:p w14:paraId="067E2559">
                  <w:pPr>
                    <w:jc w:val="center"/>
                    <w:rPr>
                      <w:color w:val="auto"/>
                      <w:szCs w:val="21"/>
                    </w:rPr>
                  </w:pPr>
                </w:p>
              </w:tc>
              <w:tc>
                <w:tcPr>
                  <w:tcW w:w="781" w:type="dxa"/>
                  <w:vAlign w:val="center"/>
                </w:tcPr>
                <w:p w14:paraId="523CF83C">
                  <w:pPr>
                    <w:jc w:val="center"/>
                    <w:rPr>
                      <w:color w:val="auto"/>
                      <w:szCs w:val="21"/>
                    </w:rPr>
                  </w:pPr>
                  <w:r>
                    <w:rPr>
                      <w:rFonts w:hint="eastAsia"/>
                      <w:color w:val="auto"/>
                      <w:szCs w:val="21"/>
                    </w:rPr>
                    <w:t>桶装</w:t>
                  </w:r>
                </w:p>
              </w:tc>
              <w:tc>
                <w:tcPr>
                  <w:tcW w:w="1001" w:type="dxa"/>
                  <w:vMerge w:val="continue"/>
                  <w:vAlign w:val="center"/>
                </w:tcPr>
                <w:p w14:paraId="7B740D2D">
                  <w:pPr>
                    <w:jc w:val="center"/>
                    <w:rPr>
                      <w:color w:val="auto"/>
                      <w:szCs w:val="21"/>
                    </w:rPr>
                  </w:pPr>
                </w:p>
              </w:tc>
              <w:tc>
                <w:tcPr>
                  <w:tcW w:w="821" w:type="dxa"/>
                  <w:vMerge w:val="continue"/>
                  <w:vAlign w:val="center"/>
                </w:tcPr>
                <w:p w14:paraId="3B7F5A87">
                  <w:pPr>
                    <w:jc w:val="center"/>
                    <w:rPr>
                      <w:color w:val="auto"/>
                      <w:szCs w:val="21"/>
                    </w:rPr>
                  </w:pPr>
                </w:p>
              </w:tc>
            </w:tr>
          </w:tbl>
          <w:p w14:paraId="25F7722B">
            <w:pPr>
              <w:adjustRightInd w:val="0"/>
              <w:snapToGrid w:val="0"/>
              <w:spacing w:line="360" w:lineRule="auto"/>
              <w:ind w:firstLine="480" w:firstLineChars="200"/>
              <w:rPr>
                <w:rFonts w:ascii="宋体" w:hAnsi="宋体"/>
                <w:bCs/>
                <w:color w:val="auto"/>
                <w:kern w:val="0"/>
                <w:sz w:val="24"/>
              </w:rPr>
            </w:pPr>
            <w:r>
              <w:rPr>
                <w:rFonts w:hint="eastAsia" w:ascii="宋体" w:hAnsi="宋体"/>
                <w:bCs/>
                <w:color w:val="auto"/>
                <w:kern w:val="0"/>
                <w:sz w:val="24"/>
              </w:rPr>
              <w:t>危废暂存间依托可行性分析:</w:t>
            </w:r>
          </w:p>
          <w:p w14:paraId="4EED988D">
            <w:pPr>
              <w:adjustRightInd w:val="0"/>
              <w:snapToGrid w:val="0"/>
              <w:spacing w:line="360" w:lineRule="auto"/>
              <w:ind w:firstLine="480" w:firstLineChars="200"/>
              <w:rPr>
                <w:bCs/>
                <w:color w:val="auto"/>
                <w:kern w:val="0"/>
                <w:sz w:val="24"/>
              </w:rPr>
            </w:pPr>
            <w:r>
              <w:rPr>
                <w:rFonts w:hint="eastAsia"/>
                <w:bCs/>
                <w:color w:val="auto"/>
                <w:kern w:val="0"/>
                <w:sz w:val="24"/>
              </w:rPr>
              <w:t>根据一期工程可知，危废占地340m</w:t>
            </w:r>
            <w:r>
              <w:rPr>
                <w:rFonts w:hint="eastAsia"/>
                <w:bCs/>
                <w:color w:val="auto"/>
                <w:kern w:val="0"/>
                <w:sz w:val="24"/>
                <w:vertAlign w:val="superscript"/>
              </w:rPr>
              <w:t>2</w:t>
            </w:r>
            <w:r>
              <w:rPr>
                <w:rFonts w:hint="eastAsia"/>
                <w:bCs/>
                <w:color w:val="auto"/>
                <w:kern w:val="0"/>
                <w:sz w:val="24"/>
              </w:rPr>
              <w:t>，有效容积为306m</w:t>
            </w:r>
            <w:r>
              <w:rPr>
                <w:rFonts w:hint="eastAsia"/>
                <w:bCs/>
                <w:color w:val="auto"/>
                <w:kern w:val="0"/>
                <w:sz w:val="24"/>
                <w:vertAlign w:val="superscript"/>
              </w:rPr>
              <w:t>3</w:t>
            </w:r>
            <w:r>
              <w:rPr>
                <w:rFonts w:hint="eastAsia"/>
                <w:bCs/>
                <w:color w:val="auto"/>
                <w:kern w:val="0"/>
                <w:sz w:val="24"/>
              </w:rPr>
              <w:t>，为满足贮存要求，贮存周期为</w:t>
            </w:r>
            <w:r>
              <w:rPr>
                <w:rFonts w:hint="eastAsia"/>
                <w:bCs/>
                <w:color w:val="auto"/>
                <w:kern w:val="0"/>
                <w:sz w:val="24"/>
                <w:lang w:val="en-US" w:eastAsia="zh-CN"/>
              </w:rPr>
              <w:t>30</w:t>
            </w:r>
            <w:r>
              <w:rPr>
                <w:rFonts w:hint="eastAsia"/>
                <w:bCs/>
                <w:color w:val="auto"/>
                <w:kern w:val="0"/>
                <w:sz w:val="24"/>
              </w:rPr>
              <w:t>天，一个周期内最大存放量约为253.52t，危险废物产生量为1478.892t/a</w:t>
            </w:r>
            <w:r>
              <w:rPr>
                <w:rFonts w:hint="eastAsia"/>
                <w:bCs/>
                <w:color w:val="auto"/>
                <w:kern w:val="0"/>
                <w:sz w:val="24"/>
                <w:lang w:eastAsia="zh-CN"/>
              </w:rPr>
              <w:t>，</w:t>
            </w:r>
            <w:r>
              <w:rPr>
                <w:rFonts w:hint="eastAsia"/>
                <w:bCs/>
                <w:color w:val="auto"/>
                <w:kern w:val="0"/>
                <w:sz w:val="24"/>
                <w:lang w:val="en-US" w:eastAsia="zh-CN"/>
              </w:rPr>
              <w:t>一年转运次数为10次</w:t>
            </w:r>
            <w:r>
              <w:rPr>
                <w:rFonts w:hint="eastAsia"/>
                <w:bCs/>
                <w:color w:val="auto"/>
                <w:kern w:val="0"/>
                <w:sz w:val="24"/>
                <w:lang w:eastAsia="zh-CN"/>
              </w:rPr>
              <w:t>（147.8892</w:t>
            </w:r>
            <w:r>
              <w:rPr>
                <w:rFonts w:hint="eastAsia"/>
                <w:bCs/>
                <w:color w:val="auto"/>
                <w:kern w:val="0"/>
                <w:sz w:val="24"/>
                <w:lang w:val="en-US" w:eastAsia="zh-CN"/>
              </w:rPr>
              <w:t>t/次</w:t>
            </w:r>
            <w:r>
              <w:rPr>
                <w:rFonts w:hint="eastAsia"/>
                <w:bCs/>
                <w:color w:val="auto"/>
                <w:kern w:val="0"/>
                <w:sz w:val="24"/>
                <w:lang w:eastAsia="zh-CN"/>
              </w:rPr>
              <w:t>）</w:t>
            </w:r>
            <w:r>
              <w:rPr>
                <w:rFonts w:hint="eastAsia"/>
                <w:bCs/>
                <w:color w:val="auto"/>
                <w:kern w:val="0"/>
                <w:sz w:val="24"/>
              </w:rPr>
              <w:t>，一个周期内剩余贮存能力约为</w:t>
            </w:r>
            <w:r>
              <w:rPr>
                <w:rFonts w:hint="eastAsia"/>
                <w:bCs/>
                <w:color w:val="auto"/>
                <w:kern w:val="0"/>
                <w:sz w:val="24"/>
                <w:lang w:val="en-US" w:eastAsia="zh-CN"/>
              </w:rPr>
              <w:t>147.8892</w:t>
            </w:r>
            <w:r>
              <w:rPr>
                <w:rFonts w:hint="eastAsia"/>
                <w:bCs/>
                <w:color w:val="auto"/>
                <w:kern w:val="0"/>
                <w:sz w:val="24"/>
              </w:rPr>
              <w:t>t</w:t>
            </w:r>
            <w:r>
              <w:rPr>
                <w:rFonts w:hint="eastAsia"/>
                <w:bCs/>
                <w:color w:val="auto"/>
                <w:kern w:val="0"/>
                <w:sz w:val="24"/>
                <w:lang w:eastAsia="zh-CN"/>
              </w:rPr>
              <w:t>。</w:t>
            </w:r>
            <w:r>
              <w:rPr>
                <w:rFonts w:hint="eastAsia"/>
                <w:bCs/>
                <w:color w:val="auto"/>
                <w:kern w:val="0"/>
                <w:sz w:val="24"/>
              </w:rPr>
              <w:t>本项目危废总量为</w:t>
            </w:r>
            <w:r>
              <w:rPr>
                <w:rFonts w:hint="eastAsia"/>
                <w:bCs/>
                <w:color w:val="auto"/>
                <w:kern w:val="0"/>
                <w:sz w:val="24"/>
                <w:lang w:val="en-US" w:eastAsia="zh-CN"/>
              </w:rPr>
              <w:t>0.4277</w:t>
            </w:r>
            <w:r>
              <w:rPr>
                <w:rFonts w:hint="eastAsia"/>
                <w:bCs/>
                <w:color w:val="auto"/>
                <w:kern w:val="0"/>
                <w:sz w:val="24"/>
              </w:rPr>
              <w:t>t/a，</w:t>
            </w:r>
            <w:r>
              <w:rPr>
                <w:rFonts w:hint="eastAsia"/>
                <w:bCs/>
                <w:color w:val="auto"/>
                <w:kern w:val="0"/>
                <w:sz w:val="24"/>
                <w:lang w:val="en-US" w:eastAsia="zh-CN"/>
              </w:rPr>
              <w:t>一个周期内剩余贮存量为105.6308</w:t>
            </w:r>
            <w:r>
              <w:rPr>
                <w:rFonts w:hint="eastAsia"/>
                <w:bCs/>
                <w:color w:val="auto"/>
                <w:kern w:val="0"/>
                <w:sz w:val="24"/>
              </w:rPr>
              <w:t>t</w:t>
            </w:r>
            <w:r>
              <w:rPr>
                <w:rFonts w:hint="eastAsia"/>
                <w:bCs/>
                <w:color w:val="auto"/>
                <w:kern w:val="0"/>
                <w:sz w:val="24"/>
                <w:lang w:eastAsia="zh-CN"/>
              </w:rPr>
              <w:t>，</w:t>
            </w:r>
            <w:r>
              <w:rPr>
                <w:rFonts w:hint="eastAsia"/>
                <w:bCs/>
                <w:color w:val="auto"/>
                <w:kern w:val="0"/>
                <w:sz w:val="24"/>
              </w:rPr>
              <w:t>故可容纳本项目危险废物，故依托可行。</w:t>
            </w:r>
          </w:p>
          <w:p w14:paraId="2BEECB40">
            <w:pPr>
              <w:pStyle w:val="59"/>
              <w:overflowPunct w:val="0"/>
              <w:topLinePunct/>
              <w:spacing w:line="360" w:lineRule="auto"/>
              <w:ind w:firstLine="480" w:firstLineChars="200"/>
              <w:jc w:val="both"/>
              <w:rPr>
                <w:rFonts w:ascii="Times New Roman" w:hAnsi="Times New Roman" w:eastAsia="宋体" w:cs="Times New Roman"/>
                <w:color w:val="auto"/>
                <w:sz w:val="24"/>
                <w:lang w:val="en-US" w:bidi="ar-SA"/>
              </w:rPr>
            </w:pPr>
            <w:r>
              <w:rPr>
                <w:rFonts w:hint="eastAsia" w:ascii="Times New Roman" w:hAnsi="Times New Roman" w:eastAsia="宋体" w:cs="Times New Roman"/>
                <w:color w:val="auto"/>
                <w:sz w:val="24"/>
                <w:lang w:val="en-US" w:bidi="ar-SA"/>
              </w:rPr>
              <w:t>（2）环境管理要求</w:t>
            </w:r>
          </w:p>
          <w:p w14:paraId="777EB5E6">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1）一般固废</w:t>
            </w:r>
          </w:p>
          <w:p w14:paraId="2AC62292">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both"/>
              <w:rPr>
                <w:color w:val="auto"/>
                <w:sz w:val="24"/>
                <w:szCs w:val="24"/>
              </w:rPr>
            </w:pPr>
            <w:r>
              <w:rPr>
                <w:rFonts w:hint="eastAsia"/>
                <w:color w:val="auto"/>
                <w:sz w:val="24"/>
                <w:szCs w:val="24"/>
              </w:rPr>
              <w:t>依托一期一般固废间，位于厂区东北角，占地面积120m</w:t>
            </w:r>
            <w:r>
              <w:rPr>
                <w:rFonts w:hint="eastAsia"/>
                <w:color w:val="auto"/>
                <w:sz w:val="24"/>
                <w:szCs w:val="24"/>
                <w:vertAlign w:val="superscript"/>
              </w:rPr>
              <w:t>2</w:t>
            </w:r>
            <w:r>
              <w:rPr>
                <w:rFonts w:hint="eastAsia"/>
                <w:color w:val="auto"/>
                <w:sz w:val="24"/>
                <w:szCs w:val="24"/>
              </w:rPr>
              <w:t>。运营期固体废物执行《中华人民共和国固体废物污染环境防治法》要求，其中一般工业固体废物在厂内采用库房或包装工具贮存，要求本项目一般工业固体废物贮存过程应满足相应防渗漏、防雨淋、防扬尘等环境保护要求；贮存区按照《环境保护图形标志一固体废物贮存（处置）场（QB15562.2）的要求设置环保图形标志：指定专人进行日常管理。</w:t>
            </w:r>
          </w:p>
          <w:p w14:paraId="7FC323A1">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2）危险废物</w:t>
            </w:r>
          </w:p>
          <w:p w14:paraId="47A14596">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依托一期危废暂存间，位于1#仓库，占地面积340m</w:t>
            </w:r>
            <w:r>
              <w:rPr>
                <w:rFonts w:hint="eastAsia"/>
                <w:color w:val="auto"/>
                <w:sz w:val="24"/>
                <w:szCs w:val="24"/>
                <w:vertAlign w:val="superscript"/>
              </w:rPr>
              <w:t>2</w:t>
            </w:r>
            <w:r>
              <w:rPr>
                <w:rFonts w:hint="eastAsia"/>
                <w:color w:val="auto"/>
                <w:sz w:val="24"/>
                <w:szCs w:val="24"/>
              </w:rPr>
              <w:t>。</w:t>
            </w:r>
          </w:p>
          <w:p w14:paraId="4879BBED">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危险废物的收集要求：</w:t>
            </w:r>
          </w:p>
          <w:p w14:paraId="77154EED">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①性质类似的废物可收集到同一容器中、性质不相容的危险废物不应混合包装；</w:t>
            </w:r>
          </w:p>
          <w:p w14:paraId="152B45E3">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②危险废物包装应能有效隔断危险废物迁移扩散途径，并达到防渗、防漏要求；</w:t>
            </w:r>
          </w:p>
          <w:p w14:paraId="5A4BEAF3">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③在危险废物的收集和转运过程中，应采取相应的安全防护和污染防治措施，包括防爆、防火、防泄漏、防风、防雨或其他防止污染环境的措施；</w:t>
            </w:r>
          </w:p>
          <w:p w14:paraId="21F2BD1C">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④危险废物内部转运应综合考虑厂区的实际情况确定转运路线，尽量避开办公区和生活区；</w:t>
            </w:r>
          </w:p>
          <w:p w14:paraId="5B20F566">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⑤危险废物内部转运结束后，应对转运路线进行检查和清理，确保无危险废物遗失在转运路线上，并对转运工具进行清洗；</w:t>
            </w:r>
          </w:p>
          <w:p w14:paraId="5AAB1509">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⑥收集过危险废物的容器、设备、设施、场所及其他物品转作他用时，应消除污染，确保其使用安全。</w:t>
            </w:r>
          </w:p>
          <w:p w14:paraId="554CD5A1">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危废贮存场所的要求:</w:t>
            </w:r>
          </w:p>
          <w:p w14:paraId="07087B16">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危废间由一期环评建设，一期环评需按环评内容进行建设。一期危废间建设要求如下：</w:t>
            </w:r>
          </w:p>
          <w:p w14:paraId="3CED67E3">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危废暂存间按《危险废物贮存污染控制标准》（GB18597-2023）的要求设计、建造和管理：①根据危险废物的类别、数量、形态、物理化学性质和污染防治等要求设置必要的贮存分区，不同贮存分区之间采用过道、隔板或隔墙隔离。②贮存设施或贮存分区内地面、墙面裙脚、堵截泄漏的围堰、接触危险废物的隔板和墙体等采用坚固的材料建造，表面无裂缝。③贮存设施地面与裙脚采取表面防渗措施，采用抗渗混凝土、高密度聚乙烯膜、钠基膨润土防水毯或其他防渗性能等效的材料。贮存的危险废物直接接触地面的，进行基础防渗，防渗层为至少1m厚黏土层（渗透系数不大于10</w:t>
            </w:r>
            <w:r>
              <w:rPr>
                <w:rFonts w:hint="eastAsia"/>
                <w:color w:val="auto"/>
                <w:sz w:val="24"/>
                <w:szCs w:val="24"/>
                <w:vertAlign w:val="superscript"/>
              </w:rPr>
              <w:t>-7</w:t>
            </w:r>
            <w:r>
              <w:rPr>
                <w:rFonts w:hint="eastAsia"/>
                <w:color w:val="auto"/>
                <w:sz w:val="24"/>
                <w:szCs w:val="24"/>
              </w:rPr>
              <w:t>cm/s），或至少2mm厚高密度聚乙烯膜等人工防渗材料（渗透系数不大于10</w:t>
            </w:r>
            <w:r>
              <w:rPr>
                <w:rFonts w:hint="eastAsia"/>
                <w:color w:val="auto"/>
                <w:sz w:val="24"/>
                <w:szCs w:val="24"/>
                <w:vertAlign w:val="superscript"/>
              </w:rPr>
              <w:t>-10</w:t>
            </w:r>
            <w:r>
              <w:rPr>
                <w:rFonts w:hint="eastAsia"/>
                <w:color w:val="auto"/>
                <w:sz w:val="24"/>
                <w:szCs w:val="24"/>
              </w:rPr>
              <w:t>cm/s），或其他防渗性能等效的材料。④设置防渗导流沟和收集池，收集暂存过程可能泄漏的液体以及可能产生的渗滤液。③产生有机废气的危险废物贮存区全封闭，安装负压收集系统，废气经负压收集后送入活性炭吸附装置处理，处理后经15m排气筒外排。</w:t>
            </w:r>
          </w:p>
          <w:p w14:paraId="7F32815F">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采取上述措施后，可有效防止危险废物泄漏等环境风险，不会对环境空气、地表水、地下水、土壤以及环境敏感保护目标造成影响。</w:t>
            </w:r>
          </w:p>
          <w:p w14:paraId="0CC6349E">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3）日常管理和台账要求</w:t>
            </w:r>
          </w:p>
          <w:p w14:paraId="5702A2B0">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固体废物应交由合法、合规的单位收集处理。为解决固体废物产销（运）的不平衡问题，可储存1-6个月生产产生的固废量。建设单位应建立严格危险废物管理体系，将危险废物委托具有危废处理资质单位处置，禁止将危险废物提供或委托给无危险废物经营许可证的单位。危险废物转运严格执行危废五联单转移制度等管理要求，并做到坚持减量化、资源化、无害化原则，妥善利用或处置产生的危险废物。</w:t>
            </w:r>
          </w:p>
          <w:p w14:paraId="0C12CEA5">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危险废物贮存场所建设应根据危险废物的种类和特性进行分区、分类贮存，设置防雨、防扬散、防渗漏等设施，最大贮存期限一般不超过一年；按照国家和本市有关要求制定危险废物年度管理计划，并进行在线申报备案；结合自身实际，建立危险废物台账，如实记载危险废物的种类、数量、性质、产生环节、流向、贮存、利用处置等信息，并在信息系统中及时申报，申报数据应与台账、管理计划数据相一致。</w:t>
            </w:r>
          </w:p>
          <w:p w14:paraId="1E69F0F5">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color w:val="auto"/>
                <w:sz w:val="24"/>
                <w:szCs w:val="24"/>
              </w:rPr>
            </w:pPr>
            <w:r>
              <w:rPr>
                <w:rFonts w:hint="eastAsia"/>
                <w:color w:val="auto"/>
                <w:sz w:val="24"/>
                <w:szCs w:val="24"/>
              </w:rPr>
              <w:t>通过上述处理措施，本项目所产生的固废将得到有效的处置。</w:t>
            </w:r>
          </w:p>
          <w:p w14:paraId="4FEC82C6">
            <w:pPr>
              <w:pStyle w:val="15"/>
              <w:pBdr>
                <w:top w:val="none" w:color="auto" w:sz="0" w:space="1"/>
                <w:left w:val="none" w:color="auto" w:sz="0" w:space="4"/>
                <w:bottom w:val="none" w:color="auto" w:sz="0" w:space="1"/>
                <w:right w:val="none" w:color="auto" w:sz="0" w:space="4"/>
              </w:pBdr>
              <w:topLinePunct/>
              <w:spacing w:line="360" w:lineRule="auto"/>
              <w:ind w:firstLine="482" w:firstLineChars="200"/>
              <w:jc w:val="left"/>
              <w:rPr>
                <w:b/>
                <w:bCs/>
                <w:color w:val="auto"/>
                <w:sz w:val="24"/>
                <w:szCs w:val="24"/>
              </w:rPr>
            </w:pPr>
            <w:r>
              <w:rPr>
                <w:rFonts w:hint="eastAsia"/>
                <w:b/>
                <w:bCs/>
                <w:color w:val="auto"/>
                <w:sz w:val="24"/>
                <w:szCs w:val="24"/>
              </w:rPr>
              <w:t>5、地下水、土壤</w:t>
            </w:r>
          </w:p>
          <w:p w14:paraId="6ECF2A6B">
            <w:pPr>
              <w:spacing w:line="360" w:lineRule="auto"/>
              <w:ind w:firstLine="480" w:firstLineChars="200"/>
              <w:rPr>
                <w:color w:val="auto"/>
                <w:sz w:val="24"/>
              </w:rPr>
            </w:pPr>
            <w:r>
              <w:rPr>
                <w:rFonts w:hint="eastAsia"/>
                <w:color w:val="auto"/>
                <w:sz w:val="24"/>
              </w:rPr>
              <w:t>项目用水均来自市政供水管网，不进行地下水的开采，不会造成因取用地下水而引起的环境水文地质问题，项目所在厂房地面已做好防渗漏措施，厂区和车间地面均已做硬底化处理，运营期整个过程基本上可以杜绝固体废物等接触土壤，对土壤环境不会造成影响。因此，本项目可不开展土壤、地下水环境影响监测与评价。</w:t>
            </w:r>
          </w:p>
          <w:p w14:paraId="7234855F">
            <w:pPr>
              <w:spacing w:line="360" w:lineRule="auto"/>
              <w:ind w:firstLine="482" w:firstLineChars="200"/>
              <w:rPr>
                <w:b/>
                <w:bCs/>
                <w:color w:val="auto"/>
                <w:sz w:val="24"/>
              </w:rPr>
            </w:pPr>
            <w:r>
              <w:rPr>
                <w:b/>
                <w:bCs/>
                <w:color w:val="auto"/>
                <w:sz w:val="24"/>
              </w:rPr>
              <w:t>（1）</w:t>
            </w:r>
            <w:r>
              <w:rPr>
                <w:rFonts w:hint="eastAsia"/>
                <w:b/>
                <w:bCs/>
                <w:color w:val="auto"/>
                <w:sz w:val="24"/>
              </w:rPr>
              <w:t>地下水、土壤分区防控措施</w:t>
            </w:r>
          </w:p>
          <w:p w14:paraId="15651809">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rPr>
              <w:t>本项目生产车间应做好防渗防漏，地面采用水泥硬底化，需对地面水泥砂浆抹面，找平、压实、抹光，基础必须防渗，防渗层必须为砼结构，各功能区均采取“源头控制”、“分区控制”的防渗防漏措施，可以有效防止污染物进入地下水、土壤环境，防止污染地下水、土壤。</w:t>
            </w:r>
          </w:p>
          <w:p w14:paraId="0C98844D">
            <w:pPr>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本项目产生的固体废物均在室内堆放，满足“防风、防雨、防晒、防渗、防漏”的要求，经收集后均进行妥善处理，禁止直接排入污染土壤环境。项目一般工业固体废物暂时贮存场满足</w:t>
            </w:r>
            <w:r>
              <w:rPr>
                <w:rFonts w:hint="eastAsia" w:cs="宋体"/>
                <w:color w:val="auto"/>
                <w:kern w:val="0"/>
                <w:sz w:val="24"/>
              </w:rPr>
              <w:t>《中华人民共和国固体废物污染环境防治法》要求，要求本项目一般工业固体废物贮存过程应满足相应防渗漏、防雨淋、防扬尘等环境保护要求</w:t>
            </w:r>
            <w:r>
              <w:rPr>
                <w:rFonts w:hint="eastAsia"/>
                <w:color w:val="auto"/>
                <w:sz w:val="24"/>
              </w:rPr>
              <w:t>，交有一般工业固体废物处理资质的单位处理，并按有关规定落实工业固体废物申报登记制度。危险废物临时贮存设施要符合《危险废物贮存污染控制标准》（GB18597-2023）。同时，项目场地地面做好硬化、防渗漏处理，运营期整个过程基本上可以杜绝固体废物等接触土壤、地下水。</w:t>
            </w:r>
          </w:p>
          <w:p w14:paraId="7BBDFC1B">
            <w:pPr>
              <w:spacing w:line="360" w:lineRule="auto"/>
              <w:ind w:firstLine="482" w:firstLineChars="200"/>
              <w:rPr>
                <w:b/>
                <w:bCs/>
                <w:color w:val="auto"/>
                <w:sz w:val="24"/>
              </w:rPr>
            </w:pPr>
            <w:r>
              <w:rPr>
                <w:rFonts w:hint="eastAsia"/>
                <w:b/>
                <w:bCs/>
                <w:color w:val="auto"/>
                <w:sz w:val="24"/>
              </w:rPr>
              <w:t>（2）分区防渗措施</w:t>
            </w:r>
          </w:p>
          <w:p w14:paraId="149817C1">
            <w:pPr>
              <w:pStyle w:val="62"/>
              <w:rPr>
                <w:rFonts w:hint="default"/>
                <w:color w:val="auto"/>
              </w:rPr>
            </w:pPr>
            <w:r>
              <w:rPr>
                <w:color w:val="auto"/>
              </w:rPr>
              <w:t>表4-</w:t>
            </w:r>
            <w:r>
              <w:rPr>
                <w:rFonts w:hint="eastAsia"/>
                <w:color w:val="auto"/>
                <w:lang w:val="en-US" w:eastAsia="zh-CN"/>
              </w:rPr>
              <w:t>22</w:t>
            </w:r>
            <w:r>
              <w:rPr>
                <w:color w:val="auto"/>
              </w:rPr>
              <w:t>本项目保护地下水、土壤分区防控措施一览表</w:t>
            </w:r>
          </w:p>
          <w:tbl>
            <w:tblPr>
              <w:tblStyle w:val="2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682"/>
              <w:gridCol w:w="1663"/>
              <w:gridCol w:w="5499"/>
            </w:tblGrid>
            <w:tr w14:paraId="0DD5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7" w:type="pct"/>
                  <w:vAlign w:val="center"/>
                </w:tcPr>
                <w:p w14:paraId="14DB0F24">
                  <w:pPr>
                    <w:pStyle w:val="63"/>
                    <w:rPr>
                      <w:b/>
                      <w:bCs/>
                      <w:color w:val="auto"/>
                    </w:rPr>
                  </w:pPr>
                  <w:r>
                    <w:rPr>
                      <w:rFonts w:hint="eastAsia"/>
                      <w:b/>
                      <w:bCs/>
                      <w:color w:val="auto"/>
                    </w:rPr>
                    <w:t>序号</w:t>
                  </w:r>
                </w:p>
              </w:tc>
              <w:tc>
                <w:tcPr>
                  <w:tcW w:w="1382" w:type="pct"/>
                  <w:gridSpan w:val="2"/>
                  <w:vAlign w:val="center"/>
                </w:tcPr>
                <w:p w14:paraId="174DF9BD">
                  <w:pPr>
                    <w:pStyle w:val="63"/>
                    <w:rPr>
                      <w:b/>
                      <w:bCs/>
                      <w:color w:val="auto"/>
                    </w:rPr>
                  </w:pPr>
                  <w:r>
                    <w:rPr>
                      <w:rFonts w:hint="eastAsia"/>
                      <w:b/>
                      <w:bCs/>
                      <w:color w:val="auto"/>
                    </w:rPr>
                    <w:t>区域</w:t>
                  </w:r>
                </w:p>
              </w:tc>
              <w:tc>
                <w:tcPr>
                  <w:tcW w:w="3239" w:type="pct"/>
                  <w:vAlign w:val="center"/>
                </w:tcPr>
                <w:p w14:paraId="3AD53DBD">
                  <w:pPr>
                    <w:pStyle w:val="63"/>
                    <w:rPr>
                      <w:b/>
                      <w:bCs/>
                      <w:color w:val="auto"/>
                    </w:rPr>
                  </w:pPr>
                  <w:r>
                    <w:rPr>
                      <w:rFonts w:hint="eastAsia"/>
                      <w:b/>
                      <w:bCs/>
                      <w:color w:val="auto"/>
                    </w:rPr>
                    <w:t>防控措施</w:t>
                  </w:r>
                </w:p>
              </w:tc>
            </w:tr>
            <w:tr w14:paraId="3268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77" w:type="pct"/>
                  <w:vMerge w:val="restart"/>
                  <w:vAlign w:val="center"/>
                </w:tcPr>
                <w:p w14:paraId="5AED6CED">
                  <w:pPr>
                    <w:pStyle w:val="63"/>
                    <w:rPr>
                      <w:color w:val="auto"/>
                    </w:rPr>
                  </w:pPr>
                  <w:r>
                    <w:rPr>
                      <w:rFonts w:hint="eastAsia"/>
                      <w:color w:val="auto"/>
                    </w:rPr>
                    <w:t>1</w:t>
                  </w:r>
                </w:p>
              </w:tc>
              <w:tc>
                <w:tcPr>
                  <w:tcW w:w="402" w:type="pct"/>
                  <w:vMerge w:val="restart"/>
                  <w:vAlign w:val="center"/>
                </w:tcPr>
                <w:p w14:paraId="616A36A4">
                  <w:pPr>
                    <w:pStyle w:val="63"/>
                    <w:rPr>
                      <w:color w:val="auto"/>
                    </w:rPr>
                  </w:pPr>
                  <w:r>
                    <w:rPr>
                      <w:rFonts w:hint="eastAsia"/>
                      <w:color w:val="auto"/>
                    </w:rPr>
                    <w:t>重点防渗区</w:t>
                  </w:r>
                </w:p>
              </w:tc>
              <w:tc>
                <w:tcPr>
                  <w:tcW w:w="979" w:type="pct"/>
                  <w:shd w:val="clear" w:color="auto" w:fill="auto"/>
                  <w:vAlign w:val="center"/>
                </w:tcPr>
                <w:p w14:paraId="7289C201">
                  <w:pPr>
                    <w:pStyle w:val="63"/>
                    <w:rPr>
                      <w:color w:val="auto"/>
                    </w:rPr>
                  </w:pPr>
                  <w:r>
                    <w:rPr>
                      <w:rFonts w:hint="eastAsia"/>
                      <w:color w:val="auto"/>
                    </w:rPr>
                    <w:t>2#危化品仓库</w:t>
                  </w:r>
                </w:p>
              </w:tc>
              <w:tc>
                <w:tcPr>
                  <w:tcW w:w="3239" w:type="pct"/>
                  <w:vMerge w:val="restart"/>
                  <w:vAlign w:val="center"/>
                </w:tcPr>
                <w:p w14:paraId="029103EC">
                  <w:pPr>
                    <w:pStyle w:val="63"/>
                    <w:rPr>
                      <w:color w:val="auto"/>
                    </w:rPr>
                  </w:pPr>
                  <w:r>
                    <w:rPr>
                      <w:rFonts w:hint="eastAsia"/>
                      <w:color w:val="auto"/>
                    </w:rPr>
                    <w:t>等效黏土防渗层Mb≥6.0m,渗透系数K≤107cm/s:或参照GB18598执行</w:t>
                  </w:r>
                </w:p>
              </w:tc>
            </w:tr>
            <w:tr w14:paraId="75D0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77" w:type="pct"/>
                  <w:vMerge w:val="continue"/>
                  <w:vAlign w:val="center"/>
                </w:tcPr>
                <w:p w14:paraId="373D44E2">
                  <w:pPr>
                    <w:pStyle w:val="63"/>
                    <w:rPr>
                      <w:color w:val="auto"/>
                    </w:rPr>
                  </w:pPr>
                </w:p>
              </w:tc>
              <w:tc>
                <w:tcPr>
                  <w:tcW w:w="402" w:type="pct"/>
                  <w:vMerge w:val="continue"/>
                  <w:vAlign w:val="center"/>
                </w:tcPr>
                <w:p w14:paraId="4D97347F">
                  <w:pPr>
                    <w:pStyle w:val="63"/>
                    <w:rPr>
                      <w:color w:val="auto"/>
                    </w:rPr>
                  </w:pPr>
                </w:p>
              </w:tc>
              <w:tc>
                <w:tcPr>
                  <w:tcW w:w="979" w:type="pct"/>
                  <w:vAlign w:val="center"/>
                </w:tcPr>
                <w:p w14:paraId="79C010DF">
                  <w:pPr>
                    <w:pStyle w:val="63"/>
                    <w:rPr>
                      <w:color w:val="auto"/>
                    </w:rPr>
                  </w:pPr>
                  <w:r>
                    <w:rPr>
                      <w:rFonts w:hint="eastAsia"/>
                      <w:color w:val="auto"/>
                    </w:rPr>
                    <w:t>清洗生产线</w:t>
                  </w:r>
                </w:p>
              </w:tc>
              <w:tc>
                <w:tcPr>
                  <w:tcW w:w="3239" w:type="pct"/>
                  <w:vMerge w:val="continue"/>
                  <w:vAlign w:val="center"/>
                </w:tcPr>
                <w:p w14:paraId="29B8DB8D">
                  <w:pPr>
                    <w:pStyle w:val="63"/>
                    <w:rPr>
                      <w:color w:val="auto"/>
                    </w:rPr>
                  </w:pPr>
                </w:p>
              </w:tc>
            </w:tr>
            <w:tr w14:paraId="6708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77" w:type="pct"/>
                  <w:vMerge w:val="continue"/>
                  <w:vAlign w:val="center"/>
                </w:tcPr>
                <w:p w14:paraId="5409DFB4">
                  <w:pPr>
                    <w:pStyle w:val="63"/>
                    <w:rPr>
                      <w:color w:val="auto"/>
                    </w:rPr>
                  </w:pPr>
                </w:p>
              </w:tc>
              <w:tc>
                <w:tcPr>
                  <w:tcW w:w="402" w:type="pct"/>
                  <w:vMerge w:val="continue"/>
                  <w:vAlign w:val="center"/>
                </w:tcPr>
                <w:p w14:paraId="596B760E">
                  <w:pPr>
                    <w:pStyle w:val="63"/>
                    <w:rPr>
                      <w:color w:val="auto"/>
                    </w:rPr>
                  </w:pPr>
                </w:p>
              </w:tc>
              <w:tc>
                <w:tcPr>
                  <w:tcW w:w="979" w:type="pct"/>
                  <w:vAlign w:val="center"/>
                </w:tcPr>
                <w:p w14:paraId="50661803">
                  <w:pPr>
                    <w:pStyle w:val="63"/>
                    <w:rPr>
                      <w:color w:val="auto"/>
                    </w:rPr>
                  </w:pPr>
                  <w:r>
                    <w:rPr>
                      <w:rFonts w:hint="eastAsia"/>
                      <w:color w:val="auto"/>
                    </w:rPr>
                    <w:t>集中供液区</w:t>
                  </w:r>
                </w:p>
              </w:tc>
              <w:tc>
                <w:tcPr>
                  <w:tcW w:w="3239" w:type="pct"/>
                  <w:vMerge w:val="continue"/>
                  <w:vAlign w:val="center"/>
                </w:tcPr>
                <w:p w14:paraId="6A00E14A">
                  <w:pPr>
                    <w:pStyle w:val="63"/>
                    <w:rPr>
                      <w:color w:val="auto"/>
                    </w:rPr>
                  </w:pPr>
                </w:p>
              </w:tc>
            </w:tr>
            <w:tr w14:paraId="7B84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77" w:type="pct"/>
                  <w:vMerge w:val="continue"/>
                  <w:vAlign w:val="center"/>
                </w:tcPr>
                <w:p w14:paraId="533E3214">
                  <w:pPr>
                    <w:pStyle w:val="63"/>
                    <w:rPr>
                      <w:color w:val="auto"/>
                    </w:rPr>
                  </w:pPr>
                </w:p>
              </w:tc>
              <w:tc>
                <w:tcPr>
                  <w:tcW w:w="402" w:type="pct"/>
                  <w:vMerge w:val="continue"/>
                  <w:vAlign w:val="center"/>
                </w:tcPr>
                <w:p w14:paraId="57C965CD">
                  <w:pPr>
                    <w:pStyle w:val="63"/>
                    <w:rPr>
                      <w:color w:val="auto"/>
                    </w:rPr>
                  </w:pPr>
                </w:p>
              </w:tc>
              <w:tc>
                <w:tcPr>
                  <w:tcW w:w="979" w:type="pct"/>
                  <w:vAlign w:val="center"/>
                </w:tcPr>
                <w:p w14:paraId="3F67520B">
                  <w:pPr>
                    <w:pStyle w:val="63"/>
                    <w:rPr>
                      <w:color w:val="auto"/>
                    </w:rPr>
                  </w:pPr>
                  <w:r>
                    <w:rPr>
                      <w:rFonts w:hint="eastAsia"/>
                      <w:color w:val="auto"/>
                    </w:rPr>
                    <w:t>循环水池、污水收集池</w:t>
                  </w:r>
                </w:p>
              </w:tc>
              <w:tc>
                <w:tcPr>
                  <w:tcW w:w="3239" w:type="pct"/>
                  <w:vMerge w:val="continue"/>
                  <w:vAlign w:val="center"/>
                </w:tcPr>
                <w:p w14:paraId="4B01B051">
                  <w:pPr>
                    <w:pStyle w:val="63"/>
                    <w:rPr>
                      <w:color w:val="auto"/>
                    </w:rPr>
                  </w:pPr>
                </w:p>
              </w:tc>
            </w:tr>
            <w:tr w14:paraId="12D8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77" w:type="pct"/>
                  <w:vAlign w:val="center"/>
                </w:tcPr>
                <w:p w14:paraId="66BBFBD5">
                  <w:pPr>
                    <w:pStyle w:val="63"/>
                    <w:rPr>
                      <w:color w:val="auto"/>
                    </w:rPr>
                  </w:pPr>
                  <w:r>
                    <w:rPr>
                      <w:rFonts w:hint="eastAsia"/>
                      <w:color w:val="auto"/>
                    </w:rPr>
                    <w:t>2</w:t>
                  </w:r>
                </w:p>
              </w:tc>
              <w:tc>
                <w:tcPr>
                  <w:tcW w:w="402" w:type="pct"/>
                  <w:vAlign w:val="center"/>
                </w:tcPr>
                <w:p w14:paraId="470FEBA3">
                  <w:pPr>
                    <w:pStyle w:val="63"/>
                    <w:rPr>
                      <w:color w:val="auto"/>
                    </w:rPr>
                  </w:pPr>
                  <w:r>
                    <w:rPr>
                      <w:rFonts w:hint="eastAsia"/>
                      <w:color w:val="auto"/>
                    </w:rPr>
                    <w:t>一般防渗区</w:t>
                  </w:r>
                </w:p>
              </w:tc>
              <w:tc>
                <w:tcPr>
                  <w:tcW w:w="979" w:type="pct"/>
                  <w:shd w:val="clear" w:color="auto" w:fill="auto"/>
                  <w:vAlign w:val="center"/>
                </w:tcPr>
                <w:p w14:paraId="72E7B919">
                  <w:pPr>
                    <w:pStyle w:val="63"/>
                    <w:rPr>
                      <w:color w:val="auto"/>
                    </w:rPr>
                  </w:pPr>
                  <w:r>
                    <w:rPr>
                      <w:rFonts w:hint="eastAsia"/>
                      <w:color w:val="auto"/>
                    </w:rPr>
                    <w:t>7#机加工生产、9#机加工生产</w:t>
                  </w:r>
                </w:p>
              </w:tc>
              <w:tc>
                <w:tcPr>
                  <w:tcW w:w="3239" w:type="pct"/>
                  <w:vAlign w:val="center"/>
                </w:tcPr>
                <w:p w14:paraId="1F398567">
                  <w:pPr>
                    <w:pStyle w:val="63"/>
                    <w:rPr>
                      <w:color w:val="auto"/>
                    </w:rPr>
                  </w:pPr>
                  <w:r>
                    <w:rPr>
                      <w:rFonts w:hint="eastAsia"/>
                      <w:color w:val="auto"/>
                    </w:rPr>
                    <w:t>等效黏土防渗层Mb1.5m,K≤10</w:t>
                  </w:r>
                  <w:r>
                    <w:rPr>
                      <w:rFonts w:hint="eastAsia"/>
                      <w:color w:val="auto"/>
                      <w:vertAlign w:val="superscript"/>
                    </w:rPr>
                    <w:t>-</w:t>
                  </w:r>
                  <w:r>
                    <w:rPr>
                      <w:rFonts w:hint="eastAsia"/>
                      <w:color w:val="auto"/>
                      <w:vertAlign w:val="superscript"/>
                      <w:lang w:val="en-US" w:eastAsia="zh-CN"/>
                    </w:rPr>
                    <w:t>7</w:t>
                  </w:r>
                  <w:r>
                    <w:rPr>
                      <w:rFonts w:hint="eastAsia"/>
                      <w:color w:val="auto"/>
                    </w:rPr>
                    <w:t>cm/s;或参照GB16889执行</w:t>
                  </w:r>
                </w:p>
              </w:tc>
            </w:tr>
          </w:tbl>
          <w:p w14:paraId="281EB1EA">
            <w:pPr>
              <w:spacing w:line="360" w:lineRule="auto"/>
              <w:ind w:firstLine="480" w:firstLineChars="200"/>
              <w:rPr>
                <w:color w:val="auto"/>
                <w:sz w:val="24"/>
              </w:rPr>
            </w:pPr>
            <w:r>
              <w:rPr>
                <w:rFonts w:hint="eastAsia"/>
                <w:color w:val="auto"/>
                <w:sz w:val="24"/>
              </w:rPr>
              <w:t>各分区防渗设计应符合下列要求：</w:t>
            </w:r>
          </w:p>
          <w:p w14:paraId="60470F18">
            <w:pPr>
              <w:spacing w:line="360" w:lineRule="auto"/>
              <w:ind w:firstLine="480" w:firstLineChars="200"/>
              <w:rPr>
                <w:color w:val="auto"/>
                <w:sz w:val="24"/>
              </w:rPr>
            </w:pPr>
            <w:r>
              <w:rPr>
                <w:rFonts w:hint="eastAsia"/>
                <w:color w:val="auto"/>
                <w:sz w:val="24"/>
              </w:rPr>
              <w:t>1）重点防渗区和一般防渗区应设置防渗层，重点防渗区的防渗性能应与6.0m厚</w:t>
            </w:r>
            <w:r>
              <w:rPr>
                <w:rFonts w:hint="eastAsia"/>
                <w:color w:val="auto"/>
                <w:sz w:val="24"/>
                <w:lang w:eastAsia="zh-CN"/>
              </w:rPr>
              <w:t>黏土层</w:t>
            </w:r>
            <w:r>
              <w:rPr>
                <w:rFonts w:hint="eastAsia"/>
                <w:color w:val="auto"/>
                <w:sz w:val="24"/>
              </w:rPr>
              <w:t>（渗透系数1.0×10</w:t>
            </w:r>
            <w:r>
              <w:rPr>
                <w:rFonts w:hint="eastAsia"/>
                <w:color w:val="auto"/>
                <w:sz w:val="24"/>
                <w:vertAlign w:val="superscript"/>
                <w:lang w:val="en-US" w:eastAsia="zh-CN"/>
              </w:rPr>
              <w:t>-</w:t>
            </w:r>
            <w:r>
              <w:rPr>
                <w:rFonts w:hint="eastAsia"/>
                <w:color w:val="auto"/>
                <w:sz w:val="24"/>
                <w:vertAlign w:val="superscript"/>
              </w:rPr>
              <w:t>7</w:t>
            </w:r>
            <w:r>
              <w:rPr>
                <w:rFonts w:hint="eastAsia"/>
                <w:color w:val="auto"/>
                <w:sz w:val="24"/>
              </w:rPr>
              <w:t>cm/s）等效，一般防渗区的防渗性能应与1.5m厚</w:t>
            </w:r>
            <w:r>
              <w:rPr>
                <w:rFonts w:hint="eastAsia"/>
                <w:color w:val="auto"/>
                <w:sz w:val="24"/>
                <w:lang w:eastAsia="zh-CN"/>
              </w:rPr>
              <w:t>黏土层</w:t>
            </w:r>
            <w:r>
              <w:rPr>
                <w:rFonts w:hint="eastAsia"/>
                <w:color w:val="auto"/>
                <w:sz w:val="24"/>
              </w:rPr>
              <w:t>（渗透系数1.0×10</w:t>
            </w:r>
            <w:r>
              <w:rPr>
                <w:rFonts w:hint="eastAsia"/>
                <w:color w:val="auto"/>
                <w:sz w:val="24"/>
                <w:vertAlign w:val="superscript"/>
              </w:rPr>
              <w:t>-7</w:t>
            </w:r>
            <w:r>
              <w:rPr>
                <w:rFonts w:hint="eastAsia"/>
                <w:color w:val="auto"/>
                <w:sz w:val="24"/>
              </w:rPr>
              <w:t>cm/s）等效。</w:t>
            </w:r>
          </w:p>
          <w:p w14:paraId="35C80850">
            <w:pPr>
              <w:spacing w:line="360" w:lineRule="auto"/>
              <w:ind w:firstLine="480" w:firstLineChars="200"/>
              <w:rPr>
                <w:color w:val="auto"/>
                <w:sz w:val="24"/>
              </w:rPr>
            </w:pPr>
            <w:r>
              <w:rPr>
                <w:rFonts w:hint="eastAsia"/>
                <w:color w:val="auto"/>
                <w:sz w:val="24"/>
              </w:rPr>
              <w:t>2）防渗措施：重点防渗区采用环氧玻璃钢、环氧树脂、环氧沥青涂料等进行防腐防渗，一般防渗区采用抗渗混凝土等进行防渗，简单防渗区采用一般地面硬化进行防渗。根据国家相关标准和规范，结合目前施工过程中的可操作性和技术水平，针对不同的防渗区域采用</w:t>
            </w:r>
            <w:r>
              <w:rPr>
                <w:rFonts w:hint="eastAsia"/>
                <w:color w:val="auto"/>
                <w:sz w:val="24"/>
                <w:lang w:eastAsia="zh-CN"/>
              </w:rPr>
              <w:t>了</w:t>
            </w:r>
            <w:r>
              <w:rPr>
                <w:rFonts w:hint="eastAsia"/>
                <w:color w:val="auto"/>
                <w:sz w:val="24"/>
              </w:rPr>
              <w:t>不同的防渗措施，防渗工艺及材料在具体施工中应根据实际情况在满足防渗标准的前提下可做必要调整。在满足分区防渗技术要求前提下，污水管道及厂区各类处理池防渗措施为：</w:t>
            </w:r>
          </w:p>
          <w:p w14:paraId="09F5B5B7">
            <w:pPr>
              <w:spacing w:line="360" w:lineRule="auto"/>
              <w:ind w:firstLine="480" w:firstLineChars="200"/>
              <w:rPr>
                <w:color w:val="auto"/>
                <w:sz w:val="24"/>
              </w:rPr>
            </w:pPr>
            <w:r>
              <w:rPr>
                <w:rFonts w:hint="eastAsia"/>
                <w:color w:val="auto"/>
                <w:sz w:val="24"/>
              </w:rPr>
              <w:t>①厂区内的污水收集管道、液体输送管道采用防腐管道高架或明沟套明管。</w:t>
            </w:r>
          </w:p>
          <w:p w14:paraId="24058AEE">
            <w:pPr>
              <w:spacing w:line="360" w:lineRule="auto"/>
              <w:ind w:firstLine="480" w:firstLineChars="200"/>
              <w:rPr>
                <w:color w:val="auto"/>
                <w:sz w:val="24"/>
              </w:rPr>
            </w:pPr>
            <w:r>
              <w:rPr>
                <w:rFonts w:hint="eastAsia"/>
                <w:color w:val="auto"/>
                <w:sz w:val="24"/>
              </w:rPr>
              <w:t>②对管道、阀门严格检查，有质量问题的及时更换，阀门采用优质产品。</w:t>
            </w:r>
          </w:p>
          <w:p w14:paraId="4C90AD17">
            <w:pPr>
              <w:spacing w:line="360" w:lineRule="auto"/>
              <w:ind w:firstLine="480" w:firstLineChars="200"/>
              <w:rPr>
                <w:color w:val="auto"/>
                <w:sz w:val="24"/>
              </w:rPr>
            </w:pPr>
            <w:r>
              <w:rPr>
                <w:rFonts w:hint="eastAsia"/>
                <w:color w:val="auto"/>
                <w:sz w:val="24"/>
              </w:rPr>
              <w:t>③在工艺条件允许的情况下，管道置在地上，如出现渗漏问题及时解决。</w:t>
            </w:r>
          </w:p>
          <w:p w14:paraId="410B6D72">
            <w:pPr>
              <w:spacing w:line="360" w:lineRule="auto"/>
              <w:ind w:firstLine="480" w:firstLineChars="200"/>
              <w:rPr>
                <w:color w:val="auto"/>
                <w:sz w:val="24"/>
              </w:rPr>
            </w:pPr>
            <w:r>
              <w:rPr>
                <w:rFonts w:hint="eastAsia"/>
                <w:color w:val="auto"/>
                <w:sz w:val="24"/>
              </w:rPr>
              <w:t>④对工艺要求必须地下走管的管道、阀门设专门防渗管沟，管沟上设活动观察顶盖，以便出现渗漏问题及时观察、解决，管沟与污水集水井相连，并设计合理的排水坡度，便于废水排至集水井，然后统一排入污水处理池。</w:t>
            </w:r>
          </w:p>
          <w:p w14:paraId="349BE1E2">
            <w:pPr>
              <w:spacing w:line="360" w:lineRule="auto"/>
              <w:ind w:firstLine="480" w:firstLineChars="200"/>
              <w:rPr>
                <w:color w:val="auto"/>
                <w:sz w:val="24"/>
              </w:rPr>
            </w:pPr>
            <w:r>
              <w:rPr>
                <w:rFonts w:hint="eastAsia"/>
                <w:color w:val="auto"/>
                <w:sz w:val="24"/>
              </w:rPr>
              <w:t>⑤在条件允许的情况下，厂区内各污水管道下方设置集废水渠道，并采用抗渗混凝土整体浇筑，以防跑冒滴漏及管道泄漏等产生的废水发生渗漏。</w:t>
            </w:r>
          </w:p>
          <w:p w14:paraId="5643FC19">
            <w:pPr>
              <w:spacing w:line="360" w:lineRule="auto"/>
              <w:ind w:firstLine="480" w:firstLineChars="200"/>
              <w:rPr>
                <w:color w:val="auto"/>
                <w:sz w:val="24"/>
              </w:rPr>
            </w:pPr>
            <w:r>
              <w:rPr>
                <w:rFonts w:hint="eastAsia"/>
                <w:color w:val="auto"/>
                <w:sz w:val="24"/>
              </w:rPr>
              <w:t>⑥按《给水排水管道工程施工及验收规范》（GB50268-2008）执行。</w:t>
            </w:r>
          </w:p>
          <w:p w14:paraId="598297FF">
            <w:pPr>
              <w:spacing w:line="360" w:lineRule="auto"/>
              <w:ind w:firstLine="480" w:firstLineChars="200"/>
              <w:rPr>
                <w:color w:val="auto"/>
                <w:sz w:val="24"/>
              </w:rPr>
            </w:pPr>
            <w:r>
              <w:rPr>
                <w:color w:val="auto"/>
                <w:sz w:val="24"/>
              </w:rPr>
              <w:t>综上所述</w:t>
            </w:r>
            <w:r>
              <w:rPr>
                <w:rFonts w:hint="eastAsia"/>
                <w:color w:val="auto"/>
                <w:sz w:val="24"/>
              </w:rPr>
              <w:t>，</w:t>
            </w:r>
            <w:r>
              <w:rPr>
                <w:color w:val="auto"/>
                <w:sz w:val="24"/>
              </w:rPr>
              <w:t>采取分区防护措施</w:t>
            </w:r>
            <w:r>
              <w:rPr>
                <w:rFonts w:hint="eastAsia"/>
                <w:color w:val="auto"/>
                <w:sz w:val="24"/>
              </w:rPr>
              <w:t>，</w:t>
            </w:r>
            <w:r>
              <w:rPr>
                <w:color w:val="auto"/>
                <w:sz w:val="24"/>
              </w:rPr>
              <w:t>各个环节得到良好控制的情况下</w:t>
            </w:r>
            <w:r>
              <w:rPr>
                <w:rFonts w:hint="eastAsia"/>
                <w:color w:val="auto"/>
                <w:sz w:val="24"/>
              </w:rPr>
              <w:t>，</w:t>
            </w:r>
            <w:r>
              <w:rPr>
                <w:color w:val="auto"/>
                <w:sz w:val="24"/>
              </w:rPr>
              <w:t>本项目不会对土壤和地下水造成明显影响</w:t>
            </w:r>
            <w:r>
              <w:rPr>
                <w:rFonts w:hint="eastAsia"/>
                <w:color w:val="auto"/>
                <w:sz w:val="24"/>
              </w:rPr>
              <w:t>。</w:t>
            </w:r>
          </w:p>
          <w:p w14:paraId="0601D04C">
            <w:pPr>
              <w:spacing w:line="360" w:lineRule="auto"/>
              <w:ind w:firstLine="482" w:firstLineChars="200"/>
              <w:rPr>
                <w:b/>
                <w:bCs/>
                <w:color w:val="auto"/>
                <w:sz w:val="24"/>
              </w:rPr>
            </w:pPr>
            <w:r>
              <w:rPr>
                <w:rFonts w:hint="eastAsia"/>
                <w:b/>
                <w:bCs/>
                <w:color w:val="auto"/>
                <w:sz w:val="24"/>
              </w:rPr>
              <w:t>（3）监测要求</w:t>
            </w:r>
          </w:p>
          <w:p w14:paraId="2A8F5590">
            <w:pPr>
              <w:widowControl/>
              <w:spacing w:line="360" w:lineRule="auto"/>
              <w:ind w:firstLine="480" w:firstLineChars="200"/>
              <w:jc w:val="left"/>
              <w:rPr>
                <w:color w:val="auto"/>
                <w:sz w:val="24"/>
              </w:rPr>
            </w:pPr>
            <w:r>
              <w:rPr>
                <w:rFonts w:hint="eastAsia" w:ascii="宋体" w:hAnsi="宋体" w:cs="宋体"/>
                <w:color w:val="auto"/>
                <w:sz w:val="24"/>
              </w:rPr>
              <w:t>①</w:t>
            </w:r>
            <w:r>
              <w:rPr>
                <w:rFonts w:hint="eastAsia"/>
                <w:color w:val="auto"/>
                <w:sz w:val="24"/>
              </w:rPr>
              <w:t>土壤跟踪监测</w:t>
            </w:r>
          </w:p>
          <w:p w14:paraId="641CFE74">
            <w:pPr>
              <w:spacing w:line="360" w:lineRule="auto"/>
              <w:ind w:firstLine="480" w:firstLineChars="200"/>
              <w:rPr>
                <w:color w:val="auto"/>
                <w:sz w:val="24"/>
                <w:lang w:val="zh-CN"/>
              </w:rPr>
            </w:pPr>
            <w:r>
              <w:rPr>
                <w:color w:val="auto"/>
                <w:sz w:val="24"/>
                <w:lang w:val="zh-CN"/>
              </w:rPr>
              <w:t>根据《环境影响评价技术导则土壤环境（试行）》（HJ964-2018），评价工作等级为一级的建设项目一般每3年内开展1次监测工作，二级的每5年内开展1次，三级的必要时可开展跟踪监测。</w:t>
            </w:r>
          </w:p>
          <w:p w14:paraId="2BA4ED3B">
            <w:pPr>
              <w:spacing w:line="360" w:lineRule="auto"/>
              <w:ind w:firstLine="480" w:firstLineChars="200"/>
              <w:rPr>
                <w:color w:val="auto"/>
                <w:sz w:val="24"/>
                <w:lang w:val="zh-CN"/>
              </w:rPr>
            </w:pPr>
            <w:r>
              <w:rPr>
                <w:color w:val="auto"/>
                <w:sz w:val="24"/>
                <w:lang w:val="zh-CN"/>
              </w:rPr>
              <w:t>项目生产车间</w:t>
            </w:r>
            <w:r>
              <w:rPr>
                <w:rFonts w:hint="eastAsia"/>
                <w:color w:val="auto"/>
                <w:sz w:val="24"/>
                <w:lang w:val="zh-CN"/>
              </w:rPr>
              <w:t>地面</w:t>
            </w:r>
            <w:r>
              <w:rPr>
                <w:color w:val="auto"/>
                <w:sz w:val="24"/>
                <w:lang w:val="zh-CN"/>
              </w:rPr>
              <w:t>已做好硬化措施；</w:t>
            </w:r>
            <w:r>
              <w:rPr>
                <w:rFonts w:hint="eastAsia"/>
                <w:color w:val="auto"/>
                <w:sz w:val="24"/>
              </w:rPr>
              <w:t>项目一般固废和危险废物依托一期进行暂存，一期的</w:t>
            </w:r>
            <w:r>
              <w:rPr>
                <w:rFonts w:hint="eastAsia"/>
                <w:color w:val="auto"/>
                <w:sz w:val="24"/>
                <w:lang w:val="zh-CN"/>
              </w:rPr>
              <w:t>一般工业固体废物暂存间</w:t>
            </w:r>
            <w:r>
              <w:rPr>
                <w:rFonts w:hint="eastAsia"/>
                <w:color w:val="auto"/>
                <w:sz w:val="24"/>
                <w:lang w:val="en-US" w:eastAsia="zh-CN"/>
              </w:rPr>
              <w:t>的</w:t>
            </w:r>
            <w:r>
              <w:rPr>
                <w:rFonts w:hint="eastAsia"/>
                <w:color w:val="auto"/>
                <w:sz w:val="24"/>
                <w:lang w:val="zh-CN"/>
              </w:rPr>
              <w:t>固体废物执行《中华人民共和国固体废物污染环境防治法》要求，其中一般工业固体废物在厂内采用库房或包装工具贮存，要求本项目一般工业固体废物贮存过程应满足相应防渗漏、防雨淋、防扬尘等环境保护要求；危险废物暂存间</w:t>
            </w:r>
            <w:r>
              <w:rPr>
                <w:rFonts w:hint="eastAsia"/>
                <w:color w:val="auto"/>
                <w:sz w:val="24"/>
              </w:rPr>
              <w:t>需</w:t>
            </w:r>
            <w:r>
              <w:rPr>
                <w:rFonts w:hint="eastAsia"/>
                <w:color w:val="auto"/>
                <w:sz w:val="24"/>
                <w:lang w:val="zh-CN"/>
              </w:rPr>
              <w:t>严格按照《危险废物贮存污染控制标准》</w:t>
            </w:r>
            <w:r>
              <w:rPr>
                <w:rFonts w:hint="eastAsia"/>
                <w:color w:val="auto"/>
                <w:sz w:val="24"/>
              </w:rPr>
              <w:t>（GB18597-2023）中的</w:t>
            </w:r>
            <w:r>
              <w:rPr>
                <w:rFonts w:hint="eastAsia"/>
                <w:color w:val="auto"/>
                <w:sz w:val="24"/>
                <w:lang w:val="zh-CN"/>
              </w:rPr>
              <w:t>有关规范设计</w:t>
            </w:r>
            <w:r>
              <w:rPr>
                <w:color w:val="auto"/>
                <w:sz w:val="24"/>
                <w:lang w:val="zh-CN"/>
              </w:rPr>
              <w:t>；废气治理措施均按照要求设计，并定期进行维护，确保项目不会对土壤环境造成影响</w:t>
            </w:r>
            <w:r>
              <w:rPr>
                <w:rFonts w:hint="eastAsia"/>
                <w:color w:val="auto"/>
                <w:sz w:val="24"/>
                <w:lang w:val="zh-CN"/>
              </w:rPr>
              <w:t>，</w:t>
            </w:r>
            <w:r>
              <w:rPr>
                <w:color w:val="auto"/>
                <w:sz w:val="24"/>
                <w:lang w:val="zh-CN"/>
              </w:rPr>
              <w:t>故可不开展跟踪监测。</w:t>
            </w:r>
          </w:p>
          <w:p w14:paraId="03B5C450">
            <w:pPr>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地下水跟踪监测</w:t>
            </w:r>
          </w:p>
          <w:p w14:paraId="3E439E61">
            <w:pPr>
              <w:pStyle w:val="62"/>
              <w:spacing w:line="360" w:lineRule="auto"/>
              <w:ind w:firstLine="504" w:firstLineChars="200"/>
              <w:jc w:val="left"/>
              <w:rPr>
                <w:rFonts w:hint="default"/>
                <w:color w:val="auto"/>
                <w:lang w:val="zh-CN"/>
              </w:rPr>
            </w:pPr>
            <w:r>
              <w:rPr>
                <w:rFonts w:hint="default"/>
                <w:b w:val="0"/>
                <w:bCs/>
                <w:color w:val="auto"/>
                <w:lang w:val="zh-CN"/>
              </w:rPr>
              <w:t>根据《环境影响评价技术导则地下水环境》（HJ610-2016）附录A，本项目</w:t>
            </w:r>
            <w:r>
              <w:rPr>
                <w:b w:val="0"/>
                <w:bCs/>
                <w:color w:val="auto"/>
              </w:rPr>
              <w:t>无</w:t>
            </w:r>
            <w:r>
              <w:rPr>
                <w:rFonts w:hint="default"/>
                <w:b w:val="0"/>
                <w:bCs/>
                <w:color w:val="auto"/>
                <w:lang w:val="zh-CN"/>
              </w:rPr>
              <w:t>地下水环境影响评价项目类别，故本项目地下水不设监测点进行跟踪监测。</w:t>
            </w:r>
          </w:p>
          <w:p w14:paraId="5847610C">
            <w:pPr>
              <w:pStyle w:val="15"/>
              <w:pBdr>
                <w:top w:val="none" w:color="auto" w:sz="0" w:space="1"/>
                <w:left w:val="none" w:color="auto" w:sz="0" w:space="4"/>
                <w:bottom w:val="none" w:color="auto" w:sz="0" w:space="1"/>
                <w:right w:val="none" w:color="auto" w:sz="0" w:space="4"/>
              </w:pBdr>
              <w:topLinePunct/>
              <w:spacing w:line="360" w:lineRule="auto"/>
              <w:ind w:firstLine="482" w:firstLineChars="200"/>
              <w:jc w:val="left"/>
              <w:rPr>
                <w:b/>
                <w:bCs/>
                <w:color w:val="auto"/>
                <w:sz w:val="24"/>
              </w:rPr>
            </w:pPr>
            <w:r>
              <w:rPr>
                <w:rFonts w:hint="eastAsia"/>
                <w:b/>
                <w:bCs/>
                <w:color w:val="auto"/>
                <w:sz w:val="24"/>
              </w:rPr>
              <w:t>6、生态</w:t>
            </w:r>
          </w:p>
          <w:p w14:paraId="6E7BDBE2">
            <w:pPr>
              <w:pStyle w:val="15"/>
              <w:pBdr>
                <w:top w:val="none" w:color="auto" w:sz="0" w:space="1"/>
                <w:left w:val="none" w:color="auto" w:sz="0" w:space="4"/>
                <w:bottom w:val="none" w:color="auto" w:sz="0" w:space="1"/>
                <w:right w:val="none" w:color="auto" w:sz="0" w:space="4"/>
              </w:pBdr>
              <w:topLinePunct/>
              <w:spacing w:line="360" w:lineRule="auto"/>
              <w:ind w:firstLine="480" w:firstLineChars="200"/>
              <w:jc w:val="left"/>
              <w:rPr>
                <w:b/>
                <w:bCs/>
                <w:color w:val="auto"/>
                <w:sz w:val="24"/>
                <w:szCs w:val="24"/>
              </w:rPr>
            </w:pPr>
            <w:r>
              <w:rPr>
                <w:rFonts w:hint="eastAsia"/>
                <w:color w:val="auto"/>
                <w:sz w:val="24"/>
                <w:szCs w:val="24"/>
              </w:rPr>
              <w:t>无</w:t>
            </w:r>
          </w:p>
          <w:p w14:paraId="64F157DA">
            <w:pPr>
              <w:pStyle w:val="15"/>
              <w:pBdr>
                <w:top w:val="none" w:color="auto" w:sz="0" w:space="1"/>
                <w:left w:val="none" w:color="auto" w:sz="0" w:space="4"/>
                <w:bottom w:val="none" w:color="auto" w:sz="0" w:space="1"/>
                <w:right w:val="none" w:color="auto" w:sz="0" w:space="4"/>
              </w:pBdr>
              <w:topLinePunct/>
              <w:spacing w:before="120" w:beforeLines="50" w:line="360" w:lineRule="auto"/>
              <w:ind w:firstLine="482" w:firstLineChars="200"/>
              <w:jc w:val="left"/>
              <w:rPr>
                <w:rFonts w:hint="eastAsia" w:eastAsia="宋体"/>
                <w:b/>
                <w:bCs/>
                <w:color w:val="auto"/>
                <w:sz w:val="24"/>
                <w:lang w:eastAsia="zh-CN"/>
              </w:rPr>
            </w:pPr>
            <w:r>
              <w:rPr>
                <w:rFonts w:hint="eastAsia"/>
                <w:b/>
                <w:bCs/>
                <w:color w:val="auto"/>
                <w:sz w:val="24"/>
              </w:rPr>
              <w:t>7、环境风险</w:t>
            </w:r>
            <w:r>
              <w:rPr>
                <w:rFonts w:hint="eastAsia"/>
                <w:b/>
                <w:bCs/>
                <w:color w:val="auto"/>
                <w:sz w:val="24"/>
                <w:lang w:eastAsia="zh-CN"/>
              </w:rPr>
              <w:t>（</w:t>
            </w:r>
            <w:r>
              <w:rPr>
                <w:rFonts w:hint="eastAsia"/>
                <w:b/>
                <w:bCs/>
                <w:color w:val="auto"/>
                <w:sz w:val="24"/>
                <w:lang w:val="en-US" w:eastAsia="zh-CN"/>
              </w:rPr>
              <w:t>详见风险专章</w:t>
            </w:r>
            <w:r>
              <w:rPr>
                <w:rFonts w:hint="eastAsia"/>
                <w:b/>
                <w:bCs/>
                <w:color w:val="auto"/>
                <w:sz w:val="24"/>
                <w:lang w:eastAsia="zh-CN"/>
              </w:rPr>
              <w:t>）</w:t>
            </w:r>
          </w:p>
          <w:p w14:paraId="0C132E47">
            <w:pPr>
              <w:pStyle w:val="42"/>
              <w:spacing w:line="360" w:lineRule="auto"/>
              <w:ind w:firstLine="480" w:firstLineChars="200"/>
              <w:rPr>
                <w:rFonts w:hint="default" w:ascii="Times New Roman" w:hAnsi="Times New Roman"/>
                <w:color w:val="auto"/>
                <w:sz w:val="24"/>
              </w:rPr>
            </w:pPr>
            <w:r>
              <w:rPr>
                <w:rFonts w:ascii="Times New Roman" w:hAnsi="Times New Roman" w:cs="宋体"/>
                <w:color w:val="auto"/>
                <w:sz w:val="24"/>
              </w:rPr>
              <w:t>（1）风险源调查</w:t>
            </w:r>
          </w:p>
          <w:p w14:paraId="3769458F">
            <w:pPr>
              <w:adjustRightInd w:val="0"/>
              <w:snapToGrid w:val="0"/>
              <w:spacing w:line="360" w:lineRule="auto"/>
              <w:ind w:firstLine="480" w:firstLineChars="200"/>
              <w:rPr>
                <w:rFonts w:hint="default" w:eastAsia="宋体"/>
                <w:bCs/>
                <w:snapToGrid w:val="0"/>
                <w:color w:val="auto"/>
                <w:kern w:val="0"/>
                <w:sz w:val="24"/>
                <w:lang w:val="en-US" w:eastAsia="zh-CN"/>
              </w:rPr>
            </w:pPr>
            <w:r>
              <w:rPr>
                <w:rFonts w:hint="eastAsia"/>
                <w:bCs/>
                <w:snapToGrid w:val="0"/>
                <w:color w:val="auto"/>
                <w:kern w:val="0"/>
                <w:sz w:val="24"/>
              </w:rPr>
              <w:t>根据《建设项目环境风险评价技术导则》（HJ169-2018）附录B，本项目涉及的风险物质主要为多线切割液、切削液、废切削液、废机油、M型单组份环氧胶粘剂</w:t>
            </w:r>
            <w:r>
              <w:rPr>
                <w:rFonts w:hint="eastAsia"/>
                <w:bCs/>
                <w:snapToGrid w:val="0"/>
                <w:color w:val="auto"/>
                <w:kern w:val="0"/>
                <w:sz w:val="24"/>
                <w:lang w:eastAsia="zh-CN"/>
              </w:rPr>
              <w:t>、</w:t>
            </w:r>
            <w:r>
              <w:rPr>
                <w:rFonts w:hint="eastAsia"/>
                <w:bCs/>
                <w:snapToGrid w:val="0"/>
                <w:color w:val="auto"/>
                <w:kern w:val="0"/>
                <w:sz w:val="24"/>
              </w:rPr>
              <w:t>2#危化品仓库贮存的丙酮、无水乙醇、清洁酒精、硫酸、冰乙酸、环氧氨基涂料剥离剂、环氧树脂剥离液(乙二胺、硝酸)、工业硝酸、硝酸分析纯、硫酸分析纯</w:t>
            </w:r>
            <w:r>
              <w:rPr>
                <w:rFonts w:hint="eastAsia"/>
                <w:bCs/>
                <w:snapToGrid w:val="0"/>
                <w:color w:val="auto"/>
                <w:kern w:val="0"/>
                <w:sz w:val="24"/>
                <w:lang w:val="en-US" w:eastAsia="zh-CN"/>
              </w:rPr>
              <w:t>以及1#仓库存放一期工程的风险物质等。</w:t>
            </w:r>
          </w:p>
          <w:p w14:paraId="6B9F5074">
            <w:pPr>
              <w:adjustRightInd w:val="0"/>
              <w:snapToGrid w:val="0"/>
              <w:spacing w:line="360" w:lineRule="auto"/>
              <w:ind w:firstLine="480" w:firstLineChars="200"/>
              <w:rPr>
                <w:snapToGrid w:val="0"/>
                <w:color w:val="auto"/>
                <w:kern w:val="0"/>
                <w:sz w:val="24"/>
              </w:rPr>
            </w:pPr>
            <w:r>
              <w:rPr>
                <w:snapToGrid w:val="0"/>
                <w:color w:val="auto"/>
                <w:kern w:val="0"/>
                <w:sz w:val="24"/>
              </w:rPr>
              <w:t>当只涉及一种危险物质时，计算该物质的总量与其临界量比值，即为</w:t>
            </w:r>
            <w:r>
              <w:rPr>
                <w:i/>
                <w:snapToGrid w:val="0"/>
                <w:color w:val="auto"/>
                <w:kern w:val="0"/>
                <w:sz w:val="24"/>
              </w:rPr>
              <w:t>Q</w:t>
            </w:r>
            <w:r>
              <w:rPr>
                <w:snapToGrid w:val="0"/>
                <w:color w:val="auto"/>
                <w:kern w:val="0"/>
                <w:sz w:val="24"/>
              </w:rPr>
              <w:t>；当存在多种危险物质时，按下式计算物质总量与其临界量比值（</w:t>
            </w:r>
            <w:r>
              <w:rPr>
                <w:i/>
                <w:snapToGrid w:val="0"/>
                <w:color w:val="auto"/>
                <w:kern w:val="0"/>
                <w:sz w:val="24"/>
              </w:rPr>
              <w:t>Q</w:t>
            </w:r>
            <w:r>
              <w:rPr>
                <w:snapToGrid w:val="0"/>
                <w:color w:val="auto"/>
                <w:kern w:val="0"/>
                <w:sz w:val="24"/>
              </w:rPr>
              <w:t>）；</w:t>
            </w:r>
          </w:p>
          <w:p w14:paraId="225BA24D">
            <w:pPr>
              <w:adjustRightInd w:val="0"/>
              <w:snapToGrid w:val="0"/>
              <w:spacing w:line="360" w:lineRule="auto"/>
              <w:ind w:firstLine="480"/>
              <w:jc w:val="center"/>
              <w:rPr>
                <w:snapToGrid w:val="0"/>
                <w:color w:val="auto"/>
                <w:kern w:val="0"/>
                <w:sz w:val="24"/>
              </w:rPr>
            </w:pPr>
            <m:oMathPara>
              <m:oMath>
                <m:r>
                  <m:rPr>
                    <m:nor/>
                  </m:rPr>
                  <w:rPr>
                    <w:i/>
                    <w:snapToGrid w:val="0"/>
                    <w:color w:val="auto"/>
                    <w:kern w:val="0"/>
                    <w:sz w:val="24"/>
                  </w:rPr>
                  <m:t xml:space="preserve">Q </m:t>
                </m:r>
                <m:r>
                  <m:rPr>
                    <m:nor/>
                    <m:sty m:val="p"/>
                  </m:rPr>
                  <w:rPr>
                    <w:b w:val="0"/>
                    <w:i w:val="0"/>
                    <w:snapToGrid w:val="0"/>
                    <w:color w:val="auto"/>
                    <w:kern w:val="0"/>
                    <w:sz w:val="24"/>
                  </w:rPr>
                  <m:t xml:space="preserve">= </m:t>
                </m:r>
                <m:f>
                  <m:fPr>
                    <m:ctrlPr>
                      <w:rPr>
                        <w:rFonts w:ascii="Cambria Math" w:hAnsi="Cambria Math"/>
                        <w:snapToGrid w:val="0"/>
                        <w:color w:val="auto"/>
                        <w:kern w:val="0"/>
                        <w:sz w:val="24"/>
                      </w:rPr>
                    </m:ctrlPr>
                  </m:fPr>
                  <m:num>
                    <m:sSub>
                      <m:sSubPr>
                        <m:ctrlPr>
                          <w:rPr>
                            <w:rFonts w:ascii="Cambria Math" w:hAnsi="Cambria Math"/>
                            <w:i/>
                            <w:snapToGrid w:val="0"/>
                            <w:color w:val="auto"/>
                            <w:kern w:val="0"/>
                            <w:sz w:val="24"/>
                          </w:rPr>
                        </m:ctrlPr>
                      </m:sSubPr>
                      <m:e>
                        <m:r>
                          <m:rPr>
                            <m:nor/>
                          </m:rPr>
                          <w:rPr>
                            <w:i/>
                            <w:snapToGrid w:val="0"/>
                            <w:color w:val="auto"/>
                            <w:kern w:val="0"/>
                            <w:sz w:val="24"/>
                          </w:rPr>
                          <m:t>q</m:t>
                        </m:r>
                        <m:ctrlPr>
                          <w:rPr>
                            <w:rFonts w:ascii="Cambria Math" w:hAnsi="Cambria Math"/>
                            <w:i/>
                            <w:snapToGrid w:val="0"/>
                            <w:color w:val="auto"/>
                            <w:kern w:val="0"/>
                            <w:sz w:val="24"/>
                          </w:rPr>
                        </m:ctrlPr>
                      </m:e>
                      <m:sub>
                        <m:r>
                          <m:rPr>
                            <m:nor/>
                            <m:sty m:val="p"/>
                          </m:rPr>
                          <w:rPr>
                            <w:b w:val="0"/>
                            <w:i w:val="0"/>
                            <w:snapToGrid w:val="0"/>
                            <w:color w:val="auto"/>
                            <w:kern w:val="0"/>
                            <w:sz w:val="24"/>
                          </w:rPr>
                          <m:t>1</m:t>
                        </m:r>
                        <m:ctrlPr>
                          <w:rPr>
                            <w:rFonts w:ascii="Cambria Math" w:hAnsi="Cambria Math"/>
                            <w:i/>
                            <w:snapToGrid w:val="0"/>
                            <w:color w:val="auto"/>
                            <w:kern w:val="0"/>
                            <w:sz w:val="24"/>
                          </w:rPr>
                        </m:ctrlPr>
                      </m:sub>
                    </m:sSub>
                    <m:ctrlPr>
                      <w:rPr>
                        <w:rFonts w:ascii="Cambria Math" w:hAnsi="Cambria Math"/>
                        <w:snapToGrid w:val="0"/>
                        <w:color w:val="auto"/>
                        <w:kern w:val="0"/>
                        <w:sz w:val="24"/>
                      </w:rPr>
                    </m:ctrlPr>
                  </m:num>
                  <m:den>
                    <m:sSub>
                      <m:sSubPr>
                        <m:ctrlPr>
                          <w:rPr>
                            <w:rFonts w:ascii="Cambria Math" w:hAnsi="Cambria Math"/>
                            <w:i/>
                            <w:snapToGrid w:val="0"/>
                            <w:color w:val="auto"/>
                            <w:kern w:val="0"/>
                            <w:sz w:val="24"/>
                          </w:rPr>
                        </m:ctrlPr>
                      </m:sSubPr>
                      <m:e>
                        <m:r>
                          <m:rPr>
                            <m:nor/>
                          </m:rPr>
                          <w:rPr>
                            <w:i/>
                            <w:snapToGrid w:val="0"/>
                            <w:color w:val="auto"/>
                            <w:kern w:val="0"/>
                            <w:sz w:val="24"/>
                          </w:rPr>
                          <m:t>Q</m:t>
                        </m:r>
                        <m:ctrlPr>
                          <w:rPr>
                            <w:rFonts w:ascii="Cambria Math" w:hAnsi="Cambria Math"/>
                            <w:i/>
                            <w:snapToGrid w:val="0"/>
                            <w:color w:val="auto"/>
                            <w:kern w:val="0"/>
                            <w:sz w:val="24"/>
                          </w:rPr>
                        </m:ctrlPr>
                      </m:e>
                      <m:sub>
                        <m:r>
                          <m:rPr>
                            <m:nor/>
                            <m:sty m:val="p"/>
                          </m:rPr>
                          <w:rPr>
                            <w:b w:val="0"/>
                            <w:i w:val="0"/>
                            <w:snapToGrid w:val="0"/>
                            <w:color w:val="auto"/>
                            <w:kern w:val="0"/>
                            <w:sz w:val="24"/>
                          </w:rPr>
                          <m:t>1</m:t>
                        </m:r>
                        <m:ctrlPr>
                          <w:rPr>
                            <w:rFonts w:ascii="Cambria Math" w:hAnsi="Cambria Math"/>
                            <w:i/>
                            <w:snapToGrid w:val="0"/>
                            <w:color w:val="auto"/>
                            <w:kern w:val="0"/>
                            <w:sz w:val="24"/>
                          </w:rPr>
                        </m:ctrlPr>
                      </m:sub>
                    </m:sSub>
                    <m:ctrlPr>
                      <w:rPr>
                        <w:rFonts w:ascii="Cambria Math" w:hAnsi="Cambria Math"/>
                        <w:snapToGrid w:val="0"/>
                        <w:color w:val="auto"/>
                        <w:kern w:val="0"/>
                        <w:sz w:val="24"/>
                      </w:rPr>
                    </m:ctrlPr>
                  </m:den>
                </m:f>
                <m:r>
                  <m:rPr>
                    <m:nor/>
                    <m:sty m:val="p"/>
                  </m:rPr>
                  <w:rPr>
                    <w:b w:val="0"/>
                    <w:i w:val="0"/>
                    <w:snapToGrid w:val="0"/>
                    <w:color w:val="auto"/>
                    <w:kern w:val="0"/>
                    <w:sz w:val="24"/>
                  </w:rPr>
                  <m:t xml:space="preserve"> + </m:t>
                </m:r>
                <m:f>
                  <m:fPr>
                    <m:ctrlPr>
                      <w:rPr>
                        <w:rFonts w:ascii="Cambria Math" w:hAnsi="Cambria Math"/>
                        <w:snapToGrid w:val="0"/>
                        <w:color w:val="auto"/>
                        <w:kern w:val="0"/>
                        <w:sz w:val="24"/>
                      </w:rPr>
                    </m:ctrlPr>
                  </m:fPr>
                  <m:num>
                    <m:sSub>
                      <m:sSubPr>
                        <m:ctrlPr>
                          <w:rPr>
                            <w:rFonts w:ascii="Cambria Math" w:hAnsi="Cambria Math"/>
                            <w:i/>
                            <w:snapToGrid w:val="0"/>
                            <w:color w:val="auto"/>
                            <w:kern w:val="0"/>
                            <w:sz w:val="24"/>
                          </w:rPr>
                        </m:ctrlPr>
                      </m:sSubPr>
                      <m:e>
                        <m:r>
                          <m:rPr>
                            <m:nor/>
                          </m:rPr>
                          <w:rPr>
                            <w:i/>
                            <w:snapToGrid w:val="0"/>
                            <w:color w:val="auto"/>
                            <w:kern w:val="0"/>
                            <w:sz w:val="24"/>
                          </w:rPr>
                          <m:t>q</m:t>
                        </m:r>
                        <m:ctrlPr>
                          <w:rPr>
                            <w:rFonts w:ascii="Cambria Math" w:hAnsi="Cambria Math"/>
                            <w:i/>
                            <w:snapToGrid w:val="0"/>
                            <w:color w:val="auto"/>
                            <w:kern w:val="0"/>
                            <w:sz w:val="24"/>
                          </w:rPr>
                        </m:ctrlPr>
                      </m:e>
                      <m:sub>
                        <m:r>
                          <m:rPr>
                            <m:nor/>
                            <m:sty m:val="p"/>
                          </m:rPr>
                          <w:rPr>
                            <w:b w:val="0"/>
                            <w:i w:val="0"/>
                            <w:snapToGrid w:val="0"/>
                            <w:color w:val="auto"/>
                            <w:kern w:val="0"/>
                            <w:sz w:val="24"/>
                          </w:rPr>
                          <m:t>2</m:t>
                        </m:r>
                        <m:ctrlPr>
                          <w:rPr>
                            <w:rFonts w:ascii="Cambria Math" w:hAnsi="Cambria Math"/>
                            <w:i/>
                            <w:snapToGrid w:val="0"/>
                            <w:color w:val="auto"/>
                            <w:kern w:val="0"/>
                            <w:sz w:val="24"/>
                          </w:rPr>
                        </m:ctrlPr>
                      </m:sub>
                    </m:sSub>
                    <m:ctrlPr>
                      <w:rPr>
                        <w:rFonts w:ascii="Cambria Math" w:hAnsi="Cambria Math"/>
                        <w:snapToGrid w:val="0"/>
                        <w:color w:val="auto"/>
                        <w:kern w:val="0"/>
                        <w:sz w:val="24"/>
                      </w:rPr>
                    </m:ctrlPr>
                  </m:num>
                  <m:den>
                    <m:sSub>
                      <m:sSubPr>
                        <m:ctrlPr>
                          <w:rPr>
                            <w:rFonts w:ascii="Cambria Math" w:hAnsi="Cambria Math"/>
                            <w:i/>
                            <w:snapToGrid w:val="0"/>
                            <w:color w:val="auto"/>
                            <w:kern w:val="0"/>
                            <w:sz w:val="24"/>
                          </w:rPr>
                        </m:ctrlPr>
                      </m:sSubPr>
                      <m:e>
                        <m:r>
                          <m:rPr>
                            <m:nor/>
                          </m:rPr>
                          <w:rPr>
                            <w:i/>
                            <w:snapToGrid w:val="0"/>
                            <w:color w:val="auto"/>
                            <w:kern w:val="0"/>
                            <w:sz w:val="24"/>
                          </w:rPr>
                          <m:t>Q</m:t>
                        </m:r>
                        <m:ctrlPr>
                          <w:rPr>
                            <w:rFonts w:ascii="Cambria Math" w:hAnsi="Cambria Math"/>
                            <w:i/>
                            <w:snapToGrid w:val="0"/>
                            <w:color w:val="auto"/>
                            <w:kern w:val="0"/>
                            <w:sz w:val="24"/>
                          </w:rPr>
                        </m:ctrlPr>
                      </m:e>
                      <m:sub>
                        <m:r>
                          <m:rPr>
                            <m:nor/>
                            <m:sty m:val="p"/>
                          </m:rPr>
                          <w:rPr>
                            <w:b w:val="0"/>
                            <w:i w:val="0"/>
                            <w:snapToGrid w:val="0"/>
                            <w:color w:val="auto"/>
                            <w:kern w:val="0"/>
                            <w:sz w:val="24"/>
                          </w:rPr>
                          <m:t>2</m:t>
                        </m:r>
                        <m:ctrlPr>
                          <w:rPr>
                            <w:rFonts w:ascii="Cambria Math" w:hAnsi="Cambria Math"/>
                            <w:i/>
                            <w:snapToGrid w:val="0"/>
                            <w:color w:val="auto"/>
                            <w:kern w:val="0"/>
                            <w:sz w:val="24"/>
                          </w:rPr>
                        </m:ctrlPr>
                      </m:sub>
                    </m:sSub>
                    <m:ctrlPr>
                      <w:rPr>
                        <w:rFonts w:ascii="Cambria Math" w:hAnsi="Cambria Math"/>
                        <w:snapToGrid w:val="0"/>
                        <w:color w:val="auto"/>
                        <w:kern w:val="0"/>
                        <w:sz w:val="24"/>
                      </w:rPr>
                    </m:ctrlPr>
                  </m:den>
                </m:f>
                <m:r>
                  <m:rPr>
                    <m:nor/>
                    <m:sty m:val="p"/>
                  </m:rPr>
                  <w:rPr>
                    <w:b w:val="0"/>
                    <w:i w:val="0"/>
                    <w:snapToGrid w:val="0"/>
                    <w:color w:val="auto"/>
                    <w:kern w:val="0"/>
                    <w:sz w:val="24"/>
                  </w:rPr>
                  <m:t xml:space="preserve"> + </m:t>
                </m:r>
                <m:r>
                  <m:rPr>
                    <m:nor/>
                    <m:sty m:val="p"/>
                  </m:rPr>
                  <w:rPr>
                    <w:rFonts w:hint="eastAsia" w:ascii="MS Mincho" w:hAnsi="MS Mincho" w:eastAsia="MS Mincho" w:cs="MS Mincho"/>
                    <w:b w:val="0"/>
                    <w:i w:val="0"/>
                    <w:snapToGrid w:val="0"/>
                    <w:color w:val="auto"/>
                    <w:kern w:val="0"/>
                    <w:sz w:val="24"/>
                  </w:rPr>
                  <m:t>⋯</m:t>
                </m:r>
                <m:r>
                  <m:rPr>
                    <m:nor/>
                    <m:sty m:val="p"/>
                  </m:rPr>
                  <w:rPr>
                    <w:b w:val="0"/>
                    <w:i w:val="0"/>
                    <w:snapToGrid w:val="0"/>
                    <w:color w:val="auto"/>
                    <w:kern w:val="0"/>
                    <w:sz w:val="24"/>
                  </w:rPr>
                  <m:t xml:space="preserve"> </m:t>
                </m:r>
                <m:f>
                  <m:fPr>
                    <m:ctrlPr>
                      <w:rPr>
                        <w:rFonts w:ascii="Cambria Math" w:hAnsi="Cambria Math"/>
                        <w:snapToGrid w:val="0"/>
                        <w:color w:val="auto"/>
                        <w:kern w:val="0"/>
                        <w:sz w:val="24"/>
                      </w:rPr>
                    </m:ctrlPr>
                  </m:fPr>
                  <m:num>
                    <m:sSub>
                      <m:sSubPr>
                        <m:ctrlPr>
                          <w:rPr>
                            <w:rFonts w:ascii="Cambria Math" w:hAnsi="Cambria Math"/>
                            <w:i/>
                            <w:snapToGrid w:val="0"/>
                            <w:color w:val="auto"/>
                            <w:kern w:val="0"/>
                            <w:sz w:val="24"/>
                          </w:rPr>
                        </m:ctrlPr>
                      </m:sSubPr>
                      <m:e>
                        <m:r>
                          <m:rPr>
                            <m:nor/>
                          </m:rPr>
                          <w:rPr>
                            <w:i/>
                            <w:snapToGrid w:val="0"/>
                            <w:color w:val="auto"/>
                            <w:kern w:val="0"/>
                            <w:sz w:val="24"/>
                          </w:rPr>
                          <m:t>q</m:t>
                        </m:r>
                        <m:ctrlPr>
                          <w:rPr>
                            <w:rFonts w:ascii="Cambria Math" w:hAnsi="Cambria Math"/>
                            <w:i/>
                            <w:snapToGrid w:val="0"/>
                            <w:color w:val="auto"/>
                            <w:kern w:val="0"/>
                            <w:sz w:val="24"/>
                          </w:rPr>
                        </m:ctrlPr>
                      </m:e>
                      <m:sub>
                        <m:r>
                          <m:rPr>
                            <m:nor/>
                            <m:sty m:val="p"/>
                          </m:rPr>
                          <w:rPr>
                            <w:b w:val="0"/>
                            <w:i w:val="0"/>
                            <w:snapToGrid w:val="0"/>
                            <w:color w:val="auto"/>
                            <w:kern w:val="0"/>
                            <w:sz w:val="24"/>
                          </w:rPr>
                          <m:t>n</m:t>
                        </m:r>
                        <m:ctrlPr>
                          <w:rPr>
                            <w:rFonts w:ascii="Cambria Math" w:hAnsi="Cambria Math"/>
                            <w:i/>
                            <w:snapToGrid w:val="0"/>
                            <w:color w:val="auto"/>
                            <w:kern w:val="0"/>
                            <w:sz w:val="24"/>
                          </w:rPr>
                        </m:ctrlPr>
                      </m:sub>
                    </m:sSub>
                    <m:ctrlPr>
                      <w:rPr>
                        <w:rFonts w:ascii="Cambria Math" w:hAnsi="Cambria Math"/>
                        <w:snapToGrid w:val="0"/>
                        <w:color w:val="auto"/>
                        <w:kern w:val="0"/>
                        <w:sz w:val="24"/>
                      </w:rPr>
                    </m:ctrlPr>
                  </m:num>
                  <m:den>
                    <m:sSub>
                      <m:sSubPr>
                        <m:ctrlPr>
                          <w:rPr>
                            <w:rFonts w:ascii="Cambria Math" w:hAnsi="Cambria Math"/>
                            <w:snapToGrid w:val="0"/>
                            <w:color w:val="auto"/>
                            <w:kern w:val="0"/>
                            <w:sz w:val="24"/>
                          </w:rPr>
                        </m:ctrlPr>
                      </m:sSubPr>
                      <m:e>
                        <m:r>
                          <m:rPr>
                            <m:nor/>
                          </m:rPr>
                          <w:rPr>
                            <w:i/>
                            <w:snapToGrid w:val="0"/>
                            <w:color w:val="auto"/>
                            <w:kern w:val="0"/>
                            <w:sz w:val="24"/>
                          </w:rPr>
                          <m:t>Q</m:t>
                        </m:r>
                        <m:ctrlPr>
                          <w:rPr>
                            <w:rFonts w:ascii="Cambria Math" w:hAnsi="Cambria Math"/>
                            <w:snapToGrid w:val="0"/>
                            <w:color w:val="auto"/>
                            <w:kern w:val="0"/>
                            <w:sz w:val="24"/>
                          </w:rPr>
                        </m:ctrlPr>
                      </m:e>
                      <m:sub>
                        <m:r>
                          <m:rPr>
                            <m:nor/>
                            <m:sty m:val="p"/>
                          </m:rPr>
                          <w:rPr>
                            <w:b w:val="0"/>
                            <w:i w:val="0"/>
                            <w:snapToGrid w:val="0"/>
                            <w:color w:val="auto"/>
                            <w:kern w:val="0"/>
                            <w:sz w:val="24"/>
                          </w:rPr>
                          <m:t>n</m:t>
                        </m:r>
                        <m:ctrlPr>
                          <w:rPr>
                            <w:rFonts w:ascii="Cambria Math" w:hAnsi="Cambria Math"/>
                            <w:snapToGrid w:val="0"/>
                            <w:color w:val="auto"/>
                            <w:kern w:val="0"/>
                            <w:sz w:val="24"/>
                          </w:rPr>
                        </m:ctrlPr>
                      </m:sub>
                    </m:sSub>
                    <m:ctrlPr>
                      <w:rPr>
                        <w:rFonts w:ascii="Cambria Math" w:hAnsi="Cambria Math"/>
                        <w:snapToGrid w:val="0"/>
                        <w:color w:val="auto"/>
                        <w:kern w:val="0"/>
                        <w:sz w:val="24"/>
                      </w:rPr>
                    </m:ctrlPr>
                  </m:den>
                </m:f>
              </m:oMath>
            </m:oMathPara>
          </w:p>
          <w:p w14:paraId="4EAAFDBC">
            <w:pPr>
              <w:adjustRightInd w:val="0"/>
              <w:snapToGrid w:val="0"/>
              <w:spacing w:line="360" w:lineRule="auto"/>
              <w:ind w:firstLine="480" w:firstLineChars="200"/>
              <w:rPr>
                <w:snapToGrid w:val="0"/>
                <w:color w:val="auto"/>
                <w:kern w:val="0"/>
                <w:sz w:val="24"/>
              </w:rPr>
            </w:pPr>
            <w:r>
              <w:rPr>
                <w:snapToGrid w:val="0"/>
                <w:color w:val="auto"/>
                <w:kern w:val="0"/>
                <w:sz w:val="24"/>
              </w:rPr>
              <w:t>式中：</w:t>
            </w:r>
            <w:r>
              <w:rPr>
                <w:i/>
                <w:snapToGrid w:val="0"/>
                <w:color w:val="auto"/>
                <w:kern w:val="0"/>
                <w:sz w:val="24"/>
              </w:rPr>
              <w:t>q</w:t>
            </w:r>
            <w:r>
              <w:rPr>
                <w:snapToGrid w:val="0"/>
                <w:color w:val="auto"/>
                <w:kern w:val="0"/>
                <w:sz w:val="24"/>
                <w:vertAlign w:val="subscript"/>
              </w:rPr>
              <w:t>1</w:t>
            </w:r>
            <w:r>
              <w:rPr>
                <w:snapToGrid w:val="0"/>
                <w:color w:val="auto"/>
                <w:kern w:val="0"/>
                <w:sz w:val="24"/>
              </w:rPr>
              <w:t>，</w:t>
            </w:r>
            <w:r>
              <w:rPr>
                <w:i/>
                <w:snapToGrid w:val="0"/>
                <w:color w:val="auto"/>
                <w:kern w:val="0"/>
                <w:sz w:val="24"/>
              </w:rPr>
              <w:t>q</w:t>
            </w:r>
            <w:r>
              <w:rPr>
                <w:snapToGrid w:val="0"/>
                <w:color w:val="auto"/>
                <w:kern w:val="0"/>
                <w:sz w:val="24"/>
                <w:vertAlign w:val="subscript"/>
              </w:rPr>
              <w:t>2</w:t>
            </w:r>
            <w:r>
              <w:rPr>
                <w:snapToGrid w:val="0"/>
                <w:color w:val="auto"/>
                <w:kern w:val="0"/>
                <w:sz w:val="24"/>
              </w:rPr>
              <w:t>，…</w:t>
            </w:r>
            <w:r>
              <w:rPr>
                <w:i/>
                <w:snapToGrid w:val="0"/>
                <w:color w:val="auto"/>
                <w:kern w:val="0"/>
                <w:sz w:val="24"/>
              </w:rPr>
              <w:t>q</w:t>
            </w:r>
            <w:r>
              <w:rPr>
                <w:snapToGrid w:val="0"/>
                <w:color w:val="auto"/>
                <w:kern w:val="0"/>
                <w:sz w:val="24"/>
                <w:vertAlign w:val="subscript"/>
              </w:rPr>
              <w:t>n</w:t>
            </w:r>
            <w:r>
              <w:rPr>
                <w:snapToGrid w:val="0"/>
                <w:color w:val="auto"/>
                <w:kern w:val="0"/>
                <w:sz w:val="24"/>
              </w:rPr>
              <w:t>——每种危险物质的最大存在总量，t；</w:t>
            </w:r>
          </w:p>
          <w:p w14:paraId="127496A4">
            <w:pPr>
              <w:adjustRightInd w:val="0"/>
              <w:snapToGrid w:val="0"/>
              <w:spacing w:line="360" w:lineRule="auto"/>
              <w:ind w:firstLine="1200" w:firstLineChars="500"/>
              <w:rPr>
                <w:snapToGrid w:val="0"/>
                <w:color w:val="auto"/>
                <w:kern w:val="0"/>
                <w:sz w:val="24"/>
              </w:rPr>
            </w:pPr>
            <w:r>
              <w:rPr>
                <w:i/>
                <w:snapToGrid w:val="0"/>
                <w:color w:val="auto"/>
                <w:kern w:val="0"/>
                <w:sz w:val="24"/>
              </w:rPr>
              <w:t>Q</w:t>
            </w:r>
            <w:r>
              <w:rPr>
                <w:snapToGrid w:val="0"/>
                <w:color w:val="auto"/>
                <w:kern w:val="0"/>
                <w:sz w:val="24"/>
                <w:vertAlign w:val="subscript"/>
              </w:rPr>
              <w:t>1</w:t>
            </w:r>
            <w:r>
              <w:rPr>
                <w:snapToGrid w:val="0"/>
                <w:color w:val="auto"/>
                <w:kern w:val="0"/>
                <w:sz w:val="24"/>
              </w:rPr>
              <w:t>，</w:t>
            </w:r>
            <w:r>
              <w:rPr>
                <w:i/>
                <w:snapToGrid w:val="0"/>
                <w:color w:val="auto"/>
                <w:kern w:val="0"/>
                <w:sz w:val="24"/>
              </w:rPr>
              <w:t>Q</w:t>
            </w:r>
            <w:r>
              <w:rPr>
                <w:snapToGrid w:val="0"/>
                <w:color w:val="auto"/>
                <w:kern w:val="0"/>
                <w:sz w:val="24"/>
                <w:vertAlign w:val="subscript"/>
              </w:rPr>
              <w:t>2</w:t>
            </w:r>
            <w:r>
              <w:rPr>
                <w:snapToGrid w:val="0"/>
                <w:color w:val="auto"/>
                <w:kern w:val="0"/>
                <w:sz w:val="24"/>
              </w:rPr>
              <w:t>，…</w:t>
            </w:r>
            <w:r>
              <w:rPr>
                <w:i/>
                <w:snapToGrid w:val="0"/>
                <w:color w:val="auto"/>
                <w:kern w:val="0"/>
                <w:sz w:val="24"/>
              </w:rPr>
              <w:t>Q</w:t>
            </w:r>
            <w:r>
              <w:rPr>
                <w:snapToGrid w:val="0"/>
                <w:color w:val="auto"/>
                <w:kern w:val="0"/>
                <w:sz w:val="24"/>
                <w:vertAlign w:val="subscript"/>
              </w:rPr>
              <w:t>n</w:t>
            </w:r>
            <w:r>
              <w:rPr>
                <w:snapToGrid w:val="0"/>
                <w:color w:val="auto"/>
                <w:kern w:val="0"/>
                <w:sz w:val="24"/>
              </w:rPr>
              <w:t>——每种危险物质的临界量，t。</w:t>
            </w:r>
          </w:p>
          <w:p w14:paraId="257B6DAF">
            <w:pPr>
              <w:adjustRightInd w:val="0"/>
              <w:snapToGrid w:val="0"/>
              <w:spacing w:line="360" w:lineRule="auto"/>
              <w:ind w:firstLine="1200" w:firstLineChars="500"/>
              <w:rPr>
                <w:snapToGrid w:val="0"/>
                <w:color w:val="auto"/>
                <w:kern w:val="0"/>
                <w:sz w:val="24"/>
              </w:rPr>
            </w:pPr>
            <w:r>
              <w:rPr>
                <w:snapToGrid w:val="0"/>
                <w:color w:val="auto"/>
                <w:kern w:val="0"/>
                <w:sz w:val="24"/>
              </w:rPr>
              <w:t>当</w:t>
            </w:r>
            <w:r>
              <w:rPr>
                <w:i/>
                <w:snapToGrid w:val="0"/>
                <w:color w:val="auto"/>
                <w:kern w:val="0"/>
                <w:sz w:val="24"/>
              </w:rPr>
              <w:t>Q</w:t>
            </w:r>
            <w:r>
              <w:rPr>
                <w:snapToGrid w:val="0"/>
                <w:color w:val="auto"/>
                <w:kern w:val="0"/>
                <w:sz w:val="24"/>
              </w:rPr>
              <w:t>&lt;1时，该项目环境风险潜势为Ⅰ。</w:t>
            </w:r>
          </w:p>
          <w:p w14:paraId="3246BCDE">
            <w:pPr>
              <w:spacing w:line="360" w:lineRule="auto"/>
              <w:ind w:firstLine="1200" w:firstLineChars="500"/>
              <w:rPr>
                <w:snapToGrid w:val="0"/>
                <w:color w:val="auto"/>
                <w:kern w:val="0"/>
                <w:sz w:val="24"/>
              </w:rPr>
            </w:pPr>
            <w:r>
              <w:rPr>
                <w:snapToGrid w:val="0"/>
                <w:color w:val="auto"/>
                <w:kern w:val="0"/>
                <w:sz w:val="24"/>
              </w:rPr>
              <w:t>当</w:t>
            </w:r>
            <w:r>
              <w:rPr>
                <w:i/>
                <w:snapToGrid w:val="0"/>
                <w:color w:val="auto"/>
                <w:kern w:val="0"/>
                <w:sz w:val="24"/>
              </w:rPr>
              <w:t>Q</w:t>
            </w:r>
            <w:r>
              <w:rPr>
                <w:snapToGrid w:val="0"/>
                <w:color w:val="auto"/>
                <w:kern w:val="0"/>
                <w:sz w:val="24"/>
              </w:rPr>
              <w:t>≥1，将</w:t>
            </w:r>
            <w:r>
              <w:rPr>
                <w:i/>
                <w:snapToGrid w:val="0"/>
                <w:color w:val="auto"/>
                <w:kern w:val="0"/>
                <w:sz w:val="24"/>
              </w:rPr>
              <w:t>Q</w:t>
            </w:r>
            <w:r>
              <w:rPr>
                <w:snapToGrid w:val="0"/>
                <w:color w:val="auto"/>
                <w:kern w:val="0"/>
                <w:sz w:val="24"/>
              </w:rPr>
              <w:t>值分为：（1）1≤</w:t>
            </w:r>
            <w:r>
              <w:rPr>
                <w:i/>
                <w:snapToGrid w:val="0"/>
                <w:color w:val="auto"/>
                <w:kern w:val="0"/>
                <w:sz w:val="24"/>
              </w:rPr>
              <w:t>Q</w:t>
            </w:r>
            <w:r>
              <w:rPr>
                <w:snapToGrid w:val="0"/>
                <w:color w:val="auto"/>
                <w:kern w:val="0"/>
                <w:sz w:val="24"/>
              </w:rPr>
              <w:t>&lt;10；（2）10≤</w:t>
            </w:r>
            <w:r>
              <w:rPr>
                <w:i/>
                <w:snapToGrid w:val="0"/>
                <w:color w:val="auto"/>
                <w:kern w:val="0"/>
                <w:sz w:val="24"/>
              </w:rPr>
              <w:t>Q</w:t>
            </w:r>
            <w:r>
              <w:rPr>
                <w:snapToGrid w:val="0"/>
                <w:color w:val="auto"/>
                <w:kern w:val="0"/>
                <w:sz w:val="24"/>
              </w:rPr>
              <w:t>&lt;100；（3）</w:t>
            </w:r>
            <w:r>
              <w:rPr>
                <w:i/>
                <w:snapToGrid w:val="0"/>
                <w:color w:val="auto"/>
                <w:kern w:val="0"/>
                <w:sz w:val="24"/>
              </w:rPr>
              <w:t>Q</w:t>
            </w:r>
            <w:r>
              <w:rPr>
                <w:snapToGrid w:val="0"/>
                <w:color w:val="auto"/>
                <w:kern w:val="0"/>
                <w:sz w:val="24"/>
              </w:rPr>
              <w:t>≥100。</w:t>
            </w:r>
          </w:p>
          <w:p w14:paraId="2CE931E0">
            <w:pPr>
              <w:spacing w:line="360" w:lineRule="auto"/>
              <w:ind w:firstLine="480" w:firstLineChars="200"/>
              <w:rPr>
                <w:bCs/>
                <w:snapToGrid w:val="0"/>
                <w:color w:val="auto"/>
                <w:kern w:val="0"/>
                <w:sz w:val="24"/>
              </w:rPr>
            </w:pPr>
            <w:r>
              <w:rPr>
                <w:rFonts w:hint="eastAsia"/>
                <w:bCs/>
                <w:snapToGrid w:val="0"/>
                <w:color w:val="auto"/>
                <w:kern w:val="0"/>
                <w:sz w:val="24"/>
              </w:rPr>
              <w:t>建设项目</w:t>
            </w:r>
            <w:r>
              <w:rPr>
                <w:rFonts w:hint="eastAsia"/>
                <w:bCs/>
                <w:i/>
                <w:iCs/>
                <w:snapToGrid w:val="0"/>
                <w:color w:val="auto"/>
                <w:kern w:val="0"/>
                <w:sz w:val="24"/>
              </w:rPr>
              <w:t>Q</w:t>
            </w:r>
            <w:r>
              <w:rPr>
                <w:rFonts w:hint="eastAsia"/>
                <w:bCs/>
                <w:snapToGrid w:val="0"/>
                <w:color w:val="auto"/>
                <w:kern w:val="0"/>
                <w:sz w:val="24"/>
              </w:rPr>
              <w:t>值确定如下：</w:t>
            </w:r>
          </w:p>
          <w:p w14:paraId="6C3BC3D1">
            <w:pPr>
              <w:widowControl/>
              <w:snapToGrid w:val="0"/>
              <w:jc w:val="center"/>
              <w:rPr>
                <w:b/>
                <w:bCs/>
                <w:color w:val="auto"/>
                <w:sz w:val="24"/>
                <w:szCs w:val="32"/>
              </w:rPr>
            </w:pPr>
            <w:r>
              <w:rPr>
                <w:b/>
                <w:bCs/>
                <w:color w:val="auto"/>
                <w:sz w:val="24"/>
                <w:szCs w:val="32"/>
              </w:rPr>
              <w:t>表</w:t>
            </w:r>
            <w:r>
              <w:rPr>
                <w:rFonts w:hint="eastAsia"/>
                <w:b/>
                <w:bCs/>
                <w:color w:val="auto"/>
                <w:sz w:val="24"/>
                <w:szCs w:val="32"/>
              </w:rPr>
              <w:t>4-2</w:t>
            </w:r>
            <w:r>
              <w:rPr>
                <w:rFonts w:hint="eastAsia"/>
                <w:b/>
                <w:bCs/>
                <w:color w:val="auto"/>
                <w:sz w:val="24"/>
                <w:szCs w:val="32"/>
                <w:lang w:val="en-US" w:eastAsia="zh-CN"/>
              </w:rPr>
              <w:t>3本项目</w:t>
            </w:r>
            <w:r>
              <w:rPr>
                <w:b/>
                <w:bCs/>
                <w:color w:val="auto"/>
                <w:sz w:val="24"/>
                <w:szCs w:val="32"/>
              </w:rPr>
              <w:t>危险物质计算情况表</w:t>
            </w:r>
          </w:p>
          <w:tbl>
            <w:tblPr>
              <w:tblStyle w:val="25"/>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70"/>
              <w:gridCol w:w="1575"/>
              <w:gridCol w:w="1574"/>
              <w:gridCol w:w="1574"/>
              <w:gridCol w:w="2202"/>
            </w:tblGrid>
            <w:tr w14:paraId="09BE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570" w:type="dxa"/>
                  <w:vAlign w:val="center"/>
                </w:tcPr>
                <w:p w14:paraId="3BE75A04">
                  <w:pPr>
                    <w:jc w:val="center"/>
                    <w:rPr>
                      <w:b/>
                      <w:color w:val="auto"/>
                      <w:kern w:val="0"/>
                      <w:szCs w:val="21"/>
                    </w:rPr>
                  </w:pPr>
                  <w:r>
                    <w:rPr>
                      <w:rFonts w:hint="eastAsia" w:ascii="宋体" w:hAnsi="宋体"/>
                      <w:b/>
                      <w:color w:val="auto"/>
                      <w:kern w:val="0"/>
                    </w:rPr>
                    <w:t>原料名称</w:t>
                  </w:r>
                </w:p>
              </w:tc>
              <w:tc>
                <w:tcPr>
                  <w:tcW w:w="1575" w:type="dxa"/>
                  <w:vAlign w:val="center"/>
                </w:tcPr>
                <w:p w14:paraId="7D24F339">
                  <w:pPr>
                    <w:jc w:val="center"/>
                    <w:rPr>
                      <w:b/>
                      <w:color w:val="auto"/>
                      <w:kern w:val="0"/>
                    </w:rPr>
                  </w:pPr>
                  <w:r>
                    <w:rPr>
                      <w:rFonts w:hint="eastAsia" w:ascii="宋体" w:hAnsi="宋体"/>
                      <w:b/>
                      <w:color w:val="auto"/>
                      <w:kern w:val="0"/>
                    </w:rPr>
                    <w:t>最大临存量</w:t>
                  </w:r>
                  <w:r>
                    <w:rPr>
                      <w:rFonts w:hint="eastAsia"/>
                      <w:b/>
                      <w:color w:val="auto"/>
                      <w:kern w:val="0"/>
                    </w:rPr>
                    <w:t>t</w:t>
                  </w:r>
                </w:p>
              </w:tc>
              <w:tc>
                <w:tcPr>
                  <w:tcW w:w="1574" w:type="dxa"/>
                  <w:vAlign w:val="center"/>
                </w:tcPr>
                <w:p w14:paraId="4DF34578">
                  <w:pPr>
                    <w:jc w:val="center"/>
                    <w:rPr>
                      <w:b/>
                      <w:color w:val="auto"/>
                      <w:kern w:val="0"/>
                    </w:rPr>
                  </w:pPr>
                  <w:r>
                    <w:rPr>
                      <w:rFonts w:hint="eastAsia" w:ascii="宋体" w:hAnsi="宋体"/>
                      <w:b/>
                      <w:color w:val="auto"/>
                      <w:kern w:val="0"/>
                    </w:rPr>
                    <w:t>危险物质名称</w:t>
                  </w:r>
                </w:p>
              </w:tc>
              <w:tc>
                <w:tcPr>
                  <w:tcW w:w="1574" w:type="dxa"/>
                  <w:vAlign w:val="center"/>
                </w:tcPr>
                <w:p w14:paraId="29514948">
                  <w:pPr>
                    <w:jc w:val="center"/>
                    <w:rPr>
                      <w:b/>
                      <w:color w:val="auto"/>
                      <w:kern w:val="0"/>
                    </w:rPr>
                  </w:pPr>
                  <w:r>
                    <w:rPr>
                      <w:rFonts w:hint="eastAsia" w:ascii="宋体" w:hAnsi="宋体"/>
                      <w:b/>
                      <w:color w:val="auto"/>
                      <w:kern w:val="0"/>
                    </w:rPr>
                    <w:t>危险物质占比</w:t>
                  </w:r>
                </w:p>
              </w:tc>
              <w:tc>
                <w:tcPr>
                  <w:tcW w:w="2202" w:type="dxa"/>
                  <w:vAlign w:val="center"/>
                </w:tcPr>
                <w:p w14:paraId="01AE5C17">
                  <w:pPr>
                    <w:jc w:val="center"/>
                    <w:rPr>
                      <w:b/>
                      <w:color w:val="auto"/>
                      <w:kern w:val="0"/>
                    </w:rPr>
                  </w:pPr>
                  <w:r>
                    <w:rPr>
                      <w:rFonts w:hint="eastAsia" w:ascii="宋体" w:hAnsi="宋体"/>
                      <w:b/>
                      <w:color w:val="auto"/>
                      <w:kern w:val="0"/>
                    </w:rPr>
                    <w:t>危险物质总存在量</w:t>
                  </w:r>
                  <w:r>
                    <w:rPr>
                      <w:rFonts w:hint="eastAsia"/>
                      <w:b/>
                      <w:color w:val="auto"/>
                      <w:kern w:val="0"/>
                    </w:rPr>
                    <w:t>t</w:t>
                  </w:r>
                </w:p>
              </w:tc>
            </w:tr>
            <w:tr w14:paraId="2B72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95" w:type="dxa"/>
                  <w:gridSpan w:val="5"/>
                  <w:vAlign w:val="center"/>
                </w:tcPr>
                <w:p w14:paraId="2C22A1C3">
                  <w:pPr>
                    <w:jc w:val="both"/>
                    <w:rPr>
                      <w:rFonts w:hint="default" w:eastAsia="宋体"/>
                      <w:bCs/>
                      <w:color w:val="auto"/>
                      <w:kern w:val="0"/>
                      <w:lang w:val="en-US" w:eastAsia="zh-CN"/>
                    </w:rPr>
                  </w:pPr>
                  <w:r>
                    <w:rPr>
                      <w:rFonts w:hint="eastAsia"/>
                      <w:bCs/>
                      <w:color w:val="auto"/>
                      <w:kern w:val="0"/>
                      <w:lang w:val="en-US" w:eastAsia="zh-CN"/>
                    </w:rPr>
                    <w:t>1#仓库（一期工程）</w:t>
                  </w:r>
                </w:p>
              </w:tc>
            </w:tr>
            <w:tr w14:paraId="7F37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570" w:type="dxa"/>
                  <w:vAlign w:val="center"/>
                </w:tcPr>
                <w:p w14:paraId="6AEE3622">
                  <w:pPr>
                    <w:jc w:val="center"/>
                    <w:rPr>
                      <w:color w:val="auto"/>
                      <w:kern w:val="0"/>
                    </w:rPr>
                  </w:pPr>
                  <w:r>
                    <w:rPr>
                      <w:rFonts w:hint="eastAsia"/>
                      <w:color w:val="auto"/>
                      <w:kern w:val="0"/>
                    </w:rPr>
                    <w:t>切削液</w:t>
                  </w:r>
                </w:p>
              </w:tc>
              <w:tc>
                <w:tcPr>
                  <w:tcW w:w="1575" w:type="dxa"/>
                  <w:vAlign w:val="center"/>
                </w:tcPr>
                <w:p w14:paraId="59F8CBE6">
                  <w:pPr>
                    <w:jc w:val="center"/>
                    <w:rPr>
                      <w:bCs/>
                      <w:color w:val="auto"/>
                      <w:kern w:val="0"/>
                    </w:rPr>
                  </w:pPr>
                  <w:r>
                    <w:rPr>
                      <w:rFonts w:hint="eastAsia"/>
                      <w:bCs/>
                      <w:color w:val="auto"/>
                      <w:kern w:val="0"/>
                    </w:rPr>
                    <w:t>1.6</w:t>
                  </w:r>
                </w:p>
              </w:tc>
              <w:tc>
                <w:tcPr>
                  <w:tcW w:w="1574" w:type="dxa"/>
                  <w:shd w:val="clear" w:color="auto" w:fill="auto"/>
                  <w:vAlign w:val="center"/>
                </w:tcPr>
                <w:p w14:paraId="53CBD99F">
                  <w:pPr>
                    <w:jc w:val="center"/>
                    <w:rPr>
                      <w:color w:val="auto"/>
                      <w:szCs w:val="21"/>
                    </w:rPr>
                  </w:pPr>
                  <w:r>
                    <w:rPr>
                      <w:rFonts w:hint="eastAsia"/>
                      <w:color w:val="auto"/>
                      <w:szCs w:val="21"/>
                    </w:rPr>
                    <w:t>油类物质</w:t>
                  </w:r>
                </w:p>
              </w:tc>
              <w:tc>
                <w:tcPr>
                  <w:tcW w:w="1574" w:type="dxa"/>
                  <w:vAlign w:val="center"/>
                </w:tcPr>
                <w:p w14:paraId="2AC9F17C">
                  <w:pPr>
                    <w:jc w:val="center"/>
                    <w:rPr>
                      <w:bCs/>
                      <w:color w:val="auto"/>
                      <w:kern w:val="0"/>
                    </w:rPr>
                  </w:pPr>
                  <w:r>
                    <w:rPr>
                      <w:rFonts w:hint="eastAsia"/>
                      <w:bCs/>
                      <w:color w:val="auto"/>
                      <w:kern w:val="0"/>
                    </w:rPr>
                    <w:t>/</w:t>
                  </w:r>
                </w:p>
              </w:tc>
              <w:tc>
                <w:tcPr>
                  <w:tcW w:w="2202" w:type="dxa"/>
                  <w:vAlign w:val="center"/>
                </w:tcPr>
                <w:p w14:paraId="10BA8454">
                  <w:pPr>
                    <w:jc w:val="center"/>
                    <w:rPr>
                      <w:bCs/>
                      <w:color w:val="auto"/>
                      <w:kern w:val="0"/>
                    </w:rPr>
                  </w:pPr>
                  <w:r>
                    <w:rPr>
                      <w:rFonts w:hint="eastAsia"/>
                      <w:bCs/>
                      <w:color w:val="auto"/>
                      <w:kern w:val="0"/>
                    </w:rPr>
                    <w:t>1.6</w:t>
                  </w:r>
                </w:p>
              </w:tc>
            </w:tr>
            <w:tr w14:paraId="6571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570" w:type="dxa"/>
                  <w:vAlign w:val="center"/>
                </w:tcPr>
                <w:p w14:paraId="1AF586EE">
                  <w:pPr>
                    <w:jc w:val="center"/>
                    <w:rPr>
                      <w:rFonts w:hint="eastAsia"/>
                      <w:color w:val="auto"/>
                      <w:kern w:val="0"/>
                    </w:rPr>
                  </w:pPr>
                  <w:r>
                    <w:rPr>
                      <w:rFonts w:hint="eastAsia"/>
                      <w:color w:val="auto"/>
                      <w:kern w:val="0"/>
                    </w:rPr>
                    <w:t>M型单组份环氧胶粘剂</w:t>
                  </w:r>
                </w:p>
              </w:tc>
              <w:tc>
                <w:tcPr>
                  <w:tcW w:w="1575" w:type="dxa"/>
                  <w:vAlign w:val="center"/>
                </w:tcPr>
                <w:p w14:paraId="102DF769">
                  <w:pPr>
                    <w:jc w:val="center"/>
                    <w:rPr>
                      <w:rFonts w:hint="default" w:eastAsia="宋体"/>
                      <w:bCs/>
                      <w:color w:val="auto"/>
                      <w:kern w:val="0"/>
                      <w:lang w:val="en-US" w:eastAsia="zh-CN"/>
                    </w:rPr>
                  </w:pPr>
                  <w:r>
                    <w:rPr>
                      <w:rFonts w:hint="eastAsia"/>
                      <w:bCs/>
                      <w:color w:val="auto"/>
                      <w:kern w:val="0"/>
                      <w:lang w:val="en-US" w:eastAsia="zh-CN"/>
                    </w:rPr>
                    <w:t>0.0036</w:t>
                  </w:r>
                </w:p>
              </w:tc>
              <w:tc>
                <w:tcPr>
                  <w:tcW w:w="1574" w:type="dxa"/>
                  <w:shd w:val="clear" w:color="auto" w:fill="auto"/>
                  <w:vAlign w:val="center"/>
                </w:tcPr>
                <w:p w14:paraId="3D26BBEB">
                  <w:pPr>
                    <w:jc w:val="center"/>
                    <w:rPr>
                      <w:rFonts w:hint="eastAsia"/>
                      <w:color w:val="auto"/>
                      <w:szCs w:val="21"/>
                    </w:rPr>
                  </w:pPr>
                  <w:r>
                    <w:rPr>
                      <w:rFonts w:hint="eastAsia"/>
                      <w:color w:val="auto"/>
                      <w:szCs w:val="21"/>
                    </w:rPr>
                    <w:t>环氧氯丙烷</w:t>
                  </w:r>
                </w:p>
              </w:tc>
              <w:tc>
                <w:tcPr>
                  <w:tcW w:w="1574" w:type="dxa"/>
                  <w:vAlign w:val="center"/>
                </w:tcPr>
                <w:p w14:paraId="7EB7EB84">
                  <w:pPr>
                    <w:jc w:val="center"/>
                    <w:rPr>
                      <w:rFonts w:hint="default" w:eastAsia="宋体"/>
                      <w:bCs/>
                      <w:color w:val="auto"/>
                      <w:kern w:val="0"/>
                      <w:lang w:val="en-US" w:eastAsia="zh-CN"/>
                    </w:rPr>
                  </w:pPr>
                  <w:r>
                    <w:rPr>
                      <w:rFonts w:hint="eastAsia"/>
                      <w:bCs/>
                      <w:color w:val="auto"/>
                      <w:kern w:val="0"/>
                      <w:lang w:val="en-US" w:eastAsia="zh-CN"/>
                    </w:rPr>
                    <w:t>40%</w:t>
                  </w:r>
                </w:p>
              </w:tc>
              <w:tc>
                <w:tcPr>
                  <w:tcW w:w="2202" w:type="dxa"/>
                  <w:vAlign w:val="center"/>
                </w:tcPr>
                <w:p w14:paraId="4D16029C">
                  <w:pPr>
                    <w:jc w:val="center"/>
                    <w:rPr>
                      <w:rFonts w:hint="default" w:eastAsia="宋体"/>
                      <w:bCs/>
                      <w:color w:val="auto"/>
                      <w:kern w:val="0"/>
                      <w:lang w:val="en-US" w:eastAsia="zh-CN"/>
                    </w:rPr>
                  </w:pPr>
                  <w:r>
                    <w:rPr>
                      <w:rFonts w:hint="eastAsia"/>
                      <w:bCs/>
                      <w:color w:val="auto"/>
                      <w:kern w:val="0"/>
                      <w:lang w:val="en-US" w:eastAsia="zh-CN"/>
                    </w:rPr>
                    <w:t>0.00144</w:t>
                  </w:r>
                </w:p>
              </w:tc>
            </w:tr>
            <w:tr w14:paraId="427D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95" w:type="dxa"/>
                  <w:gridSpan w:val="5"/>
                  <w:vAlign w:val="center"/>
                </w:tcPr>
                <w:p w14:paraId="40B2DD55">
                  <w:pPr>
                    <w:jc w:val="left"/>
                    <w:rPr>
                      <w:rFonts w:hint="eastAsia" w:eastAsia="宋体"/>
                      <w:bCs/>
                      <w:color w:val="auto"/>
                      <w:kern w:val="0"/>
                      <w:lang w:val="en-US" w:eastAsia="zh-CN"/>
                    </w:rPr>
                  </w:pPr>
                  <w:r>
                    <w:rPr>
                      <w:rFonts w:hint="eastAsia"/>
                      <w:bCs/>
                      <w:color w:val="auto"/>
                      <w:kern w:val="0"/>
                      <w:lang w:val="en-US" w:eastAsia="zh-CN"/>
                    </w:rPr>
                    <w:t>危废间</w:t>
                  </w:r>
                </w:p>
              </w:tc>
            </w:tr>
            <w:tr w14:paraId="1C5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vAlign w:val="center"/>
                </w:tcPr>
                <w:p w14:paraId="587EBB95">
                  <w:pPr>
                    <w:jc w:val="center"/>
                    <w:rPr>
                      <w:color w:val="auto"/>
                      <w:kern w:val="0"/>
                    </w:rPr>
                  </w:pPr>
                  <w:r>
                    <w:rPr>
                      <w:rFonts w:hint="eastAsia"/>
                      <w:color w:val="auto"/>
                      <w:kern w:val="0"/>
                    </w:rPr>
                    <w:t>废切削液</w:t>
                  </w:r>
                </w:p>
              </w:tc>
              <w:tc>
                <w:tcPr>
                  <w:tcW w:w="1575" w:type="dxa"/>
                  <w:vAlign w:val="center"/>
                </w:tcPr>
                <w:p w14:paraId="7602706B">
                  <w:pPr>
                    <w:jc w:val="center"/>
                    <w:rPr>
                      <w:bCs/>
                      <w:color w:val="auto"/>
                      <w:kern w:val="0"/>
                    </w:rPr>
                  </w:pPr>
                  <w:r>
                    <w:rPr>
                      <w:rFonts w:hint="eastAsia"/>
                      <w:bCs/>
                      <w:color w:val="auto"/>
                      <w:kern w:val="0"/>
                    </w:rPr>
                    <w:t>0.0027</w:t>
                  </w:r>
                </w:p>
              </w:tc>
              <w:tc>
                <w:tcPr>
                  <w:tcW w:w="1574" w:type="dxa"/>
                  <w:shd w:val="clear" w:color="auto" w:fill="auto"/>
                  <w:vAlign w:val="center"/>
                </w:tcPr>
                <w:p w14:paraId="2DB7C9C6">
                  <w:pPr>
                    <w:jc w:val="center"/>
                    <w:rPr>
                      <w:color w:val="auto"/>
                      <w:szCs w:val="21"/>
                    </w:rPr>
                  </w:pPr>
                  <w:r>
                    <w:rPr>
                      <w:rFonts w:hint="eastAsia"/>
                      <w:color w:val="auto"/>
                      <w:szCs w:val="21"/>
                    </w:rPr>
                    <w:t>油类物质</w:t>
                  </w:r>
                </w:p>
              </w:tc>
              <w:tc>
                <w:tcPr>
                  <w:tcW w:w="1574" w:type="dxa"/>
                  <w:vAlign w:val="center"/>
                </w:tcPr>
                <w:p w14:paraId="4F2D3065">
                  <w:pPr>
                    <w:jc w:val="center"/>
                    <w:rPr>
                      <w:bCs/>
                      <w:color w:val="auto"/>
                      <w:kern w:val="0"/>
                    </w:rPr>
                  </w:pPr>
                  <w:r>
                    <w:rPr>
                      <w:rFonts w:hint="eastAsia"/>
                      <w:bCs/>
                      <w:color w:val="auto"/>
                      <w:kern w:val="0"/>
                    </w:rPr>
                    <w:t>/</w:t>
                  </w:r>
                </w:p>
              </w:tc>
              <w:tc>
                <w:tcPr>
                  <w:tcW w:w="2202" w:type="dxa"/>
                  <w:vAlign w:val="center"/>
                </w:tcPr>
                <w:p w14:paraId="408F6556">
                  <w:pPr>
                    <w:jc w:val="center"/>
                    <w:rPr>
                      <w:bCs/>
                      <w:color w:val="auto"/>
                      <w:kern w:val="0"/>
                    </w:rPr>
                  </w:pPr>
                  <w:r>
                    <w:rPr>
                      <w:rFonts w:hint="eastAsia"/>
                      <w:bCs/>
                      <w:color w:val="auto"/>
                      <w:kern w:val="0"/>
                    </w:rPr>
                    <w:t>0.0027</w:t>
                  </w:r>
                </w:p>
              </w:tc>
            </w:tr>
            <w:tr w14:paraId="2E5C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vAlign w:val="center"/>
                </w:tcPr>
                <w:p w14:paraId="3E102786">
                  <w:pPr>
                    <w:jc w:val="center"/>
                    <w:rPr>
                      <w:color w:val="auto"/>
                      <w:kern w:val="0"/>
                    </w:rPr>
                  </w:pPr>
                  <w:r>
                    <w:rPr>
                      <w:rFonts w:hint="eastAsia"/>
                      <w:color w:val="auto"/>
                      <w:kern w:val="0"/>
                    </w:rPr>
                    <w:t>废机油</w:t>
                  </w:r>
                </w:p>
              </w:tc>
              <w:tc>
                <w:tcPr>
                  <w:tcW w:w="1575" w:type="dxa"/>
                  <w:vAlign w:val="center"/>
                </w:tcPr>
                <w:p w14:paraId="3FADBA4F">
                  <w:pPr>
                    <w:jc w:val="center"/>
                    <w:rPr>
                      <w:bCs/>
                      <w:color w:val="auto"/>
                      <w:kern w:val="0"/>
                    </w:rPr>
                  </w:pPr>
                  <w:r>
                    <w:rPr>
                      <w:rFonts w:hint="eastAsia"/>
                      <w:bCs/>
                      <w:color w:val="auto"/>
                      <w:kern w:val="0"/>
                    </w:rPr>
                    <w:t>0.2</w:t>
                  </w:r>
                </w:p>
              </w:tc>
              <w:tc>
                <w:tcPr>
                  <w:tcW w:w="1574" w:type="dxa"/>
                  <w:shd w:val="clear" w:color="auto" w:fill="auto"/>
                  <w:vAlign w:val="center"/>
                </w:tcPr>
                <w:p w14:paraId="196B9D94">
                  <w:pPr>
                    <w:jc w:val="center"/>
                    <w:rPr>
                      <w:color w:val="auto"/>
                      <w:szCs w:val="21"/>
                    </w:rPr>
                  </w:pPr>
                  <w:r>
                    <w:rPr>
                      <w:rFonts w:hint="eastAsia"/>
                      <w:color w:val="auto"/>
                      <w:szCs w:val="21"/>
                    </w:rPr>
                    <w:t>油类物质</w:t>
                  </w:r>
                </w:p>
              </w:tc>
              <w:tc>
                <w:tcPr>
                  <w:tcW w:w="1574" w:type="dxa"/>
                  <w:vAlign w:val="center"/>
                </w:tcPr>
                <w:p w14:paraId="23FEED44">
                  <w:pPr>
                    <w:jc w:val="center"/>
                    <w:rPr>
                      <w:bCs/>
                      <w:color w:val="auto"/>
                      <w:kern w:val="0"/>
                    </w:rPr>
                  </w:pPr>
                  <w:r>
                    <w:rPr>
                      <w:rFonts w:hint="eastAsia"/>
                      <w:bCs/>
                      <w:color w:val="auto"/>
                      <w:kern w:val="0"/>
                    </w:rPr>
                    <w:t>/</w:t>
                  </w:r>
                </w:p>
              </w:tc>
              <w:tc>
                <w:tcPr>
                  <w:tcW w:w="2202" w:type="dxa"/>
                  <w:vAlign w:val="center"/>
                </w:tcPr>
                <w:p w14:paraId="5AE5466C">
                  <w:pPr>
                    <w:jc w:val="center"/>
                    <w:rPr>
                      <w:bCs/>
                      <w:color w:val="auto"/>
                      <w:kern w:val="0"/>
                    </w:rPr>
                  </w:pPr>
                  <w:r>
                    <w:rPr>
                      <w:rFonts w:hint="eastAsia"/>
                      <w:bCs/>
                      <w:color w:val="auto"/>
                      <w:kern w:val="0"/>
                    </w:rPr>
                    <w:t>0.2</w:t>
                  </w:r>
                </w:p>
              </w:tc>
            </w:tr>
            <w:tr w14:paraId="241C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95" w:type="dxa"/>
                  <w:gridSpan w:val="5"/>
                  <w:shd w:val="clear" w:color="auto" w:fill="auto"/>
                  <w:vAlign w:val="center"/>
                </w:tcPr>
                <w:p w14:paraId="77FA88A4">
                  <w:pPr>
                    <w:jc w:val="both"/>
                    <w:rPr>
                      <w:rFonts w:hint="default" w:eastAsia="宋体"/>
                      <w:color w:val="auto"/>
                      <w:lang w:val="en-US" w:eastAsia="zh-CN"/>
                    </w:rPr>
                  </w:pPr>
                  <w:r>
                    <w:rPr>
                      <w:rFonts w:hint="eastAsia"/>
                      <w:color w:val="auto"/>
                      <w:lang w:val="en-US" w:eastAsia="zh-CN"/>
                    </w:rPr>
                    <w:t>2#危化品仓库</w:t>
                  </w:r>
                </w:p>
              </w:tc>
            </w:tr>
            <w:tr w14:paraId="60F7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727781BB">
                  <w:pPr>
                    <w:jc w:val="center"/>
                    <w:rPr>
                      <w:color w:val="auto"/>
                    </w:rPr>
                  </w:pPr>
                  <w:r>
                    <w:rPr>
                      <w:rFonts w:hint="eastAsia"/>
                      <w:color w:val="auto"/>
                    </w:rPr>
                    <w:t>丙酮</w:t>
                  </w:r>
                </w:p>
              </w:tc>
              <w:tc>
                <w:tcPr>
                  <w:tcW w:w="1575" w:type="dxa"/>
                  <w:shd w:val="clear" w:color="auto" w:fill="auto"/>
                  <w:vAlign w:val="center"/>
                </w:tcPr>
                <w:p w14:paraId="669C982A">
                  <w:pPr>
                    <w:jc w:val="center"/>
                    <w:rPr>
                      <w:color w:val="auto"/>
                    </w:rPr>
                  </w:pPr>
                  <w:r>
                    <w:rPr>
                      <w:rFonts w:hint="eastAsia"/>
                      <w:color w:val="auto"/>
                    </w:rPr>
                    <w:t>0.72</w:t>
                  </w:r>
                </w:p>
              </w:tc>
              <w:tc>
                <w:tcPr>
                  <w:tcW w:w="1574" w:type="dxa"/>
                  <w:shd w:val="clear" w:color="auto" w:fill="auto"/>
                  <w:vAlign w:val="center"/>
                </w:tcPr>
                <w:p w14:paraId="107642B8">
                  <w:pPr>
                    <w:jc w:val="center"/>
                    <w:rPr>
                      <w:color w:val="auto"/>
                    </w:rPr>
                  </w:pPr>
                  <w:r>
                    <w:rPr>
                      <w:rFonts w:hint="eastAsia"/>
                      <w:color w:val="auto"/>
                    </w:rPr>
                    <w:t>丙酮</w:t>
                  </w:r>
                </w:p>
              </w:tc>
              <w:tc>
                <w:tcPr>
                  <w:tcW w:w="1574" w:type="dxa"/>
                  <w:vAlign w:val="center"/>
                </w:tcPr>
                <w:p w14:paraId="762F86A9">
                  <w:pPr>
                    <w:jc w:val="center"/>
                    <w:rPr>
                      <w:bCs/>
                      <w:color w:val="auto"/>
                      <w:kern w:val="0"/>
                    </w:rPr>
                  </w:pPr>
                  <w:r>
                    <w:rPr>
                      <w:rFonts w:hint="eastAsia"/>
                      <w:bCs/>
                      <w:color w:val="auto"/>
                      <w:kern w:val="0"/>
                    </w:rPr>
                    <w:t>/</w:t>
                  </w:r>
                </w:p>
              </w:tc>
              <w:tc>
                <w:tcPr>
                  <w:tcW w:w="2202" w:type="dxa"/>
                  <w:shd w:val="clear" w:color="auto" w:fill="auto"/>
                  <w:vAlign w:val="center"/>
                </w:tcPr>
                <w:p w14:paraId="0DC06825">
                  <w:pPr>
                    <w:jc w:val="center"/>
                    <w:rPr>
                      <w:color w:val="auto"/>
                    </w:rPr>
                  </w:pPr>
                  <w:r>
                    <w:rPr>
                      <w:rFonts w:hint="eastAsia"/>
                      <w:color w:val="auto"/>
                    </w:rPr>
                    <w:t>0.72</w:t>
                  </w:r>
                </w:p>
              </w:tc>
            </w:tr>
            <w:tr w14:paraId="771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76ABD773">
                  <w:pPr>
                    <w:jc w:val="center"/>
                    <w:rPr>
                      <w:color w:val="auto"/>
                    </w:rPr>
                  </w:pPr>
                  <w:r>
                    <w:rPr>
                      <w:rFonts w:hint="eastAsia"/>
                      <w:color w:val="auto"/>
                    </w:rPr>
                    <w:t>无水乙醇</w:t>
                  </w:r>
                </w:p>
              </w:tc>
              <w:tc>
                <w:tcPr>
                  <w:tcW w:w="1575" w:type="dxa"/>
                  <w:shd w:val="clear" w:color="auto" w:fill="auto"/>
                  <w:vAlign w:val="center"/>
                </w:tcPr>
                <w:p w14:paraId="23438435">
                  <w:pPr>
                    <w:jc w:val="center"/>
                    <w:rPr>
                      <w:color w:val="auto"/>
                    </w:rPr>
                  </w:pPr>
                  <w:r>
                    <w:rPr>
                      <w:rFonts w:hint="eastAsia"/>
                      <w:color w:val="auto"/>
                    </w:rPr>
                    <w:t>0.03</w:t>
                  </w:r>
                </w:p>
              </w:tc>
              <w:tc>
                <w:tcPr>
                  <w:tcW w:w="1574" w:type="dxa"/>
                  <w:shd w:val="clear" w:color="auto" w:fill="auto"/>
                  <w:vAlign w:val="center"/>
                </w:tcPr>
                <w:p w14:paraId="59E9BC72">
                  <w:pPr>
                    <w:jc w:val="center"/>
                    <w:rPr>
                      <w:color w:val="auto"/>
                      <w:szCs w:val="21"/>
                    </w:rPr>
                  </w:pPr>
                  <w:r>
                    <w:rPr>
                      <w:rFonts w:hint="eastAsia"/>
                      <w:color w:val="auto"/>
                      <w:szCs w:val="21"/>
                    </w:rPr>
                    <w:t>/</w:t>
                  </w:r>
                </w:p>
              </w:tc>
              <w:tc>
                <w:tcPr>
                  <w:tcW w:w="1574" w:type="dxa"/>
                  <w:vAlign w:val="center"/>
                </w:tcPr>
                <w:p w14:paraId="62474E89">
                  <w:pPr>
                    <w:jc w:val="center"/>
                    <w:rPr>
                      <w:bCs/>
                      <w:color w:val="auto"/>
                      <w:kern w:val="0"/>
                    </w:rPr>
                  </w:pPr>
                  <w:r>
                    <w:rPr>
                      <w:rFonts w:hint="eastAsia"/>
                      <w:bCs/>
                      <w:color w:val="auto"/>
                      <w:kern w:val="0"/>
                    </w:rPr>
                    <w:t>/</w:t>
                  </w:r>
                </w:p>
              </w:tc>
              <w:tc>
                <w:tcPr>
                  <w:tcW w:w="2202" w:type="dxa"/>
                  <w:shd w:val="clear" w:color="auto" w:fill="auto"/>
                  <w:vAlign w:val="center"/>
                </w:tcPr>
                <w:p w14:paraId="402CDA99">
                  <w:pPr>
                    <w:jc w:val="center"/>
                    <w:rPr>
                      <w:color w:val="auto"/>
                    </w:rPr>
                  </w:pPr>
                  <w:r>
                    <w:rPr>
                      <w:rFonts w:hint="eastAsia"/>
                      <w:color w:val="auto"/>
                    </w:rPr>
                    <w:t>0.03</w:t>
                  </w:r>
                </w:p>
              </w:tc>
            </w:tr>
            <w:tr w14:paraId="2149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6861AB1C">
                  <w:pPr>
                    <w:jc w:val="center"/>
                    <w:rPr>
                      <w:color w:val="auto"/>
                    </w:rPr>
                  </w:pPr>
                  <w:r>
                    <w:rPr>
                      <w:rFonts w:hint="eastAsia"/>
                      <w:color w:val="auto"/>
                    </w:rPr>
                    <w:t>清洁酒精</w:t>
                  </w:r>
                </w:p>
              </w:tc>
              <w:tc>
                <w:tcPr>
                  <w:tcW w:w="1575" w:type="dxa"/>
                  <w:shd w:val="clear" w:color="auto" w:fill="auto"/>
                  <w:vAlign w:val="center"/>
                </w:tcPr>
                <w:p w14:paraId="04DB46F2">
                  <w:pPr>
                    <w:jc w:val="center"/>
                    <w:rPr>
                      <w:color w:val="auto"/>
                    </w:rPr>
                  </w:pPr>
                  <w:r>
                    <w:rPr>
                      <w:rFonts w:hint="eastAsia"/>
                      <w:color w:val="auto"/>
                    </w:rPr>
                    <w:t>0.25</w:t>
                  </w:r>
                </w:p>
              </w:tc>
              <w:tc>
                <w:tcPr>
                  <w:tcW w:w="1574" w:type="dxa"/>
                  <w:shd w:val="clear" w:color="auto" w:fill="auto"/>
                  <w:vAlign w:val="center"/>
                </w:tcPr>
                <w:p w14:paraId="6CD6851E">
                  <w:pPr>
                    <w:jc w:val="center"/>
                    <w:rPr>
                      <w:color w:val="auto"/>
                      <w:szCs w:val="21"/>
                    </w:rPr>
                  </w:pPr>
                  <w:r>
                    <w:rPr>
                      <w:rFonts w:hint="eastAsia"/>
                      <w:color w:val="auto"/>
                      <w:szCs w:val="21"/>
                    </w:rPr>
                    <w:t>/</w:t>
                  </w:r>
                </w:p>
              </w:tc>
              <w:tc>
                <w:tcPr>
                  <w:tcW w:w="1574" w:type="dxa"/>
                  <w:vAlign w:val="center"/>
                </w:tcPr>
                <w:p w14:paraId="30251427">
                  <w:pPr>
                    <w:jc w:val="center"/>
                    <w:rPr>
                      <w:bCs/>
                      <w:color w:val="auto"/>
                      <w:kern w:val="0"/>
                    </w:rPr>
                  </w:pPr>
                  <w:r>
                    <w:rPr>
                      <w:rFonts w:hint="eastAsia"/>
                      <w:bCs/>
                      <w:color w:val="auto"/>
                      <w:kern w:val="0"/>
                    </w:rPr>
                    <w:t>/</w:t>
                  </w:r>
                </w:p>
              </w:tc>
              <w:tc>
                <w:tcPr>
                  <w:tcW w:w="2202" w:type="dxa"/>
                  <w:shd w:val="clear" w:color="auto" w:fill="auto"/>
                  <w:vAlign w:val="center"/>
                </w:tcPr>
                <w:p w14:paraId="69A90DA6">
                  <w:pPr>
                    <w:jc w:val="center"/>
                    <w:rPr>
                      <w:color w:val="auto"/>
                    </w:rPr>
                  </w:pPr>
                  <w:r>
                    <w:rPr>
                      <w:rFonts w:hint="eastAsia"/>
                      <w:color w:val="auto"/>
                    </w:rPr>
                    <w:t>0.25</w:t>
                  </w:r>
                </w:p>
              </w:tc>
            </w:tr>
            <w:tr w14:paraId="3496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107B905A">
                  <w:pPr>
                    <w:jc w:val="center"/>
                    <w:rPr>
                      <w:color w:val="auto"/>
                    </w:rPr>
                  </w:pPr>
                  <w:r>
                    <w:rPr>
                      <w:rFonts w:hint="eastAsia"/>
                      <w:color w:val="auto"/>
                    </w:rPr>
                    <w:t>硫酸</w:t>
                  </w:r>
                </w:p>
              </w:tc>
              <w:tc>
                <w:tcPr>
                  <w:tcW w:w="1575" w:type="dxa"/>
                  <w:shd w:val="clear" w:color="auto" w:fill="auto"/>
                  <w:vAlign w:val="center"/>
                </w:tcPr>
                <w:p w14:paraId="6945C282">
                  <w:pPr>
                    <w:jc w:val="center"/>
                    <w:rPr>
                      <w:color w:val="auto"/>
                    </w:rPr>
                  </w:pPr>
                  <w:r>
                    <w:rPr>
                      <w:rFonts w:hint="eastAsia"/>
                      <w:color w:val="auto"/>
                    </w:rPr>
                    <w:t>0.3</w:t>
                  </w:r>
                </w:p>
              </w:tc>
              <w:tc>
                <w:tcPr>
                  <w:tcW w:w="1574" w:type="dxa"/>
                  <w:shd w:val="clear" w:color="auto" w:fill="auto"/>
                  <w:vAlign w:val="center"/>
                </w:tcPr>
                <w:p w14:paraId="607A1B83">
                  <w:pPr>
                    <w:jc w:val="center"/>
                    <w:rPr>
                      <w:color w:val="auto"/>
                      <w:szCs w:val="21"/>
                    </w:rPr>
                  </w:pPr>
                  <w:r>
                    <w:rPr>
                      <w:rFonts w:hint="eastAsia"/>
                      <w:color w:val="auto"/>
                    </w:rPr>
                    <w:t>硫酸</w:t>
                  </w:r>
                </w:p>
              </w:tc>
              <w:tc>
                <w:tcPr>
                  <w:tcW w:w="1574" w:type="dxa"/>
                  <w:vAlign w:val="center"/>
                </w:tcPr>
                <w:p w14:paraId="001E8874">
                  <w:pPr>
                    <w:jc w:val="center"/>
                    <w:rPr>
                      <w:bCs/>
                      <w:color w:val="auto"/>
                      <w:kern w:val="0"/>
                    </w:rPr>
                  </w:pPr>
                  <w:r>
                    <w:rPr>
                      <w:rFonts w:hint="eastAsia"/>
                      <w:bCs/>
                      <w:color w:val="auto"/>
                      <w:kern w:val="0"/>
                    </w:rPr>
                    <w:t>/</w:t>
                  </w:r>
                </w:p>
              </w:tc>
              <w:tc>
                <w:tcPr>
                  <w:tcW w:w="2202" w:type="dxa"/>
                  <w:shd w:val="clear" w:color="auto" w:fill="auto"/>
                  <w:vAlign w:val="center"/>
                </w:tcPr>
                <w:p w14:paraId="64FA73AC">
                  <w:pPr>
                    <w:jc w:val="center"/>
                    <w:rPr>
                      <w:color w:val="auto"/>
                    </w:rPr>
                  </w:pPr>
                  <w:r>
                    <w:rPr>
                      <w:rFonts w:hint="eastAsia"/>
                      <w:color w:val="auto"/>
                    </w:rPr>
                    <w:t>0.3</w:t>
                  </w:r>
                </w:p>
              </w:tc>
            </w:tr>
            <w:tr w14:paraId="6894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0A5B9C96">
                  <w:pPr>
                    <w:jc w:val="center"/>
                    <w:rPr>
                      <w:color w:val="auto"/>
                    </w:rPr>
                  </w:pPr>
                  <w:r>
                    <w:rPr>
                      <w:rFonts w:hint="eastAsia"/>
                      <w:color w:val="auto"/>
                    </w:rPr>
                    <w:t>冰乙酸</w:t>
                  </w:r>
                </w:p>
              </w:tc>
              <w:tc>
                <w:tcPr>
                  <w:tcW w:w="1575" w:type="dxa"/>
                  <w:shd w:val="clear" w:color="auto" w:fill="auto"/>
                  <w:vAlign w:val="center"/>
                </w:tcPr>
                <w:p w14:paraId="03097CE8">
                  <w:pPr>
                    <w:jc w:val="center"/>
                    <w:rPr>
                      <w:color w:val="auto"/>
                    </w:rPr>
                  </w:pPr>
                  <w:r>
                    <w:rPr>
                      <w:rFonts w:hint="eastAsia"/>
                      <w:color w:val="auto"/>
                    </w:rPr>
                    <w:t>0.002</w:t>
                  </w:r>
                </w:p>
              </w:tc>
              <w:tc>
                <w:tcPr>
                  <w:tcW w:w="1574" w:type="dxa"/>
                  <w:shd w:val="clear" w:color="auto" w:fill="auto"/>
                  <w:vAlign w:val="center"/>
                </w:tcPr>
                <w:p w14:paraId="6E76BE48">
                  <w:pPr>
                    <w:jc w:val="center"/>
                    <w:rPr>
                      <w:color w:val="auto"/>
                      <w:szCs w:val="21"/>
                    </w:rPr>
                  </w:pPr>
                  <w:r>
                    <w:rPr>
                      <w:rFonts w:hint="eastAsia"/>
                      <w:color w:val="auto"/>
                    </w:rPr>
                    <w:t>乙酸</w:t>
                  </w:r>
                </w:p>
              </w:tc>
              <w:tc>
                <w:tcPr>
                  <w:tcW w:w="1574" w:type="dxa"/>
                  <w:vAlign w:val="center"/>
                </w:tcPr>
                <w:p w14:paraId="3DF1DC2E">
                  <w:pPr>
                    <w:jc w:val="center"/>
                    <w:rPr>
                      <w:bCs/>
                      <w:color w:val="auto"/>
                      <w:kern w:val="0"/>
                    </w:rPr>
                  </w:pPr>
                  <w:r>
                    <w:rPr>
                      <w:rFonts w:hint="eastAsia"/>
                      <w:bCs/>
                      <w:color w:val="auto"/>
                      <w:kern w:val="0"/>
                    </w:rPr>
                    <w:t>/</w:t>
                  </w:r>
                </w:p>
              </w:tc>
              <w:tc>
                <w:tcPr>
                  <w:tcW w:w="2202" w:type="dxa"/>
                  <w:shd w:val="clear" w:color="auto" w:fill="auto"/>
                  <w:vAlign w:val="center"/>
                </w:tcPr>
                <w:p w14:paraId="634A1A10">
                  <w:pPr>
                    <w:jc w:val="center"/>
                    <w:rPr>
                      <w:color w:val="auto"/>
                    </w:rPr>
                  </w:pPr>
                  <w:r>
                    <w:rPr>
                      <w:rFonts w:hint="eastAsia"/>
                      <w:color w:val="auto"/>
                    </w:rPr>
                    <w:t>0.002</w:t>
                  </w:r>
                </w:p>
              </w:tc>
            </w:tr>
            <w:tr w14:paraId="045E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vMerge w:val="restart"/>
                  <w:shd w:val="clear" w:color="auto" w:fill="auto"/>
                  <w:vAlign w:val="center"/>
                </w:tcPr>
                <w:p w14:paraId="0948CAAB">
                  <w:pPr>
                    <w:jc w:val="center"/>
                    <w:rPr>
                      <w:color w:val="auto"/>
                    </w:rPr>
                  </w:pPr>
                  <w:r>
                    <w:rPr>
                      <w:rFonts w:hint="eastAsia"/>
                      <w:color w:val="auto"/>
                    </w:rPr>
                    <w:t>环氧树脂剥离液(乙二胺、硝酸)</w:t>
                  </w:r>
                </w:p>
              </w:tc>
              <w:tc>
                <w:tcPr>
                  <w:tcW w:w="1575" w:type="dxa"/>
                  <w:vMerge w:val="restart"/>
                  <w:shd w:val="clear" w:color="auto" w:fill="auto"/>
                  <w:vAlign w:val="center"/>
                </w:tcPr>
                <w:p w14:paraId="121E8AFA">
                  <w:pPr>
                    <w:jc w:val="center"/>
                    <w:rPr>
                      <w:color w:val="auto"/>
                    </w:rPr>
                  </w:pPr>
                  <w:r>
                    <w:rPr>
                      <w:rFonts w:hint="eastAsia"/>
                      <w:color w:val="auto"/>
                    </w:rPr>
                    <w:t>0.4</w:t>
                  </w:r>
                </w:p>
              </w:tc>
              <w:tc>
                <w:tcPr>
                  <w:tcW w:w="1574" w:type="dxa"/>
                  <w:shd w:val="clear" w:color="auto" w:fill="auto"/>
                  <w:vAlign w:val="center"/>
                </w:tcPr>
                <w:p w14:paraId="345DB43D">
                  <w:pPr>
                    <w:jc w:val="center"/>
                    <w:rPr>
                      <w:rFonts w:hint="eastAsia"/>
                      <w:color w:val="auto"/>
                    </w:rPr>
                  </w:pPr>
                  <w:r>
                    <w:rPr>
                      <w:rFonts w:hint="eastAsia"/>
                      <w:color w:val="auto"/>
                    </w:rPr>
                    <w:t>乙二胺</w:t>
                  </w:r>
                </w:p>
              </w:tc>
              <w:tc>
                <w:tcPr>
                  <w:tcW w:w="1574" w:type="dxa"/>
                  <w:vAlign w:val="center"/>
                </w:tcPr>
                <w:p w14:paraId="4C656C74">
                  <w:pPr>
                    <w:jc w:val="center"/>
                    <w:rPr>
                      <w:rFonts w:hint="default" w:eastAsia="宋体"/>
                      <w:bCs/>
                      <w:color w:val="auto"/>
                      <w:kern w:val="0"/>
                      <w:lang w:val="en-US" w:eastAsia="zh-CN"/>
                    </w:rPr>
                  </w:pPr>
                  <w:r>
                    <w:rPr>
                      <w:rFonts w:hint="eastAsia"/>
                      <w:bCs/>
                      <w:color w:val="auto"/>
                      <w:kern w:val="0"/>
                      <w:lang w:val="en-US" w:eastAsia="zh-CN"/>
                    </w:rPr>
                    <w:t>27.8%</w:t>
                  </w:r>
                </w:p>
              </w:tc>
              <w:tc>
                <w:tcPr>
                  <w:tcW w:w="2202" w:type="dxa"/>
                  <w:shd w:val="clear" w:color="auto" w:fill="auto"/>
                  <w:vAlign w:val="center"/>
                </w:tcPr>
                <w:p w14:paraId="3C693C09">
                  <w:pPr>
                    <w:ind w:left="0" w:leftChars="0" w:right="0" w:rightChars="0" w:firstLine="0" w:firstLineChars="0"/>
                    <w:jc w:val="center"/>
                    <w:rPr>
                      <w:rFonts w:hint="eastAsia"/>
                      <w:color w:val="auto"/>
                    </w:rPr>
                  </w:pPr>
                  <w:r>
                    <w:rPr>
                      <w:rFonts w:hint="eastAsia"/>
                      <w:color w:val="auto"/>
                      <w:lang w:val="en-US" w:eastAsia="zh-CN"/>
                    </w:rPr>
                    <w:t>0.11</w:t>
                  </w:r>
                </w:p>
              </w:tc>
            </w:tr>
            <w:tr w14:paraId="0E47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vMerge w:val="continue"/>
                  <w:shd w:val="clear" w:color="auto" w:fill="auto"/>
                  <w:vAlign w:val="center"/>
                </w:tcPr>
                <w:p w14:paraId="5313BAA5">
                  <w:pPr>
                    <w:jc w:val="center"/>
                    <w:rPr>
                      <w:color w:val="auto"/>
                    </w:rPr>
                  </w:pPr>
                </w:p>
              </w:tc>
              <w:tc>
                <w:tcPr>
                  <w:tcW w:w="1575" w:type="dxa"/>
                  <w:vMerge w:val="continue"/>
                  <w:shd w:val="clear" w:color="auto" w:fill="auto"/>
                  <w:vAlign w:val="center"/>
                </w:tcPr>
                <w:p w14:paraId="57C3573E">
                  <w:pPr>
                    <w:jc w:val="center"/>
                    <w:rPr>
                      <w:color w:val="auto"/>
                    </w:rPr>
                  </w:pPr>
                </w:p>
              </w:tc>
              <w:tc>
                <w:tcPr>
                  <w:tcW w:w="1574" w:type="dxa"/>
                  <w:shd w:val="clear" w:color="auto" w:fill="auto"/>
                  <w:vAlign w:val="center"/>
                </w:tcPr>
                <w:p w14:paraId="4AF99FF3">
                  <w:pPr>
                    <w:jc w:val="center"/>
                    <w:rPr>
                      <w:color w:val="auto"/>
                      <w:szCs w:val="21"/>
                    </w:rPr>
                  </w:pPr>
                  <w:r>
                    <w:rPr>
                      <w:rFonts w:hint="eastAsia"/>
                      <w:color w:val="auto"/>
                    </w:rPr>
                    <w:t>硝酸</w:t>
                  </w:r>
                </w:p>
              </w:tc>
              <w:tc>
                <w:tcPr>
                  <w:tcW w:w="1574" w:type="dxa"/>
                  <w:vAlign w:val="center"/>
                </w:tcPr>
                <w:p w14:paraId="228DB907">
                  <w:pPr>
                    <w:jc w:val="center"/>
                    <w:rPr>
                      <w:rFonts w:hint="default" w:eastAsia="宋体"/>
                      <w:bCs/>
                      <w:color w:val="auto"/>
                      <w:kern w:val="0"/>
                      <w:lang w:val="en-US" w:eastAsia="zh-CN"/>
                    </w:rPr>
                  </w:pPr>
                  <w:r>
                    <w:rPr>
                      <w:rFonts w:hint="eastAsia"/>
                      <w:bCs/>
                      <w:color w:val="auto"/>
                      <w:kern w:val="0"/>
                      <w:lang w:val="en-US" w:eastAsia="zh-CN"/>
                    </w:rPr>
                    <w:t>5%</w:t>
                  </w:r>
                </w:p>
              </w:tc>
              <w:tc>
                <w:tcPr>
                  <w:tcW w:w="2202" w:type="dxa"/>
                  <w:shd w:val="clear" w:color="auto" w:fill="auto"/>
                  <w:vAlign w:val="center"/>
                </w:tcPr>
                <w:p w14:paraId="3A9E2DA9">
                  <w:pPr>
                    <w:ind w:left="0" w:leftChars="0" w:right="0" w:rightChars="0" w:firstLine="0" w:firstLineChars="0"/>
                    <w:jc w:val="center"/>
                    <w:rPr>
                      <w:color w:val="auto"/>
                    </w:rPr>
                  </w:pPr>
                  <w:r>
                    <w:rPr>
                      <w:rFonts w:hint="eastAsia"/>
                      <w:color w:val="auto"/>
                      <w:lang w:val="en-US" w:eastAsia="zh-CN"/>
                    </w:rPr>
                    <w:t>0.02</w:t>
                  </w:r>
                </w:p>
              </w:tc>
            </w:tr>
            <w:tr w14:paraId="4B03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08E14753">
                  <w:pPr>
                    <w:jc w:val="center"/>
                    <w:rPr>
                      <w:color w:val="auto"/>
                    </w:rPr>
                  </w:pPr>
                  <w:r>
                    <w:rPr>
                      <w:rFonts w:hint="eastAsia"/>
                      <w:color w:val="auto"/>
                    </w:rPr>
                    <w:t>工业硝酸</w:t>
                  </w:r>
                </w:p>
              </w:tc>
              <w:tc>
                <w:tcPr>
                  <w:tcW w:w="1575" w:type="dxa"/>
                  <w:shd w:val="clear" w:color="auto" w:fill="auto"/>
                  <w:vAlign w:val="center"/>
                </w:tcPr>
                <w:p w14:paraId="5F468B14">
                  <w:pPr>
                    <w:jc w:val="center"/>
                    <w:rPr>
                      <w:color w:val="auto"/>
                    </w:rPr>
                  </w:pPr>
                  <w:r>
                    <w:rPr>
                      <w:rFonts w:hint="eastAsia"/>
                      <w:color w:val="auto"/>
                    </w:rPr>
                    <w:t>1</w:t>
                  </w:r>
                </w:p>
              </w:tc>
              <w:tc>
                <w:tcPr>
                  <w:tcW w:w="1574" w:type="dxa"/>
                  <w:shd w:val="clear" w:color="auto" w:fill="auto"/>
                  <w:vAlign w:val="center"/>
                </w:tcPr>
                <w:p w14:paraId="129F32F1">
                  <w:pPr>
                    <w:jc w:val="center"/>
                    <w:rPr>
                      <w:color w:val="auto"/>
                      <w:szCs w:val="21"/>
                    </w:rPr>
                  </w:pPr>
                  <w:r>
                    <w:rPr>
                      <w:rFonts w:hint="eastAsia"/>
                      <w:color w:val="auto"/>
                    </w:rPr>
                    <w:t>硝酸</w:t>
                  </w:r>
                </w:p>
              </w:tc>
              <w:tc>
                <w:tcPr>
                  <w:tcW w:w="1574" w:type="dxa"/>
                  <w:vAlign w:val="center"/>
                </w:tcPr>
                <w:p w14:paraId="13998908">
                  <w:pPr>
                    <w:jc w:val="center"/>
                    <w:rPr>
                      <w:bCs/>
                      <w:color w:val="auto"/>
                      <w:kern w:val="0"/>
                    </w:rPr>
                  </w:pPr>
                  <w:r>
                    <w:rPr>
                      <w:rFonts w:hint="eastAsia"/>
                      <w:bCs/>
                      <w:color w:val="auto"/>
                      <w:kern w:val="0"/>
                    </w:rPr>
                    <w:t>/</w:t>
                  </w:r>
                </w:p>
              </w:tc>
              <w:tc>
                <w:tcPr>
                  <w:tcW w:w="2202" w:type="dxa"/>
                  <w:shd w:val="clear" w:color="auto" w:fill="auto"/>
                  <w:vAlign w:val="center"/>
                </w:tcPr>
                <w:p w14:paraId="333C8A87">
                  <w:pPr>
                    <w:jc w:val="center"/>
                    <w:rPr>
                      <w:color w:val="auto"/>
                    </w:rPr>
                  </w:pPr>
                  <w:r>
                    <w:rPr>
                      <w:rFonts w:hint="eastAsia"/>
                      <w:color w:val="auto"/>
                    </w:rPr>
                    <w:t>1</w:t>
                  </w:r>
                </w:p>
              </w:tc>
            </w:tr>
            <w:tr w14:paraId="3701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2F799D5B">
                  <w:pPr>
                    <w:jc w:val="center"/>
                    <w:rPr>
                      <w:color w:val="auto"/>
                    </w:rPr>
                  </w:pPr>
                  <w:r>
                    <w:rPr>
                      <w:rFonts w:hint="eastAsia"/>
                      <w:color w:val="auto"/>
                    </w:rPr>
                    <w:t>硝酸分析纯</w:t>
                  </w:r>
                </w:p>
              </w:tc>
              <w:tc>
                <w:tcPr>
                  <w:tcW w:w="1575" w:type="dxa"/>
                  <w:shd w:val="clear" w:color="auto" w:fill="auto"/>
                  <w:vAlign w:val="center"/>
                </w:tcPr>
                <w:p w14:paraId="005D423A">
                  <w:pPr>
                    <w:jc w:val="center"/>
                    <w:rPr>
                      <w:color w:val="auto"/>
                    </w:rPr>
                  </w:pPr>
                  <w:r>
                    <w:rPr>
                      <w:rFonts w:hint="eastAsia"/>
                      <w:color w:val="auto"/>
                    </w:rPr>
                    <w:t>0.1</w:t>
                  </w:r>
                </w:p>
              </w:tc>
              <w:tc>
                <w:tcPr>
                  <w:tcW w:w="1574" w:type="dxa"/>
                  <w:shd w:val="clear" w:color="auto" w:fill="auto"/>
                  <w:vAlign w:val="center"/>
                </w:tcPr>
                <w:p w14:paraId="69D578A1">
                  <w:pPr>
                    <w:jc w:val="center"/>
                    <w:rPr>
                      <w:color w:val="auto"/>
                      <w:szCs w:val="21"/>
                    </w:rPr>
                  </w:pPr>
                  <w:r>
                    <w:rPr>
                      <w:rFonts w:hint="eastAsia"/>
                      <w:color w:val="auto"/>
                    </w:rPr>
                    <w:t>硝酸</w:t>
                  </w:r>
                </w:p>
              </w:tc>
              <w:tc>
                <w:tcPr>
                  <w:tcW w:w="1574" w:type="dxa"/>
                  <w:vAlign w:val="center"/>
                </w:tcPr>
                <w:p w14:paraId="5E6FD9D1">
                  <w:pPr>
                    <w:jc w:val="center"/>
                    <w:rPr>
                      <w:bCs/>
                      <w:color w:val="auto"/>
                      <w:kern w:val="0"/>
                    </w:rPr>
                  </w:pPr>
                  <w:r>
                    <w:rPr>
                      <w:rFonts w:hint="eastAsia"/>
                      <w:bCs/>
                      <w:color w:val="auto"/>
                      <w:kern w:val="0"/>
                    </w:rPr>
                    <w:t>/</w:t>
                  </w:r>
                </w:p>
              </w:tc>
              <w:tc>
                <w:tcPr>
                  <w:tcW w:w="2202" w:type="dxa"/>
                  <w:shd w:val="clear" w:color="auto" w:fill="auto"/>
                  <w:vAlign w:val="center"/>
                </w:tcPr>
                <w:p w14:paraId="6A02F225">
                  <w:pPr>
                    <w:jc w:val="center"/>
                    <w:rPr>
                      <w:color w:val="auto"/>
                    </w:rPr>
                  </w:pPr>
                  <w:r>
                    <w:rPr>
                      <w:rFonts w:hint="eastAsia"/>
                      <w:color w:val="auto"/>
                    </w:rPr>
                    <w:t>0.1</w:t>
                  </w:r>
                </w:p>
              </w:tc>
            </w:tr>
            <w:tr w14:paraId="093D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70" w:type="dxa"/>
                  <w:shd w:val="clear" w:color="auto" w:fill="auto"/>
                  <w:vAlign w:val="center"/>
                </w:tcPr>
                <w:p w14:paraId="3058F745">
                  <w:pPr>
                    <w:jc w:val="center"/>
                    <w:rPr>
                      <w:color w:val="auto"/>
                    </w:rPr>
                  </w:pPr>
                  <w:r>
                    <w:rPr>
                      <w:rFonts w:hint="eastAsia"/>
                      <w:color w:val="auto"/>
                    </w:rPr>
                    <w:t>硫酸分析纯</w:t>
                  </w:r>
                </w:p>
              </w:tc>
              <w:tc>
                <w:tcPr>
                  <w:tcW w:w="1575" w:type="dxa"/>
                  <w:shd w:val="clear" w:color="auto" w:fill="auto"/>
                  <w:vAlign w:val="center"/>
                </w:tcPr>
                <w:p w14:paraId="1AA7F3D7">
                  <w:pPr>
                    <w:jc w:val="center"/>
                    <w:rPr>
                      <w:color w:val="auto"/>
                    </w:rPr>
                  </w:pPr>
                  <w:r>
                    <w:rPr>
                      <w:rFonts w:hint="eastAsia"/>
                      <w:color w:val="auto"/>
                    </w:rPr>
                    <w:t>0.125</w:t>
                  </w:r>
                </w:p>
              </w:tc>
              <w:tc>
                <w:tcPr>
                  <w:tcW w:w="1574" w:type="dxa"/>
                  <w:shd w:val="clear" w:color="auto" w:fill="auto"/>
                  <w:vAlign w:val="center"/>
                </w:tcPr>
                <w:p w14:paraId="1637AF3D">
                  <w:pPr>
                    <w:jc w:val="center"/>
                    <w:rPr>
                      <w:color w:val="auto"/>
                      <w:szCs w:val="21"/>
                    </w:rPr>
                  </w:pPr>
                  <w:r>
                    <w:rPr>
                      <w:rFonts w:hint="eastAsia"/>
                      <w:color w:val="auto"/>
                    </w:rPr>
                    <w:t>硫酸</w:t>
                  </w:r>
                </w:p>
              </w:tc>
              <w:tc>
                <w:tcPr>
                  <w:tcW w:w="1574" w:type="dxa"/>
                  <w:vAlign w:val="center"/>
                </w:tcPr>
                <w:p w14:paraId="465B84B5">
                  <w:pPr>
                    <w:jc w:val="center"/>
                    <w:rPr>
                      <w:bCs/>
                      <w:color w:val="auto"/>
                      <w:kern w:val="0"/>
                    </w:rPr>
                  </w:pPr>
                  <w:r>
                    <w:rPr>
                      <w:rFonts w:hint="eastAsia"/>
                      <w:bCs/>
                      <w:color w:val="auto"/>
                      <w:kern w:val="0"/>
                    </w:rPr>
                    <w:t>/</w:t>
                  </w:r>
                </w:p>
              </w:tc>
              <w:tc>
                <w:tcPr>
                  <w:tcW w:w="2202" w:type="dxa"/>
                  <w:shd w:val="clear" w:color="auto" w:fill="auto"/>
                  <w:vAlign w:val="center"/>
                </w:tcPr>
                <w:p w14:paraId="067ADC52">
                  <w:pPr>
                    <w:jc w:val="center"/>
                    <w:rPr>
                      <w:color w:val="auto"/>
                    </w:rPr>
                  </w:pPr>
                  <w:r>
                    <w:rPr>
                      <w:rFonts w:hint="eastAsia"/>
                      <w:color w:val="auto"/>
                    </w:rPr>
                    <w:t>0.125</w:t>
                  </w:r>
                </w:p>
              </w:tc>
            </w:tr>
            <w:tr w14:paraId="2BAA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restart"/>
                  <w:vAlign w:val="center"/>
                </w:tcPr>
                <w:p w14:paraId="0A00B74B">
                  <w:pPr>
                    <w:jc w:val="center"/>
                    <w:rPr>
                      <w:bCs/>
                      <w:color w:val="auto"/>
                      <w:kern w:val="0"/>
                    </w:rPr>
                  </w:pPr>
                  <w:r>
                    <w:rPr>
                      <w:rFonts w:hint="eastAsia"/>
                      <w:bCs/>
                      <w:color w:val="auto"/>
                      <w:kern w:val="0"/>
                    </w:rPr>
                    <w:t>合计</w:t>
                  </w:r>
                </w:p>
              </w:tc>
              <w:tc>
                <w:tcPr>
                  <w:tcW w:w="3148" w:type="dxa"/>
                  <w:gridSpan w:val="2"/>
                  <w:vAlign w:val="center"/>
                </w:tcPr>
                <w:p w14:paraId="691CE588">
                  <w:pPr>
                    <w:jc w:val="center"/>
                    <w:rPr>
                      <w:bCs/>
                      <w:color w:val="auto"/>
                      <w:kern w:val="0"/>
                    </w:rPr>
                  </w:pPr>
                  <w:r>
                    <w:rPr>
                      <w:rFonts w:hint="eastAsia"/>
                      <w:bCs/>
                      <w:color w:val="auto"/>
                      <w:kern w:val="0"/>
                    </w:rPr>
                    <w:t>油类物质</w:t>
                  </w:r>
                </w:p>
              </w:tc>
              <w:tc>
                <w:tcPr>
                  <w:tcW w:w="2202" w:type="dxa"/>
                  <w:vAlign w:val="center"/>
                </w:tcPr>
                <w:p w14:paraId="6B43E7BE">
                  <w:pPr>
                    <w:keepNext w:val="0"/>
                    <w:keepLines w:val="0"/>
                    <w:widowControl/>
                    <w:suppressLineNumbers w:val="0"/>
                    <w:jc w:val="center"/>
                    <w:textAlignment w:val="center"/>
                    <w:rPr>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1.8027</w:t>
                  </w:r>
                </w:p>
              </w:tc>
            </w:tr>
            <w:tr w14:paraId="5F9B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36B23BAC">
                  <w:pPr>
                    <w:jc w:val="center"/>
                    <w:rPr>
                      <w:bCs/>
                      <w:color w:val="auto"/>
                      <w:kern w:val="0"/>
                    </w:rPr>
                  </w:pPr>
                </w:p>
              </w:tc>
              <w:tc>
                <w:tcPr>
                  <w:tcW w:w="3148" w:type="dxa"/>
                  <w:gridSpan w:val="2"/>
                  <w:vAlign w:val="center"/>
                </w:tcPr>
                <w:p w14:paraId="407EC2EA">
                  <w:pPr>
                    <w:jc w:val="center"/>
                    <w:rPr>
                      <w:bCs/>
                      <w:color w:val="auto"/>
                      <w:kern w:val="0"/>
                    </w:rPr>
                  </w:pPr>
                  <w:r>
                    <w:rPr>
                      <w:rFonts w:hint="eastAsia"/>
                      <w:color w:val="auto"/>
                    </w:rPr>
                    <w:t>丙酮</w:t>
                  </w:r>
                </w:p>
              </w:tc>
              <w:tc>
                <w:tcPr>
                  <w:tcW w:w="2202" w:type="dxa"/>
                  <w:vAlign w:val="center"/>
                </w:tcPr>
                <w:p w14:paraId="61451B99">
                  <w:pPr>
                    <w:keepNext w:val="0"/>
                    <w:keepLines w:val="0"/>
                    <w:widowControl/>
                    <w:suppressLineNumbers w:val="0"/>
                    <w:jc w:val="center"/>
                    <w:textAlignment w:val="center"/>
                    <w:rPr>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0.72</w:t>
                  </w:r>
                </w:p>
              </w:tc>
            </w:tr>
            <w:tr w14:paraId="3AF8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066AD8F3">
                  <w:pPr>
                    <w:jc w:val="center"/>
                    <w:rPr>
                      <w:bCs/>
                      <w:color w:val="auto"/>
                      <w:kern w:val="0"/>
                    </w:rPr>
                  </w:pPr>
                </w:p>
              </w:tc>
              <w:tc>
                <w:tcPr>
                  <w:tcW w:w="3148" w:type="dxa"/>
                  <w:gridSpan w:val="2"/>
                  <w:vAlign w:val="center"/>
                </w:tcPr>
                <w:p w14:paraId="30414E4D">
                  <w:pPr>
                    <w:jc w:val="center"/>
                    <w:rPr>
                      <w:color w:val="auto"/>
                    </w:rPr>
                  </w:pPr>
                  <w:r>
                    <w:rPr>
                      <w:rFonts w:hint="eastAsia"/>
                      <w:color w:val="auto"/>
                    </w:rPr>
                    <w:t>无水乙醇、清洁酒精</w:t>
                  </w:r>
                </w:p>
              </w:tc>
              <w:tc>
                <w:tcPr>
                  <w:tcW w:w="2202" w:type="dxa"/>
                  <w:vAlign w:val="center"/>
                </w:tcPr>
                <w:p w14:paraId="64497D71">
                  <w:pPr>
                    <w:keepNext w:val="0"/>
                    <w:keepLines w:val="0"/>
                    <w:widowControl/>
                    <w:suppressLineNumbers w:val="0"/>
                    <w:jc w:val="center"/>
                    <w:textAlignment w:val="center"/>
                    <w:rPr>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0.28</w:t>
                  </w:r>
                </w:p>
              </w:tc>
            </w:tr>
            <w:tr w14:paraId="1FE3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1C878D41">
                  <w:pPr>
                    <w:jc w:val="center"/>
                    <w:rPr>
                      <w:bCs/>
                      <w:color w:val="auto"/>
                      <w:kern w:val="0"/>
                    </w:rPr>
                  </w:pPr>
                </w:p>
              </w:tc>
              <w:tc>
                <w:tcPr>
                  <w:tcW w:w="3148" w:type="dxa"/>
                  <w:gridSpan w:val="2"/>
                  <w:vAlign w:val="center"/>
                </w:tcPr>
                <w:p w14:paraId="0A12940C">
                  <w:pPr>
                    <w:jc w:val="center"/>
                    <w:rPr>
                      <w:color w:val="auto"/>
                    </w:rPr>
                  </w:pPr>
                  <w:r>
                    <w:rPr>
                      <w:rFonts w:hint="eastAsia"/>
                      <w:color w:val="auto"/>
                    </w:rPr>
                    <w:t>硫酸</w:t>
                  </w:r>
                </w:p>
              </w:tc>
              <w:tc>
                <w:tcPr>
                  <w:tcW w:w="2202" w:type="dxa"/>
                  <w:vAlign w:val="center"/>
                </w:tcPr>
                <w:p w14:paraId="6E0A746D">
                  <w:pPr>
                    <w:keepNext w:val="0"/>
                    <w:keepLines w:val="0"/>
                    <w:widowControl/>
                    <w:suppressLineNumbers w:val="0"/>
                    <w:jc w:val="center"/>
                    <w:textAlignment w:val="center"/>
                    <w:rPr>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0.425</w:t>
                  </w:r>
                </w:p>
              </w:tc>
            </w:tr>
            <w:tr w14:paraId="618A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4C65E188">
                  <w:pPr>
                    <w:jc w:val="center"/>
                    <w:rPr>
                      <w:bCs/>
                      <w:color w:val="auto"/>
                      <w:kern w:val="0"/>
                    </w:rPr>
                  </w:pPr>
                </w:p>
              </w:tc>
              <w:tc>
                <w:tcPr>
                  <w:tcW w:w="3148" w:type="dxa"/>
                  <w:gridSpan w:val="2"/>
                  <w:vAlign w:val="center"/>
                </w:tcPr>
                <w:p w14:paraId="45274532">
                  <w:pPr>
                    <w:jc w:val="center"/>
                    <w:rPr>
                      <w:color w:val="auto"/>
                    </w:rPr>
                  </w:pPr>
                  <w:r>
                    <w:rPr>
                      <w:rFonts w:hint="eastAsia"/>
                      <w:color w:val="auto"/>
                    </w:rPr>
                    <w:t>乙酸</w:t>
                  </w:r>
                </w:p>
              </w:tc>
              <w:tc>
                <w:tcPr>
                  <w:tcW w:w="2202" w:type="dxa"/>
                  <w:vAlign w:val="center"/>
                </w:tcPr>
                <w:p w14:paraId="33BEF477">
                  <w:pPr>
                    <w:keepNext w:val="0"/>
                    <w:keepLines w:val="0"/>
                    <w:widowControl/>
                    <w:suppressLineNumbers w:val="0"/>
                    <w:jc w:val="center"/>
                    <w:textAlignment w:val="center"/>
                    <w:rPr>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2355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461F94FF">
                  <w:pPr>
                    <w:jc w:val="center"/>
                    <w:rPr>
                      <w:bCs/>
                      <w:color w:val="auto"/>
                      <w:kern w:val="0"/>
                    </w:rPr>
                  </w:pPr>
                </w:p>
              </w:tc>
              <w:tc>
                <w:tcPr>
                  <w:tcW w:w="3148" w:type="dxa"/>
                  <w:gridSpan w:val="2"/>
                  <w:vAlign w:val="center"/>
                </w:tcPr>
                <w:p w14:paraId="3D4C5B88">
                  <w:pPr>
                    <w:jc w:val="center"/>
                    <w:rPr>
                      <w:rFonts w:hint="eastAsia"/>
                      <w:color w:val="auto"/>
                    </w:rPr>
                  </w:pPr>
                  <w:r>
                    <w:rPr>
                      <w:rFonts w:hint="eastAsia"/>
                      <w:color w:val="auto"/>
                    </w:rPr>
                    <w:t>乙二胺</w:t>
                  </w:r>
                </w:p>
              </w:tc>
              <w:tc>
                <w:tcPr>
                  <w:tcW w:w="2202" w:type="dxa"/>
                  <w:vAlign w:val="center"/>
                </w:tcPr>
                <w:p w14:paraId="05D7128F">
                  <w:pPr>
                    <w:keepNext w:val="0"/>
                    <w:keepLines w:val="0"/>
                    <w:widowControl/>
                    <w:suppressLineNumbers w:val="0"/>
                    <w:jc w:val="center"/>
                    <w:textAlignment w:val="center"/>
                    <w:rPr>
                      <w:rFonts w:hint="eastAsia"/>
                      <w:bCs/>
                      <w:color w:val="auto"/>
                      <w:kern w:val="0"/>
                    </w:rPr>
                  </w:pPr>
                  <w:r>
                    <w:rPr>
                      <w:rFonts w:hint="default" w:ascii="Times New Roman" w:hAnsi="Times New Roman" w:eastAsia="宋体" w:cs="Times New Roman"/>
                      <w:i w:val="0"/>
                      <w:iCs w:val="0"/>
                      <w:color w:val="auto"/>
                      <w:kern w:val="0"/>
                      <w:sz w:val="21"/>
                      <w:szCs w:val="21"/>
                      <w:u w:val="none"/>
                      <w:lang w:val="en-US" w:eastAsia="zh-CN" w:bidi="ar"/>
                    </w:rPr>
                    <w:t>0.11</w:t>
                  </w:r>
                </w:p>
              </w:tc>
            </w:tr>
            <w:tr w14:paraId="4CD3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6D07C48F">
                  <w:pPr>
                    <w:jc w:val="center"/>
                    <w:rPr>
                      <w:bCs/>
                      <w:color w:val="auto"/>
                      <w:kern w:val="0"/>
                    </w:rPr>
                  </w:pPr>
                </w:p>
              </w:tc>
              <w:tc>
                <w:tcPr>
                  <w:tcW w:w="3148" w:type="dxa"/>
                  <w:gridSpan w:val="2"/>
                  <w:vAlign w:val="center"/>
                </w:tcPr>
                <w:p w14:paraId="6EE61C02">
                  <w:pPr>
                    <w:jc w:val="center"/>
                    <w:rPr>
                      <w:color w:val="auto"/>
                    </w:rPr>
                  </w:pPr>
                  <w:r>
                    <w:rPr>
                      <w:rFonts w:hint="eastAsia"/>
                      <w:color w:val="auto"/>
                    </w:rPr>
                    <w:t>硝酸</w:t>
                  </w:r>
                </w:p>
              </w:tc>
              <w:tc>
                <w:tcPr>
                  <w:tcW w:w="2202" w:type="dxa"/>
                  <w:vAlign w:val="center"/>
                </w:tcPr>
                <w:p w14:paraId="578B3FF1">
                  <w:pPr>
                    <w:keepNext w:val="0"/>
                    <w:keepLines w:val="0"/>
                    <w:widowControl/>
                    <w:suppressLineNumbers w:val="0"/>
                    <w:jc w:val="center"/>
                    <w:textAlignment w:val="center"/>
                    <w:rPr>
                      <w:rFonts w:hint="default" w:eastAsia="宋体"/>
                      <w:bCs/>
                      <w:color w:val="auto"/>
                      <w:kern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r>
            <w:tr w14:paraId="76B9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5" w:type="dxa"/>
                  <w:gridSpan w:val="2"/>
                  <w:vMerge w:val="continue"/>
                  <w:vAlign w:val="center"/>
                </w:tcPr>
                <w:p w14:paraId="59C33F1D">
                  <w:pPr>
                    <w:jc w:val="center"/>
                    <w:rPr>
                      <w:bCs/>
                      <w:color w:val="auto"/>
                      <w:kern w:val="0"/>
                    </w:rPr>
                  </w:pPr>
                </w:p>
              </w:tc>
              <w:tc>
                <w:tcPr>
                  <w:tcW w:w="3148" w:type="dxa"/>
                  <w:gridSpan w:val="2"/>
                  <w:vAlign w:val="center"/>
                </w:tcPr>
                <w:p w14:paraId="70D98CC2">
                  <w:pPr>
                    <w:jc w:val="center"/>
                    <w:rPr>
                      <w:rFonts w:hint="eastAsia"/>
                      <w:color w:val="auto"/>
                    </w:rPr>
                  </w:pPr>
                  <w:r>
                    <w:rPr>
                      <w:rFonts w:hint="eastAsia"/>
                      <w:color w:val="auto"/>
                    </w:rPr>
                    <w:t>环氧氯丙烷</w:t>
                  </w:r>
                </w:p>
              </w:tc>
              <w:tc>
                <w:tcPr>
                  <w:tcW w:w="2202" w:type="dxa"/>
                  <w:vAlign w:val="center"/>
                </w:tcPr>
                <w:p w14:paraId="04A11A7C">
                  <w:pPr>
                    <w:keepNext w:val="0"/>
                    <w:keepLines w:val="0"/>
                    <w:widowControl/>
                    <w:suppressLineNumbers w:val="0"/>
                    <w:jc w:val="center"/>
                    <w:textAlignment w:val="center"/>
                    <w:rPr>
                      <w:rFonts w:hint="eastAsia"/>
                      <w:bCs/>
                      <w:color w:val="auto"/>
                      <w:kern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0.00144</w:t>
                  </w:r>
                </w:p>
              </w:tc>
            </w:tr>
          </w:tbl>
          <w:p w14:paraId="0D5F0507">
            <w:pPr>
              <w:autoSpaceDE w:val="0"/>
              <w:autoSpaceDN w:val="0"/>
              <w:adjustRightInd w:val="0"/>
              <w:jc w:val="center"/>
              <w:rPr>
                <w:b/>
                <w:color w:val="auto"/>
              </w:rPr>
            </w:pPr>
            <w:r>
              <w:rPr>
                <w:rFonts w:hAnsi="宋体"/>
                <w:b/>
                <w:color w:val="auto"/>
                <w:sz w:val="24"/>
              </w:rPr>
              <w:t>表</w:t>
            </w:r>
            <w:r>
              <w:rPr>
                <w:b/>
                <w:color w:val="auto"/>
                <w:sz w:val="24"/>
              </w:rPr>
              <w:t>4-</w:t>
            </w:r>
            <w:r>
              <w:rPr>
                <w:rFonts w:hint="eastAsia"/>
                <w:b/>
                <w:color w:val="auto"/>
                <w:sz w:val="24"/>
              </w:rPr>
              <w:t>2</w:t>
            </w:r>
            <w:r>
              <w:rPr>
                <w:rFonts w:hint="eastAsia"/>
                <w:b/>
                <w:color w:val="auto"/>
                <w:sz w:val="24"/>
                <w:lang w:val="en-US" w:eastAsia="zh-CN"/>
              </w:rPr>
              <w:t>4</w:t>
            </w:r>
            <w:r>
              <w:rPr>
                <w:rFonts w:hAnsi="宋体"/>
                <w:b/>
                <w:color w:val="auto"/>
                <w:sz w:val="24"/>
              </w:rPr>
              <w:t>建设项目</w:t>
            </w:r>
            <w:r>
              <w:rPr>
                <w:b/>
                <w:color w:val="auto"/>
                <w:sz w:val="24"/>
              </w:rPr>
              <w:t>Q</w:t>
            </w:r>
            <w:r>
              <w:rPr>
                <w:rFonts w:hAnsi="宋体"/>
                <w:b/>
                <w:color w:val="auto"/>
                <w:sz w:val="24"/>
              </w:rPr>
              <w:t>值确定表</w:t>
            </w:r>
          </w:p>
          <w:tbl>
            <w:tblPr>
              <w:tblStyle w:val="24"/>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23"/>
              <w:gridCol w:w="1363"/>
              <w:gridCol w:w="898"/>
              <w:gridCol w:w="718"/>
              <w:gridCol w:w="1359"/>
              <w:gridCol w:w="1071"/>
              <w:gridCol w:w="1003"/>
              <w:gridCol w:w="427"/>
            </w:tblGrid>
            <w:tr w14:paraId="4127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7" w:type="dxa"/>
                  <w:vAlign w:val="center"/>
                </w:tcPr>
                <w:p w14:paraId="162B08C1">
                  <w:pPr>
                    <w:pStyle w:val="50"/>
                    <w:spacing w:before="24" w:after="24"/>
                    <w:jc w:val="center"/>
                    <w:rPr>
                      <w:rFonts w:ascii="Times New Roman"/>
                      <w:b/>
                      <w:color w:val="auto"/>
                    </w:rPr>
                  </w:pPr>
                  <w:r>
                    <w:rPr>
                      <w:rFonts w:ascii="Times New Roman"/>
                      <w:b/>
                      <w:color w:val="auto"/>
                    </w:rPr>
                    <w:t>序号</w:t>
                  </w:r>
                </w:p>
              </w:tc>
              <w:tc>
                <w:tcPr>
                  <w:tcW w:w="1223" w:type="dxa"/>
                  <w:vAlign w:val="center"/>
                </w:tcPr>
                <w:p w14:paraId="59B44CA5">
                  <w:pPr>
                    <w:pStyle w:val="50"/>
                    <w:spacing w:before="24" w:after="24"/>
                    <w:jc w:val="center"/>
                    <w:rPr>
                      <w:rFonts w:ascii="Times New Roman"/>
                      <w:b/>
                      <w:color w:val="auto"/>
                    </w:rPr>
                  </w:pPr>
                  <w:r>
                    <w:rPr>
                      <w:rFonts w:ascii="Times New Roman"/>
                      <w:b/>
                      <w:color w:val="auto"/>
                    </w:rPr>
                    <w:t>危险物质名称</w:t>
                  </w:r>
                </w:p>
              </w:tc>
              <w:tc>
                <w:tcPr>
                  <w:tcW w:w="1363" w:type="dxa"/>
                  <w:vAlign w:val="center"/>
                </w:tcPr>
                <w:p w14:paraId="22CAD427">
                  <w:pPr>
                    <w:pStyle w:val="50"/>
                    <w:spacing w:before="24" w:after="24"/>
                    <w:jc w:val="center"/>
                    <w:rPr>
                      <w:rFonts w:ascii="Times New Roman"/>
                      <w:b/>
                      <w:color w:val="auto"/>
                    </w:rPr>
                  </w:pPr>
                  <w:r>
                    <w:rPr>
                      <w:rFonts w:ascii="Times New Roman"/>
                      <w:b/>
                      <w:color w:val="auto"/>
                    </w:rPr>
                    <w:t>CAS号</w:t>
                  </w:r>
                </w:p>
              </w:tc>
              <w:tc>
                <w:tcPr>
                  <w:tcW w:w="898" w:type="dxa"/>
                  <w:vAlign w:val="center"/>
                </w:tcPr>
                <w:p w14:paraId="23F84FA6">
                  <w:pPr>
                    <w:pStyle w:val="50"/>
                    <w:spacing w:before="24" w:after="24"/>
                    <w:jc w:val="center"/>
                    <w:rPr>
                      <w:rFonts w:ascii="Times New Roman"/>
                      <w:b/>
                      <w:color w:val="auto"/>
                    </w:rPr>
                  </w:pPr>
                  <w:r>
                    <w:rPr>
                      <w:rFonts w:hint="eastAsia" w:ascii="Times New Roman"/>
                      <w:b/>
                      <w:color w:val="auto"/>
                      <w:lang w:val="en-US" w:eastAsia="zh-CN"/>
                    </w:rPr>
                    <w:t>本项目</w:t>
                  </w:r>
                  <w:r>
                    <w:rPr>
                      <w:rFonts w:ascii="Times New Roman"/>
                      <w:b/>
                      <w:color w:val="auto"/>
                    </w:rPr>
                    <w:t>最大存在总量qi/t</w:t>
                  </w:r>
                </w:p>
              </w:tc>
              <w:tc>
                <w:tcPr>
                  <w:tcW w:w="718" w:type="dxa"/>
                  <w:vAlign w:val="center"/>
                </w:tcPr>
                <w:p w14:paraId="0DE1988E">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一期项目最大</w:t>
                  </w:r>
                  <w:r>
                    <w:rPr>
                      <w:rFonts w:ascii="Times New Roman"/>
                      <w:b/>
                      <w:color w:val="auto"/>
                    </w:rPr>
                    <w:t>存在总量</w:t>
                  </w:r>
                </w:p>
              </w:tc>
              <w:tc>
                <w:tcPr>
                  <w:tcW w:w="1359" w:type="dxa"/>
                  <w:vAlign w:val="center"/>
                </w:tcPr>
                <w:p w14:paraId="45D14CB9">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全厂最大贮存量</w:t>
                  </w:r>
                </w:p>
              </w:tc>
              <w:tc>
                <w:tcPr>
                  <w:tcW w:w="1071" w:type="dxa"/>
                  <w:vAlign w:val="center"/>
                </w:tcPr>
                <w:p w14:paraId="036C076C">
                  <w:pPr>
                    <w:pStyle w:val="50"/>
                    <w:spacing w:before="24" w:after="24"/>
                    <w:jc w:val="center"/>
                    <w:rPr>
                      <w:rFonts w:ascii="Times New Roman"/>
                      <w:b/>
                      <w:color w:val="auto"/>
                    </w:rPr>
                  </w:pPr>
                  <w:r>
                    <w:rPr>
                      <w:rFonts w:ascii="Times New Roman"/>
                      <w:b/>
                      <w:color w:val="auto"/>
                    </w:rPr>
                    <w:t>临界量Qn/t</w:t>
                  </w:r>
                </w:p>
              </w:tc>
              <w:tc>
                <w:tcPr>
                  <w:tcW w:w="1003" w:type="dxa"/>
                  <w:vAlign w:val="center"/>
                </w:tcPr>
                <w:p w14:paraId="07233919">
                  <w:pPr>
                    <w:pStyle w:val="50"/>
                    <w:spacing w:before="24" w:after="24"/>
                    <w:jc w:val="center"/>
                    <w:rPr>
                      <w:rFonts w:ascii="Times New Roman"/>
                      <w:b/>
                      <w:color w:val="auto"/>
                    </w:rPr>
                  </w:pPr>
                  <w:r>
                    <w:rPr>
                      <w:rFonts w:ascii="Times New Roman"/>
                      <w:b/>
                      <w:color w:val="auto"/>
                    </w:rPr>
                    <w:t>该种物质Q值</w:t>
                  </w:r>
                </w:p>
              </w:tc>
              <w:tc>
                <w:tcPr>
                  <w:tcW w:w="427" w:type="dxa"/>
                  <w:vAlign w:val="center"/>
                </w:tcPr>
                <w:p w14:paraId="3D421303">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是否超过临界量</w:t>
                  </w:r>
                </w:p>
              </w:tc>
            </w:tr>
            <w:tr w14:paraId="7E45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577CE9A">
                  <w:pPr>
                    <w:pStyle w:val="50"/>
                    <w:spacing w:before="24" w:after="24"/>
                    <w:jc w:val="center"/>
                    <w:rPr>
                      <w:rFonts w:ascii="Times New Roman"/>
                      <w:color w:val="auto"/>
                    </w:rPr>
                  </w:pPr>
                  <w:r>
                    <w:rPr>
                      <w:rFonts w:hint="eastAsia" w:ascii="Times New Roman"/>
                      <w:color w:val="auto"/>
                    </w:rPr>
                    <w:t>1</w:t>
                  </w:r>
                </w:p>
              </w:tc>
              <w:tc>
                <w:tcPr>
                  <w:tcW w:w="1223" w:type="dxa"/>
                  <w:shd w:val="clear" w:color="auto" w:fill="auto"/>
                  <w:vAlign w:val="center"/>
                </w:tcPr>
                <w:p w14:paraId="70EAA3C8">
                  <w:pPr>
                    <w:jc w:val="center"/>
                    <w:rPr>
                      <w:bCs/>
                      <w:color w:val="auto"/>
                      <w:kern w:val="0"/>
                    </w:rPr>
                  </w:pPr>
                  <w:r>
                    <w:rPr>
                      <w:rFonts w:hint="eastAsia"/>
                      <w:bCs/>
                      <w:color w:val="auto"/>
                      <w:kern w:val="0"/>
                    </w:rPr>
                    <w:t>油类物质</w:t>
                  </w:r>
                </w:p>
              </w:tc>
              <w:tc>
                <w:tcPr>
                  <w:tcW w:w="1363" w:type="dxa"/>
                  <w:shd w:val="clear" w:color="auto" w:fill="auto"/>
                  <w:vAlign w:val="center"/>
                </w:tcPr>
                <w:p w14:paraId="5AEC9DCC">
                  <w:pPr>
                    <w:jc w:val="center"/>
                    <w:rPr>
                      <w:bCs/>
                      <w:color w:val="auto"/>
                      <w:kern w:val="0"/>
                    </w:rPr>
                  </w:pPr>
                  <w:r>
                    <w:rPr>
                      <w:rFonts w:hint="eastAsia"/>
                      <w:bCs/>
                      <w:color w:val="auto"/>
                      <w:kern w:val="0"/>
                    </w:rPr>
                    <w:t>/</w:t>
                  </w:r>
                </w:p>
              </w:tc>
              <w:tc>
                <w:tcPr>
                  <w:tcW w:w="898" w:type="dxa"/>
                  <w:shd w:val="clear" w:color="auto" w:fill="auto"/>
                  <w:vAlign w:val="center"/>
                </w:tcPr>
                <w:p w14:paraId="20E1FC98">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1.8027</w:t>
                  </w:r>
                </w:p>
              </w:tc>
              <w:tc>
                <w:tcPr>
                  <w:tcW w:w="718" w:type="dxa"/>
                  <w:vAlign w:val="center"/>
                </w:tcPr>
                <w:p w14:paraId="6F9FDFA8">
                  <w:pPr>
                    <w:pStyle w:val="63"/>
                    <w:jc w:val="center"/>
                    <w:rPr>
                      <w:rFonts w:hint="default" w:eastAsia="宋体"/>
                      <w:color w:val="auto"/>
                      <w:lang w:val="en-US" w:eastAsia="zh-CN"/>
                    </w:rPr>
                  </w:pPr>
                  <w:r>
                    <w:rPr>
                      <w:rFonts w:hint="eastAsia"/>
                      <w:color w:val="auto"/>
                      <w:lang w:val="en-US" w:eastAsia="zh-CN"/>
                    </w:rPr>
                    <w:t>0.005</w:t>
                  </w:r>
                </w:p>
              </w:tc>
              <w:tc>
                <w:tcPr>
                  <w:tcW w:w="1359" w:type="dxa"/>
                  <w:vAlign w:val="center"/>
                </w:tcPr>
                <w:p w14:paraId="4EC8DFB1">
                  <w:pPr>
                    <w:jc w:val="center"/>
                    <w:rPr>
                      <w:rFonts w:hint="eastAsia"/>
                      <w:color w:val="auto"/>
                    </w:rPr>
                  </w:pPr>
                  <w:r>
                    <w:rPr>
                      <w:rFonts w:hint="eastAsia"/>
                      <w:color w:val="auto"/>
                      <w:lang w:val="en-US" w:eastAsia="zh-CN"/>
                    </w:rPr>
                    <w:t>1.8077</w:t>
                  </w:r>
                </w:p>
              </w:tc>
              <w:tc>
                <w:tcPr>
                  <w:tcW w:w="1071" w:type="dxa"/>
                  <w:vAlign w:val="center"/>
                </w:tcPr>
                <w:p w14:paraId="6FF4ED33">
                  <w:pPr>
                    <w:jc w:val="center"/>
                    <w:rPr>
                      <w:color w:val="auto"/>
                    </w:rPr>
                  </w:pPr>
                  <w:r>
                    <w:rPr>
                      <w:rFonts w:hint="default"/>
                      <w:color w:val="auto"/>
                      <w:lang w:val="en-US" w:eastAsia="zh-CN"/>
                    </w:rPr>
                    <w:t>2500</w:t>
                  </w:r>
                </w:p>
              </w:tc>
              <w:tc>
                <w:tcPr>
                  <w:tcW w:w="1003" w:type="dxa"/>
                  <w:vAlign w:val="center"/>
                </w:tcPr>
                <w:p w14:paraId="3DC66C07">
                  <w:pPr>
                    <w:jc w:val="center"/>
                    <w:rPr>
                      <w:color w:val="auto"/>
                    </w:rPr>
                  </w:pPr>
                  <w:r>
                    <w:rPr>
                      <w:rFonts w:hint="default"/>
                      <w:color w:val="auto"/>
                      <w:lang w:val="en-US" w:eastAsia="zh-CN"/>
                    </w:rPr>
                    <w:t>0.0007</w:t>
                  </w:r>
                </w:p>
              </w:tc>
              <w:tc>
                <w:tcPr>
                  <w:tcW w:w="427" w:type="dxa"/>
                  <w:vAlign w:val="center"/>
                </w:tcPr>
                <w:p w14:paraId="7BB37DC4">
                  <w:pPr>
                    <w:jc w:val="center"/>
                    <w:rPr>
                      <w:rFonts w:hint="eastAsia"/>
                      <w:color w:val="auto"/>
                      <w:lang w:val="en-US" w:eastAsia="zh-CN"/>
                    </w:rPr>
                  </w:pPr>
                  <w:r>
                    <w:rPr>
                      <w:rFonts w:hint="eastAsia"/>
                      <w:color w:val="auto"/>
                      <w:lang w:val="en-US" w:eastAsia="zh-CN"/>
                    </w:rPr>
                    <w:t>否</w:t>
                  </w:r>
                </w:p>
              </w:tc>
            </w:tr>
            <w:tr w14:paraId="350A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E610564">
                  <w:pPr>
                    <w:pStyle w:val="50"/>
                    <w:spacing w:before="24" w:after="24"/>
                    <w:jc w:val="center"/>
                    <w:rPr>
                      <w:rFonts w:ascii="Times New Roman"/>
                      <w:color w:val="auto"/>
                    </w:rPr>
                  </w:pPr>
                  <w:r>
                    <w:rPr>
                      <w:rFonts w:hint="eastAsia" w:ascii="Times New Roman"/>
                      <w:color w:val="auto"/>
                    </w:rPr>
                    <w:t>2</w:t>
                  </w:r>
                </w:p>
              </w:tc>
              <w:tc>
                <w:tcPr>
                  <w:tcW w:w="1223" w:type="dxa"/>
                  <w:shd w:val="clear" w:color="auto" w:fill="auto"/>
                  <w:vAlign w:val="center"/>
                </w:tcPr>
                <w:p w14:paraId="22121D1C">
                  <w:pPr>
                    <w:jc w:val="center"/>
                    <w:rPr>
                      <w:bCs/>
                      <w:color w:val="auto"/>
                      <w:kern w:val="0"/>
                    </w:rPr>
                  </w:pPr>
                  <w:r>
                    <w:rPr>
                      <w:rFonts w:hint="eastAsia"/>
                      <w:color w:val="auto"/>
                    </w:rPr>
                    <w:t>丙酮</w:t>
                  </w:r>
                </w:p>
              </w:tc>
              <w:tc>
                <w:tcPr>
                  <w:tcW w:w="1363" w:type="dxa"/>
                  <w:shd w:val="clear" w:color="auto" w:fill="auto"/>
                  <w:vAlign w:val="center"/>
                </w:tcPr>
                <w:p w14:paraId="77619E04">
                  <w:pPr>
                    <w:jc w:val="center"/>
                    <w:rPr>
                      <w:bCs/>
                      <w:color w:val="auto"/>
                      <w:kern w:val="0"/>
                    </w:rPr>
                  </w:pPr>
                  <w:r>
                    <w:rPr>
                      <w:rFonts w:hint="eastAsia"/>
                      <w:bCs/>
                      <w:color w:val="auto"/>
                      <w:kern w:val="0"/>
                    </w:rPr>
                    <w:t>67-64-1</w:t>
                  </w:r>
                </w:p>
              </w:tc>
              <w:tc>
                <w:tcPr>
                  <w:tcW w:w="898" w:type="dxa"/>
                  <w:shd w:val="clear" w:color="auto" w:fill="auto"/>
                  <w:vAlign w:val="center"/>
                </w:tcPr>
                <w:p w14:paraId="356A06DB">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718" w:type="dxa"/>
                  <w:vAlign w:val="center"/>
                </w:tcPr>
                <w:p w14:paraId="1BDEFE19">
                  <w:pPr>
                    <w:pStyle w:val="63"/>
                    <w:jc w:val="center"/>
                    <w:rPr>
                      <w:rFonts w:hint="eastAsia" w:eastAsia="宋体"/>
                      <w:color w:val="auto"/>
                      <w:lang w:val="en-US" w:eastAsia="zh-CN"/>
                    </w:rPr>
                  </w:pPr>
                  <w:r>
                    <w:rPr>
                      <w:rFonts w:hint="eastAsia"/>
                      <w:color w:val="auto"/>
                      <w:lang w:val="en-US" w:eastAsia="zh-CN"/>
                    </w:rPr>
                    <w:t>0</w:t>
                  </w:r>
                </w:p>
              </w:tc>
              <w:tc>
                <w:tcPr>
                  <w:tcW w:w="1359" w:type="dxa"/>
                  <w:vAlign w:val="center"/>
                </w:tcPr>
                <w:p w14:paraId="0610A497">
                  <w:pPr>
                    <w:jc w:val="center"/>
                    <w:rPr>
                      <w:rFonts w:hint="eastAsia"/>
                      <w:color w:val="auto"/>
                    </w:rPr>
                  </w:pPr>
                  <w:r>
                    <w:rPr>
                      <w:rFonts w:hint="eastAsia"/>
                      <w:color w:val="auto"/>
                      <w:lang w:val="en-US" w:eastAsia="zh-CN"/>
                    </w:rPr>
                    <w:t>0.72</w:t>
                  </w:r>
                </w:p>
              </w:tc>
              <w:tc>
                <w:tcPr>
                  <w:tcW w:w="1071" w:type="dxa"/>
                  <w:vAlign w:val="center"/>
                </w:tcPr>
                <w:p w14:paraId="7588DDA3">
                  <w:pPr>
                    <w:jc w:val="center"/>
                    <w:rPr>
                      <w:color w:val="auto"/>
                    </w:rPr>
                  </w:pPr>
                  <w:r>
                    <w:rPr>
                      <w:rFonts w:hint="default"/>
                      <w:color w:val="auto"/>
                      <w:lang w:val="en-US" w:eastAsia="zh-CN"/>
                    </w:rPr>
                    <w:t>10</w:t>
                  </w:r>
                </w:p>
              </w:tc>
              <w:tc>
                <w:tcPr>
                  <w:tcW w:w="1003" w:type="dxa"/>
                  <w:vAlign w:val="center"/>
                </w:tcPr>
                <w:p w14:paraId="7AAEC462">
                  <w:pPr>
                    <w:jc w:val="center"/>
                    <w:rPr>
                      <w:color w:val="auto"/>
                    </w:rPr>
                  </w:pPr>
                  <w:r>
                    <w:rPr>
                      <w:rFonts w:hint="default"/>
                      <w:color w:val="auto"/>
                      <w:lang w:val="en-US" w:eastAsia="zh-CN"/>
                    </w:rPr>
                    <w:t>0.0720</w:t>
                  </w:r>
                </w:p>
              </w:tc>
              <w:tc>
                <w:tcPr>
                  <w:tcW w:w="427" w:type="dxa"/>
                  <w:vAlign w:val="center"/>
                </w:tcPr>
                <w:p w14:paraId="6FC253E3">
                  <w:pPr>
                    <w:jc w:val="center"/>
                    <w:rPr>
                      <w:rFonts w:hint="eastAsia"/>
                      <w:color w:val="auto"/>
                    </w:rPr>
                  </w:pPr>
                  <w:r>
                    <w:rPr>
                      <w:rFonts w:hint="eastAsia"/>
                      <w:color w:val="auto"/>
                      <w:lang w:val="en-US" w:eastAsia="zh-CN"/>
                    </w:rPr>
                    <w:t>否</w:t>
                  </w:r>
                </w:p>
              </w:tc>
            </w:tr>
            <w:tr w14:paraId="594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FAFEFCB">
                  <w:pPr>
                    <w:pStyle w:val="50"/>
                    <w:spacing w:before="24" w:after="24"/>
                    <w:jc w:val="center"/>
                    <w:rPr>
                      <w:rFonts w:ascii="Times New Roman"/>
                      <w:color w:val="auto"/>
                    </w:rPr>
                  </w:pPr>
                  <w:r>
                    <w:rPr>
                      <w:rFonts w:hint="eastAsia" w:ascii="Times New Roman"/>
                      <w:color w:val="auto"/>
                    </w:rPr>
                    <w:t>3</w:t>
                  </w:r>
                </w:p>
              </w:tc>
              <w:tc>
                <w:tcPr>
                  <w:tcW w:w="1223" w:type="dxa"/>
                  <w:shd w:val="clear" w:color="auto" w:fill="auto"/>
                  <w:vAlign w:val="center"/>
                </w:tcPr>
                <w:p w14:paraId="65C3D0C2">
                  <w:pPr>
                    <w:jc w:val="center"/>
                    <w:rPr>
                      <w:color w:val="auto"/>
                    </w:rPr>
                  </w:pPr>
                  <w:r>
                    <w:rPr>
                      <w:rFonts w:hint="eastAsia"/>
                      <w:color w:val="auto"/>
                    </w:rPr>
                    <w:t>无水乙醇、清洁酒精</w:t>
                  </w:r>
                </w:p>
              </w:tc>
              <w:tc>
                <w:tcPr>
                  <w:tcW w:w="1363" w:type="dxa"/>
                  <w:shd w:val="clear" w:color="auto" w:fill="auto"/>
                  <w:vAlign w:val="center"/>
                </w:tcPr>
                <w:p w14:paraId="225D9FBE">
                  <w:pPr>
                    <w:jc w:val="center"/>
                    <w:rPr>
                      <w:bCs/>
                      <w:color w:val="auto"/>
                      <w:kern w:val="0"/>
                    </w:rPr>
                  </w:pPr>
                  <w:r>
                    <w:rPr>
                      <w:rFonts w:hint="eastAsia"/>
                      <w:bCs/>
                      <w:color w:val="auto"/>
                      <w:kern w:val="0"/>
                    </w:rPr>
                    <w:t>/</w:t>
                  </w:r>
                </w:p>
              </w:tc>
              <w:tc>
                <w:tcPr>
                  <w:tcW w:w="898" w:type="dxa"/>
                  <w:shd w:val="clear" w:color="auto" w:fill="auto"/>
                  <w:vAlign w:val="center"/>
                </w:tcPr>
                <w:p w14:paraId="00AAE80F">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718" w:type="dxa"/>
                  <w:vAlign w:val="center"/>
                </w:tcPr>
                <w:p w14:paraId="28419F02">
                  <w:pPr>
                    <w:pStyle w:val="63"/>
                    <w:jc w:val="center"/>
                    <w:rPr>
                      <w:rFonts w:hint="eastAsia" w:eastAsia="宋体"/>
                      <w:color w:val="auto"/>
                      <w:lang w:val="en-US" w:eastAsia="zh-CN"/>
                    </w:rPr>
                  </w:pPr>
                  <w:r>
                    <w:rPr>
                      <w:rFonts w:hint="eastAsia"/>
                      <w:color w:val="auto"/>
                      <w:lang w:val="en-US" w:eastAsia="zh-CN"/>
                    </w:rPr>
                    <w:t>0</w:t>
                  </w:r>
                </w:p>
              </w:tc>
              <w:tc>
                <w:tcPr>
                  <w:tcW w:w="1359" w:type="dxa"/>
                  <w:vAlign w:val="center"/>
                </w:tcPr>
                <w:p w14:paraId="7672A4B7">
                  <w:pPr>
                    <w:jc w:val="center"/>
                    <w:rPr>
                      <w:rFonts w:hint="eastAsia"/>
                      <w:color w:val="auto"/>
                    </w:rPr>
                  </w:pPr>
                  <w:r>
                    <w:rPr>
                      <w:rFonts w:hint="eastAsia"/>
                      <w:color w:val="auto"/>
                      <w:lang w:val="en-US" w:eastAsia="zh-CN"/>
                    </w:rPr>
                    <w:t>0.28</w:t>
                  </w:r>
                </w:p>
              </w:tc>
              <w:tc>
                <w:tcPr>
                  <w:tcW w:w="1071" w:type="dxa"/>
                  <w:vAlign w:val="center"/>
                </w:tcPr>
                <w:p w14:paraId="349A745F">
                  <w:pPr>
                    <w:jc w:val="center"/>
                    <w:rPr>
                      <w:color w:val="auto"/>
                    </w:rPr>
                  </w:pPr>
                  <w:r>
                    <w:rPr>
                      <w:rFonts w:hint="default"/>
                      <w:color w:val="auto"/>
                      <w:lang w:val="en-US" w:eastAsia="zh-CN"/>
                    </w:rPr>
                    <w:t>50</w:t>
                  </w:r>
                </w:p>
              </w:tc>
              <w:tc>
                <w:tcPr>
                  <w:tcW w:w="1003" w:type="dxa"/>
                  <w:vAlign w:val="center"/>
                </w:tcPr>
                <w:p w14:paraId="543857B9">
                  <w:pPr>
                    <w:jc w:val="center"/>
                    <w:rPr>
                      <w:color w:val="auto"/>
                    </w:rPr>
                  </w:pPr>
                  <w:r>
                    <w:rPr>
                      <w:rFonts w:hint="default"/>
                      <w:color w:val="auto"/>
                      <w:lang w:val="en-US" w:eastAsia="zh-CN"/>
                    </w:rPr>
                    <w:t>0.0056</w:t>
                  </w:r>
                </w:p>
              </w:tc>
              <w:tc>
                <w:tcPr>
                  <w:tcW w:w="427" w:type="dxa"/>
                  <w:vAlign w:val="center"/>
                </w:tcPr>
                <w:p w14:paraId="458C0F7B">
                  <w:pPr>
                    <w:jc w:val="center"/>
                    <w:rPr>
                      <w:rFonts w:hint="eastAsia"/>
                      <w:color w:val="auto"/>
                    </w:rPr>
                  </w:pPr>
                  <w:r>
                    <w:rPr>
                      <w:rFonts w:hint="eastAsia"/>
                      <w:color w:val="auto"/>
                      <w:lang w:val="en-US" w:eastAsia="zh-CN"/>
                    </w:rPr>
                    <w:t>否</w:t>
                  </w:r>
                </w:p>
              </w:tc>
            </w:tr>
            <w:tr w14:paraId="6DFC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455A71EE">
                  <w:pPr>
                    <w:pStyle w:val="50"/>
                    <w:spacing w:before="24" w:after="24"/>
                    <w:jc w:val="center"/>
                    <w:rPr>
                      <w:rFonts w:ascii="Times New Roman"/>
                      <w:color w:val="auto"/>
                    </w:rPr>
                  </w:pPr>
                  <w:r>
                    <w:rPr>
                      <w:rFonts w:hint="eastAsia" w:ascii="Times New Roman"/>
                      <w:color w:val="auto"/>
                    </w:rPr>
                    <w:t>4</w:t>
                  </w:r>
                </w:p>
              </w:tc>
              <w:tc>
                <w:tcPr>
                  <w:tcW w:w="1223" w:type="dxa"/>
                  <w:shd w:val="clear" w:color="auto" w:fill="auto"/>
                  <w:vAlign w:val="center"/>
                </w:tcPr>
                <w:p w14:paraId="3E1303E9">
                  <w:pPr>
                    <w:jc w:val="center"/>
                    <w:rPr>
                      <w:color w:val="auto"/>
                    </w:rPr>
                  </w:pPr>
                  <w:r>
                    <w:rPr>
                      <w:rFonts w:hint="eastAsia"/>
                      <w:color w:val="auto"/>
                    </w:rPr>
                    <w:t>硫酸</w:t>
                  </w:r>
                </w:p>
              </w:tc>
              <w:tc>
                <w:tcPr>
                  <w:tcW w:w="1363" w:type="dxa"/>
                  <w:shd w:val="clear" w:color="auto" w:fill="auto"/>
                  <w:vAlign w:val="center"/>
                </w:tcPr>
                <w:p w14:paraId="73A9CDAA">
                  <w:pPr>
                    <w:jc w:val="center"/>
                    <w:rPr>
                      <w:bCs/>
                      <w:color w:val="auto"/>
                      <w:kern w:val="0"/>
                    </w:rPr>
                  </w:pPr>
                  <w:r>
                    <w:rPr>
                      <w:rFonts w:hint="eastAsia"/>
                      <w:bCs/>
                      <w:color w:val="auto"/>
                      <w:kern w:val="0"/>
                    </w:rPr>
                    <w:t>7664-93-9</w:t>
                  </w:r>
                </w:p>
              </w:tc>
              <w:tc>
                <w:tcPr>
                  <w:tcW w:w="898" w:type="dxa"/>
                  <w:shd w:val="clear" w:color="auto" w:fill="auto"/>
                  <w:vAlign w:val="center"/>
                </w:tcPr>
                <w:p w14:paraId="383BD489">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0.425</w:t>
                  </w:r>
                </w:p>
              </w:tc>
              <w:tc>
                <w:tcPr>
                  <w:tcW w:w="718" w:type="dxa"/>
                  <w:vAlign w:val="center"/>
                </w:tcPr>
                <w:p w14:paraId="4060E92D">
                  <w:pPr>
                    <w:pStyle w:val="63"/>
                    <w:jc w:val="center"/>
                    <w:rPr>
                      <w:rFonts w:hint="default" w:eastAsia="宋体"/>
                      <w:color w:val="auto"/>
                      <w:lang w:val="en-US" w:eastAsia="zh-CN"/>
                    </w:rPr>
                  </w:pPr>
                  <w:r>
                    <w:rPr>
                      <w:rFonts w:hint="eastAsia"/>
                      <w:color w:val="auto"/>
                      <w:lang w:val="en-US" w:eastAsia="zh-CN"/>
                    </w:rPr>
                    <w:t>1.575</w:t>
                  </w:r>
                </w:p>
              </w:tc>
              <w:tc>
                <w:tcPr>
                  <w:tcW w:w="1359" w:type="dxa"/>
                  <w:vAlign w:val="center"/>
                </w:tcPr>
                <w:p w14:paraId="107C7F58">
                  <w:pPr>
                    <w:jc w:val="center"/>
                    <w:rPr>
                      <w:rFonts w:hint="eastAsia"/>
                      <w:color w:val="auto"/>
                    </w:rPr>
                  </w:pPr>
                  <w:r>
                    <w:rPr>
                      <w:rFonts w:hint="eastAsia"/>
                      <w:color w:val="auto"/>
                      <w:lang w:val="en-US" w:eastAsia="zh-CN"/>
                    </w:rPr>
                    <w:t>2</w:t>
                  </w:r>
                </w:p>
              </w:tc>
              <w:tc>
                <w:tcPr>
                  <w:tcW w:w="1071" w:type="dxa"/>
                  <w:vAlign w:val="center"/>
                </w:tcPr>
                <w:p w14:paraId="2C9E9031">
                  <w:pPr>
                    <w:jc w:val="center"/>
                    <w:rPr>
                      <w:color w:val="auto"/>
                    </w:rPr>
                  </w:pPr>
                  <w:r>
                    <w:rPr>
                      <w:rFonts w:hint="default"/>
                      <w:color w:val="auto"/>
                      <w:lang w:val="en-US" w:eastAsia="zh-CN"/>
                    </w:rPr>
                    <w:t>10</w:t>
                  </w:r>
                </w:p>
              </w:tc>
              <w:tc>
                <w:tcPr>
                  <w:tcW w:w="1003" w:type="dxa"/>
                  <w:vAlign w:val="center"/>
                </w:tcPr>
                <w:p w14:paraId="69FAABB3">
                  <w:pPr>
                    <w:jc w:val="center"/>
                    <w:rPr>
                      <w:color w:val="auto"/>
                    </w:rPr>
                  </w:pPr>
                  <w:r>
                    <w:rPr>
                      <w:rFonts w:hint="default"/>
                      <w:color w:val="auto"/>
                      <w:lang w:val="en-US" w:eastAsia="zh-CN"/>
                    </w:rPr>
                    <w:t>0.2000</w:t>
                  </w:r>
                </w:p>
              </w:tc>
              <w:tc>
                <w:tcPr>
                  <w:tcW w:w="427" w:type="dxa"/>
                  <w:shd w:val="clear" w:color="auto" w:fill="auto"/>
                  <w:vAlign w:val="center"/>
                </w:tcPr>
                <w:p w14:paraId="01AD712D">
                  <w:pPr>
                    <w:jc w:val="center"/>
                    <w:rPr>
                      <w:rFonts w:hint="eastAsia"/>
                      <w:color w:val="auto"/>
                      <w:lang w:val="en-US" w:eastAsia="zh-CN"/>
                    </w:rPr>
                  </w:pPr>
                  <w:r>
                    <w:rPr>
                      <w:rFonts w:hint="eastAsia"/>
                      <w:color w:val="auto"/>
                      <w:lang w:val="en-US" w:eastAsia="zh-CN"/>
                    </w:rPr>
                    <w:t>否</w:t>
                  </w:r>
                </w:p>
              </w:tc>
            </w:tr>
            <w:tr w14:paraId="58D5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38B0FE6">
                  <w:pPr>
                    <w:pStyle w:val="50"/>
                    <w:spacing w:before="24" w:after="24"/>
                    <w:jc w:val="center"/>
                    <w:rPr>
                      <w:rFonts w:ascii="Times New Roman"/>
                      <w:color w:val="auto"/>
                    </w:rPr>
                  </w:pPr>
                  <w:r>
                    <w:rPr>
                      <w:rFonts w:hint="eastAsia" w:ascii="Times New Roman"/>
                      <w:color w:val="auto"/>
                    </w:rPr>
                    <w:t>5</w:t>
                  </w:r>
                </w:p>
              </w:tc>
              <w:tc>
                <w:tcPr>
                  <w:tcW w:w="1223" w:type="dxa"/>
                  <w:shd w:val="clear" w:color="auto" w:fill="auto"/>
                  <w:vAlign w:val="center"/>
                </w:tcPr>
                <w:p w14:paraId="2A5FB39C">
                  <w:pPr>
                    <w:jc w:val="center"/>
                    <w:rPr>
                      <w:color w:val="auto"/>
                    </w:rPr>
                  </w:pPr>
                  <w:r>
                    <w:rPr>
                      <w:rFonts w:hint="eastAsia"/>
                      <w:color w:val="auto"/>
                    </w:rPr>
                    <w:t>乙酸</w:t>
                  </w:r>
                </w:p>
              </w:tc>
              <w:tc>
                <w:tcPr>
                  <w:tcW w:w="1363" w:type="dxa"/>
                  <w:shd w:val="clear" w:color="auto" w:fill="auto"/>
                  <w:vAlign w:val="center"/>
                </w:tcPr>
                <w:p w14:paraId="4A589063">
                  <w:pPr>
                    <w:jc w:val="center"/>
                    <w:rPr>
                      <w:bCs/>
                      <w:color w:val="auto"/>
                      <w:kern w:val="0"/>
                    </w:rPr>
                  </w:pPr>
                  <w:r>
                    <w:rPr>
                      <w:rFonts w:hint="eastAsia"/>
                      <w:bCs/>
                      <w:color w:val="auto"/>
                      <w:kern w:val="0"/>
                    </w:rPr>
                    <w:t>64-19-7</w:t>
                  </w:r>
                </w:p>
              </w:tc>
              <w:tc>
                <w:tcPr>
                  <w:tcW w:w="898" w:type="dxa"/>
                  <w:shd w:val="clear" w:color="auto" w:fill="auto"/>
                  <w:vAlign w:val="center"/>
                </w:tcPr>
                <w:p w14:paraId="4A3A064F">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718" w:type="dxa"/>
                  <w:vAlign w:val="center"/>
                </w:tcPr>
                <w:p w14:paraId="16EF2EA0">
                  <w:pPr>
                    <w:pStyle w:val="63"/>
                    <w:jc w:val="center"/>
                    <w:rPr>
                      <w:rFonts w:hint="eastAsia" w:eastAsia="宋体"/>
                      <w:color w:val="auto"/>
                      <w:lang w:val="en-US" w:eastAsia="zh-CN"/>
                    </w:rPr>
                  </w:pPr>
                  <w:r>
                    <w:rPr>
                      <w:rFonts w:hint="eastAsia"/>
                      <w:color w:val="auto"/>
                      <w:lang w:val="en-US" w:eastAsia="zh-CN"/>
                    </w:rPr>
                    <w:t>0</w:t>
                  </w:r>
                </w:p>
              </w:tc>
              <w:tc>
                <w:tcPr>
                  <w:tcW w:w="1359" w:type="dxa"/>
                  <w:vAlign w:val="center"/>
                </w:tcPr>
                <w:p w14:paraId="6F63DCE3">
                  <w:pPr>
                    <w:jc w:val="center"/>
                    <w:rPr>
                      <w:rFonts w:hint="eastAsia"/>
                      <w:color w:val="auto"/>
                    </w:rPr>
                  </w:pPr>
                  <w:r>
                    <w:rPr>
                      <w:rFonts w:hint="eastAsia"/>
                      <w:color w:val="auto"/>
                      <w:lang w:val="en-US" w:eastAsia="zh-CN"/>
                    </w:rPr>
                    <w:t>0.002</w:t>
                  </w:r>
                </w:p>
              </w:tc>
              <w:tc>
                <w:tcPr>
                  <w:tcW w:w="1071" w:type="dxa"/>
                  <w:vAlign w:val="center"/>
                </w:tcPr>
                <w:p w14:paraId="472DC8E4">
                  <w:pPr>
                    <w:jc w:val="center"/>
                    <w:rPr>
                      <w:color w:val="auto"/>
                    </w:rPr>
                  </w:pPr>
                  <w:r>
                    <w:rPr>
                      <w:rFonts w:hint="default"/>
                      <w:color w:val="auto"/>
                      <w:lang w:val="en-US" w:eastAsia="zh-CN"/>
                    </w:rPr>
                    <w:t>10</w:t>
                  </w:r>
                </w:p>
              </w:tc>
              <w:tc>
                <w:tcPr>
                  <w:tcW w:w="1003" w:type="dxa"/>
                  <w:vAlign w:val="center"/>
                </w:tcPr>
                <w:p w14:paraId="000735EE">
                  <w:pPr>
                    <w:jc w:val="center"/>
                    <w:rPr>
                      <w:color w:val="auto"/>
                    </w:rPr>
                  </w:pPr>
                  <w:r>
                    <w:rPr>
                      <w:rFonts w:hint="default"/>
                      <w:color w:val="auto"/>
                      <w:lang w:val="en-US" w:eastAsia="zh-CN"/>
                    </w:rPr>
                    <w:t>0.0002</w:t>
                  </w:r>
                </w:p>
              </w:tc>
              <w:tc>
                <w:tcPr>
                  <w:tcW w:w="427" w:type="dxa"/>
                  <w:shd w:val="clear" w:color="auto" w:fill="auto"/>
                  <w:vAlign w:val="center"/>
                </w:tcPr>
                <w:p w14:paraId="664CE471">
                  <w:pPr>
                    <w:jc w:val="center"/>
                    <w:rPr>
                      <w:rFonts w:hint="eastAsia"/>
                      <w:color w:val="auto"/>
                      <w:lang w:val="en-US" w:eastAsia="zh-CN"/>
                    </w:rPr>
                  </w:pPr>
                  <w:r>
                    <w:rPr>
                      <w:rFonts w:hint="eastAsia"/>
                      <w:color w:val="auto"/>
                      <w:lang w:val="en-US" w:eastAsia="zh-CN"/>
                    </w:rPr>
                    <w:t>否</w:t>
                  </w:r>
                </w:p>
              </w:tc>
            </w:tr>
            <w:tr w14:paraId="170F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4F620CC">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6</w:t>
                  </w:r>
                </w:p>
              </w:tc>
              <w:tc>
                <w:tcPr>
                  <w:tcW w:w="1223" w:type="dxa"/>
                  <w:shd w:val="clear" w:color="auto" w:fill="auto"/>
                  <w:vAlign w:val="center"/>
                </w:tcPr>
                <w:p w14:paraId="79BD6BC9">
                  <w:pPr>
                    <w:jc w:val="center"/>
                    <w:rPr>
                      <w:rFonts w:hint="eastAsia"/>
                      <w:color w:val="auto"/>
                    </w:rPr>
                  </w:pPr>
                  <w:r>
                    <w:rPr>
                      <w:rFonts w:hint="eastAsia"/>
                      <w:color w:val="auto"/>
                    </w:rPr>
                    <w:t>乙二胺</w:t>
                  </w:r>
                </w:p>
              </w:tc>
              <w:tc>
                <w:tcPr>
                  <w:tcW w:w="1363" w:type="dxa"/>
                  <w:shd w:val="clear" w:color="auto" w:fill="auto"/>
                  <w:vAlign w:val="center"/>
                </w:tcPr>
                <w:p w14:paraId="11B537AB">
                  <w:pPr>
                    <w:jc w:val="center"/>
                    <w:rPr>
                      <w:rFonts w:hint="default" w:eastAsia="宋体"/>
                      <w:bCs/>
                      <w:color w:val="auto"/>
                      <w:kern w:val="0"/>
                      <w:lang w:val="en-US" w:eastAsia="zh-CN"/>
                    </w:rPr>
                  </w:pPr>
                  <w:r>
                    <w:rPr>
                      <w:rFonts w:hint="eastAsia"/>
                      <w:bCs/>
                      <w:color w:val="auto"/>
                      <w:kern w:val="0"/>
                      <w:lang w:val="en-US" w:eastAsia="zh-CN"/>
                    </w:rPr>
                    <w:t>107-15-3</w:t>
                  </w:r>
                </w:p>
              </w:tc>
              <w:tc>
                <w:tcPr>
                  <w:tcW w:w="898" w:type="dxa"/>
                  <w:shd w:val="clear" w:color="auto" w:fill="auto"/>
                  <w:vAlign w:val="center"/>
                </w:tcPr>
                <w:p w14:paraId="7522D62A">
                  <w:pPr>
                    <w:keepNext w:val="0"/>
                    <w:keepLines w:val="0"/>
                    <w:widowControl/>
                    <w:suppressLineNumbers w:val="0"/>
                    <w:jc w:val="center"/>
                    <w:textAlignment w:val="center"/>
                    <w:rPr>
                      <w:rFonts w:hint="default"/>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718" w:type="dxa"/>
                  <w:vAlign w:val="center"/>
                </w:tcPr>
                <w:p w14:paraId="51B2CA9F">
                  <w:pPr>
                    <w:pStyle w:val="63"/>
                    <w:jc w:val="center"/>
                    <w:rPr>
                      <w:rFonts w:hint="default"/>
                      <w:color w:val="auto"/>
                      <w:lang w:val="en-US" w:eastAsia="zh-CN"/>
                    </w:rPr>
                  </w:pPr>
                  <w:r>
                    <w:rPr>
                      <w:rFonts w:hint="eastAsia"/>
                      <w:color w:val="auto"/>
                      <w:lang w:val="en-US" w:eastAsia="zh-CN"/>
                    </w:rPr>
                    <w:t>0</w:t>
                  </w:r>
                </w:p>
              </w:tc>
              <w:tc>
                <w:tcPr>
                  <w:tcW w:w="1359" w:type="dxa"/>
                  <w:vAlign w:val="center"/>
                </w:tcPr>
                <w:p w14:paraId="194795B5">
                  <w:pPr>
                    <w:jc w:val="center"/>
                    <w:rPr>
                      <w:rFonts w:hint="eastAsia"/>
                      <w:color w:val="auto"/>
                      <w:lang w:val="en-US" w:eastAsia="zh-CN"/>
                    </w:rPr>
                  </w:pPr>
                  <w:r>
                    <w:rPr>
                      <w:rFonts w:hint="eastAsia"/>
                      <w:color w:val="auto"/>
                      <w:lang w:val="en-US" w:eastAsia="zh-CN"/>
                    </w:rPr>
                    <w:t>0.11</w:t>
                  </w:r>
                </w:p>
              </w:tc>
              <w:tc>
                <w:tcPr>
                  <w:tcW w:w="1071" w:type="dxa"/>
                  <w:vAlign w:val="center"/>
                </w:tcPr>
                <w:p w14:paraId="3E5F4610">
                  <w:pPr>
                    <w:jc w:val="center"/>
                    <w:rPr>
                      <w:rFonts w:hint="default"/>
                      <w:color w:val="auto"/>
                      <w:lang w:val="en-US" w:eastAsia="zh-CN"/>
                    </w:rPr>
                  </w:pPr>
                  <w:r>
                    <w:rPr>
                      <w:rFonts w:hint="default"/>
                      <w:color w:val="auto"/>
                      <w:lang w:val="en-US" w:eastAsia="zh-CN"/>
                    </w:rPr>
                    <w:t>10</w:t>
                  </w:r>
                </w:p>
              </w:tc>
              <w:tc>
                <w:tcPr>
                  <w:tcW w:w="1003" w:type="dxa"/>
                  <w:vAlign w:val="center"/>
                </w:tcPr>
                <w:p w14:paraId="3CD5B726">
                  <w:pPr>
                    <w:jc w:val="center"/>
                    <w:rPr>
                      <w:rFonts w:hint="eastAsia"/>
                      <w:color w:val="auto"/>
                    </w:rPr>
                  </w:pPr>
                  <w:r>
                    <w:rPr>
                      <w:rFonts w:hint="default"/>
                      <w:color w:val="auto"/>
                      <w:lang w:val="en-US" w:eastAsia="zh-CN"/>
                    </w:rPr>
                    <w:t>0.0110</w:t>
                  </w:r>
                </w:p>
              </w:tc>
              <w:tc>
                <w:tcPr>
                  <w:tcW w:w="427" w:type="dxa"/>
                  <w:shd w:val="clear" w:color="auto" w:fill="auto"/>
                  <w:vAlign w:val="center"/>
                </w:tcPr>
                <w:p w14:paraId="108149E1">
                  <w:pPr>
                    <w:jc w:val="center"/>
                    <w:rPr>
                      <w:rFonts w:hint="eastAsia"/>
                      <w:color w:val="auto"/>
                      <w:lang w:val="en-US" w:eastAsia="zh-CN"/>
                    </w:rPr>
                  </w:pPr>
                  <w:r>
                    <w:rPr>
                      <w:rFonts w:hint="eastAsia"/>
                      <w:color w:val="auto"/>
                      <w:lang w:val="en-US" w:eastAsia="zh-CN"/>
                    </w:rPr>
                    <w:t>否</w:t>
                  </w:r>
                </w:p>
              </w:tc>
            </w:tr>
            <w:tr w14:paraId="5019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E864152">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7</w:t>
                  </w:r>
                </w:p>
              </w:tc>
              <w:tc>
                <w:tcPr>
                  <w:tcW w:w="1223" w:type="dxa"/>
                  <w:shd w:val="clear" w:color="auto" w:fill="auto"/>
                  <w:vAlign w:val="center"/>
                </w:tcPr>
                <w:p w14:paraId="5E9FF729">
                  <w:pPr>
                    <w:jc w:val="center"/>
                    <w:rPr>
                      <w:color w:val="auto"/>
                    </w:rPr>
                  </w:pPr>
                  <w:r>
                    <w:rPr>
                      <w:rFonts w:hint="eastAsia"/>
                      <w:color w:val="auto"/>
                    </w:rPr>
                    <w:t>硝酸</w:t>
                  </w:r>
                </w:p>
              </w:tc>
              <w:tc>
                <w:tcPr>
                  <w:tcW w:w="1363" w:type="dxa"/>
                  <w:shd w:val="clear" w:color="auto" w:fill="auto"/>
                  <w:vAlign w:val="center"/>
                </w:tcPr>
                <w:p w14:paraId="7362DCE3">
                  <w:pPr>
                    <w:jc w:val="center"/>
                    <w:rPr>
                      <w:bCs/>
                      <w:color w:val="auto"/>
                      <w:kern w:val="0"/>
                    </w:rPr>
                  </w:pPr>
                  <w:r>
                    <w:rPr>
                      <w:rFonts w:hint="eastAsia"/>
                      <w:bCs/>
                      <w:color w:val="auto"/>
                      <w:kern w:val="0"/>
                    </w:rPr>
                    <w:t>7697-37-2</w:t>
                  </w:r>
                </w:p>
              </w:tc>
              <w:tc>
                <w:tcPr>
                  <w:tcW w:w="898" w:type="dxa"/>
                  <w:shd w:val="clear" w:color="auto" w:fill="auto"/>
                  <w:vAlign w:val="center"/>
                </w:tcPr>
                <w:p w14:paraId="5C38327B">
                  <w:pPr>
                    <w:keepNext w:val="0"/>
                    <w:keepLines w:val="0"/>
                    <w:widowControl/>
                    <w:suppressLineNumbers w:val="0"/>
                    <w:jc w:val="center"/>
                    <w:textAlignment w:val="center"/>
                    <w:rPr>
                      <w:rFonts w:hint="default" w:eastAsia="宋体"/>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718" w:type="dxa"/>
                  <w:vAlign w:val="center"/>
                </w:tcPr>
                <w:p w14:paraId="13F762AF">
                  <w:pPr>
                    <w:pStyle w:val="63"/>
                    <w:jc w:val="center"/>
                    <w:rPr>
                      <w:rFonts w:hint="default" w:eastAsia="宋体"/>
                      <w:color w:val="auto"/>
                      <w:lang w:val="en-US" w:eastAsia="zh-CN"/>
                    </w:rPr>
                  </w:pPr>
                  <w:r>
                    <w:rPr>
                      <w:rFonts w:hint="eastAsia"/>
                      <w:color w:val="auto"/>
                      <w:lang w:val="en-US" w:eastAsia="zh-CN"/>
                    </w:rPr>
                    <w:t>13.92</w:t>
                  </w:r>
                </w:p>
              </w:tc>
              <w:tc>
                <w:tcPr>
                  <w:tcW w:w="1359" w:type="dxa"/>
                  <w:vAlign w:val="center"/>
                </w:tcPr>
                <w:p w14:paraId="2FFB6F89">
                  <w:pPr>
                    <w:jc w:val="center"/>
                    <w:rPr>
                      <w:rFonts w:hint="eastAsia"/>
                      <w:color w:val="auto"/>
                    </w:rPr>
                  </w:pPr>
                  <w:r>
                    <w:rPr>
                      <w:rFonts w:hint="eastAsia"/>
                      <w:color w:val="auto"/>
                      <w:lang w:val="en-US" w:eastAsia="zh-CN"/>
                    </w:rPr>
                    <w:t>15.04</w:t>
                  </w:r>
                </w:p>
              </w:tc>
              <w:tc>
                <w:tcPr>
                  <w:tcW w:w="1071" w:type="dxa"/>
                  <w:vAlign w:val="center"/>
                </w:tcPr>
                <w:p w14:paraId="706BA05E">
                  <w:pPr>
                    <w:jc w:val="center"/>
                    <w:rPr>
                      <w:color w:val="auto"/>
                    </w:rPr>
                  </w:pPr>
                  <w:r>
                    <w:rPr>
                      <w:rFonts w:hint="default"/>
                      <w:color w:val="auto"/>
                      <w:lang w:val="en-US" w:eastAsia="zh-CN"/>
                    </w:rPr>
                    <w:t>7.5</w:t>
                  </w:r>
                </w:p>
              </w:tc>
              <w:tc>
                <w:tcPr>
                  <w:tcW w:w="1003" w:type="dxa"/>
                  <w:vAlign w:val="center"/>
                </w:tcPr>
                <w:p w14:paraId="2C6A5D9A">
                  <w:pPr>
                    <w:jc w:val="center"/>
                    <w:rPr>
                      <w:color w:val="auto"/>
                    </w:rPr>
                  </w:pPr>
                  <w:r>
                    <w:rPr>
                      <w:rFonts w:hint="default"/>
                      <w:color w:val="auto"/>
                      <w:lang w:val="en-US" w:eastAsia="zh-CN"/>
                    </w:rPr>
                    <w:t>2.0053</w:t>
                  </w:r>
                </w:p>
              </w:tc>
              <w:tc>
                <w:tcPr>
                  <w:tcW w:w="427" w:type="dxa"/>
                  <w:vAlign w:val="center"/>
                </w:tcPr>
                <w:p w14:paraId="4EA17046">
                  <w:pPr>
                    <w:jc w:val="center"/>
                    <w:rPr>
                      <w:rFonts w:hint="eastAsia"/>
                      <w:color w:val="auto"/>
                      <w:lang w:val="en-US" w:eastAsia="zh-CN"/>
                    </w:rPr>
                  </w:pPr>
                  <w:r>
                    <w:rPr>
                      <w:rFonts w:hint="eastAsia"/>
                      <w:color w:val="auto"/>
                      <w:lang w:val="en-US" w:eastAsia="zh-CN"/>
                    </w:rPr>
                    <w:t>是</w:t>
                  </w:r>
                </w:p>
              </w:tc>
            </w:tr>
            <w:tr w14:paraId="57D5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7F1C5F1">
                  <w:pPr>
                    <w:pStyle w:val="50"/>
                    <w:spacing w:before="24" w:after="24"/>
                    <w:jc w:val="center"/>
                    <w:rPr>
                      <w:rFonts w:hint="default" w:ascii="Times New Roman"/>
                      <w:color w:val="auto"/>
                      <w:lang w:val="en-US" w:eastAsia="zh-CN"/>
                    </w:rPr>
                  </w:pPr>
                  <w:r>
                    <w:rPr>
                      <w:rFonts w:hint="eastAsia" w:ascii="Times New Roman"/>
                      <w:color w:val="auto"/>
                      <w:lang w:val="en-US" w:eastAsia="zh-CN"/>
                    </w:rPr>
                    <w:t>8</w:t>
                  </w:r>
                </w:p>
              </w:tc>
              <w:tc>
                <w:tcPr>
                  <w:tcW w:w="1223" w:type="dxa"/>
                  <w:shd w:val="clear" w:color="auto" w:fill="auto"/>
                  <w:vAlign w:val="center"/>
                </w:tcPr>
                <w:p w14:paraId="20900A89">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环氧氯丙烷</w:t>
                  </w:r>
                </w:p>
              </w:tc>
              <w:tc>
                <w:tcPr>
                  <w:tcW w:w="1363" w:type="dxa"/>
                  <w:shd w:val="clear" w:color="auto" w:fill="auto"/>
                  <w:vAlign w:val="center"/>
                </w:tcPr>
                <w:p w14:paraId="55E2EA18">
                  <w:pPr>
                    <w:jc w:val="center"/>
                    <w:rPr>
                      <w:rFonts w:hint="eastAsia" w:ascii="Times New Roman" w:hAnsi="Times New Roman" w:eastAsia="宋体" w:cs="Times New Roman"/>
                      <w:bCs/>
                      <w:color w:val="auto"/>
                      <w:kern w:val="0"/>
                      <w:sz w:val="21"/>
                      <w:szCs w:val="24"/>
                      <w:lang w:val="en-US" w:eastAsia="zh-CN" w:bidi="ar-SA"/>
                    </w:rPr>
                  </w:pPr>
                  <w:r>
                    <w:rPr>
                      <w:rFonts w:hint="eastAsia" w:ascii="Times New Roman" w:hAnsi="Times New Roman" w:eastAsia="宋体" w:cs="Times New Roman"/>
                      <w:bCs/>
                      <w:color w:val="auto"/>
                      <w:kern w:val="0"/>
                      <w:sz w:val="21"/>
                      <w:szCs w:val="24"/>
                      <w:lang w:val="en-US" w:eastAsia="zh-CN" w:bidi="ar-SA"/>
                    </w:rPr>
                    <w:t>106-89-8</w:t>
                  </w:r>
                </w:p>
              </w:tc>
              <w:tc>
                <w:tcPr>
                  <w:tcW w:w="898" w:type="dxa"/>
                  <w:shd w:val="clear" w:color="auto" w:fill="auto"/>
                  <w:vAlign w:val="center"/>
                </w:tcPr>
                <w:p w14:paraId="47ED1F0D">
                  <w:pPr>
                    <w:keepNext w:val="0"/>
                    <w:keepLines w:val="0"/>
                    <w:widowControl/>
                    <w:suppressLineNumbers w:val="0"/>
                    <w:jc w:val="center"/>
                    <w:textAlignment w:val="center"/>
                    <w:rPr>
                      <w:rFonts w:hint="eastAsia"/>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0.00144</w:t>
                  </w:r>
                </w:p>
              </w:tc>
              <w:tc>
                <w:tcPr>
                  <w:tcW w:w="718" w:type="dxa"/>
                  <w:vAlign w:val="center"/>
                </w:tcPr>
                <w:p w14:paraId="19D7CC4A">
                  <w:pPr>
                    <w:pStyle w:val="63"/>
                    <w:jc w:val="center"/>
                    <w:rPr>
                      <w:rFonts w:hint="default"/>
                      <w:color w:val="auto"/>
                      <w:lang w:val="en-US" w:eastAsia="zh-CN"/>
                    </w:rPr>
                  </w:pPr>
                  <w:r>
                    <w:rPr>
                      <w:rFonts w:hint="eastAsia"/>
                      <w:color w:val="auto"/>
                      <w:lang w:val="en-US" w:eastAsia="zh-CN"/>
                    </w:rPr>
                    <w:t>0</w:t>
                  </w:r>
                </w:p>
              </w:tc>
              <w:tc>
                <w:tcPr>
                  <w:tcW w:w="1359" w:type="dxa"/>
                  <w:vAlign w:val="center"/>
                </w:tcPr>
                <w:p w14:paraId="19F7DBA4">
                  <w:pPr>
                    <w:jc w:val="center"/>
                    <w:rPr>
                      <w:rFonts w:hint="eastAsia"/>
                      <w:color w:val="auto"/>
                      <w:lang w:val="en-US" w:eastAsia="zh-CN"/>
                    </w:rPr>
                  </w:pPr>
                  <w:r>
                    <w:rPr>
                      <w:rFonts w:hint="eastAsia"/>
                      <w:color w:val="auto"/>
                      <w:lang w:val="en-US" w:eastAsia="zh-CN"/>
                    </w:rPr>
                    <w:t>0.00144</w:t>
                  </w:r>
                </w:p>
              </w:tc>
              <w:tc>
                <w:tcPr>
                  <w:tcW w:w="1071" w:type="dxa"/>
                  <w:vAlign w:val="center"/>
                </w:tcPr>
                <w:p w14:paraId="290928ED">
                  <w:pPr>
                    <w:jc w:val="center"/>
                    <w:rPr>
                      <w:rFonts w:hint="default"/>
                      <w:color w:val="auto"/>
                      <w:lang w:val="en-US" w:eastAsia="zh-CN"/>
                    </w:rPr>
                  </w:pPr>
                  <w:r>
                    <w:rPr>
                      <w:rFonts w:hint="default"/>
                      <w:color w:val="auto"/>
                      <w:lang w:val="en-US" w:eastAsia="zh-CN"/>
                    </w:rPr>
                    <w:t>10</w:t>
                  </w:r>
                </w:p>
              </w:tc>
              <w:tc>
                <w:tcPr>
                  <w:tcW w:w="1003" w:type="dxa"/>
                  <w:vAlign w:val="center"/>
                </w:tcPr>
                <w:p w14:paraId="7DB5F3C5">
                  <w:pPr>
                    <w:jc w:val="center"/>
                    <w:rPr>
                      <w:rFonts w:hint="default"/>
                      <w:color w:val="auto"/>
                      <w:lang w:val="en-US" w:eastAsia="zh-CN"/>
                    </w:rPr>
                  </w:pPr>
                  <w:r>
                    <w:rPr>
                      <w:rFonts w:hint="default"/>
                      <w:color w:val="auto"/>
                      <w:lang w:val="en-US" w:eastAsia="zh-CN"/>
                    </w:rPr>
                    <w:t>0.0001</w:t>
                  </w:r>
                </w:p>
              </w:tc>
              <w:tc>
                <w:tcPr>
                  <w:tcW w:w="427" w:type="dxa"/>
                  <w:vAlign w:val="center"/>
                </w:tcPr>
                <w:p w14:paraId="18417746">
                  <w:pPr>
                    <w:jc w:val="center"/>
                    <w:rPr>
                      <w:rFonts w:hint="default"/>
                      <w:color w:val="auto"/>
                      <w:lang w:val="en-US" w:eastAsia="zh-CN"/>
                    </w:rPr>
                  </w:pPr>
                  <w:r>
                    <w:rPr>
                      <w:rFonts w:hint="eastAsia"/>
                      <w:color w:val="auto"/>
                      <w:lang w:val="en-US" w:eastAsia="zh-CN"/>
                    </w:rPr>
                    <w:t>否</w:t>
                  </w:r>
                </w:p>
              </w:tc>
            </w:tr>
            <w:tr w14:paraId="407E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C6AEE76">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23" w:type="dxa"/>
                  <w:shd w:val="clear" w:color="auto" w:fill="auto"/>
                  <w:vAlign w:val="center"/>
                </w:tcPr>
                <w:p w14:paraId="2B996EB8">
                  <w:pPr>
                    <w:jc w:val="center"/>
                    <w:rPr>
                      <w:rFonts w:hint="eastAsia"/>
                      <w:color w:val="auto"/>
                    </w:rPr>
                  </w:pPr>
                  <w:r>
                    <w:rPr>
                      <w:rFonts w:hint="eastAsia"/>
                      <w:color w:val="auto"/>
                    </w:rPr>
                    <w:t>钴及其化合物</w:t>
                  </w:r>
                </w:p>
              </w:tc>
              <w:tc>
                <w:tcPr>
                  <w:tcW w:w="1363" w:type="dxa"/>
                  <w:shd w:val="clear" w:color="auto" w:fill="auto"/>
                  <w:vAlign w:val="center"/>
                </w:tcPr>
                <w:p w14:paraId="54395BED">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898" w:type="dxa"/>
                  <w:shd w:val="clear" w:color="auto" w:fill="auto"/>
                  <w:vAlign w:val="center"/>
                </w:tcPr>
                <w:p w14:paraId="3CB655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50FEF664">
                  <w:pPr>
                    <w:jc w:val="center"/>
                    <w:rPr>
                      <w:rFonts w:hint="eastAsia"/>
                      <w:color w:val="auto"/>
                      <w:lang w:val="en-US" w:eastAsia="zh-CN"/>
                    </w:rPr>
                  </w:pPr>
                  <w:r>
                    <w:rPr>
                      <w:color w:val="auto"/>
                    </w:rPr>
                    <w:t>1.49</w:t>
                  </w:r>
                </w:p>
              </w:tc>
              <w:tc>
                <w:tcPr>
                  <w:tcW w:w="1359" w:type="dxa"/>
                  <w:shd w:val="clear" w:color="auto" w:fill="auto"/>
                  <w:vAlign w:val="center"/>
                </w:tcPr>
                <w:p w14:paraId="148B795E">
                  <w:pPr>
                    <w:jc w:val="center"/>
                    <w:rPr>
                      <w:rFonts w:hint="eastAsia"/>
                      <w:color w:val="auto"/>
                      <w:lang w:val="en-US" w:eastAsia="zh-CN"/>
                    </w:rPr>
                  </w:pPr>
                  <w:r>
                    <w:rPr>
                      <w:rFonts w:hint="eastAsia"/>
                      <w:color w:val="auto"/>
                      <w:lang w:val="en-US" w:eastAsia="zh-CN"/>
                    </w:rPr>
                    <w:t>1.49</w:t>
                  </w:r>
                </w:p>
              </w:tc>
              <w:tc>
                <w:tcPr>
                  <w:tcW w:w="1071" w:type="dxa"/>
                  <w:vAlign w:val="center"/>
                </w:tcPr>
                <w:p w14:paraId="2ED03342">
                  <w:pPr>
                    <w:jc w:val="center"/>
                    <w:rPr>
                      <w:rFonts w:hint="eastAsia"/>
                      <w:color w:val="auto"/>
                      <w:lang w:val="en-US" w:eastAsia="zh-CN"/>
                    </w:rPr>
                  </w:pPr>
                  <w:r>
                    <w:rPr>
                      <w:rFonts w:hint="default"/>
                      <w:color w:val="auto"/>
                      <w:lang w:val="en-US" w:eastAsia="zh-CN"/>
                    </w:rPr>
                    <w:t>0.25</w:t>
                  </w:r>
                </w:p>
              </w:tc>
              <w:tc>
                <w:tcPr>
                  <w:tcW w:w="1003" w:type="dxa"/>
                  <w:vAlign w:val="center"/>
                </w:tcPr>
                <w:p w14:paraId="3FBDD73D">
                  <w:pPr>
                    <w:jc w:val="center"/>
                    <w:rPr>
                      <w:rFonts w:hint="default"/>
                      <w:color w:val="auto"/>
                      <w:lang w:val="en-US" w:eastAsia="zh-CN"/>
                    </w:rPr>
                  </w:pPr>
                  <w:r>
                    <w:rPr>
                      <w:rFonts w:hint="default"/>
                      <w:color w:val="auto"/>
                      <w:lang w:val="en-US" w:eastAsia="zh-CN"/>
                    </w:rPr>
                    <w:t>5.9600</w:t>
                  </w:r>
                </w:p>
              </w:tc>
              <w:tc>
                <w:tcPr>
                  <w:tcW w:w="427" w:type="dxa"/>
                  <w:vAlign w:val="center"/>
                </w:tcPr>
                <w:p w14:paraId="35034A9E">
                  <w:pPr>
                    <w:jc w:val="center"/>
                    <w:rPr>
                      <w:rFonts w:hint="eastAsia"/>
                      <w:color w:val="auto"/>
                      <w:lang w:val="en-US" w:eastAsia="zh-CN"/>
                    </w:rPr>
                  </w:pPr>
                  <w:r>
                    <w:rPr>
                      <w:rFonts w:hint="eastAsia"/>
                      <w:color w:val="auto"/>
                      <w:lang w:val="en-US" w:eastAsia="zh-CN"/>
                    </w:rPr>
                    <w:t>是</w:t>
                  </w:r>
                </w:p>
              </w:tc>
            </w:tr>
            <w:tr w14:paraId="0ECB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3F08DD1">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23" w:type="dxa"/>
                  <w:shd w:val="clear" w:color="auto" w:fill="auto"/>
                  <w:vAlign w:val="center"/>
                </w:tcPr>
                <w:p w14:paraId="42F02083">
                  <w:pPr>
                    <w:jc w:val="center"/>
                    <w:rPr>
                      <w:rFonts w:hint="eastAsia"/>
                      <w:color w:val="auto"/>
                    </w:rPr>
                  </w:pPr>
                  <w:r>
                    <w:rPr>
                      <w:rFonts w:hint="eastAsia"/>
                      <w:color w:val="auto"/>
                    </w:rPr>
                    <w:t>镍及其化合物</w:t>
                  </w:r>
                </w:p>
              </w:tc>
              <w:tc>
                <w:tcPr>
                  <w:tcW w:w="1363" w:type="dxa"/>
                  <w:shd w:val="clear" w:color="auto" w:fill="auto"/>
                  <w:vAlign w:val="center"/>
                </w:tcPr>
                <w:p w14:paraId="7C3AE0A2">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898" w:type="dxa"/>
                  <w:shd w:val="clear" w:color="auto" w:fill="auto"/>
                  <w:vAlign w:val="center"/>
                </w:tcPr>
                <w:p w14:paraId="27C1A5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718" w:type="dxa"/>
                  <w:vAlign w:val="center"/>
                </w:tcPr>
                <w:p w14:paraId="55C191D7">
                  <w:pPr>
                    <w:pStyle w:val="63"/>
                    <w:jc w:val="center"/>
                    <w:rPr>
                      <w:rFonts w:hint="eastAsia"/>
                      <w:color w:val="auto"/>
                      <w:lang w:val="en-US" w:eastAsia="zh-CN"/>
                    </w:rPr>
                  </w:pPr>
                  <w:r>
                    <w:rPr>
                      <w:rFonts w:ascii="Times New Roman" w:hAnsi="Times New Roman" w:eastAsia="Times New Roman" w:cs="Times New Roman"/>
                      <w:color w:val="auto"/>
                      <w:spacing w:val="-2"/>
                      <w:sz w:val="21"/>
                      <w:szCs w:val="21"/>
                    </w:rPr>
                    <w:t>5.15</w:t>
                  </w:r>
                </w:p>
              </w:tc>
              <w:tc>
                <w:tcPr>
                  <w:tcW w:w="1359" w:type="dxa"/>
                  <w:vAlign w:val="center"/>
                </w:tcPr>
                <w:p w14:paraId="5ECB3041">
                  <w:pPr>
                    <w:jc w:val="center"/>
                    <w:rPr>
                      <w:rFonts w:hint="eastAsia"/>
                      <w:color w:val="auto"/>
                      <w:lang w:val="en-US" w:eastAsia="zh-CN"/>
                    </w:rPr>
                  </w:pPr>
                  <w:r>
                    <w:rPr>
                      <w:rFonts w:hint="eastAsia"/>
                      <w:color w:val="auto"/>
                      <w:lang w:val="en-US" w:eastAsia="zh-CN"/>
                    </w:rPr>
                    <w:t>5.15</w:t>
                  </w:r>
                </w:p>
              </w:tc>
              <w:tc>
                <w:tcPr>
                  <w:tcW w:w="1071" w:type="dxa"/>
                  <w:vAlign w:val="center"/>
                </w:tcPr>
                <w:p w14:paraId="6A61597D">
                  <w:pPr>
                    <w:jc w:val="center"/>
                    <w:rPr>
                      <w:rFonts w:hint="eastAsia"/>
                      <w:color w:val="auto"/>
                      <w:lang w:val="en-US" w:eastAsia="zh-CN"/>
                    </w:rPr>
                  </w:pPr>
                  <w:r>
                    <w:rPr>
                      <w:rFonts w:hint="default"/>
                      <w:color w:val="auto"/>
                      <w:lang w:val="en-US" w:eastAsia="zh-CN"/>
                    </w:rPr>
                    <w:t>0.25</w:t>
                  </w:r>
                </w:p>
              </w:tc>
              <w:tc>
                <w:tcPr>
                  <w:tcW w:w="1003" w:type="dxa"/>
                  <w:vAlign w:val="center"/>
                </w:tcPr>
                <w:p w14:paraId="4C225490">
                  <w:pPr>
                    <w:jc w:val="center"/>
                    <w:rPr>
                      <w:rFonts w:hint="default"/>
                      <w:color w:val="auto"/>
                      <w:lang w:val="en-US" w:eastAsia="zh-CN"/>
                    </w:rPr>
                  </w:pPr>
                  <w:r>
                    <w:rPr>
                      <w:rFonts w:hint="default"/>
                      <w:color w:val="auto"/>
                      <w:lang w:val="en-US" w:eastAsia="zh-CN"/>
                    </w:rPr>
                    <w:t>20.6</w:t>
                  </w:r>
                </w:p>
              </w:tc>
              <w:tc>
                <w:tcPr>
                  <w:tcW w:w="427" w:type="dxa"/>
                  <w:vAlign w:val="center"/>
                </w:tcPr>
                <w:p w14:paraId="00FC8F55">
                  <w:pPr>
                    <w:jc w:val="center"/>
                    <w:rPr>
                      <w:rFonts w:hint="eastAsia"/>
                      <w:color w:val="auto"/>
                      <w:lang w:val="en-US" w:eastAsia="zh-CN"/>
                    </w:rPr>
                  </w:pPr>
                  <w:r>
                    <w:rPr>
                      <w:rFonts w:hint="eastAsia"/>
                      <w:color w:val="auto"/>
                      <w:lang w:val="en-US" w:eastAsia="zh-CN"/>
                    </w:rPr>
                    <w:t>是</w:t>
                  </w:r>
                </w:p>
              </w:tc>
            </w:tr>
            <w:tr w14:paraId="668F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A2D10ED">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23" w:type="dxa"/>
                  <w:shd w:val="clear" w:color="auto" w:fill="auto"/>
                  <w:vAlign w:val="center"/>
                </w:tcPr>
                <w:p w14:paraId="679709EB">
                  <w:pPr>
                    <w:jc w:val="center"/>
                    <w:rPr>
                      <w:rFonts w:hint="eastAsia"/>
                      <w:color w:val="auto"/>
                    </w:rPr>
                  </w:pPr>
                  <w:r>
                    <w:rPr>
                      <w:rFonts w:hint="eastAsia"/>
                      <w:color w:val="auto"/>
                    </w:rPr>
                    <w:t>硫酸镍</w:t>
                  </w:r>
                </w:p>
              </w:tc>
              <w:tc>
                <w:tcPr>
                  <w:tcW w:w="1363" w:type="dxa"/>
                  <w:shd w:val="clear" w:color="auto" w:fill="auto"/>
                  <w:vAlign w:val="center"/>
                </w:tcPr>
                <w:p w14:paraId="6FA71537">
                  <w:pPr>
                    <w:jc w:val="center"/>
                    <w:rPr>
                      <w:rFonts w:hint="eastAsia" w:ascii="Times New Roman" w:hAnsi="Times New Roman" w:eastAsia="宋体" w:cs="Times New Roman"/>
                      <w:bCs/>
                      <w:color w:val="auto"/>
                      <w:kern w:val="0"/>
                      <w:sz w:val="21"/>
                      <w:szCs w:val="24"/>
                      <w:lang w:val="en-US" w:eastAsia="zh-CN" w:bidi="ar-SA"/>
                    </w:rPr>
                  </w:pPr>
                  <w:r>
                    <w:rPr>
                      <w:rFonts w:ascii="Times New Roman" w:hAnsi="Times New Roman" w:eastAsia="Times New Roman" w:cs="Times New Roman"/>
                      <w:color w:val="auto"/>
                      <w:spacing w:val="-1"/>
                      <w:sz w:val="21"/>
                      <w:szCs w:val="21"/>
                    </w:rPr>
                    <w:t>7786-81-4</w:t>
                  </w:r>
                </w:p>
              </w:tc>
              <w:tc>
                <w:tcPr>
                  <w:tcW w:w="898" w:type="dxa"/>
                  <w:shd w:val="clear" w:color="auto" w:fill="auto"/>
                  <w:vAlign w:val="center"/>
                </w:tcPr>
                <w:p w14:paraId="096F4A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102C0D50">
                  <w:pPr>
                    <w:jc w:val="center"/>
                    <w:rPr>
                      <w:rFonts w:hint="eastAsia"/>
                      <w:color w:val="auto"/>
                      <w:lang w:val="en-US" w:eastAsia="zh-CN"/>
                    </w:rPr>
                  </w:pPr>
                  <w:r>
                    <w:rPr>
                      <w:color w:val="auto"/>
                    </w:rPr>
                    <w:t>3</w:t>
                  </w:r>
                </w:p>
              </w:tc>
              <w:tc>
                <w:tcPr>
                  <w:tcW w:w="1359" w:type="dxa"/>
                  <w:shd w:val="clear" w:color="auto" w:fill="auto"/>
                  <w:vAlign w:val="center"/>
                </w:tcPr>
                <w:p w14:paraId="7138D626">
                  <w:pPr>
                    <w:jc w:val="center"/>
                    <w:rPr>
                      <w:rFonts w:hint="eastAsia"/>
                      <w:color w:val="auto"/>
                      <w:lang w:val="en-US" w:eastAsia="zh-CN"/>
                    </w:rPr>
                  </w:pPr>
                  <w:r>
                    <w:rPr>
                      <w:rFonts w:hint="eastAsia"/>
                      <w:color w:val="auto"/>
                      <w:lang w:val="en-US" w:eastAsia="zh-CN"/>
                    </w:rPr>
                    <w:t>3</w:t>
                  </w:r>
                </w:p>
              </w:tc>
              <w:tc>
                <w:tcPr>
                  <w:tcW w:w="1071" w:type="dxa"/>
                  <w:vAlign w:val="center"/>
                </w:tcPr>
                <w:p w14:paraId="4808B423">
                  <w:pPr>
                    <w:jc w:val="center"/>
                    <w:rPr>
                      <w:rFonts w:hint="eastAsia"/>
                      <w:color w:val="auto"/>
                      <w:lang w:val="en-US" w:eastAsia="zh-CN"/>
                    </w:rPr>
                  </w:pPr>
                  <w:r>
                    <w:rPr>
                      <w:rFonts w:hint="default"/>
                      <w:color w:val="auto"/>
                      <w:lang w:val="en-US" w:eastAsia="zh-CN"/>
                    </w:rPr>
                    <w:t>0.25</w:t>
                  </w:r>
                </w:p>
              </w:tc>
              <w:tc>
                <w:tcPr>
                  <w:tcW w:w="1003" w:type="dxa"/>
                  <w:vAlign w:val="center"/>
                </w:tcPr>
                <w:p w14:paraId="2AD8D9D6">
                  <w:pPr>
                    <w:jc w:val="center"/>
                    <w:rPr>
                      <w:rFonts w:hint="default"/>
                      <w:color w:val="auto"/>
                      <w:lang w:val="en-US" w:eastAsia="zh-CN"/>
                    </w:rPr>
                  </w:pPr>
                  <w:r>
                    <w:rPr>
                      <w:rFonts w:hint="default"/>
                      <w:color w:val="auto"/>
                      <w:lang w:val="en-US" w:eastAsia="zh-CN"/>
                    </w:rPr>
                    <w:t>12</w:t>
                  </w:r>
                </w:p>
              </w:tc>
              <w:tc>
                <w:tcPr>
                  <w:tcW w:w="427" w:type="dxa"/>
                  <w:vAlign w:val="center"/>
                </w:tcPr>
                <w:p w14:paraId="7408BE3D">
                  <w:pPr>
                    <w:jc w:val="center"/>
                    <w:rPr>
                      <w:rFonts w:hint="eastAsia"/>
                      <w:color w:val="auto"/>
                      <w:lang w:val="en-US" w:eastAsia="zh-CN"/>
                    </w:rPr>
                  </w:pPr>
                  <w:r>
                    <w:rPr>
                      <w:rFonts w:hint="eastAsia"/>
                      <w:color w:val="auto"/>
                      <w:lang w:val="en-US" w:eastAsia="zh-CN"/>
                    </w:rPr>
                    <w:t>是</w:t>
                  </w:r>
                </w:p>
              </w:tc>
            </w:tr>
            <w:tr w14:paraId="5A06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105E9EC">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23" w:type="dxa"/>
                  <w:shd w:val="clear" w:color="auto" w:fill="auto"/>
                  <w:vAlign w:val="center"/>
                </w:tcPr>
                <w:p w14:paraId="595AE1D2">
                  <w:pPr>
                    <w:jc w:val="center"/>
                    <w:rPr>
                      <w:rFonts w:hint="eastAsia"/>
                      <w:color w:val="auto"/>
                      <w:lang w:val="en-US" w:eastAsia="en-US"/>
                    </w:rPr>
                  </w:pPr>
                  <w:r>
                    <w:rPr>
                      <w:color w:val="auto"/>
                    </w:rPr>
                    <w:t>氯化镍</w:t>
                  </w:r>
                </w:p>
              </w:tc>
              <w:tc>
                <w:tcPr>
                  <w:tcW w:w="1363" w:type="dxa"/>
                  <w:shd w:val="clear" w:color="auto" w:fill="auto"/>
                  <w:vAlign w:val="center"/>
                </w:tcPr>
                <w:p w14:paraId="058EBC09">
                  <w:pPr>
                    <w:jc w:val="center"/>
                    <w:rPr>
                      <w:color w:val="auto"/>
                      <w:lang w:val="en-US" w:eastAsia="zh-CN"/>
                    </w:rPr>
                  </w:pPr>
                  <w:r>
                    <w:rPr>
                      <w:color w:val="auto"/>
                    </w:rPr>
                    <w:t>7718-54-9</w:t>
                  </w:r>
                </w:p>
              </w:tc>
              <w:tc>
                <w:tcPr>
                  <w:tcW w:w="898" w:type="dxa"/>
                  <w:shd w:val="clear" w:color="auto" w:fill="auto"/>
                  <w:vAlign w:val="center"/>
                </w:tcPr>
                <w:p w14:paraId="14EBF2DA">
                  <w:pPr>
                    <w:jc w:val="center"/>
                    <w:rPr>
                      <w:rFonts w:hint="default"/>
                      <w:color w:val="auto"/>
                      <w:lang w:val="en-US" w:eastAsia="zh-CN"/>
                    </w:rPr>
                  </w:pPr>
                  <w:r>
                    <w:rPr>
                      <w:rFonts w:hint="eastAsia"/>
                      <w:color w:val="auto"/>
                      <w:lang w:val="en-US" w:eastAsia="zh-CN"/>
                    </w:rPr>
                    <w:t>0</w:t>
                  </w:r>
                </w:p>
              </w:tc>
              <w:tc>
                <w:tcPr>
                  <w:tcW w:w="718" w:type="dxa"/>
                  <w:shd w:val="clear" w:color="auto" w:fill="auto"/>
                  <w:vAlign w:val="center"/>
                </w:tcPr>
                <w:p w14:paraId="0CC685CA">
                  <w:pPr>
                    <w:jc w:val="center"/>
                    <w:rPr>
                      <w:rFonts w:hint="eastAsia" w:ascii="Times New Roman" w:hAnsi="Times New Roman" w:eastAsia="宋体" w:cs="Times New Roman"/>
                      <w:color w:val="auto"/>
                      <w:kern w:val="2"/>
                      <w:sz w:val="21"/>
                      <w:szCs w:val="24"/>
                      <w:lang w:val="en-US" w:eastAsia="zh-CN" w:bidi="ar-SA"/>
                    </w:rPr>
                  </w:pPr>
                  <w:r>
                    <w:rPr>
                      <w:color w:val="auto"/>
                    </w:rPr>
                    <w:t>2</w:t>
                  </w:r>
                </w:p>
              </w:tc>
              <w:tc>
                <w:tcPr>
                  <w:tcW w:w="1359" w:type="dxa"/>
                  <w:shd w:val="clear" w:color="auto" w:fill="auto"/>
                  <w:vAlign w:val="center"/>
                </w:tcPr>
                <w:p w14:paraId="24A962CD">
                  <w:pPr>
                    <w:jc w:val="center"/>
                    <w:rPr>
                      <w:rFonts w:hint="eastAsia"/>
                      <w:color w:val="auto"/>
                      <w:lang w:val="en-US" w:eastAsia="zh-CN"/>
                    </w:rPr>
                  </w:pPr>
                  <w:r>
                    <w:rPr>
                      <w:rFonts w:hint="eastAsia"/>
                      <w:color w:val="auto"/>
                      <w:lang w:val="en-US" w:eastAsia="zh-CN"/>
                    </w:rPr>
                    <w:t>2</w:t>
                  </w:r>
                </w:p>
              </w:tc>
              <w:tc>
                <w:tcPr>
                  <w:tcW w:w="1071" w:type="dxa"/>
                  <w:shd w:val="clear" w:color="auto" w:fill="auto"/>
                  <w:vAlign w:val="center"/>
                </w:tcPr>
                <w:p w14:paraId="63244554">
                  <w:pPr>
                    <w:jc w:val="center"/>
                    <w:rPr>
                      <w:color w:val="auto"/>
                      <w:lang w:val="en-US" w:eastAsia="zh-CN"/>
                    </w:rPr>
                  </w:pPr>
                  <w:r>
                    <w:rPr>
                      <w:rFonts w:hint="default"/>
                      <w:color w:val="auto"/>
                      <w:lang w:val="en-US" w:eastAsia="zh-CN"/>
                    </w:rPr>
                    <w:t>0.25</w:t>
                  </w:r>
                </w:p>
              </w:tc>
              <w:tc>
                <w:tcPr>
                  <w:tcW w:w="1003" w:type="dxa"/>
                  <w:vAlign w:val="center"/>
                </w:tcPr>
                <w:p w14:paraId="3DB9D43F">
                  <w:pPr>
                    <w:jc w:val="center"/>
                    <w:rPr>
                      <w:rFonts w:hint="default"/>
                      <w:color w:val="auto"/>
                      <w:lang w:val="en-US" w:eastAsia="zh-CN"/>
                    </w:rPr>
                  </w:pPr>
                  <w:r>
                    <w:rPr>
                      <w:rFonts w:hint="default"/>
                      <w:color w:val="auto"/>
                      <w:lang w:val="en-US" w:eastAsia="zh-CN"/>
                    </w:rPr>
                    <w:t>8</w:t>
                  </w:r>
                </w:p>
              </w:tc>
              <w:tc>
                <w:tcPr>
                  <w:tcW w:w="427" w:type="dxa"/>
                  <w:vAlign w:val="center"/>
                </w:tcPr>
                <w:p w14:paraId="6F842C40">
                  <w:pPr>
                    <w:jc w:val="center"/>
                    <w:rPr>
                      <w:rFonts w:hint="eastAsia"/>
                      <w:color w:val="auto"/>
                      <w:lang w:val="en-US" w:eastAsia="zh-CN"/>
                    </w:rPr>
                  </w:pPr>
                  <w:r>
                    <w:rPr>
                      <w:rFonts w:hint="eastAsia"/>
                      <w:color w:val="auto"/>
                      <w:lang w:val="en-US" w:eastAsia="zh-CN"/>
                    </w:rPr>
                    <w:t>是</w:t>
                  </w:r>
                </w:p>
              </w:tc>
            </w:tr>
            <w:tr w14:paraId="2C22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EB792D3">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23" w:type="dxa"/>
                  <w:shd w:val="clear" w:color="auto" w:fill="auto"/>
                  <w:vAlign w:val="center"/>
                </w:tcPr>
                <w:p w14:paraId="2CF2A308">
                  <w:pPr>
                    <w:jc w:val="center"/>
                    <w:rPr>
                      <w:rFonts w:hint="eastAsia"/>
                      <w:color w:val="auto"/>
                      <w:lang w:val="en-US" w:eastAsia="en-US"/>
                    </w:rPr>
                  </w:pPr>
                  <w:r>
                    <w:rPr>
                      <w:color w:val="auto"/>
                    </w:rPr>
                    <w:t>铜及其化合</w:t>
                  </w:r>
                  <w:r>
                    <w:rPr>
                      <w:rFonts w:hint="eastAsia"/>
                      <w:color w:val="auto"/>
                    </w:rPr>
                    <w:t>物</w:t>
                  </w:r>
                </w:p>
              </w:tc>
              <w:tc>
                <w:tcPr>
                  <w:tcW w:w="1363" w:type="dxa"/>
                  <w:shd w:val="clear" w:color="auto" w:fill="auto"/>
                  <w:vAlign w:val="center"/>
                </w:tcPr>
                <w:p w14:paraId="42ABFA5B">
                  <w:pPr>
                    <w:jc w:val="center"/>
                    <w:rPr>
                      <w:color w:val="auto"/>
                      <w:lang w:val="en-US" w:eastAsia="zh-CN"/>
                    </w:rPr>
                  </w:pPr>
                  <w:r>
                    <w:rPr>
                      <w:color w:val="auto"/>
                    </w:rPr>
                    <w:t>/</w:t>
                  </w:r>
                </w:p>
              </w:tc>
              <w:tc>
                <w:tcPr>
                  <w:tcW w:w="898" w:type="dxa"/>
                  <w:shd w:val="clear" w:color="auto" w:fill="auto"/>
                  <w:vAlign w:val="center"/>
                </w:tcPr>
                <w:p w14:paraId="4BF1E11B">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5F3A9440">
                  <w:pPr>
                    <w:jc w:val="center"/>
                    <w:rPr>
                      <w:rFonts w:hint="eastAsia" w:ascii="Times New Roman" w:hAnsi="Times New Roman" w:eastAsia="宋体" w:cs="Times New Roman"/>
                      <w:color w:val="auto"/>
                      <w:kern w:val="2"/>
                      <w:sz w:val="21"/>
                      <w:szCs w:val="24"/>
                      <w:lang w:val="en-US" w:eastAsia="zh-CN" w:bidi="ar-SA"/>
                    </w:rPr>
                  </w:pPr>
                  <w:r>
                    <w:rPr>
                      <w:color w:val="auto"/>
                    </w:rPr>
                    <w:t>5.84</w:t>
                  </w:r>
                </w:p>
              </w:tc>
              <w:tc>
                <w:tcPr>
                  <w:tcW w:w="1359" w:type="dxa"/>
                  <w:shd w:val="clear" w:color="auto" w:fill="auto"/>
                  <w:vAlign w:val="center"/>
                </w:tcPr>
                <w:p w14:paraId="1273022A">
                  <w:pPr>
                    <w:jc w:val="center"/>
                    <w:rPr>
                      <w:rFonts w:hint="eastAsia"/>
                      <w:color w:val="auto"/>
                      <w:lang w:val="en-US" w:eastAsia="zh-CN"/>
                    </w:rPr>
                  </w:pPr>
                  <w:r>
                    <w:rPr>
                      <w:rFonts w:hint="eastAsia"/>
                      <w:color w:val="auto"/>
                      <w:lang w:val="en-US" w:eastAsia="zh-CN"/>
                    </w:rPr>
                    <w:t>5.84</w:t>
                  </w:r>
                </w:p>
              </w:tc>
              <w:tc>
                <w:tcPr>
                  <w:tcW w:w="1071" w:type="dxa"/>
                  <w:shd w:val="clear" w:color="auto" w:fill="auto"/>
                  <w:vAlign w:val="center"/>
                </w:tcPr>
                <w:p w14:paraId="46E44669">
                  <w:pPr>
                    <w:jc w:val="center"/>
                    <w:rPr>
                      <w:color w:val="auto"/>
                      <w:lang w:val="en-US" w:eastAsia="zh-CN"/>
                    </w:rPr>
                  </w:pPr>
                  <w:r>
                    <w:rPr>
                      <w:rFonts w:hint="default"/>
                      <w:color w:val="auto"/>
                      <w:lang w:val="en-US" w:eastAsia="zh-CN"/>
                    </w:rPr>
                    <w:t>0.25</w:t>
                  </w:r>
                </w:p>
              </w:tc>
              <w:tc>
                <w:tcPr>
                  <w:tcW w:w="1003" w:type="dxa"/>
                  <w:vAlign w:val="center"/>
                </w:tcPr>
                <w:p w14:paraId="1ACEC55D">
                  <w:pPr>
                    <w:jc w:val="center"/>
                    <w:rPr>
                      <w:rFonts w:hint="default"/>
                      <w:color w:val="auto"/>
                      <w:lang w:val="en-US" w:eastAsia="zh-CN"/>
                    </w:rPr>
                  </w:pPr>
                  <w:r>
                    <w:rPr>
                      <w:rFonts w:hint="default"/>
                      <w:color w:val="auto"/>
                      <w:lang w:val="en-US" w:eastAsia="zh-CN"/>
                    </w:rPr>
                    <w:t>23.3600</w:t>
                  </w:r>
                </w:p>
              </w:tc>
              <w:tc>
                <w:tcPr>
                  <w:tcW w:w="427" w:type="dxa"/>
                  <w:vAlign w:val="center"/>
                </w:tcPr>
                <w:p w14:paraId="70EFB7F2">
                  <w:pPr>
                    <w:jc w:val="center"/>
                    <w:rPr>
                      <w:rFonts w:hint="eastAsia"/>
                      <w:color w:val="auto"/>
                      <w:lang w:val="en-US" w:eastAsia="zh-CN"/>
                    </w:rPr>
                  </w:pPr>
                  <w:r>
                    <w:rPr>
                      <w:rFonts w:hint="eastAsia"/>
                      <w:color w:val="auto"/>
                      <w:lang w:val="en-US" w:eastAsia="zh-CN"/>
                    </w:rPr>
                    <w:t>是</w:t>
                  </w:r>
                </w:p>
              </w:tc>
            </w:tr>
            <w:tr w14:paraId="539E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4B160AA2">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23" w:type="dxa"/>
                  <w:shd w:val="clear" w:color="auto" w:fill="auto"/>
                  <w:vAlign w:val="center"/>
                </w:tcPr>
                <w:p w14:paraId="6DB20BB8">
                  <w:pPr>
                    <w:jc w:val="center"/>
                    <w:rPr>
                      <w:rFonts w:hint="eastAsia"/>
                      <w:color w:val="auto"/>
                      <w:lang w:val="en-US" w:eastAsia="en-US"/>
                    </w:rPr>
                  </w:pPr>
                  <w:r>
                    <w:rPr>
                      <w:color w:val="auto"/>
                    </w:rPr>
                    <w:t>盐酸</w:t>
                  </w:r>
                </w:p>
              </w:tc>
              <w:tc>
                <w:tcPr>
                  <w:tcW w:w="1363" w:type="dxa"/>
                  <w:shd w:val="clear" w:color="auto" w:fill="auto"/>
                  <w:vAlign w:val="center"/>
                </w:tcPr>
                <w:p w14:paraId="75630CE2">
                  <w:pPr>
                    <w:jc w:val="center"/>
                    <w:rPr>
                      <w:color w:val="auto"/>
                      <w:lang w:val="en-US" w:eastAsia="zh-CN"/>
                    </w:rPr>
                  </w:pPr>
                  <w:r>
                    <w:rPr>
                      <w:color w:val="auto"/>
                    </w:rPr>
                    <w:t>7647-01-0</w:t>
                  </w:r>
                </w:p>
              </w:tc>
              <w:tc>
                <w:tcPr>
                  <w:tcW w:w="898" w:type="dxa"/>
                  <w:shd w:val="clear" w:color="auto" w:fill="auto"/>
                  <w:vAlign w:val="center"/>
                </w:tcPr>
                <w:p w14:paraId="02E05211">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1FC57AD6">
                  <w:pPr>
                    <w:jc w:val="center"/>
                    <w:rPr>
                      <w:rFonts w:hint="eastAsia" w:ascii="Times New Roman" w:hAnsi="Times New Roman" w:eastAsia="宋体" w:cs="Times New Roman"/>
                      <w:color w:val="auto"/>
                      <w:kern w:val="2"/>
                      <w:sz w:val="21"/>
                      <w:szCs w:val="24"/>
                      <w:lang w:val="en-US" w:eastAsia="zh-CN" w:bidi="ar-SA"/>
                    </w:rPr>
                  </w:pPr>
                  <w:r>
                    <w:rPr>
                      <w:color w:val="auto"/>
                    </w:rPr>
                    <w:t>0.1</w:t>
                  </w:r>
                </w:p>
              </w:tc>
              <w:tc>
                <w:tcPr>
                  <w:tcW w:w="1359" w:type="dxa"/>
                  <w:shd w:val="clear" w:color="auto" w:fill="auto"/>
                  <w:vAlign w:val="center"/>
                </w:tcPr>
                <w:p w14:paraId="0A16CC99">
                  <w:pPr>
                    <w:jc w:val="center"/>
                    <w:rPr>
                      <w:rFonts w:hint="eastAsia"/>
                      <w:color w:val="auto"/>
                      <w:lang w:val="en-US" w:eastAsia="zh-CN"/>
                    </w:rPr>
                  </w:pPr>
                  <w:r>
                    <w:rPr>
                      <w:rFonts w:hint="eastAsia"/>
                      <w:color w:val="auto"/>
                      <w:lang w:val="en-US" w:eastAsia="zh-CN"/>
                    </w:rPr>
                    <w:t>0.1</w:t>
                  </w:r>
                </w:p>
              </w:tc>
              <w:tc>
                <w:tcPr>
                  <w:tcW w:w="1071" w:type="dxa"/>
                  <w:shd w:val="clear" w:color="auto" w:fill="auto"/>
                  <w:vAlign w:val="center"/>
                </w:tcPr>
                <w:p w14:paraId="6AEB85DB">
                  <w:pPr>
                    <w:jc w:val="center"/>
                    <w:rPr>
                      <w:color w:val="auto"/>
                      <w:lang w:val="en-US" w:eastAsia="zh-CN"/>
                    </w:rPr>
                  </w:pPr>
                  <w:r>
                    <w:rPr>
                      <w:rFonts w:hint="default"/>
                      <w:color w:val="auto"/>
                      <w:lang w:val="en-US" w:eastAsia="zh-CN"/>
                    </w:rPr>
                    <w:t>7.5</w:t>
                  </w:r>
                </w:p>
              </w:tc>
              <w:tc>
                <w:tcPr>
                  <w:tcW w:w="1003" w:type="dxa"/>
                  <w:vAlign w:val="center"/>
                </w:tcPr>
                <w:p w14:paraId="116E7F04">
                  <w:pPr>
                    <w:jc w:val="center"/>
                    <w:rPr>
                      <w:rFonts w:hint="default"/>
                      <w:color w:val="auto"/>
                      <w:lang w:val="en-US" w:eastAsia="zh-CN"/>
                    </w:rPr>
                  </w:pPr>
                  <w:r>
                    <w:rPr>
                      <w:rFonts w:hint="default"/>
                      <w:color w:val="auto"/>
                      <w:lang w:val="en-US" w:eastAsia="zh-CN"/>
                    </w:rPr>
                    <w:t>0.0133</w:t>
                  </w:r>
                </w:p>
              </w:tc>
              <w:tc>
                <w:tcPr>
                  <w:tcW w:w="427" w:type="dxa"/>
                  <w:vAlign w:val="center"/>
                </w:tcPr>
                <w:p w14:paraId="5DFEA071">
                  <w:pPr>
                    <w:jc w:val="center"/>
                    <w:rPr>
                      <w:rFonts w:hint="eastAsia"/>
                      <w:color w:val="auto"/>
                      <w:lang w:val="en-US" w:eastAsia="zh-CN"/>
                    </w:rPr>
                  </w:pPr>
                </w:p>
              </w:tc>
            </w:tr>
            <w:tr w14:paraId="3F78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DDFBEAB">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23" w:type="dxa"/>
                  <w:shd w:val="clear" w:color="auto" w:fill="auto"/>
                  <w:vAlign w:val="center"/>
                </w:tcPr>
                <w:p w14:paraId="13D3FE10">
                  <w:pPr>
                    <w:jc w:val="center"/>
                    <w:rPr>
                      <w:color w:val="auto"/>
                    </w:rPr>
                  </w:pPr>
                  <w:r>
                    <w:rPr>
                      <w:color w:val="auto"/>
                    </w:rPr>
                    <w:t>铬及其化合物</w:t>
                  </w:r>
                </w:p>
              </w:tc>
              <w:tc>
                <w:tcPr>
                  <w:tcW w:w="1363" w:type="dxa"/>
                  <w:shd w:val="clear" w:color="auto" w:fill="auto"/>
                  <w:vAlign w:val="center"/>
                </w:tcPr>
                <w:p w14:paraId="7593EDB5">
                  <w:pPr>
                    <w:jc w:val="center"/>
                    <w:rPr>
                      <w:color w:val="auto"/>
                    </w:rPr>
                  </w:pPr>
                  <w:r>
                    <w:rPr>
                      <w:color w:val="auto"/>
                    </w:rPr>
                    <w:t>/</w:t>
                  </w:r>
                </w:p>
              </w:tc>
              <w:tc>
                <w:tcPr>
                  <w:tcW w:w="898" w:type="dxa"/>
                  <w:shd w:val="clear" w:color="auto" w:fill="auto"/>
                  <w:vAlign w:val="center"/>
                </w:tcPr>
                <w:p w14:paraId="42B8A956">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0C4F88AC">
                  <w:pPr>
                    <w:jc w:val="center"/>
                    <w:rPr>
                      <w:rFonts w:hint="eastAsia" w:ascii="Times New Roman" w:hAnsi="Times New Roman" w:eastAsia="宋体" w:cs="Times New Roman"/>
                      <w:color w:val="auto"/>
                      <w:kern w:val="2"/>
                      <w:sz w:val="21"/>
                      <w:szCs w:val="24"/>
                      <w:lang w:val="en-US" w:eastAsia="zh-CN" w:bidi="ar-SA"/>
                    </w:rPr>
                  </w:pPr>
                  <w:r>
                    <w:rPr>
                      <w:color w:val="auto"/>
                    </w:rPr>
                    <w:t>0.12</w:t>
                  </w:r>
                </w:p>
              </w:tc>
              <w:tc>
                <w:tcPr>
                  <w:tcW w:w="1359" w:type="dxa"/>
                  <w:shd w:val="clear" w:color="auto" w:fill="auto"/>
                  <w:vAlign w:val="center"/>
                </w:tcPr>
                <w:p w14:paraId="550CD57E">
                  <w:pPr>
                    <w:jc w:val="center"/>
                    <w:rPr>
                      <w:rFonts w:hint="eastAsia"/>
                      <w:color w:val="auto"/>
                      <w:lang w:val="en-US" w:eastAsia="zh-CN"/>
                    </w:rPr>
                  </w:pPr>
                  <w:r>
                    <w:rPr>
                      <w:rFonts w:hint="eastAsia"/>
                      <w:color w:val="auto"/>
                      <w:lang w:val="en-US" w:eastAsia="zh-CN"/>
                    </w:rPr>
                    <w:t>0.12</w:t>
                  </w:r>
                </w:p>
              </w:tc>
              <w:tc>
                <w:tcPr>
                  <w:tcW w:w="1071" w:type="dxa"/>
                  <w:shd w:val="clear" w:color="auto" w:fill="auto"/>
                  <w:vAlign w:val="center"/>
                </w:tcPr>
                <w:p w14:paraId="1E9A1A0C">
                  <w:pPr>
                    <w:jc w:val="center"/>
                    <w:rPr>
                      <w:color w:val="auto"/>
                      <w:lang w:val="en-US" w:eastAsia="zh-CN"/>
                    </w:rPr>
                  </w:pPr>
                  <w:r>
                    <w:rPr>
                      <w:rFonts w:hint="default"/>
                      <w:color w:val="auto"/>
                      <w:lang w:val="en-US" w:eastAsia="zh-CN"/>
                    </w:rPr>
                    <w:t>0.25</w:t>
                  </w:r>
                </w:p>
              </w:tc>
              <w:tc>
                <w:tcPr>
                  <w:tcW w:w="1003" w:type="dxa"/>
                  <w:vAlign w:val="center"/>
                </w:tcPr>
                <w:p w14:paraId="10695549">
                  <w:pPr>
                    <w:jc w:val="center"/>
                    <w:rPr>
                      <w:rFonts w:hint="default"/>
                      <w:color w:val="auto"/>
                      <w:lang w:val="en-US" w:eastAsia="zh-CN"/>
                    </w:rPr>
                  </w:pPr>
                  <w:r>
                    <w:rPr>
                      <w:rFonts w:hint="default"/>
                      <w:color w:val="auto"/>
                      <w:lang w:val="en-US" w:eastAsia="zh-CN"/>
                    </w:rPr>
                    <w:t>0.48</w:t>
                  </w:r>
                </w:p>
              </w:tc>
              <w:tc>
                <w:tcPr>
                  <w:tcW w:w="427" w:type="dxa"/>
                  <w:vAlign w:val="center"/>
                </w:tcPr>
                <w:p w14:paraId="512CB263">
                  <w:pPr>
                    <w:jc w:val="center"/>
                    <w:rPr>
                      <w:rFonts w:hint="eastAsia"/>
                      <w:color w:val="auto"/>
                      <w:lang w:val="en-US" w:eastAsia="zh-CN"/>
                    </w:rPr>
                  </w:pPr>
                  <w:r>
                    <w:rPr>
                      <w:rFonts w:hint="eastAsia"/>
                      <w:color w:val="auto"/>
                      <w:lang w:val="en-US" w:eastAsia="zh-CN"/>
                    </w:rPr>
                    <w:t>是</w:t>
                  </w:r>
                </w:p>
              </w:tc>
            </w:tr>
            <w:tr w14:paraId="0D68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02CAD0A">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23" w:type="dxa"/>
                  <w:shd w:val="clear" w:color="auto" w:fill="auto"/>
                  <w:vAlign w:val="center"/>
                </w:tcPr>
                <w:p w14:paraId="3B799448">
                  <w:pPr>
                    <w:jc w:val="center"/>
                    <w:rPr>
                      <w:color w:val="auto"/>
                    </w:rPr>
                  </w:pPr>
                  <w:r>
                    <w:rPr>
                      <w:color w:val="auto"/>
                    </w:rPr>
                    <w:t>磷酸</w:t>
                  </w:r>
                </w:p>
              </w:tc>
              <w:tc>
                <w:tcPr>
                  <w:tcW w:w="1363" w:type="dxa"/>
                  <w:shd w:val="clear" w:color="auto" w:fill="auto"/>
                  <w:vAlign w:val="center"/>
                </w:tcPr>
                <w:p w14:paraId="0F580AA5">
                  <w:pPr>
                    <w:jc w:val="center"/>
                    <w:rPr>
                      <w:color w:val="auto"/>
                    </w:rPr>
                  </w:pPr>
                  <w:r>
                    <w:rPr>
                      <w:color w:val="auto"/>
                    </w:rPr>
                    <w:t>7664-38-2</w:t>
                  </w:r>
                </w:p>
              </w:tc>
              <w:tc>
                <w:tcPr>
                  <w:tcW w:w="898" w:type="dxa"/>
                  <w:shd w:val="clear" w:color="auto" w:fill="auto"/>
                  <w:vAlign w:val="center"/>
                </w:tcPr>
                <w:p w14:paraId="3B140774">
                  <w:pPr>
                    <w:jc w:val="center"/>
                    <w:rPr>
                      <w:color w:val="auto"/>
                    </w:rPr>
                  </w:pPr>
                  <w:r>
                    <w:rPr>
                      <w:rFonts w:hint="eastAsia"/>
                      <w:color w:val="auto"/>
                      <w:lang w:val="en-US" w:eastAsia="zh-CN"/>
                    </w:rPr>
                    <w:t>0</w:t>
                  </w:r>
                </w:p>
              </w:tc>
              <w:tc>
                <w:tcPr>
                  <w:tcW w:w="718" w:type="dxa"/>
                  <w:shd w:val="clear" w:color="auto" w:fill="auto"/>
                  <w:vAlign w:val="center"/>
                </w:tcPr>
                <w:p w14:paraId="17A508EB">
                  <w:pPr>
                    <w:jc w:val="center"/>
                    <w:rPr>
                      <w:rFonts w:hint="eastAsia" w:ascii="Times New Roman" w:hAnsi="Times New Roman" w:eastAsia="宋体" w:cs="Times New Roman"/>
                      <w:color w:val="auto"/>
                      <w:kern w:val="2"/>
                      <w:sz w:val="21"/>
                      <w:szCs w:val="24"/>
                      <w:lang w:val="en-US" w:eastAsia="zh-CN" w:bidi="ar-SA"/>
                    </w:rPr>
                  </w:pPr>
                  <w:r>
                    <w:rPr>
                      <w:color w:val="auto"/>
                    </w:rPr>
                    <w:t>0.8</w:t>
                  </w:r>
                </w:p>
              </w:tc>
              <w:tc>
                <w:tcPr>
                  <w:tcW w:w="1359" w:type="dxa"/>
                  <w:shd w:val="clear" w:color="auto" w:fill="auto"/>
                  <w:vAlign w:val="center"/>
                </w:tcPr>
                <w:p w14:paraId="29BC5882">
                  <w:pPr>
                    <w:jc w:val="center"/>
                    <w:rPr>
                      <w:rFonts w:hint="eastAsia"/>
                      <w:color w:val="auto"/>
                      <w:lang w:val="en-US" w:eastAsia="zh-CN"/>
                    </w:rPr>
                  </w:pPr>
                  <w:r>
                    <w:rPr>
                      <w:rFonts w:hint="eastAsia"/>
                      <w:color w:val="auto"/>
                      <w:lang w:val="en-US" w:eastAsia="zh-CN"/>
                    </w:rPr>
                    <w:t>0.8</w:t>
                  </w:r>
                </w:p>
              </w:tc>
              <w:tc>
                <w:tcPr>
                  <w:tcW w:w="1071" w:type="dxa"/>
                  <w:shd w:val="clear" w:color="auto" w:fill="auto"/>
                  <w:vAlign w:val="center"/>
                </w:tcPr>
                <w:p w14:paraId="14AAD4E2">
                  <w:pPr>
                    <w:jc w:val="center"/>
                    <w:rPr>
                      <w:color w:val="auto"/>
                      <w:lang w:val="en-US" w:eastAsia="zh-CN"/>
                    </w:rPr>
                  </w:pPr>
                  <w:r>
                    <w:rPr>
                      <w:rFonts w:hint="default"/>
                      <w:color w:val="auto"/>
                      <w:lang w:val="en-US" w:eastAsia="zh-CN"/>
                    </w:rPr>
                    <w:t>10</w:t>
                  </w:r>
                </w:p>
              </w:tc>
              <w:tc>
                <w:tcPr>
                  <w:tcW w:w="1003" w:type="dxa"/>
                  <w:vAlign w:val="center"/>
                </w:tcPr>
                <w:p w14:paraId="4ABD3B91">
                  <w:pPr>
                    <w:jc w:val="center"/>
                    <w:rPr>
                      <w:rFonts w:hint="default"/>
                      <w:color w:val="auto"/>
                      <w:lang w:val="en-US" w:eastAsia="zh-CN"/>
                    </w:rPr>
                  </w:pPr>
                  <w:r>
                    <w:rPr>
                      <w:rFonts w:hint="default"/>
                      <w:color w:val="auto"/>
                      <w:lang w:val="en-US" w:eastAsia="zh-CN"/>
                    </w:rPr>
                    <w:t>0.08</w:t>
                  </w:r>
                </w:p>
              </w:tc>
              <w:tc>
                <w:tcPr>
                  <w:tcW w:w="427" w:type="dxa"/>
                  <w:vAlign w:val="center"/>
                </w:tcPr>
                <w:p w14:paraId="6BF235FF">
                  <w:pPr>
                    <w:jc w:val="center"/>
                    <w:rPr>
                      <w:rFonts w:hint="eastAsia"/>
                      <w:color w:val="auto"/>
                      <w:lang w:val="en-US" w:eastAsia="zh-CN"/>
                    </w:rPr>
                  </w:pPr>
                  <w:r>
                    <w:rPr>
                      <w:rFonts w:hint="eastAsia"/>
                      <w:color w:val="auto"/>
                      <w:lang w:val="en-US" w:eastAsia="zh-CN"/>
                    </w:rPr>
                    <w:t>否</w:t>
                  </w:r>
                </w:p>
              </w:tc>
            </w:tr>
            <w:tr w14:paraId="17AA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D06797A">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23" w:type="dxa"/>
                  <w:shd w:val="clear" w:color="auto" w:fill="auto"/>
                  <w:vAlign w:val="center"/>
                </w:tcPr>
                <w:p w14:paraId="2AECE5B0">
                  <w:pPr>
                    <w:jc w:val="center"/>
                    <w:rPr>
                      <w:color w:val="auto"/>
                    </w:rPr>
                  </w:pPr>
                  <w:r>
                    <w:rPr>
                      <w:color w:val="auto"/>
                    </w:rPr>
                    <w:t>异丙醇</w:t>
                  </w:r>
                </w:p>
              </w:tc>
              <w:tc>
                <w:tcPr>
                  <w:tcW w:w="1363" w:type="dxa"/>
                  <w:shd w:val="clear" w:color="auto" w:fill="auto"/>
                  <w:vAlign w:val="center"/>
                </w:tcPr>
                <w:p w14:paraId="747E5890">
                  <w:pPr>
                    <w:jc w:val="center"/>
                    <w:rPr>
                      <w:color w:val="auto"/>
                    </w:rPr>
                  </w:pPr>
                  <w:r>
                    <w:rPr>
                      <w:color w:val="auto"/>
                    </w:rPr>
                    <w:t>67-63-0</w:t>
                  </w:r>
                </w:p>
              </w:tc>
              <w:tc>
                <w:tcPr>
                  <w:tcW w:w="898" w:type="dxa"/>
                  <w:shd w:val="clear" w:color="auto" w:fill="auto"/>
                  <w:vAlign w:val="center"/>
                </w:tcPr>
                <w:p w14:paraId="5B39D12B">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07EFC995">
                  <w:pPr>
                    <w:jc w:val="center"/>
                    <w:rPr>
                      <w:rFonts w:hint="eastAsia" w:ascii="Times New Roman" w:hAnsi="Times New Roman" w:eastAsia="宋体" w:cs="Times New Roman"/>
                      <w:color w:val="auto"/>
                      <w:kern w:val="2"/>
                      <w:sz w:val="21"/>
                      <w:szCs w:val="24"/>
                      <w:lang w:val="en-US" w:eastAsia="zh-CN" w:bidi="ar-SA"/>
                    </w:rPr>
                  </w:pPr>
                  <w:r>
                    <w:rPr>
                      <w:color w:val="auto"/>
                    </w:rPr>
                    <w:t>0.065</w:t>
                  </w:r>
                </w:p>
              </w:tc>
              <w:tc>
                <w:tcPr>
                  <w:tcW w:w="1359" w:type="dxa"/>
                  <w:shd w:val="clear" w:color="auto" w:fill="auto"/>
                  <w:vAlign w:val="center"/>
                </w:tcPr>
                <w:p w14:paraId="47ACFBD6">
                  <w:pPr>
                    <w:jc w:val="center"/>
                    <w:rPr>
                      <w:rFonts w:hint="eastAsia"/>
                      <w:color w:val="auto"/>
                      <w:lang w:val="en-US" w:eastAsia="zh-CN"/>
                    </w:rPr>
                  </w:pPr>
                  <w:r>
                    <w:rPr>
                      <w:rFonts w:hint="eastAsia"/>
                      <w:color w:val="auto"/>
                      <w:lang w:val="en-US" w:eastAsia="zh-CN"/>
                    </w:rPr>
                    <w:t>0.065</w:t>
                  </w:r>
                </w:p>
              </w:tc>
              <w:tc>
                <w:tcPr>
                  <w:tcW w:w="1071" w:type="dxa"/>
                  <w:shd w:val="clear" w:color="auto" w:fill="auto"/>
                  <w:vAlign w:val="center"/>
                </w:tcPr>
                <w:p w14:paraId="7E964D27">
                  <w:pPr>
                    <w:jc w:val="center"/>
                    <w:rPr>
                      <w:color w:val="auto"/>
                      <w:lang w:val="en-US" w:eastAsia="zh-CN"/>
                    </w:rPr>
                  </w:pPr>
                  <w:r>
                    <w:rPr>
                      <w:rFonts w:hint="default"/>
                      <w:color w:val="auto"/>
                      <w:lang w:val="en-US" w:eastAsia="zh-CN"/>
                    </w:rPr>
                    <w:t>10</w:t>
                  </w:r>
                </w:p>
              </w:tc>
              <w:tc>
                <w:tcPr>
                  <w:tcW w:w="1003" w:type="dxa"/>
                  <w:vAlign w:val="center"/>
                </w:tcPr>
                <w:p w14:paraId="466CC9AE">
                  <w:pPr>
                    <w:jc w:val="center"/>
                    <w:rPr>
                      <w:rFonts w:hint="default"/>
                      <w:color w:val="auto"/>
                      <w:lang w:val="en-US" w:eastAsia="zh-CN"/>
                    </w:rPr>
                  </w:pPr>
                  <w:r>
                    <w:rPr>
                      <w:rFonts w:hint="default"/>
                      <w:color w:val="auto"/>
                      <w:lang w:val="en-US" w:eastAsia="zh-CN"/>
                    </w:rPr>
                    <w:t>0.0065</w:t>
                  </w:r>
                </w:p>
              </w:tc>
              <w:tc>
                <w:tcPr>
                  <w:tcW w:w="427" w:type="dxa"/>
                  <w:vAlign w:val="center"/>
                </w:tcPr>
                <w:p w14:paraId="1080D38A">
                  <w:pPr>
                    <w:jc w:val="center"/>
                    <w:rPr>
                      <w:rFonts w:hint="eastAsia"/>
                      <w:color w:val="auto"/>
                      <w:lang w:val="en-US" w:eastAsia="zh-CN"/>
                    </w:rPr>
                  </w:pPr>
                  <w:r>
                    <w:rPr>
                      <w:rFonts w:hint="eastAsia"/>
                      <w:color w:val="auto"/>
                      <w:lang w:val="en-US" w:eastAsia="zh-CN"/>
                    </w:rPr>
                    <w:t>否</w:t>
                  </w:r>
                </w:p>
              </w:tc>
            </w:tr>
            <w:tr w14:paraId="6522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0EBAC28">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23" w:type="dxa"/>
                  <w:shd w:val="clear" w:color="auto" w:fill="auto"/>
                  <w:vAlign w:val="center"/>
                </w:tcPr>
                <w:p w14:paraId="29D20902">
                  <w:pPr>
                    <w:jc w:val="center"/>
                    <w:rPr>
                      <w:color w:val="auto"/>
                    </w:rPr>
                  </w:pPr>
                  <w:r>
                    <w:rPr>
                      <w:color w:val="auto"/>
                    </w:rPr>
                    <w:t>二甲苯</w:t>
                  </w:r>
                </w:p>
              </w:tc>
              <w:tc>
                <w:tcPr>
                  <w:tcW w:w="1363" w:type="dxa"/>
                  <w:shd w:val="clear" w:color="auto" w:fill="auto"/>
                  <w:vAlign w:val="center"/>
                </w:tcPr>
                <w:p w14:paraId="45A4AF6C">
                  <w:pPr>
                    <w:jc w:val="center"/>
                    <w:rPr>
                      <w:color w:val="auto"/>
                    </w:rPr>
                  </w:pPr>
                  <w:r>
                    <w:rPr>
                      <w:color w:val="auto"/>
                    </w:rPr>
                    <w:t>1330-20-7</w:t>
                  </w:r>
                </w:p>
              </w:tc>
              <w:tc>
                <w:tcPr>
                  <w:tcW w:w="898" w:type="dxa"/>
                  <w:shd w:val="clear" w:color="auto" w:fill="auto"/>
                  <w:vAlign w:val="center"/>
                </w:tcPr>
                <w:p w14:paraId="48D369B3">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6F0C28D9">
                  <w:pPr>
                    <w:jc w:val="center"/>
                    <w:rPr>
                      <w:rFonts w:hint="eastAsia" w:ascii="Times New Roman" w:hAnsi="Times New Roman" w:eastAsia="宋体" w:cs="Times New Roman"/>
                      <w:color w:val="auto"/>
                      <w:kern w:val="2"/>
                      <w:sz w:val="21"/>
                      <w:szCs w:val="24"/>
                      <w:lang w:val="en-US" w:eastAsia="zh-CN" w:bidi="ar-SA"/>
                    </w:rPr>
                  </w:pPr>
                  <w:r>
                    <w:rPr>
                      <w:color w:val="auto"/>
                    </w:rPr>
                    <w:t>0.103</w:t>
                  </w:r>
                </w:p>
              </w:tc>
              <w:tc>
                <w:tcPr>
                  <w:tcW w:w="1359" w:type="dxa"/>
                  <w:shd w:val="clear" w:color="auto" w:fill="auto"/>
                  <w:vAlign w:val="center"/>
                </w:tcPr>
                <w:p w14:paraId="382FF388">
                  <w:pPr>
                    <w:jc w:val="center"/>
                    <w:rPr>
                      <w:rFonts w:hint="eastAsia"/>
                      <w:color w:val="auto"/>
                      <w:lang w:val="en-US" w:eastAsia="zh-CN"/>
                    </w:rPr>
                  </w:pPr>
                  <w:r>
                    <w:rPr>
                      <w:rFonts w:hint="eastAsia"/>
                      <w:color w:val="auto"/>
                      <w:lang w:val="en-US" w:eastAsia="zh-CN"/>
                    </w:rPr>
                    <w:t>0.103</w:t>
                  </w:r>
                </w:p>
              </w:tc>
              <w:tc>
                <w:tcPr>
                  <w:tcW w:w="1071" w:type="dxa"/>
                  <w:shd w:val="clear" w:color="auto" w:fill="auto"/>
                  <w:vAlign w:val="center"/>
                </w:tcPr>
                <w:p w14:paraId="38EF5054">
                  <w:pPr>
                    <w:jc w:val="center"/>
                    <w:rPr>
                      <w:color w:val="auto"/>
                      <w:lang w:val="en-US" w:eastAsia="zh-CN"/>
                    </w:rPr>
                  </w:pPr>
                  <w:r>
                    <w:rPr>
                      <w:rFonts w:hint="default"/>
                      <w:color w:val="auto"/>
                      <w:lang w:val="en-US" w:eastAsia="zh-CN"/>
                    </w:rPr>
                    <w:t>10</w:t>
                  </w:r>
                </w:p>
              </w:tc>
              <w:tc>
                <w:tcPr>
                  <w:tcW w:w="1003" w:type="dxa"/>
                  <w:vAlign w:val="center"/>
                </w:tcPr>
                <w:p w14:paraId="2A8850A3">
                  <w:pPr>
                    <w:jc w:val="center"/>
                    <w:rPr>
                      <w:rFonts w:hint="default"/>
                      <w:color w:val="auto"/>
                      <w:lang w:val="en-US" w:eastAsia="zh-CN"/>
                    </w:rPr>
                  </w:pPr>
                  <w:r>
                    <w:rPr>
                      <w:rFonts w:hint="default"/>
                      <w:color w:val="auto"/>
                      <w:lang w:val="en-US" w:eastAsia="zh-CN"/>
                    </w:rPr>
                    <w:t>0.0103</w:t>
                  </w:r>
                </w:p>
              </w:tc>
              <w:tc>
                <w:tcPr>
                  <w:tcW w:w="427" w:type="dxa"/>
                  <w:vAlign w:val="center"/>
                </w:tcPr>
                <w:p w14:paraId="6A6C8F0E">
                  <w:pPr>
                    <w:jc w:val="center"/>
                    <w:rPr>
                      <w:rFonts w:hint="eastAsia"/>
                      <w:color w:val="auto"/>
                      <w:lang w:val="en-US" w:eastAsia="zh-CN"/>
                    </w:rPr>
                  </w:pPr>
                  <w:r>
                    <w:rPr>
                      <w:rFonts w:hint="eastAsia"/>
                      <w:color w:val="auto"/>
                      <w:lang w:val="en-US" w:eastAsia="zh-CN"/>
                    </w:rPr>
                    <w:t>否</w:t>
                  </w:r>
                </w:p>
              </w:tc>
            </w:tr>
            <w:tr w14:paraId="0B20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2EE5C4A">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23" w:type="dxa"/>
                  <w:shd w:val="clear" w:color="auto" w:fill="auto"/>
                  <w:vAlign w:val="center"/>
                </w:tcPr>
                <w:p w14:paraId="6D6526E6">
                  <w:pPr>
                    <w:jc w:val="center"/>
                    <w:rPr>
                      <w:color w:val="auto"/>
                    </w:rPr>
                  </w:pPr>
                  <w:r>
                    <w:rPr>
                      <w:color w:val="auto"/>
                    </w:rPr>
                    <w:t>丁醇</w:t>
                  </w:r>
                </w:p>
              </w:tc>
              <w:tc>
                <w:tcPr>
                  <w:tcW w:w="1363" w:type="dxa"/>
                  <w:shd w:val="clear" w:color="auto" w:fill="auto"/>
                  <w:vAlign w:val="center"/>
                </w:tcPr>
                <w:p w14:paraId="1CEC5123">
                  <w:pPr>
                    <w:jc w:val="center"/>
                    <w:rPr>
                      <w:color w:val="auto"/>
                    </w:rPr>
                  </w:pPr>
                  <w:r>
                    <w:rPr>
                      <w:color w:val="auto"/>
                    </w:rPr>
                    <w:t>71-36-3</w:t>
                  </w:r>
                </w:p>
              </w:tc>
              <w:tc>
                <w:tcPr>
                  <w:tcW w:w="898" w:type="dxa"/>
                  <w:shd w:val="clear" w:color="auto" w:fill="auto"/>
                  <w:vAlign w:val="center"/>
                </w:tcPr>
                <w:p w14:paraId="793976D9">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6194B5C2">
                  <w:pPr>
                    <w:jc w:val="center"/>
                    <w:rPr>
                      <w:rFonts w:hint="eastAsia" w:ascii="Times New Roman" w:hAnsi="Times New Roman" w:eastAsia="宋体" w:cs="Times New Roman"/>
                      <w:color w:val="auto"/>
                      <w:kern w:val="2"/>
                      <w:sz w:val="21"/>
                      <w:szCs w:val="24"/>
                      <w:lang w:val="en-US" w:eastAsia="zh-CN" w:bidi="ar-SA"/>
                    </w:rPr>
                  </w:pPr>
                  <w:r>
                    <w:rPr>
                      <w:color w:val="auto"/>
                    </w:rPr>
                    <w:t>0.053</w:t>
                  </w:r>
                </w:p>
              </w:tc>
              <w:tc>
                <w:tcPr>
                  <w:tcW w:w="1359" w:type="dxa"/>
                  <w:shd w:val="clear" w:color="auto" w:fill="auto"/>
                  <w:vAlign w:val="center"/>
                </w:tcPr>
                <w:p w14:paraId="7B2FBCAC">
                  <w:pPr>
                    <w:jc w:val="center"/>
                    <w:rPr>
                      <w:rFonts w:hint="eastAsia"/>
                      <w:color w:val="auto"/>
                      <w:lang w:val="en-US" w:eastAsia="zh-CN"/>
                    </w:rPr>
                  </w:pPr>
                  <w:r>
                    <w:rPr>
                      <w:rFonts w:hint="eastAsia"/>
                      <w:color w:val="auto"/>
                      <w:lang w:val="en-US" w:eastAsia="zh-CN"/>
                    </w:rPr>
                    <w:t>0.053</w:t>
                  </w:r>
                </w:p>
              </w:tc>
              <w:tc>
                <w:tcPr>
                  <w:tcW w:w="1071" w:type="dxa"/>
                  <w:shd w:val="clear" w:color="auto" w:fill="auto"/>
                  <w:vAlign w:val="center"/>
                </w:tcPr>
                <w:p w14:paraId="3B410F9F">
                  <w:pPr>
                    <w:jc w:val="center"/>
                    <w:rPr>
                      <w:color w:val="auto"/>
                      <w:lang w:val="en-US" w:eastAsia="zh-CN"/>
                    </w:rPr>
                  </w:pPr>
                  <w:r>
                    <w:rPr>
                      <w:rFonts w:hint="default"/>
                      <w:color w:val="auto"/>
                      <w:lang w:val="en-US" w:eastAsia="zh-CN"/>
                    </w:rPr>
                    <w:t>10</w:t>
                  </w:r>
                </w:p>
              </w:tc>
              <w:tc>
                <w:tcPr>
                  <w:tcW w:w="1003" w:type="dxa"/>
                  <w:vAlign w:val="center"/>
                </w:tcPr>
                <w:p w14:paraId="2281F8A2">
                  <w:pPr>
                    <w:jc w:val="center"/>
                    <w:rPr>
                      <w:rFonts w:hint="default"/>
                      <w:color w:val="auto"/>
                      <w:lang w:val="en-US" w:eastAsia="zh-CN"/>
                    </w:rPr>
                  </w:pPr>
                  <w:r>
                    <w:rPr>
                      <w:rFonts w:hint="default"/>
                      <w:color w:val="auto"/>
                      <w:lang w:val="en-US" w:eastAsia="zh-CN"/>
                    </w:rPr>
                    <w:t>0.0053</w:t>
                  </w:r>
                </w:p>
              </w:tc>
              <w:tc>
                <w:tcPr>
                  <w:tcW w:w="427" w:type="dxa"/>
                  <w:vAlign w:val="center"/>
                </w:tcPr>
                <w:p w14:paraId="4FB3ED09">
                  <w:pPr>
                    <w:jc w:val="center"/>
                    <w:rPr>
                      <w:rFonts w:hint="eastAsia"/>
                      <w:color w:val="auto"/>
                      <w:lang w:val="en-US" w:eastAsia="zh-CN"/>
                    </w:rPr>
                  </w:pPr>
                  <w:r>
                    <w:rPr>
                      <w:rFonts w:hint="eastAsia"/>
                      <w:color w:val="auto"/>
                      <w:lang w:val="en-US" w:eastAsia="zh-CN"/>
                    </w:rPr>
                    <w:t>否</w:t>
                  </w:r>
                </w:p>
              </w:tc>
            </w:tr>
            <w:tr w14:paraId="1C61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E6CC466">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23" w:type="dxa"/>
                  <w:shd w:val="clear" w:color="auto" w:fill="auto"/>
                  <w:vAlign w:val="center"/>
                </w:tcPr>
                <w:p w14:paraId="76FF3302">
                  <w:pPr>
                    <w:jc w:val="center"/>
                    <w:rPr>
                      <w:color w:val="auto"/>
                    </w:rPr>
                  </w:pPr>
                  <w:r>
                    <w:rPr>
                      <w:color w:val="auto"/>
                    </w:rPr>
                    <w:t>甲醛</w:t>
                  </w:r>
                </w:p>
              </w:tc>
              <w:tc>
                <w:tcPr>
                  <w:tcW w:w="1363" w:type="dxa"/>
                  <w:shd w:val="clear" w:color="auto" w:fill="auto"/>
                  <w:vAlign w:val="center"/>
                </w:tcPr>
                <w:p w14:paraId="4F08B638">
                  <w:pPr>
                    <w:jc w:val="center"/>
                    <w:rPr>
                      <w:color w:val="auto"/>
                    </w:rPr>
                  </w:pPr>
                  <w:r>
                    <w:rPr>
                      <w:color w:val="auto"/>
                    </w:rPr>
                    <w:t>50-00-0</w:t>
                  </w:r>
                </w:p>
              </w:tc>
              <w:tc>
                <w:tcPr>
                  <w:tcW w:w="898" w:type="dxa"/>
                  <w:shd w:val="clear" w:color="auto" w:fill="auto"/>
                  <w:vAlign w:val="center"/>
                </w:tcPr>
                <w:p w14:paraId="4E5F2CA6">
                  <w:pPr>
                    <w:jc w:val="center"/>
                    <w:rPr>
                      <w:color w:val="auto"/>
                    </w:rPr>
                  </w:pPr>
                  <w:r>
                    <w:rPr>
                      <w:rFonts w:hint="eastAsia"/>
                      <w:color w:val="auto"/>
                      <w:lang w:val="en-US" w:eastAsia="zh-CN"/>
                    </w:rPr>
                    <w:t>0</w:t>
                  </w:r>
                </w:p>
              </w:tc>
              <w:tc>
                <w:tcPr>
                  <w:tcW w:w="718" w:type="dxa"/>
                  <w:shd w:val="clear" w:color="auto" w:fill="auto"/>
                  <w:vAlign w:val="center"/>
                </w:tcPr>
                <w:p w14:paraId="14286668">
                  <w:pPr>
                    <w:jc w:val="center"/>
                    <w:rPr>
                      <w:rFonts w:hint="eastAsia" w:ascii="Times New Roman" w:hAnsi="Times New Roman" w:eastAsia="宋体" w:cs="Times New Roman"/>
                      <w:color w:val="auto"/>
                      <w:kern w:val="2"/>
                      <w:sz w:val="21"/>
                      <w:szCs w:val="24"/>
                      <w:lang w:val="en-US" w:eastAsia="zh-CN" w:bidi="ar-SA"/>
                    </w:rPr>
                  </w:pPr>
                  <w:r>
                    <w:rPr>
                      <w:color w:val="auto"/>
                    </w:rPr>
                    <w:t>0.002</w:t>
                  </w:r>
                </w:p>
              </w:tc>
              <w:tc>
                <w:tcPr>
                  <w:tcW w:w="1359" w:type="dxa"/>
                  <w:shd w:val="clear" w:color="auto" w:fill="auto"/>
                  <w:vAlign w:val="center"/>
                </w:tcPr>
                <w:p w14:paraId="14E6AFF2">
                  <w:pPr>
                    <w:jc w:val="center"/>
                    <w:rPr>
                      <w:rFonts w:hint="eastAsia"/>
                      <w:color w:val="auto"/>
                      <w:lang w:val="en-US" w:eastAsia="zh-CN"/>
                    </w:rPr>
                  </w:pPr>
                  <w:r>
                    <w:rPr>
                      <w:rFonts w:hint="eastAsia"/>
                      <w:color w:val="auto"/>
                      <w:lang w:val="en-US" w:eastAsia="zh-CN"/>
                    </w:rPr>
                    <w:t>0.002</w:t>
                  </w:r>
                </w:p>
              </w:tc>
              <w:tc>
                <w:tcPr>
                  <w:tcW w:w="1071" w:type="dxa"/>
                  <w:shd w:val="clear" w:color="auto" w:fill="auto"/>
                  <w:vAlign w:val="center"/>
                </w:tcPr>
                <w:p w14:paraId="17FB3529">
                  <w:pPr>
                    <w:jc w:val="center"/>
                    <w:rPr>
                      <w:color w:val="auto"/>
                      <w:lang w:val="en-US" w:eastAsia="zh-CN"/>
                    </w:rPr>
                  </w:pPr>
                  <w:r>
                    <w:rPr>
                      <w:rFonts w:hint="default"/>
                      <w:color w:val="auto"/>
                      <w:lang w:val="en-US" w:eastAsia="zh-CN"/>
                    </w:rPr>
                    <w:t>0.5</w:t>
                  </w:r>
                </w:p>
              </w:tc>
              <w:tc>
                <w:tcPr>
                  <w:tcW w:w="1003" w:type="dxa"/>
                  <w:vAlign w:val="center"/>
                </w:tcPr>
                <w:p w14:paraId="6DFCB76F">
                  <w:pPr>
                    <w:jc w:val="center"/>
                    <w:rPr>
                      <w:rFonts w:hint="default"/>
                      <w:color w:val="auto"/>
                      <w:lang w:val="en-US" w:eastAsia="zh-CN"/>
                    </w:rPr>
                  </w:pPr>
                  <w:r>
                    <w:rPr>
                      <w:rFonts w:hint="default"/>
                      <w:color w:val="auto"/>
                      <w:lang w:val="en-US" w:eastAsia="zh-CN"/>
                    </w:rPr>
                    <w:t>0.0040</w:t>
                  </w:r>
                </w:p>
              </w:tc>
              <w:tc>
                <w:tcPr>
                  <w:tcW w:w="427" w:type="dxa"/>
                  <w:vAlign w:val="center"/>
                </w:tcPr>
                <w:p w14:paraId="346AAF54">
                  <w:pPr>
                    <w:jc w:val="center"/>
                    <w:rPr>
                      <w:rFonts w:hint="eastAsia"/>
                      <w:color w:val="auto"/>
                      <w:lang w:val="en-US" w:eastAsia="zh-CN"/>
                    </w:rPr>
                  </w:pPr>
                  <w:r>
                    <w:rPr>
                      <w:rFonts w:hint="eastAsia"/>
                      <w:color w:val="auto"/>
                      <w:lang w:val="en-US" w:eastAsia="zh-CN"/>
                    </w:rPr>
                    <w:t>否</w:t>
                  </w:r>
                </w:p>
              </w:tc>
            </w:tr>
            <w:tr w14:paraId="35E3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301AFA0">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23" w:type="dxa"/>
                  <w:shd w:val="clear" w:color="auto" w:fill="auto"/>
                  <w:vAlign w:val="center"/>
                </w:tcPr>
                <w:p w14:paraId="72BBD97E">
                  <w:pPr>
                    <w:jc w:val="center"/>
                    <w:rPr>
                      <w:color w:val="auto"/>
                    </w:rPr>
                  </w:pPr>
                  <w:r>
                    <w:rPr>
                      <w:color w:val="auto"/>
                    </w:rPr>
                    <w:t>甲苯</w:t>
                  </w:r>
                </w:p>
              </w:tc>
              <w:tc>
                <w:tcPr>
                  <w:tcW w:w="1363" w:type="dxa"/>
                  <w:shd w:val="clear" w:color="auto" w:fill="auto"/>
                  <w:vAlign w:val="center"/>
                </w:tcPr>
                <w:p w14:paraId="3C65DBFF">
                  <w:pPr>
                    <w:jc w:val="center"/>
                    <w:rPr>
                      <w:color w:val="auto"/>
                    </w:rPr>
                  </w:pPr>
                  <w:r>
                    <w:rPr>
                      <w:color w:val="auto"/>
                    </w:rPr>
                    <w:t>108-88-3</w:t>
                  </w:r>
                </w:p>
              </w:tc>
              <w:tc>
                <w:tcPr>
                  <w:tcW w:w="898" w:type="dxa"/>
                  <w:shd w:val="clear" w:color="auto" w:fill="auto"/>
                  <w:vAlign w:val="center"/>
                </w:tcPr>
                <w:p w14:paraId="61F0A29E">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13948829">
                  <w:pPr>
                    <w:jc w:val="center"/>
                    <w:rPr>
                      <w:rFonts w:hint="eastAsia" w:ascii="Times New Roman" w:hAnsi="Times New Roman" w:eastAsia="宋体" w:cs="Times New Roman"/>
                      <w:color w:val="auto"/>
                      <w:kern w:val="2"/>
                      <w:sz w:val="21"/>
                      <w:szCs w:val="24"/>
                      <w:lang w:val="en-US" w:eastAsia="zh-CN" w:bidi="ar-SA"/>
                    </w:rPr>
                  </w:pPr>
                  <w:r>
                    <w:rPr>
                      <w:color w:val="auto"/>
                    </w:rPr>
                    <w:t>0.039</w:t>
                  </w:r>
                </w:p>
              </w:tc>
              <w:tc>
                <w:tcPr>
                  <w:tcW w:w="1359" w:type="dxa"/>
                  <w:shd w:val="clear" w:color="auto" w:fill="auto"/>
                  <w:vAlign w:val="center"/>
                </w:tcPr>
                <w:p w14:paraId="13425D88">
                  <w:pPr>
                    <w:jc w:val="center"/>
                    <w:rPr>
                      <w:rFonts w:hint="eastAsia"/>
                      <w:color w:val="auto"/>
                      <w:lang w:val="en-US" w:eastAsia="zh-CN"/>
                    </w:rPr>
                  </w:pPr>
                  <w:r>
                    <w:rPr>
                      <w:rFonts w:hint="eastAsia"/>
                      <w:color w:val="auto"/>
                      <w:lang w:val="en-US" w:eastAsia="zh-CN"/>
                    </w:rPr>
                    <w:t>0.039</w:t>
                  </w:r>
                </w:p>
              </w:tc>
              <w:tc>
                <w:tcPr>
                  <w:tcW w:w="1071" w:type="dxa"/>
                  <w:shd w:val="clear" w:color="auto" w:fill="auto"/>
                  <w:vAlign w:val="center"/>
                </w:tcPr>
                <w:p w14:paraId="1E44B292">
                  <w:pPr>
                    <w:jc w:val="center"/>
                    <w:rPr>
                      <w:color w:val="auto"/>
                      <w:lang w:val="en-US" w:eastAsia="zh-CN"/>
                    </w:rPr>
                  </w:pPr>
                  <w:r>
                    <w:rPr>
                      <w:rFonts w:hint="default"/>
                      <w:color w:val="auto"/>
                      <w:lang w:val="en-US" w:eastAsia="zh-CN"/>
                    </w:rPr>
                    <w:t>10</w:t>
                  </w:r>
                </w:p>
              </w:tc>
              <w:tc>
                <w:tcPr>
                  <w:tcW w:w="1003" w:type="dxa"/>
                  <w:vAlign w:val="center"/>
                </w:tcPr>
                <w:p w14:paraId="4FA9F7DF">
                  <w:pPr>
                    <w:jc w:val="center"/>
                    <w:rPr>
                      <w:rFonts w:hint="default"/>
                      <w:color w:val="auto"/>
                      <w:lang w:val="en-US" w:eastAsia="zh-CN"/>
                    </w:rPr>
                  </w:pPr>
                  <w:r>
                    <w:rPr>
                      <w:rFonts w:hint="default"/>
                      <w:color w:val="auto"/>
                      <w:lang w:val="en-US" w:eastAsia="zh-CN"/>
                    </w:rPr>
                    <w:t>0.0039</w:t>
                  </w:r>
                </w:p>
              </w:tc>
              <w:tc>
                <w:tcPr>
                  <w:tcW w:w="427" w:type="dxa"/>
                  <w:vAlign w:val="center"/>
                </w:tcPr>
                <w:p w14:paraId="169A3E34">
                  <w:pPr>
                    <w:jc w:val="center"/>
                    <w:rPr>
                      <w:rFonts w:hint="eastAsia"/>
                      <w:color w:val="auto"/>
                      <w:lang w:val="en-US" w:eastAsia="zh-CN"/>
                    </w:rPr>
                  </w:pPr>
                  <w:r>
                    <w:rPr>
                      <w:rFonts w:hint="eastAsia"/>
                      <w:color w:val="auto"/>
                      <w:lang w:val="en-US" w:eastAsia="zh-CN"/>
                    </w:rPr>
                    <w:t>否</w:t>
                  </w:r>
                </w:p>
              </w:tc>
            </w:tr>
            <w:tr w14:paraId="0473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7B0DF19">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23" w:type="dxa"/>
                  <w:shd w:val="clear" w:color="auto" w:fill="auto"/>
                  <w:vAlign w:val="center"/>
                </w:tcPr>
                <w:p w14:paraId="54014AB9">
                  <w:pPr>
                    <w:jc w:val="center"/>
                    <w:rPr>
                      <w:color w:val="auto"/>
                    </w:rPr>
                  </w:pPr>
                  <w:r>
                    <w:rPr>
                      <w:color w:val="auto"/>
                    </w:rPr>
                    <w:t>乙苯</w:t>
                  </w:r>
                </w:p>
              </w:tc>
              <w:tc>
                <w:tcPr>
                  <w:tcW w:w="1363" w:type="dxa"/>
                  <w:shd w:val="clear" w:color="auto" w:fill="auto"/>
                  <w:vAlign w:val="center"/>
                </w:tcPr>
                <w:p w14:paraId="461BE774">
                  <w:pPr>
                    <w:jc w:val="center"/>
                    <w:rPr>
                      <w:color w:val="auto"/>
                    </w:rPr>
                  </w:pPr>
                  <w:r>
                    <w:rPr>
                      <w:color w:val="auto"/>
                    </w:rPr>
                    <w:t>100-41-4</w:t>
                  </w:r>
                </w:p>
              </w:tc>
              <w:tc>
                <w:tcPr>
                  <w:tcW w:w="898" w:type="dxa"/>
                  <w:shd w:val="clear" w:color="auto" w:fill="auto"/>
                  <w:vAlign w:val="center"/>
                </w:tcPr>
                <w:p w14:paraId="19451579">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67893849">
                  <w:pPr>
                    <w:jc w:val="center"/>
                    <w:rPr>
                      <w:rFonts w:hint="eastAsia" w:ascii="Times New Roman" w:hAnsi="Times New Roman" w:eastAsia="宋体" w:cs="Times New Roman"/>
                      <w:color w:val="auto"/>
                      <w:kern w:val="2"/>
                      <w:sz w:val="21"/>
                      <w:szCs w:val="24"/>
                      <w:lang w:val="en-US" w:eastAsia="zh-CN" w:bidi="ar-SA"/>
                    </w:rPr>
                  </w:pPr>
                  <w:r>
                    <w:rPr>
                      <w:color w:val="auto"/>
                    </w:rPr>
                    <w:t>0.01</w:t>
                  </w:r>
                </w:p>
              </w:tc>
              <w:tc>
                <w:tcPr>
                  <w:tcW w:w="1359" w:type="dxa"/>
                  <w:shd w:val="clear" w:color="auto" w:fill="auto"/>
                  <w:vAlign w:val="center"/>
                </w:tcPr>
                <w:p w14:paraId="79469933">
                  <w:pPr>
                    <w:jc w:val="center"/>
                    <w:rPr>
                      <w:rFonts w:hint="eastAsia"/>
                      <w:color w:val="auto"/>
                      <w:lang w:val="en-US" w:eastAsia="zh-CN"/>
                    </w:rPr>
                  </w:pPr>
                  <w:r>
                    <w:rPr>
                      <w:rFonts w:hint="eastAsia"/>
                      <w:color w:val="auto"/>
                      <w:lang w:val="en-US" w:eastAsia="zh-CN"/>
                    </w:rPr>
                    <w:t>0.01</w:t>
                  </w:r>
                </w:p>
              </w:tc>
              <w:tc>
                <w:tcPr>
                  <w:tcW w:w="1071" w:type="dxa"/>
                  <w:shd w:val="clear" w:color="auto" w:fill="auto"/>
                  <w:vAlign w:val="center"/>
                </w:tcPr>
                <w:p w14:paraId="570966FB">
                  <w:pPr>
                    <w:jc w:val="center"/>
                    <w:rPr>
                      <w:color w:val="auto"/>
                      <w:lang w:val="en-US" w:eastAsia="zh-CN"/>
                    </w:rPr>
                  </w:pPr>
                  <w:r>
                    <w:rPr>
                      <w:rFonts w:hint="default"/>
                      <w:color w:val="auto"/>
                      <w:lang w:val="en-US" w:eastAsia="zh-CN"/>
                    </w:rPr>
                    <w:t>10</w:t>
                  </w:r>
                </w:p>
              </w:tc>
              <w:tc>
                <w:tcPr>
                  <w:tcW w:w="1003" w:type="dxa"/>
                  <w:vAlign w:val="center"/>
                </w:tcPr>
                <w:p w14:paraId="597086E0">
                  <w:pPr>
                    <w:jc w:val="center"/>
                    <w:rPr>
                      <w:rFonts w:hint="default"/>
                      <w:color w:val="auto"/>
                      <w:lang w:val="en-US" w:eastAsia="zh-CN"/>
                    </w:rPr>
                  </w:pPr>
                  <w:r>
                    <w:rPr>
                      <w:rFonts w:hint="default"/>
                      <w:color w:val="auto"/>
                      <w:lang w:val="en-US" w:eastAsia="zh-CN"/>
                    </w:rPr>
                    <w:t>0.0010</w:t>
                  </w:r>
                </w:p>
              </w:tc>
              <w:tc>
                <w:tcPr>
                  <w:tcW w:w="427" w:type="dxa"/>
                  <w:vAlign w:val="center"/>
                </w:tcPr>
                <w:p w14:paraId="394D5FD4">
                  <w:pPr>
                    <w:jc w:val="center"/>
                    <w:rPr>
                      <w:rFonts w:hint="eastAsia"/>
                      <w:color w:val="auto"/>
                      <w:lang w:val="en-US" w:eastAsia="zh-CN"/>
                    </w:rPr>
                  </w:pPr>
                  <w:r>
                    <w:rPr>
                      <w:rFonts w:hint="eastAsia"/>
                      <w:color w:val="auto"/>
                      <w:lang w:val="en-US" w:eastAsia="zh-CN"/>
                    </w:rPr>
                    <w:t>否</w:t>
                  </w:r>
                </w:p>
              </w:tc>
            </w:tr>
            <w:tr w14:paraId="1196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6E1EB97">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23" w:type="dxa"/>
                  <w:shd w:val="clear" w:color="auto" w:fill="auto"/>
                  <w:vAlign w:val="center"/>
                </w:tcPr>
                <w:p w14:paraId="607AFF48">
                  <w:pPr>
                    <w:jc w:val="center"/>
                    <w:rPr>
                      <w:color w:val="auto"/>
                    </w:rPr>
                  </w:pPr>
                  <w:r>
                    <w:rPr>
                      <w:color w:val="auto"/>
                    </w:rPr>
                    <w:t>环己酮</w:t>
                  </w:r>
                </w:p>
              </w:tc>
              <w:tc>
                <w:tcPr>
                  <w:tcW w:w="1363" w:type="dxa"/>
                  <w:shd w:val="clear" w:color="auto" w:fill="auto"/>
                  <w:vAlign w:val="center"/>
                </w:tcPr>
                <w:p w14:paraId="071BC477">
                  <w:pPr>
                    <w:jc w:val="center"/>
                    <w:rPr>
                      <w:color w:val="auto"/>
                    </w:rPr>
                  </w:pPr>
                  <w:r>
                    <w:rPr>
                      <w:color w:val="auto"/>
                    </w:rPr>
                    <w:t>108-94-1</w:t>
                  </w:r>
                </w:p>
              </w:tc>
              <w:tc>
                <w:tcPr>
                  <w:tcW w:w="898" w:type="dxa"/>
                  <w:shd w:val="clear" w:color="auto" w:fill="auto"/>
                  <w:vAlign w:val="center"/>
                </w:tcPr>
                <w:p w14:paraId="09CBB052">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718" w:type="dxa"/>
                  <w:shd w:val="clear" w:color="auto" w:fill="auto"/>
                  <w:vAlign w:val="center"/>
                </w:tcPr>
                <w:p w14:paraId="7BF6C288">
                  <w:pPr>
                    <w:jc w:val="center"/>
                    <w:rPr>
                      <w:rFonts w:hint="eastAsia" w:ascii="Times New Roman" w:hAnsi="Times New Roman" w:eastAsia="宋体" w:cs="Times New Roman"/>
                      <w:color w:val="auto"/>
                      <w:kern w:val="2"/>
                      <w:sz w:val="21"/>
                      <w:szCs w:val="24"/>
                      <w:lang w:val="en-US" w:eastAsia="zh-CN" w:bidi="ar-SA"/>
                    </w:rPr>
                  </w:pPr>
                  <w:r>
                    <w:rPr>
                      <w:color w:val="auto"/>
                    </w:rPr>
                    <w:t>0.006</w:t>
                  </w:r>
                </w:p>
              </w:tc>
              <w:tc>
                <w:tcPr>
                  <w:tcW w:w="1359" w:type="dxa"/>
                  <w:shd w:val="clear" w:color="auto" w:fill="auto"/>
                  <w:vAlign w:val="center"/>
                </w:tcPr>
                <w:p w14:paraId="7465C217">
                  <w:pPr>
                    <w:jc w:val="center"/>
                    <w:rPr>
                      <w:rFonts w:hint="eastAsia"/>
                      <w:color w:val="auto"/>
                      <w:lang w:val="en-US" w:eastAsia="zh-CN"/>
                    </w:rPr>
                  </w:pPr>
                  <w:r>
                    <w:rPr>
                      <w:rFonts w:hint="eastAsia"/>
                      <w:color w:val="auto"/>
                      <w:lang w:val="en-US" w:eastAsia="zh-CN"/>
                    </w:rPr>
                    <w:t>0.006</w:t>
                  </w:r>
                </w:p>
              </w:tc>
              <w:tc>
                <w:tcPr>
                  <w:tcW w:w="1071" w:type="dxa"/>
                  <w:shd w:val="clear" w:color="auto" w:fill="auto"/>
                  <w:vAlign w:val="center"/>
                </w:tcPr>
                <w:p w14:paraId="41183ED0">
                  <w:pPr>
                    <w:jc w:val="center"/>
                    <w:rPr>
                      <w:color w:val="auto"/>
                      <w:lang w:val="en-US" w:eastAsia="zh-CN"/>
                    </w:rPr>
                  </w:pPr>
                  <w:r>
                    <w:rPr>
                      <w:rFonts w:hint="default"/>
                      <w:color w:val="auto"/>
                      <w:lang w:val="en-US" w:eastAsia="zh-CN"/>
                    </w:rPr>
                    <w:t>10</w:t>
                  </w:r>
                </w:p>
              </w:tc>
              <w:tc>
                <w:tcPr>
                  <w:tcW w:w="1003" w:type="dxa"/>
                  <w:vAlign w:val="center"/>
                </w:tcPr>
                <w:p w14:paraId="3D9008C5">
                  <w:pPr>
                    <w:jc w:val="center"/>
                    <w:rPr>
                      <w:rFonts w:hint="default"/>
                      <w:color w:val="auto"/>
                      <w:lang w:val="en-US" w:eastAsia="zh-CN"/>
                    </w:rPr>
                  </w:pPr>
                  <w:r>
                    <w:rPr>
                      <w:rFonts w:hint="default"/>
                      <w:color w:val="auto"/>
                      <w:lang w:val="en-US" w:eastAsia="zh-CN"/>
                    </w:rPr>
                    <w:t>0.0006</w:t>
                  </w:r>
                </w:p>
              </w:tc>
              <w:tc>
                <w:tcPr>
                  <w:tcW w:w="427" w:type="dxa"/>
                  <w:vAlign w:val="center"/>
                </w:tcPr>
                <w:p w14:paraId="2B9E7035">
                  <w:pPr>
                    <w:jc w:val="center"/>
                    <w:rPr>
                      <w:rFonts w:hint="eastAsia"/>
                      <w:color w:val="auto"/>
                      <w:lang w:val="en-US" w:eastAsia="zh-CN"/>
                    </w:rPr>
                  </w:pPr>
                  <w:r>
                    <w:rPr>
                      <w:rFonts w:hint="eastAsia"/>
                      <w:color w:val="auto"/>
                      <w:lang w:val="en-US" w:eastAsia="zh-CN"/>
                    </w:rPr>
                    <w:t>否</w:t>
                  </w:r>
                </w:p>
              </w:tc>
            </w:tr>
            <w:tr w14:paraId="7F10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3399498">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223" w:type="dxa"/>
                  <w:shd w:val="clear" w:color="auto" w:fill="auto"/>
                  <w:vAlign w:val="center"/>
                </w:tcPr>
                <w:p w14:paraId="378C6150">
                  <w:pPr>
                    <w:jc w:val="center"/>
                    <w:rPr>
                      <w:color w:val="auto"/>
                    </w:rPr>
                  </w:pPr>
                  <w:r>
                    <w:rPr>
                      <w:color w:val="auto"/>
                    </w:rPr>
                    <w:t>天然气</w:t>
                  </w:r>
                </w:p>
              </w:tc>
              <w:tc>
                <w:tcPr>
                  <w:tcW w:w="1363" w:type="dxa"/>
                  <w:shd w:val="clear" w:color="auto" w:fill="auto"/>
                  <w:vAlign w:val="center"/>
                </w:tcPr>
                <w:p w14:paraId="7862C250">
                  <w:pPr>
                    <w:jc w:val="center"/>
                    <w:rPr>
                      <w:color w:val="auto"/>
                    </w:rPr>
                  </w:pPr>
                  <w:r>
                    <w:rPr>
                      <w:color w:val="auto"/>
                    </w:rPr>
                    <w:t>74-82-8</w:t>
                  </w:r>
                </w:p>
              </w:tc>
              <w:tc>
                <w:tcPr>
                  <w:tcW w:w="898" w:type="dxa"/>
                  <w:shd w:val="clear" w:color="auto" w:fill="auto"/>
                  <w:vAlign w:val="center"/>
                </w:tcPr>
                <w:p w14:paraId="3D74A970">
                  <w:pPr>
                    <w:jc w:val="center"/>
                    <w:rPr>
                      <w:color w:val="auto"/>
                    </w:rPr>
                  </w:pPr>
                  <w:r>
                    <w:rPr>
                      <w:rFonts w:hint="eastAsia"/>
                      <w:color w:val="auto"/>
                      <w:lang w:val="en-US" w:eastAsia="zh-CN"/>
                    </w:rPr>
                    <w:t>0</w:t>
                  </w:r>
                </w:p>
              </w:tc>
              <w:tc>
                <w:tcPr>
                  <w:tcW w:w="718" w:type="dxa"/>
                  <w:shd w:val="clear" w:color="auto" w:fill="auto"/>
                  <w:vAlign w:val="center"/>
                </w:tcPr>
                <w:p w14:paraId="614FC531">
                  <w:pPr>
                    <w:jc w:val="center"/>
                    <w:rPr>
                      <w:rFonts w:hint="eastAsia" w:ascii="Times New Roman" w:hAnsi="Times New Roman" w:eastAsia="宋体" w:cs="Times New Roman"/>
                      <w:color w:val="auto"/>
                      <w:kern w:val="2"/>
                      <w:sz w:val="21"/>
                      <w:szCs w:val="24"/>
                      <w:lang w:val="en-US" w:eastAsia="zh-CN" w:bidi="ar-SA"/>
                    </w:rPr>
                  </w:pPr>
                  <w:r>
                    <w:rPr>
                      <w:color w:val="auto"/>
                    </w:rPr>
                    <w:t>1.5</w:t>
                  </w:r>
                </w:p>
              </w:tc>
              <w:tc>
                <w:tcPr>
                  <w:tcW w:w="1359" w:type="dxa"/>
                  <w:shd w:val="clear" w:color="auto" w:fill="auto"/>
                  <w:vAlign w:val="center"/>
                </w:tcPr>
                <w:p w14:paraId="650AED35">
                  <w:pPr>
                    <w:jc w:val="center"/>
                    <w:rPr>
                      <w:rFonts w:hint="eastAsia"/>
                      <w:color w:val="auto"/>
                      <w:lang w:val="en-US" w:eastAsia="zh-CN"/>
                    </w:rPr>
                  </w:pPr>
                  <w:r>
                    <w:rPr>
                      <w:rFonts w:hint="eastAsia"/>
                      <w:color w:val="auto"/>
                      <w:lang w:val="en-US" w:eastAsia="zh-CN"/>
                    </w:rPr>
                    <w:t>1.5</w:t>
                  </w:r>
                </w:p>
              </w:tc>
              <w:tc>
                <w:tcPr>
                  <w:tcW w:w="1071" w:type="dxa"/>
                  <w:shd w:val="clear" w:color="auto" w:fill="auto"/>
                  <w:vAlign w:val="center"/>
                </w:tcPr>
                <w:p w14:paraId="560D33AE">
                  <w:pPr>
                    <w:jc w:val="center"/>
                    <w:rPr>
                      <w:color w:val="auto"/>
                      <w:lang w:val="en-US" w:eastAsia="zh-CN"/>
                    </w:rPr>
                  </w:pPr>
                  <w:r>
                    <w:rPr>
                      <w:rFonts w:hint="default"/>
                      <w:color w:val="auto"/>
                      <w:lang w:val="en-US" w:eastAsia="zh-CN"/>
                    </w:rPr>
                    <w:t>10</w:t>
                  </w:r>
                </w:p>
              </w:tc>
              <w:tc>
                <w:tcPr>
                  <w:tcW w:w="1003" w:type="dxa"/>
                  <w:vAlign w:val="center"/>
                </w:tcPr>
                <w:p w14:paraId="05154BD7">
                  <w:pPr>
                    <w:jc w:val="center"/>
                    <w:rPr>
                      <w:rFonts w:hint="default"/>
                      <w:color w:val="auto"/>
                      <w:lang w:val="en-US" w:eastAsia="zh-CN"/>
                    </w:rPr>
                  </w:pPr>
                  <w:r>
                    <w:rPr>
                      <w:rFonts w:hint="default"/>
                      <w:color w:val="auto"/>
                      <w:lang w:val="en-US" w:eastAsia="zh-CN"/>
                    </w:rPr>
                    <w:t>0.1500</w:t>
                  </w:r>
                </w:p>
              </w:tc>
              <w:tc>
                <w:tcPr>
                  <w:tcW w:w="427" w:type="dxa"/>
                  <w:vAlign w:val="center"/>
                </w:tcPr>
                <w:p w14:paraId="43ACFD99">
                  <w:pPr>
                    <w:jc w:val="center"/>
                    <w:rPr>
                      <w:rFonts w:hint="eastAsia"/>
                      <w:color w:val="auto"/>
                      <w:lang w:val="en-US" w:eastAsia="zh-CN"/>
                    </w:rPr>
                  </w:pPr>
                  <w:r>
                    <w:rPr>
                      <w:rFonts w:hint="eastAsia"/>
                      <w:color w:val="auto"/>
                      <w:lang w:val="en-US" w:eastAsia="zh-CN"/>
                    </w:rPr>
                    <w:t>否</w:t>
                  </w:r>
                </w:p>
              </w:tc>
            </w:tr>
            <w:tr w14:paraId="684D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059" w:type="dxa"/>
                  <w:gridSpan w:val="7"/>
                  <w:vAlign w:val="center"/>
                </w:tcPr>
                <w:p w14:paraId="53EAED42">
                  <w:pPr>
                    <w:pStyle w:val="63"/>
                    <w:jc w:val="center"/>
                    <w:rPr>
                      <w:color w:val="auto"/>
                    </w:rPr>
                  </w:pPr>
                  <w:r>
                    <w:rPr>
                      <w:rFonts w:hint="eastAsia"/>
                      <w:color w:val="auto"/>
                    </w:rPr>
                    <w:t>总计</w:t>
                  </w:r>
                </w:p>
              </w:tc>
              <w:tc>
                <w:tcPr>
                  <w:tcW w:w="1003" w:type="dxa"/>
                  <w:shd w:val="clear" w:color="auto" w:fill="auto"/>
                  <w:vAlign w:val="center"/>
                </w:tcPr>
                <w:p w14:paraId="7ECAA7BD">
                  <w:pPr>
                    <w:jc w:val="center"/>
                    <w:rPr>
                      <w:rFonts w:hint="default"/>
                      <w:color w:val="auto"/>
                      <w:lang w:val="en-US" w:eastAsia="zh-CN"/>
                    </w:rPr>
                  </w:pPr>
                  <w:r>
                    <w:rPr>
                      <w:rFonts w:hint="eastAsia"/>
                      <w:color w:val="auto"/>
                      <w:lang w:val="en-US" w:eastAsia="zh-CN"/>
                    </w:rPr>
                    <w:t>72.9699</w:t>
                  </w:r>
                </w:p>
              </w:tc>
              <w:tc>
                <w:tcPr>
                  <w:tcW w:w="427" w:type="dxa"/>
                  <w:shd w:val="clear" w:color="auto" w:fill="auto"/>
                  <w:vAlign w:val="center"/>
                </w:tcPr>
                <w:p w14:paraId="705F9CDD">
                  <w:pPr>
                    <w:jc w:val="center"/>
                    <w:rPr>
                      <w:rFonts w:hint="default"/>
                      <w:color w:val="auto"/>
                      <w:lang w:val="en-US" w:eastAsia="zh-CN"/>
                    </w:rPr>
                  </w:pPr>
                  <w:r>
                    <w:rPr>
                      <w:rFonts w:hint="eastAsia"/>
                      <w:color w:val="auto"/>
                      <w:lang w:val="en-US" w:eastAsia="zh-CN"/>
                    </w:rPr>
                    <w:t>/</w:t>
                  </w:r>
                </w:p>
              </w:tc>
            </w:tr>
            <w:tr w14:paraId="1A2F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489" w:type="dxa"/>
                  <w:gridSpan w:val="9"/>
                  <w:vAlign w:val="center"/>
                </w:tcPr>
                <w:p w14:paraId="1678B26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color w:val="auto"/>
                    </w:rPr>
                  </w:pPr>
                  <w:r>
                    <w:rPr>
                      <w:rFonts w:hint="eastAsia"/>
                      <w:color w:val="auto"/>
                    </w:rPr>
                    <w:t>注：</w:t>
                  </w:r>
                  <w:r>
                    <w:rPr>
                      <w:rFonts w:hint="eastAsia"/>
                      <w:color w:val="auto"/>
                      <w:lang w:val="en-US" w:eastAsia="zh-CN"/>
                    </w:rPr>
                    <w:t>1、</w:t>
                  </w:r>
                  <w:r>
                    <w:rPr>
                      <w:rFonts w:hint="eastAsia"/>
                      <w:color w:val="auto"/>
                    </w:rPr>
                    <w:t>乙醇、酒精按照健康危险急性毒性物质(类别2，类别3)分析。</w:t>
                  </w:r>
                </w:p>
                <w:p w14:paraId="0221A06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eastAsia="宋体"/>
                      <w:color w:val="auto"/>
                      <w:lang w:val="en-US" w:eastAsia="zh-CN"/>
                    </w:rPr>
                  </w:pPr>
                  <w:r>
                    <w:rPr>
                      <w:rFonts w:hint="eastAsia"/>
                      <w:color w:val="auto"/>
                      <w:lang w:val="en-US" w:eastAsia="zh-CN"/>
                    </w:rPr>
                    <w:t>2、</w:t>
                  </w:r>
                  <w:r>
                    <w:rPr>
                      <w:rFonts w:ascii="宋体" w:hAnsi="宋体" w:eastAsia="宋体" w:cs="宋体"/>
                      <w:color w:val="auto"/>
                      <w:spacing w:val="-2"/>
                      <w:sz w:val="21"/>
                      <w:szCs w:val="21"/>
                    </w:rPr>
                    <w:t>钴及其化合物以磁粉、三价铬五彩钝化</w:t>
                  </w:r>
                  <w:r>
                    <w:rPr>
                      <w:rFonts w:ascii="宋体" w:hAnsi="宋体" w:eastAsia="宋体" w:cs="宋体"/>
                      <w:color w:val="auto"/>
                      <w:spacing w:val="-3"/>
                      <w:sz w:val="21"/>
                      <w:szCs w:val="21"/>
                    </w:rPr>
                    <w:t>液、锌镍蓝白钝化剂中钴含量折算，硝酸以硝</w:t>
                  </w:r>
                  <w:r>
                    <w:rPr>
                      <w:rFonts w:ascii="宋体" w:hAnsi="宋体" w:eastAsia="宋体" w:cs="宋体"/>
                      <w:color w:val="auto"/>
                      <w:spacing w:val="-1"/>
                      <w:sz w:val="21"/>
                      <w:szCs w:val="21"/>
                    </w:rPr>
                    <w:t>酸、三价铬蓝白钝化液、锌镍蓝白钝化剂、剥离液中硝酸含量折算，镍及其化合物以镍板、</w:t>
                  </w:r>
                  <w:r>
                    <w:rPr>
                      <w:rFonts w:ascii="宋体" w:hAnsi="宋体" w:eastAsia="宋体" w:cs="宋体"/>
                      <w:color w:val="auto"/>
                      <w:spacing w:val="-2"/>
                      <w:sz w:val="21"/>
                      <w:szCs w:val="21"/>
                    </w:rPr>
                    <w:t>硫酸镍、氯化镍中镍含量折算，铜及其化合物以铜板</w:t>
                  </w:r>
                  <w:r>
                    <w:rPr>
                      <w:rFonts w:ascii="宋体" w:hAnsi="宋体" w:eastAsia="宋体" w:cs="宋体"/>
                      <w:color w:val="auto"/>
                      <w:spacing w:val="-3"/>
                      <w:sz w:val="21"/>
                      <w:szCs w:val="21"/>
                    </w:rPr>
                    <w:t>、焦磷酸铜中铜含量折算，铬及其化合</w:t>
                  </w:r>
                  <w:r>
                    <w:rPr>
                      <w:rFonts w:ascii="宋体" w:hAnsi="宋体" w:eastAsia="宋体" w:cs="宋体"/>
                      <w:color w:val="auto"/>
                      <w:spacing w:val="-2"/>
                      <w:sz w:val="21"/>
                      <w:szCs w:val="21"/>
                    </w:rPr>
                    <w:t>物以三价铬蓝白钝化液、三价铬五彩钝化液、锌镍蓝白</w:t>
                  </w:r>
                  <w:r>
                    <w:rPr>
                      <w:rFonts w:ascii="宋体" w:hAnsi="宋体" w:eastAsia="宋体" w:cs="宋体"/>
                      <w:color w:val="auto"/>
                      <w:spacing w:val="-3"/>
                      <w:sz w:val="21"/>
                      <w:szCs w:val="21"/>
                    </w:rPr>
                    <w:t>钝化剂中铬含量折算，磷酸以磷化液</w:t>
                  </w:r>
                  <w:r>
                    <w:rPr>
                      <w:rFonts w:ascii="宋体" w:hAnsi="宋体" w:eastAsia="宋体" w:cs="宋体"/>
                      <w:color w:val="auto"/>
                      <w:spacing w:val="-2"/>
                      <w:sz w:val="21"/>
                      <w:szCs w:val="21"/>
                    </w:rPr>
                    <w:t>中磷酸含量折算，乙二胺以剥离液中乙二胺含量折算</w:t>
                  </w:r>
                  <w:r>
                    <w:rPr>
                      <w:rFonts w:ascii="宋体" w:hAnsi="宋体" w:eastAsia="宋体" w:cs="宋体"/>
                      <w:color w:val="auto"/>
                      <w:spacing w:val="-3"/>
                      <w:sz w:val="21"/>
                      <w:szCs w:val="21"/>
                    </w:rPr>
                    <w:t>，异丙醇以水性涂料、翡翠稀释剂中异</w:t>
                  </w:r>
                  <w:r>
                    <w:rPr>
                      <w:rFonts w:ascii="宋体" w:hAnsi="宋体" w:eastAsia="宋体" w:cs="宋体"/>
                      <w:color w:val="auto"/>
                      <w:spacing w:val="-1"/>
                      <w:sz w:val="21"/>
                      <w:szCs w:val="21"/>
                    </w:rPr>
                    <w:t>丙醇含量折算，二甲苯以磁材漆、标准稀释剂、翡翠底漆、翡翠稀释剂中二甲苯含量折算，</w:t>
                  </w:r>
                  <w:r>
                    <w:rPr>
                      <w:rFonts w:ascii="宋体" w:hAnsi="宋体" w:eastAsia="宋体" w:cs="宋体"/>
                      <w:color w:val="auto"/>
                      <w:spacing w:val="-2"/>
                      <w:sz w:val="21"/>
                      <w:szCs w:val="21"/>
                    </w:rPr>
                    <w:t>丁醇以磁材漆、标准稀释剂、翡翠底漆中丁醇含量折算</w:t>
                  </w:r>
                  <w:r>
                    <w:rPr>
                      <w:rFonts w:ascii="宋体" w:hAnsi="宋体" w:eastAsia="宋体" w:cs="宋体"/>
                      <w:color w:val="auto"/>
                      <w:spacing w:val="-3"/>
                      <w:sz w:val="21"/>
                      <w:szCs w:val="21"/>
                    </w:rPr>
                    <w:t>，甲醛以磁材漆、翡翠底漆中甲醛含</w:t>
                  </w:r>
                  <w:r>
                    <w:rPr>
                      <w:rFonts w:ascii="宋体" w:hAnsi="宋体" w:eastAsia="宋体" w:cs="宋体"/>
                      <w:color w:val="auto"/>
                      <w:spacing w:val="-2"/>
                      <w:sz w:val="21"/>
                      <w:szCs w:val="21"/>
                    </w:rPr>
                    <w:t>量折算，甲苯以标准稀释剂、翡翠底漆中甲苯含量折算</w:t>
                  </w:r>
                  <w:r>
                    <w:rPr>
                      <w:rFonts w:ascii="宋体" w:hAnsi="宋体" w:eastAsia="宋体" w:cs="宋体"/>
                      <w:color w:val="auto"/>
                      <w:spacing w:val="-3"/>
                      <w:sz w:val="21"/>
                      <w:szCs w:val="21"/>
                    </w:rPr>
                    <w:t>，油类物质以标准稀释剂中石脑油含</w:t>
                  </w:r>
                  <w:r>
                    <w:rPr>
                      <w:rFonts w:ascii="宋体" w:hAnsi="宋体" w:eastAsia="宋体" w:cs="宋体"/>
                      <w:color w:val="auto"/>
                      <w:spacing w:val="-2"/>
                      <w:sz w:val="21"/>
                      <w:szCs w:val="21"/>
                    </w:rPr>
                    <w:t>量折算，乙苯以翡翠底漆、翡翠稀释剂中乙苯含量折算</w:t>
                  </w:r>
                  <w:r>
                    <w:rPr>
                      <w:rFonts w:ascii="宋体" w:hAnsi="宋体" w:eastAsia="宋体" w:cs="宋体"/>
                      <w:color w:val="auto"/>
                      <w:spacing w:val="-3"/>
                      <w:sz w:val="21"/>
                      <w:szCs w:val="21"/>
                    </w:rPr>
                    <w:t>，环己酮以翡翠底漆、翡翠稀释剂中</w:t>
                  </w:r>
                  <w:r>
                    <w:rPr>
                      <w:rFonts w:ascii="宋体" w:hAnsi="宋体" w:eastAsia="宋体" w:cs="宋体"/>
                      <w:color w:val="auto"/>
                      <w:spacing w:val="-1"/>
                      <w:sz w:val="21"/>
                      <w:szCs w:val="21"/>
                    </w:rPr>
                    <w:t>环己酮含量折算，天然气以小时在线量计。</w:t>
                  </w:r>
                </w:p>
              </w:tc>
            </w:tr>
          </w:tbl>
          <w:p w14:paraId="2964F13B">
            <w:pPr>
              <w:spacing w:line="360" w:lineRule="auto"/>
              <w:ind w:firstLine="480" w:firstLineChars="200"/>
              <w:rPr>
                <w:rFonts w:hint="eastAsia"/>
                <w:snapToGrid w:val="0"/>
                <w:color w:val="auto"/>
                <w:kern w:val="0"/>
                <w:sz w:val="24"/>
              </w:rPr>
            </w:pPr>
            <w:r>
              <w:rPr>
                <w:rFonts w:hint="eastAsia"/>
                <w:snapToGrid w:val="0"/>
                <w:color w:val="auto"/>
                <w:kern w:val="0"/>
                <w:sz w:val="24"/>
              </w:rPr>
              <w:t>由上表可知，本项目危险物质数量与临界量的比值</w:t>
            </w:r>
            <w:r>
              <w:rPr>
                <w:snapToGrid w:val="0"/>
                <w:color w:val="auto"/>
                <w:kern w:val="0"/>
                <w:sz w:val="24"/>
              </w:rPr>
              <w:t>Q</w:t>
            </w:r>
            <w:r>
              <w:rPr>
                <w:rFonts w:ascii="Times New Roman" w:hAnsi="Times New Roman" w:eastAsia="Times New Roman" w:cs="Times New Roman"/>
                <w:color w:val="auto"/>
                <w:spacing w:val="-2"/>
                <w:sz w:val="24"/>
                <w:szCs w:val="24"/>
              </w:rPr>
              <w:t>≈</w:t>
            </w:r>
            <w:r>
              <w:rPr>
                <w:rFonts w:hint="eastAsia" w:ascii="Times New Roman" w:hAnsi="Times New Roman" w:eastAsia="Times New Roman" w:cs="Times New Roman"/>
                <w:color w:val="auto"/>
                <w:spacing w:val="-2"/>
                <w:sz w:val="24"/>
                <w:szCs w:val="24"/>
              </w:rPr>
              <w:t>72.9699</w:t>
            </w:r>
            <w:r>
              <w:rPr>
                <w:rFonts w:hint="eastAsia" w:ascii="Times New Roman" w:hAnsi="Times New Roman" w:eastAsia="宋体" w:cs="Times New Roman"/>
                <w:color w:val="auto"/>
                <w:spacing w:val="-2"/>
                <w:sz w:val="24"/>
                <w:szCs w:val="24"/>
                <w:lang w:eastAsia="zh-CN"/>
              </w:rPr>
              <w:t>，</w:t>
            </w:r>
            <w:r>
              <w:rPr>
                <w:color w:val="auto"/>
                <w:kern w:val="0"/>
                <w:sz w:val="24"/>
                <w:lang w:bidi="ar"/>
              </w:rPr>
              <w:t>依据《建设项目环境影响报告表编制技术指南-污染影响类》专项评价设置原则表</w:t>
            </w:r>
            <w:r>
              <w:rPr>
                <w:rFonts w:hint="eastAsia"/>
                <w:color w:val="auto"/>
                <w:kern w:val="0"/>
                <w:sz w:val="24"/>
                <w:lang w:eastAsia="zh-CN" w:bidi="ar"/>
              </w:rPr>
              <w:t>，</w:t>
            </w:r>
            <w:r>
              <w:rPr>
                <w:rFonts w:hint="eastAsia"/>
                <w:color w:val="auto"/>
                <w:kern w:val="0"/>
                <w:sz w:val="24"/>
                <w:lang w:val="en-US" w:eastAsia="zh-CN" w:bidi="ar"/>
              </w:rPr>
              <w:t>全厂</w:t>
            </w:r>
            <w:r>
              <w:rPr>
                <w:rFonts w:hint="eastAsia"/>
                <w:color w:val="auto"/>
                <w:kern w:val="0"/>
                <w:sz w:val="24"/>
                <w:lang w:eastAsia="zh-CN" w:bidi="ar"/>
              </w:rPr>
              <w:t>有毒有害和易燃易爆危险物质存储量超过临界量，</w:t>
            </w:r>
            <w:r>
              <w:rPr>
                <w:rFonts w:hint="eastAsia"/>
                <w:color w:val="auto"/>
                <w:kern w:val="0"/>
                <w:sz w:val="24"/>
                <w:lang w:val="en-US" w:eastAsia="zh-CN" w:bidi="ar"/>
              </w:rPr>
              <w:t>需设置环境风险专项评价。故环境风险内容</w:t>
            </w:r>
            <w:r>
              <w:rPr>
                <w:rFonts w:hint="eastAsia"/>
                <w:snapToGrid w:val="0"/>
                <w:color w:val="auto"/>
                <w:kern w:val="0"/>
                <w:sz w:val="24"/>
                <w:lang w:val="en-US" w:eastAsia="zh-CN"/>
              </w:rPr>
              <w:t>详见七、环境风险专项评价。</w:t>
            </w:r>
          </w:p>
          <w:p w14:paraId="2B5EFE81">
            <w:pPr>
              <w:spacing w:line="360" w:lineRule="auto"/>
              <w:ind w:firstLine="482" w:firstLineChars="200"/>
              <w:rPr>
                <w:b/>
                <w:bCs/>
                <w:color w:val="auto"/>
                <w:sz w:val="24"/>
              </w:rPr>
            </w:pPr>
            <w:r>
              <w:rPr>
                <w:rFonts w:hint="eastAsia"/>
                <w:b/>
                <w:bCs/>
                <w:color w:val="auto"/>
                <w:sz w:val="24"/>
              </w:rPr>
              <w:t>8、环保投资估算</w:t>
            </w:r>
          </w:p>
          <w:p w14:paraId="69956B5B">
            <w:pPr>
              <w:spacing w:line="360" w:lineRule="auto"/>
              <w:ind w:firstLine="480" w:firstLineChars="200"/>
              <w:rPr>
                <w:color w:val="auto"/>
                <w:sz w:val="24"/>
              </w:rPr>
            </w:pPr>
            <w:r>
              <w:rPr>
                <w:color w:val="auto"/>
                <w:sz w:val="24"/>
              </w:rPr>
              <w:t>本项目总投资</w:t>
            </w:r>
            <w:r>
              <w:rPr>
                <w:rFonts w:hint="eastAsia" w:cs="宋体"/>
                <w:color w:val="auto"/>
                <w:sz w:val="24"/>
              </w:rPr>
              <w:t>46368.65万元</w:t>
            </w:r>
            <w:r>
              <w:rPr>
                <w:color w:val="auto"/>
                <w:sz w:val="24"/>
              </w:rPr>
              <w:t>，其中环保投资估算</w:t>
            </w:r>
            <w:r>
              <w:rPr>
                <w:rFonts w:hint="eastAsia"/>
                <w:color w:val="auto"/>
                <w:sz w:val="24"/>
              </w:rPr>
              <w:t>100</w:t>
            </w:r>
            <w:r>
              <w:rPr>
                <w:color w:val="auto"/>
                <w:sz w:val="24"/>
              </w:rPr>
              <w:t>万元，占总投资的</w:t>
            </w:r>
            <w:r>
              <w:rPr>
                <w:rFonts w:hint="eastAsia"/>
                <w:color w:val="auto"/>
                <w:sz w:val="24"/>
              </w:rPr>
              <w:t>0.22</w:t>
            </w:r>
            <w:r>
              <w:rPr>
                <w:color w:val="auto"/>
                <w:sz w:val="24"/>
              </w:rPr>
              <w:t>%，具体环保投资估算情况见</w:t>
            </w:r>
            <w:r>
              <w:rPr>
                <w:rFonts w:hint="eastAsia"/>
                <w:color w:val="auto"/>
                <w:sz w:val="24"/>
              </w:rPr>
              <w:t>下表</w:t>
            </w:r>
            <w:r>
              <w:rPr>
                <w:color w:val="auto"/>
                <w:sz w:val="24"/>
              </w:rPr>
              <w:t>。</w:t>
            </w:r>
          </w:p>
          <w:p w14:paraId="3DDDA9A3">
            <w:pPr>
              <w:jc w:val="center"/>
              <w:rPr>
                <w:b/>
                <w:bCs/>
                <w:color w:val="auto"/>
                <w:sz w:val="24"/>
              </w:rPr>
            </w:pPr>
            <w:r>
              <w:rPr>
                <w:b/>
                <w:bCs/>
                <w:color w:val="auto"/>
                <w:sz w:val="24"/>
              </w:rPr>
              <w:t>表4-</w:t>
            </w:r>
            <w:r>
              <w:rPr>
                <w:rFonts w:hint="eastAsia"/>
                <w:b/>
                <w:bCs/>
                <w:color w:val="auto"/>
                <w:sz w:val="24"/>
              </w:rPr>
              <w:t>2</w:t>
            </w:r>
            <w:r>
              <w:rPr>
                <w:rFonts w:hint="eastAsia"/>
                <w:b/>
                <w:bCs/>
                <w:color w:val="auto"/>
                <w:sz w:val="24"/>
                <w:lang w:val="en-US" w:eastAsia="zh-CN"/>
              </w:rPr>
              <w:t>5</w:t>
            </w:r>
            <w:r>
              <w:rPr>
                <w:b/>
                <w:bCs/>
                <w:color w:val="auto"/>
                <w:sz w:val="24"/>
              </w:rPr>
              <w:t>环保投资估算一览表</w:t>
            </w:r>
          </w:p>
          <w:tbl>
            <w:tblPr>
              <w:tblStyle w:val="25"/>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030"/>
              <w:gridCol w:w="1458"/>
              <w:gridCol w:w="1458"/>
              <w:gridCol w:w="2528"/>
              <w:gridCol w:w="1377"/>
            </w:tblGrid>
            <w:tr w14:paraId="0AB1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1" w:type="pct"/>
                  <w:gridSpan w:val="2"/>
                  <w:tcBorders>
                    <w:tl2br w:val="nil"/>
                    <w:tr2bl w:val="nil"/>
                  </w:tcBorders>
                  <w:vAlign w:val="center"/>
                </w:tcPr>
                <w:p w14:paraId="56A8541E">
                  <w:pPr>
                    <w:jc w:val="center"/>
                    <w:rPr>
                      <w:b/>
                      <w:bCs/>
                      <w:color w:val="auto"/>
                      <w:szCs w:val="21"/>
                    </w:rPr>
                  </w:pPr>
                  <w:r>
                    <w:rPr>
                      <w:b/>
                      <w:bCs/>
                      <w:color w:val="auto"/>
                      <w:szCs w:val="21"/>
                    </w:rPr>
                    <w:t>类别</w:t>
                  </w:r>
                </w:p>
              </w:tc>
              <w:tc>
                <w:tcPr>
                  <w:tcW w:w="859" w:type="pct"/>
                  <w:tcBorders>
                    <w:tl2br w:val="nil"/>
                    <w:tr2bl w:val="nil"/>
                  </w:tcBorders>
                  <w:vAlign w:val="center"/>
                </w:tcPr>
                <w:p w14:paraId="50C4A04C">
                  <w:pPr>
                    <w:jc w:val="center"/>
                    <w:rPr>
                      <w:b/>
                      <w:bCs/>
                      <w:color w:val="auto"/>
                      <w:szCs w:val="21"/>
                    </w:rPr>
                  </w:pPr>
                  <w:r>
                    <w:rPr>
                      <w:rFonts w:hint="eastAsia"/>
                      <w:b/>
                      <w:bCs/>
                      <w:color w:val="auto"/>
                      <w:szCs w:val="21"/>
                    </w:rPr>
                    <w:t>污染源</w:t>
                  </w:r>
                </w:p>
              </w:tc>
              <w:tc>
                <w:tcPr>
                  <w:tcW w:w="859" w:type="pct"/>
                  <w:tcBorders>
                    <w:tl2br w:val="nil"/>
                    <w:tr2bl w:val="nil"/>
                  </w:tcBorders>
                  <w:vAlign w:val="center"/>
                </w:tcPr>
                <w:p w14:paraId="3DE98A62">
                  <w:pPr>
                    <w:jc w:val="center"/>
                    <w:rPr>
                      <w:b/>
                      <w:bCs/>
                      <w:color w:val="auto"/>
                      <w:szCs w:val="21"/>
                    </w:rPr>
                  </w:pPr>
                  <w:r>
                    <w:rPr>
                      <w:b/>
                      <w:bCs/>
                      <w:color w:val="auto"/>
                      <w:szCs w:val="21"/>
                    </w:rPr>
                    <w:t>污染</w:t>
                  </w:r>
                  <w:r>
                    <w:rPr>
                      <w:rFonts w:hint="eastAsia"/>
                      <w:b/>
                      <w:bCs/>
                      <w:color w:val="auto"/>
                      <w:szCs w:val="21"/>
                    </w:rPr>
                    <w:t>物</w:t>
                  </w:r>
                </w:p>
              </w:tc>
              <w:tc>
                <w:tcPr>
                  <w:tcW w:w="1489" w:type="pct"/>
                  <w:tcBorders>
                    <w:tl2br w:val="nil"/>
                    <w:tr2bl w:val="nil"/>
                  </w:tcBorders>
                  <w:vAlign w:val="center"/>
                </w:tcPr>
                <w:p w14:paraId="6281DD77">
                  <w:pPr>
                    <w:jc w:val="center"/>
                    <w:rPr>
                      <w:b/>
                      <w:bCs/>
                      <w:color w:val="auto"/>
                      <w:szCs w:val="21"/>
                    </w:rPr>
                  </w:pPr>
                  <w:r>
                    <w:rPr>
                      <w:b/>
                      <w:bCs/>
                      <w:color w:val="auto"/>
                      <w:szCs w:val="21"/>
                    </w:rPr>
                    <w:t>主要环保措施</w:t>
                  </w:r>
                </w:p>
              </w:tc>
              <w:tc>
                <w:tcPr>
                  <w:tcW w:w="811" w:type="pct"/>
                  <w:tcBorders>
                    <w:tl2br w:val="nil"/>
                    <w:tr2bl w:val="nil"/>
                  </w:tcBorders>
                  <w:vAlign w:val="center"/>
                </w:tcPr>
                <w:p w14:paraId="7A44AFE5">
                  <w:pPr>
                    <w:jc w:val="center"/>
                    <w:rPr>
                      <w:b/>
                      <w:bCs/>
                      <w:color w:val="auto"/>
                      <w:szCs w:val="21"/>
                    </w:rPr>
                  </w:pPr>
                  <w:r>
                    <w:rPr>
                      <w:b/>
                      <w:bCs/>
                      <w:color w:val="auto"/>
                      <w:szCs w:val="21"/>
                    </w:rPr>
                    <w:t>投资估算</w:t>
                  </w:r>
                </w:p>
              </w:tc>
            </w:tr>
            <w:tr w14:paraId="7493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4" w:type="pct"/>
                  <w:vMerge w:val="restart"/>
                  <w:tcBorders>
                    <w:tl2br w:val="nil"/>
                    <w:tr2bl w:val="nil"/>
                  </w:tcBorders>
                  <w:vAlign w:val="center"/>
                </w:tcPr>
                <w:p w14:paraId="28029E20">
                  <w:pPr>
                    <w:jc w:val="center"/>
                    <w:rPr>
                      <w:color w:val="auto"/>
                      <w:szCs w:val="21"/>
                    </w:rPr>
                  </w:pPr>
                  <w:r>
                    <w:rPr>
                      <w:color w:val="auto"/>
                      <w:szCs w:val="21"/>
                    </w:rPr>
                    <w:t>废水</w:t>
                  </w:r>
                </w:p>
              </w:tc>
              <w:tc>
                <w:tcPr>
                  <w:tcW w:w="606" w:type="pct"/>
                  <w:vMerge w:val="restart"/>
                  <w:tcBorders>
                    <w:tl2br w:val="nil"/>
                    <w:tr2bl w:val="nil"/>
                  </w:tcBorders>
                  <w:vAlign w:val="center"/>
                </w:tcPr>
                <w:p w14:paraId="7BC0E8B6">
                  <w:pPr>
                    <w:jc w:val="center"/>
                    <w:rPr>
                      <w:color w:val="auto"/>
                      <w:szCs w:val="21"/>
                    </w:rPr>
                  </w:pPr>
                  <w:r>
                    <w:rPr>
                      <w:color w:val="auto"/>
                      <w:szCs w:val="21"/>
                    </w:rPr>
                    <w:t>运营期</w:t>
                  </w:r>
                </w:p>
              </w:tc>
              <w:tc>
                <w:tcPr>
                  <w:tcW w:w="859" w:type="pct"/>
                  <w:tcBorders>
                    <w:tl2br w:val="nil"/>
                    <w:tr2bl w:val="nil"/>
                  </w:tcBorders>
                  <w:vAlign w:val="center"/>
                </w:tcPr>
                <w:p w14:paraId="2467E33E">
                  <w:pPr>
                    <w:adjustRightInd w:val="0"/>
                    <w:snapToGrid w:val="0"/>
                    <w:jc w:val="center"/>
                    <w:rPr>
                      <w:color w:val="auto"/>
                      <w:szCs w:val="21"/>
                    </w:rPr>
                  </w:pPr>
                  <w:r>
                    <w:rPr>
                      <w:rFonts w:hint="eastAsia"/>
                      <w:color w:val="auto"/>
                      <w:szCs w:val="21"/>
                    </w:rPr>
                    <w:t>清洗废水</w:t>
                  </w:r>
                </w:p>
              </w:tc>
              <w:tc>
                <w:tcPr>
                  <w:tcW w:w="859" w:type="pct"/>
                  <w:tcBorders>
                    <w:tl2br w:val="nil"/>
                    <w:tr2bl w:val="nil"/>
                  </w:tcBorders>
                  <w:vAlign w:val="center"/>
                </w:tcPr>
                <w:p w14:paraId="2131A0FB">
                  <w:pPr>
                    <w:adjustRightInd w:val="0"/>
                    <w:snapToGrid w:val="0"/>
                    <w:jc w:val="center"/>
                    <w:rPr>
                      <w:color w:val="auto"/>
                      <w:szCs w:val="21"/>
                    </w:rPr>
                  </w:pPr>
                  <w:r>
                    <w:rPr>
                      <w:rFonts w:hint="eastAsia"/>
                      <w:color w:val="auto"/>
                      <w:szCs w:val="21"/>
                    </w:rPr>
                    <w:t>COD、总氮、SS、氨氮、石油类</w:t>
                  </w:r>
                </w:p>
              </w:tc>
              <w:tc>
                <w:tcPr>
                  <w:tcW w:w="1489" w:type="pct"/>
                  <w:tcBorders>
                    <w:tl2br w:val="nil"/>
                    <w:tr2bl w:val="nil"/>
                  </w:tcBorders>
                  <w:vAlign w:val="center"/>
                </w:tcPr>
                <w:p w14:paraId="01306036">
                  <w:pPr>
                    <w:adjustRightInd w:val="0"/>
                    <w:snapToGrid w:val="0"/>
                    <w:jc w:val="center"/>
                    <w:rPr>
                      <w:color w:val="auto"/>
                      <w:szCs w:val="21"/>
                    </w:rPr>
                  </w:pPr>
                  <w:r>
                    <w:rPr>
                      <w:rFonts w:hint="eastAsia"/>
                      <w:color w:val="auto"/>
                      <w:szCs w:val="21"/>
                    </w:rPr>
                    <w:t>污水池</w:t>
                  </w:r>
                </w:p>
              </w:tc>
              <w:tc>
                <w:tcPr>
                  <w:tcW w:w="811" w:type="pct"/>
                  <w:tcBorders>
                    <w:tl2br w:val="nil"/>
                    <w:tr2bl w:val="nil"/>
                  </w:tcBorders>
                  <w:vAlign w:val="center"/>
                </w:tcPr>
                <w:p w14:paraId="585E3ED7">
                  <w:pPr>
                    <w:widowControl/>
                    <w:jc w:val="center"/>
                    <w:textAlignment w:val="center"/>
                    <w:rPr>
                      <w:color w:val="auto"/>
                      <w:szCs w:val="21"/>
                    </w:rPr>
                  </w:pPr>
                  <w:r>
                    <w:rPr>
                      <w:rFonts w:hint="eastAsia"/>
                      <w:color w:val="auto"/>
                      <w:kern w:val="0"/>
                      <w:szCs w:val="21"/>
                      <w:lang w:bidi="ar"/>
                    </w:rPr>
                    <w:t>5</w:t>
                  </w:r>
                </w:p>
              </w:tc>
            </w:tr>
            <w:tr w14:paraId="1CE3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4" w:type="pct"/>
                  <w:vMerge w:val="continue"/>
                  <w:tcBorders>
                    <w:tl2br w:val="nil"/>
                    <w:tr2bl w:val="nil"/>
                  </w:tcBorders>
                  <w:vAlign w:val="center"/>
                </w:tcPr>
                <w:p w14:paraId="2F02A847">
                  <w:pPr>
                    <w:jc w:val="center"/>
                    <w:rPr>
                      <w:color w:val="auto"/>
                      <w:szCs w:val="21"/>
                    </w:rPr>
                  </w:pPr>
                </w:p>
              </w:tc>
              <w:tc>
                <w:tcPr>
                  <w:tcW w:w="606" w:type="pct"/>
                  <w:vMerge w:val="continue"/>
                  <w:tcBorders>
                    <w:tl2br w:val="nil"/>
                    <w:tr2bl w:val="nil"/>
                  </w:tcBorders>
                  <w:vAlign w:val="center"/>
                </w:tcPr>
                <w:p w14:paraId="2A348CA4">
                  <w:pPr>
                    <w:jc w:val="center"/>
                    <w:rPr>
                      <w:color w:val="auto"/>
                      <w:szCs w:val="21"/>
                    </w:rPr>
                  </w:pPr>
                </w:p>
              </w:tc>
              <w:tc>
                <w:tcPr>
                  <w:tcW w:w="859" w:type="pct"/>
                  <w:tcBorders>
                    <w:tl2br w:val="nil"/>
                    <w:tr2bl w:val="nil"/>
                  </w:tcBorders>
                  <w:vAlign w:val="center"/>
                </w:tcPr>
                <w:p w14:paraId="43E809D7">
                  <w:pPr>
                    <w:adjustRightInd w:val="0"/>
                    <w:snapToGrid w:val="0"/>
                    <w:jc w:val="center"/>
                    <w:rPr>
                      <w:color w:val="auto"/>
                      <w:szCs w:val="21"/>
                    </w:rPr>
                  </w:pPr>
                  <w:r>
                    <w:rPr>
                      <w:rFonts w:hint="eastAsia"/>
                      <w:color w:val="auto"/>
                      <w:szCs w:val="21"/>
                    </w:rPr>
                    <w:t>循环水</w:t>
                  </w:r>
                </w:p>
              </w:tc>
              <w:tc>
                <w:tcPr>
                  <w:tcW w:w="859" w:type="pct"/>
                  <w:tcBorders>
                    <w:tl2br w:val="nil"/>
                    <w:tr2bl w:val="nil"/>
                  </w:tcBorders>
                  <w:vAlign w:val="center"/>
                </w:tcPr>
                <w:p w14:paraId="7A745892">
                  <w:pPr>
                    <w:adjustRightInd w:val="0"/>
                    <w:snapToGrid w:val="0"/>
                    <w:jc w:val="center"/>
                    <w:rPr>
                      <w:color w:val="auto"/>
                      <w:szCs w:val="21"/>
                    </w:rPr>
                  </w:pPr>
                  <w:r>
                    <w:rPr>
                      <w:rFonts w:hint="eastAsia"/>
                      <w:color w:val="auto"/>
                      <w:szCs w:val="21"/>
                    </w:rPr>
                    <w:t>/</w:t>
                  </w:r>
                </w:p>
              </w:tc>
              <w:tc>
                <w:tcPr>
                  <w:tcW w:w="1489" w:type="pct"/>
                  <w:tcBorders>
                    <w:tl2br w:val="nil"/>
                    <w:tr2bl w:val="nil"/>
                  </w:tcBorders>
                  <w:vAlign w:val="center"/>
                </w:tcPr>
                <w:p w14:paraId="2533D27A">
                  <w:pPr>
                    <w:adjustRightInd w:val="0"/>
                    <w:snapToGrid w:val="0"/>
                    <w:jc w:val="center"/>
                    <w:rPr>
                      <w:color w:val="auto"/>
                      <w:szCs w:val="21"/>
                    </w:rPr>
                  </w:pPr>
                  <w:r>
                    <w:rPr>
                      <w:rFonts w:hint="eastAsia"/>
                      <w:color w:val="auto"/>
                      <w:szCs w:val="21"/>
                    </w:rPr>
                    <w:t>循环水池</w:t>
                  </w:r>
                </w:p>
              </w:tc>
              <w:tc>
                <w:tcPr>
                  <w:tcW w:w="811" w:type="pct"/>
                  <w:tcBorders>
                    <w:tl2br w:val="nil"/>
                    <w:tr2bl w:val="nil"/>
                  </w:tcBorders>
                  <w:vAlign w:val="center"/>
                </w:tcPr>
                <w:p w14:paraId="4648D34B">
                  <w:pPr>
                    <w:widowControl/>
                    <w:jc w:val="center"/>
                    <w:textAlignment w:val="center"/>
                    <w:rPr>
                      <w:color w:val="auto"/>
                      <w:kern w:val="0"/>
                      <w:szCs w:val="21"/>
                      <w:lang w:bidi="ar"/>
                    </w:rPr>
                  </w:pPr>
                  <w:r>
                    <w:rPr>
                      <w:rFonts w:hint="eastAsia"/>
                      <w:color w:val="auto"/>
                      <w:kern w:val="0"/>
                      <w:szCs w:val="21"/>
                      <w:lang w:bidi="ar"/>
                    </w:rPr>
                    <w:t>50</w:t>
                  </w:r>
                </w:p>
              </w:tc>
            </w:tr>
            <w:tr w14:paraId="21F6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4" w:type="pct"/>
                  <w:tcBorders>
                    <w:tl2br w:val="nil"/>
                    <w:tr2bl w:val="nil"/>
                  </w:tcBorders>
                  <w:vAlign w:val="center"/>
                </w:tcPr>
                <w:p w14:paraId="4DEAE76A">
                  <w:pPr>
                    <w:jc w:val="center"/>
                    <w:rPr>
                      <w:color w:val="auto"/>
                      <w:szCs w:val="21"/>
                    </w:rPr>
                  </w:pPr>
                  <w:r>
                    <w:rPr>
                      <w:color w:val="auto"/>
                      <w:szCs w:val="21"/>
                    </w:rPr>
                    <w:t>噪声</w:t>
                  </w:r>
                </w:p>
              </w:tc>
              <w:tc>
                <w:tcPr>
                  <w:tcW w:w="606" w:type="pct"/>
                  <w:tcBorders>
                    <w:tl2br w:val="nil"/>
                    <w:tr2bl w:val="nil"/>
                  </w:tcBorders>
                  <w:vAlign w:val="center"/>
                </w:tcPr>
                <w:p w14:paraId="0856A50C">
                  <w:pPr>
                    <w:jc w:val="center"/>
                    <w:rPr>
                      <w:color w:val="auto"/>
                      <w:szCs w:val="21"/>
                    </w:rPr>
                  </w:pPr>
                  <w:r>
                    <w:rPr>
                      <w:color w:val="auto"/>
                      <w:szCs w:val="21"/>
                    </w:rPr>
                    <w:t>运营期</w:t>
                  </w:r>
                </w:p>
              </w:tc>
              <w:tc>
                <w:tcPr>
                  <w:tcW w:w="859" w:type="pct"/>
                  <w:tcBorders>
                    <w:tl2br w:val="nil"/>
                    <w:tr2bl w:val="nil"/>
                  </w:tcBorders>
                  <w:vAlign w:val="center"/>
                </w:tcPr>
                <w:p w14:paraId="69864C16">
                  <w:pPr>
                    <w:jc w:val="center"/>
                    <w:rPr>
                      <w:color w:val="auto"/>
                      <w:szCs w:val="21"/>
                    </w:rPr>
                  </w:pPr>
                  <w:r>
                    <w:rPr>
                      <w:rFonts w:hint="eastAsia"/>
                      <w:color w:val="auto"/>
                      <w:szCs w:val="21"/>
                    </w:rPr>
                    <w:t>噪声</w:t>
                  </w:r>
                </w:p>
              </w:tc>
              <w:tc>
                <w:tcPr>
                  <w:tcW w:w="859" w:type="pct"/>
                  <w:tcBorders>
                    <w:tl2br w:val="nil"/>
                    <w:tr2bl w:val="nil"/>
                  </w:tcBorders>
                  <w:vAlign w:val="center"/>
                </w:tcPr>
                <w:p w14:paraId="1A1AF060">
                  <w:pPr>
                    <w:jc w:val="center"/>
                    <w:rPr>
                      <w:color w:val="auto"/>
                      <w:szCs w:val="21"/>
                    </w:rPr>
                  </w:pPr>
                  <w:r>
                    <w:rPr>
                      <w:color w:val="auto"/>
                      <w:szCs w:val="21"/>
                    </w:rPr>
                    <w:t>设备噪声</w:t>
                  </w:r>
                </w:p>
              </w:tc>
              <w:tc>
                <w:tcPr>
                  <w:tcW w:w="1489" w:type="pct"/>
                  <w:tcBorders>
                    <w:tl2br w:val="nil"/>
                    <w:tr2bl w:val="nil"/>
                  </w:tcBorders>
                  <w:vAlign w:val="center"/>
                </w:tcPr>
                <w:p w14:paraId="11791582">
                  <w:pPr>
                    <w:jc w:val="center"/>
                    <w:rPr>
                      <w:color w:val="auto"/>
                      <w:szCs w:val="21"/>
                    </w:rPr>
                  </w:pPr>
                  <w:r>
                    <w:rPr>
                      <w:color w:val="auto"/>
                      <w:szCs w:val="21"/>
                    </w:rPr>
                    <w:t>减振基座</w:t>
                  </w:r>
                  <w:r>
                    <w:rPr>
                      <w:rFonts w:hint="eastAsia"/>
                      <w:color w:val="auto"/>
                      <w:szCs w:val="21"/>
                    </w:rPr>
                    <w:t>，路面的保养工作、绿化带种植</w:t>
                  </w:r>
                </w:p>
              </w:tc>
              <w:tc>
                <w:tcPr>
                  <w:tcW w:w="811" w:type="pct"/>
                  <w:tcBorders>
                    <w:tl2br w:val="nil"/>
                    <w:tr2bl w:val="nil"/>
                  </w:tcBorders>
                  <w:vAlign w:val="center"/>
                </w:tcPr>
                <w:p w14:paraId="09A1918A">
                  <w:pPr>
                    <w:widowControl/>
                    <w:jc w:val="center"/>
                    <w:textAlignment w:val="center"/>
                    <w:rPr>
                      <w:color w:val="auto"/>
                      <w:szCs w:val="21"/>
                    </w:rPr>
                  </w:pPr>
                  <w:r>
                    <w:rPr>
                      <w:rFonts w:hint="eastAsia"/>
                      <w:color w:val="auto"/>
                      <w:kern w:val="0"/>
                      <w:szCs w:val="21"/>
                      <w:lang w:bidi="ar"/>
                    </w:rPr>
                    <w:t>20</w:t>
                  </w:r>
                </w:p>
              </w:tc>
            </w:tr>
            <w:tr w14:paraId="74B9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4" w:type="pct"/>
                  <w:tcBorders>
                    <w:tl2br w:val="nil"/>
                    <w:tr2bl w:val="nil"/>
                  </w:tcBorders>
                  <w:vAlign w:val="center"/>
                </w:tcPr>
                <w:p w14:paraId="2E1D6C04">
                  <w:pPr>
                    <w:jc w:val="center"/>
                    <w:rPr>
                      <w:color w:val="auto"/>
                      <w:szCs w:val="21"/>
                    </w:rPr>
                  </w:pPr>
                  <w:r>
                    <w:rPr>
                      <w:color w:val="auto"/>
                      <w:szCs w:val="21"/>
                    </w:rPr>
                    <w:t>地下水、土壤</w:t>
                  </w:r>
                </w:p>
              </w:tc>
              <w:tc>
                <w:tcPr>
                  <w:tcW w:w="606" w:type="pct"/>
                  <w:tcBorders>
                    <w:tl2br w:val="nil"/>
                    <w:tr2bl w:val="nil"/>
                  </w:tcBorders>
                  <w:vAlign w:val="center"/>
                </w:tcPr>
                <w:p w14:paraId="279CF593">
                  <w:pPr>
                    <w:jc w:val="center"/>
                    <w:rPr>
                      <w:color w:val="auto"/>
                      <w:szCs w:val="21"/>
                    </w:rPr>
                  </w:pPr>
                  <w:r>
                    <w:rPr>
                      <w:rFonts w:hint="eastAsia"/>
                      <w:color w:val="auto"/>
                      <w:szCs w:val="21"/>
                    </w:rPr>
                    <w:t>/</w:t>
                  </w:r>
                </w:p>
              </w:tc>
              <w:tc>
                <w:tcPr>
                  <w:tcW w:w="859" w:type="pct"/>
                  <w:tcBorders>
                    <w:tl2br w:val="nil"/>
                    <w:tr2bl w:val="nil"/>
                  </w:tcBorders>
                  <w:vAlign w:val="center"/>
                </w:tcPr>
                <w:p w14:paraId="6E006F98">
                  <w:pPr>
                    <w:jc w:val="center"/>
                    <w:rPr>
                      <w:color w:val="auto"/>
                      <w:szCs w:val="21"/>
                    </w:rPr>
                  </w:pPr>
                  <w:r>
                    <w:rPr>
                      <w:rFonts w:hint="eastAsia"/>
                      <w:color w:val="auto"/>
                      <w:szCs w:val="21"/>
                    </w:rPr>
                    <w:t>/</w:t>
                  </w:r>
                </w:p>
              </w:tc>
              <w:tc>
                <w:tcPr>
                  <w:tcW w:w="859" w:type="pct"/>
                  <w:tcBorders>
                    <w:tl2br w:val="nil"/>
                    <w:tr2bl w:val="nil"/>
                  </w:tcBorders>
                  <w:vAlign w:val="center"/>
                </w:tcPr>
                <w:p w14:paraId="443A7A49">
                  <w:pPr>
                    <w:jc w:val="center"/>
                    <w:rPr>
                      <w:color w:val="auto"/>
                      <w:szCs w:val="21"/>
                    </w:rPr>
                  </w:pPr>
                  <w:r>
                    <w:rPr>
                      <w:rFonts w:hint="eastAsia"/>
                      <w:color w:val="auto"/>
                      <w:szCs w:val="21"/>
                    </w:rPr>
                    <w:t>/</w:t>
                  </w:r>
                </w:p>
              </w:tc>
              <w:tc>
                <w:tcPr>
                  <w:tcW w:w="1489" w:type="pct"/>
                  <w:tcBorders>
                    <w:tl2br w:val="nil"/>
                    <w:tr2bl w:val="nil"/>
                  </w:tcBorders>
                  <w:vAlign w:val="center"/>
                </w:tcPr>
                <w:p w14:paraId="6BCD9BF3">
                  <w:pPr>
                    <w:jc w:val="center"/>
                    <w:rPr>
                      <w:color w:val="auto"/>
                      <w:szCs w:val="21"/>
                    </w:rPr>
                  </w:pPr>
                  <w:r>
                    <w:rPr>
                      <w:rFonts w:hint="eastAsia"/>
                      <w:color w:val="auto"/>
                      <w:szCs w:val="21"/>
                    </w:rPr>
                    <w:t>地面硬化、分区防渗</w:t>
                  </w:r>
                </w:p>
              </w:tc>
              <w:tc>
                <w:tcPr>
                  <w:tcW w:w="811" w:type="pct"/>
                  <w:tcBorders>
                    <w:tl2br w:val="nil"/>
                    <w:tr2bl w:val="nil"/>
                  </w:tcBorders>
                  <w:vAlign w:val="center"/>
                </w:tcPr>
                <w:p w14:paraId="4F6139D9">
                  <w:pPr>
                    <w:widowControl/>
                    <w:jc w:val="center"/>
                    <w:textAlignment w:val="center"/>
                    <w:rPr>
                      <w:color w:val="auto"/>
                      <w:szCs w:val="21"/>
                    </w:rPr>
                  </w:pPr>
                  <w:r>
                    <w:rPr>
                      <w:rFonts w:hint="eastAsia"/>
                      <w:color w:val="auto"/>
                      <w:kern w:val="0"/>
                      <w:szCs w:val="21"/>
                      <w:lang w:bidi="ar"/>
                    </w:rPr>
                    <w:t>20</w:t>
                  </w:r>
                </w:p>
              </w:tc>
            </w:tr>
            <w:tr w14:paraId="03AF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4" w:type="pct"/>
                  <w:tcBorders>
                    <w:tl2br w:val="nil"/>
                    <w:tr2bl w:val="nil"/>
                  </w:tcBorders>
                  <w:vAlign w:val="center"/>
                </w:tcPr>
                <w:p w14:paraId="3A4287E3">
                  <w:pPr>
                    <w:jc w:val="center"/>
                    <w:rPr>
                      <w:color w:val="auto"/>
                      <w:szCs w:val="21"/>
                    </w:rPr>
                  </w:pPr>
                  <w:r>
                    <w:rPr>
                      <w:rFonts w:hint="eastAsia"/>
                      <w:color w:val="auto"/>
                      <w:szCs w:val="21"/>
                    </w:rPr>
                    <w:t>环境风险</w:t>
                  </w:r>
                </w:p>
              </w:tc>
              <w:tc>
                <w:tcPr>
                  <w:tcW w:w="606" w:type="pct"/>
                  <w:tcBorders>
                    <w:tl2br w:val="nil"/>
                    <w:tr2bl w:val="nil"/>
                  </w:tcBorders>
                  <w:vAlign w:val="center"/>
                </w:tcPr>
                <w:p w14:paraId="01F8CF84">
                  <w:pPr>
                    <w:jc w:val="center"/>
                    <w:rPr>
                      <w:color w:val="auto"/>
                      <w:szCs w:val="21"/>
                    </w:rPr>
                  </w:pPr>
                  <w:r>
                    <w:rPr>
                      <w:rFonts w:hint="eastAsia"/>
                      <w:color w:val="auto"/>
                      <w:szCs w:val="21"/>
                    </w:rPr>
                    <w:t>/</w:t>
                  </w:r>
                </w:p>
              </w:tc>
              <w:tc>
                <w:tcPr>
                  <w:tcW w:w="859" w:type="pct"/>
                  <w:tcBorders>
                    <w:tl2br w:val="nil"/>
                    <w:tr2bl w:val="nil"/>
                  </w:tcBorders>
                  <w:vAlign w:val="center"/>
                </w:tcPr>
                <w:p w14:paraId="1E18C60A">
                  <w:pPr>
                    <w:jc w:val="center"/>
                    <w:rPr>
                      <w:color w:val="auto"/>
                      <w:szCs w:val="21"/>
                    </w:rPr>
                  </w:pPr>
                  <w:r>
                    <w:rPr>
                      <w:rFonts w:hint="eastAsia"/>
                      <w:color w:val="auto"/>
                      <w:szCs w:val="21"/>
                    </w:rPr>
                    <w:t>/</w:t>
                  </w:r>
                </w:p>
              </w:tc>
              <w:tc>
                <w:tcPr>
                  <w:tcW w:w="859" w:type="pct"/>
                  <w:tcBorders>
                    <w:tl2br w:val="nil"/>
                    <w:tr2bl w:val="nil"/>
                  </w:tcBorders>
                  <w:vAlign w:val="center"/>
                </w:tcPr>
                <w:p w14:paraId="245DB2D5">
                  <w:pPr>
                    <w:jc w:val="center"/>
                    <w:rPr>
                      <w:color w:val="auto"/>
                      <w:szCs w:val="21"/>
                    </w:rPr>
                  </w:pPr>
                  <w:r>
                    <w:rPr>
                      <w:rFonts w:hint="eastAsia"/>
                      <w:color w:val="auto"/>
                      <w:szCs w:val="21"/>
                    </w:rPr>
                    <w:t>/</w:t>
                  </w:r>
                </w:p>
              </w:tc>
              <w:tc>
                <w:tcPr>
                  <w:tcW w:w="1489" w:type="pct"/>
                  <w:tcBorders>
                    <w:tl2br w:val="nil"/>
                    <w:tr2bl w:val="nil"/>
                  </w:tcBorders>
                  <w:vAlign w:val="center"/>
                </w:tcPr>
                <w:p w14:paraId="672D5FA2">
                  <w:pPr>
                    <w:jc w:val="center"/>
                    <w:rPr>
                      <w:color w:val="auto"/>
                      <w:szCs w:val="21"/>
                    </w:rPr>
                  </w:pPr>
                  <w:r>
                    <w:rPr>
                      <w:rFonts w:hint="eastAsia"/>
                      <w:color w:val="auto"/>
                      <w:szCs w:val="21"/>
                    </w:rPr>
                    <w:t>废水</w:t>
                  </w:r>
                  <w:r>
                    <w:rPr>
                      <w:color w:val="auto"/>
                      <w:szCs w:val="21"/>
                    </w:rPr>
                    <w:t>处理设施</w:t>
                  </w:r>
                  <w:r>
                    <w:rPr>
                      <w:rFonts w:hint="eastAsia"/>
                      <w:color w:val="auto"/>
                      <w:szCs w:val="21"/>
                    </w:rPr>
                    <w:t>日常检修、</w:t>
                  </w:r>
                  <w:r>
                    <w:rPr>
                      <w:color w:val="auto"/>
                      <w:szCs w:val="21"/>
                    </w:rPr>
                    <w:t>设置警示</w:t>
                  </w:r>
                  <w:r>
                    <w:rPr>
                      <w:rFonts w:hint="eastAsia"/>
                      <w:color w:val="auto"/>
                      <w:szCs w:val="21"/>
                    </w:rPr>
                    <w:t>标识标牌、灭火装置和设施、火灾报警系统等</w:t>
                  </w:r>
                </w:p>
              </w:tc>
              <w:tc>
                <w:tcPr>
                  <w:tcW w:w="811" w:type="pct"/>
                  <w:tcBorders>
                    <w:tl2br w:val="nil"/>
                    <w:tr2bl w:val="nil"/>
                  </w:tcBorders>
                  <w:vAlign w:val="center"/>
                </w:tcPr>
                <w:p w14:paraId="7561EC3A">
                  <w:pPr>
                    <w:widowControl/>
                    <w:jc w:val="center"/>
                    <w:textAlignment w:val="center"/>
                    <w:rPr>
                      <w:color w:val="auto"/>
                      <w:szCs w:val="21"/>
                    </w:rPr>
                  </w:pPr>
                  <w:r>
                    <w:rPr>
                      <w:color w:val="auto"/>
                      <w:kern w:val="0"/>
                      <w:szCs w:val="21"/>
                      <w:lang w:bidi="ar"/>
                    </w:rPr>
                    <w:t>5</w:t>
                  </w:r>
                </w:p>
              </w:tc>
            </w:tr>
            <w:tr w14:paraId="5B6A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88" w:type="pct"/>
                  <w:gridSpan w:val="5"/>
                  <w:tcBorders>
                    <w:tl2br w:val="nil"/>
                    <w:tr2bl w:val="nil"/>
                  </w:tcBorders>
                  <w:vAlign w:val="center"/>
                </w:tcPr>
                <w:p w14:paraId="1A7E3189">
                  <w:pPr>
                    <w:jc w:val="center"/>
                    <w:rPr>
                      <w:color w:val="auto"/>
                      <w:szCs w:val="21"/>
                    </w:rPr>
                  </w:pPr>
                  <w:r>
                    <w:rPr>
                      <w:rFonts w:hint="eastAsia"/>
                      <w:color w:val="auto"/>
                      <w:szCs w:val="21"/>
                    </w:rPr>
                    <w:t>合计</w:t>
                  </w:r>
                </w:p>
              </w:tc>
              <w:tc>
                <w:tcPr>
                  <w:tcW w:w="811" w:type="pct"/>
                  <w:tcBorders>
                    <w:tl2br w:val="nil"/>
                    <w:tr2bl w:val="nil"/>
                  </w:tcBorders>
                  <w:vAlign w:val="center"/>
                </w:tcPr>
                <w:p w14:paraId="607E236C">
                  <w:pPr>
                    <w:jc w:val="center"/>
                    <w:rPr>
                      <w:color w:val="auto"/>
                      <w:szCs w:val="21"/>
                    </w:rPr>
                  </w:pPr>
                  <w:r>
                    <w:rPr>
                      <w:rFonts w:hint="eastAsia"/>
                      <w:color w:val="auto"/>
                      <w:szCs w:val="21"/>
                    </w:rPr>
                    <w:t>100</w:t>
                  </w:r>
                </w:p>
              </w:tc>
            </w:tr>
          </w:tbl>
          <w:p w14:paraId="76C32521">
            <w:pPr>
              <w:pStyle w:val="9"/>
              <w:spacing w:before="120" w:beforeLines="50" w:line="360" w:lineRule="auto"/>
              <w:ind w:firstLine="482" w:firstLineChars="200"/>
              <w:rPr>
                <w:rFonts w:hAnsi="Times New Roman"/>
                <w:b/>
                <w:bCs/>
                <w:color w:val="auto"/>
                <w:sz w:val="24"/>
                <w:szCs w:val="24"/>
              </w:rPr>
            </w:pPr>
            <w:r>
              <w:rPr>
                <w:rFonts w:hint="eastAsia" w:hAnsi="Times New Roman" w:cs="Times New Roman"/>
                <w:b/>
                <w:bCs/>
                <w:color w:val="auto"/>
                <w:sz w:val="24"/>
                <w:szCs w:val="24"/>
              </w:rPr>
              <w:t>9、</w:t>
            </w:r>
            <w:r>
              <w:rPr>
                <w:rFonts w:hint="eastAsia" w:hAnsi="Times New Roman"/>
                <w:b/>
                <w:bCs/>
                <w:color w:val="auto"/>
                <w:sz w:val="24"/>
                <w:szCs w:val="24"/>
              </w:rPr>
              <w:t>“</w:t>
            </w:r>
            <w:r>
              <w:rPr>
                <w:rFonts w:hint="eastAsia" w:hAnsi="Times New Roman"/>
                <w:b/>
                <w:bCs/>
                <w:color w:val="auto"/>
                <w:sz w:val="24"/>
                <w:szCs w:val="24"/>
                <w:lang w:eastAsia="zh-CN"/>
              </w:rPr>
              <w:t>三本账</w:t>
            </w:r>
            <w:r>
              <w:rPr>
                <w:rFonts w:hint="eastAsia" w:hAnsi="Times New Roman"/>
                <w:b/>
                <w:bCs/>
                <w:color w:val="auto"/>
                <w:sz w:val="24"/>
                <w:szCs w:val="24"/>
              </w:rPr>
              <w:t>”</w:t>
            </w:r>
            <w:r>
              <w:rPr>
                <w:rFonts w:hAnsi="Times New Roman"/>
                <w:b/>
                <w:bCs/>
                <w:color w:val="auto"/>
                <w:sz w:val="24"/>
                <w:szCs w:val="24"/>
              </w:rPr>
              <w:t>分析</w:t>
            </w:r>
          </w:p>
          <w:p w14:paraId="70801578">
            <w:pPr>
              <w:autoSpaceDE w:val="0"/>
              <w:autoSpaceDN w:val="0"/>
              <w:adjustRightInd w:val="0"/>
              <w:spacing w:line="360" w:lineRule="auto"/>
              <w:ind w:firstLine="470" w:firstLineChars="196"/>
              <w:rPr>
                <w:color w:val="auto"/>
                <w:sz w:val="24"/>
              </w:rPr>
            </w:pPr>
            <w:r>
              <w:rPr>
                <w:color w:val="auto"/>
                <w:sz w:val="24"/>
              </w:rPr>
              <w:t>项目为</w:t>
            </w:r>
            <w:r>
              <w:rPr>
                <w:rFonts w:hint="eastAsia"/>
                <w:color w:val="auto"/>
                <w:sz w:val="24"/>
              </w:rPr>
              <w:t>扩建</w:t>
            </w:r>
            <w:r>
              <w:rPr>
                <w:color w:val="auto"/>
                <w:sz w:val="24"/>
              </w:rPr>
              <w:t>项目，其三本</w:t>
            </w:r>
            <w:r>
              <w:rPr>
                <w:rFonts w:hint="eastAsia"/>
                <w:color w:val="auto"/>
                <w:sz w:val="24"/>
                <w:lang w:eastAsia="zh-CN"/>
              </w:rPr>
              <w:t>账</w:t>
            </w:r>
            <w:r>
              <w:rPr>
                <w:color w:val="auto"/>
                <w:sz w:val="24"/>
              </w:rPr>
              <w:t>分析见下表。</w:t>
            </w:r>
          </w:p>
          <w:p w14:paraId="007A6F5A">
            <w:pPr>
              <w:jc w:val="center"/>
              <w:rPr>
                <w:color w:val="auto"/>
                <w:sz w:val="24"/>
              </w:rPr>
            </w:pPr>
            <w:r>
              <w:rPr>
                <w:b/>
                <w:color w:val="auto"/>
                <w:kern w:val="0"/>
                <w:sz w:val="24"/>
              </w:rPr>
              <w:t>表</w:t>
            </w:r>
            <w:r>
              <w:rPr>
                <w:rFonts w:hint="eastAsia"/>
                <w:b/>
                <w:color w:val="auto"/>
                <w:kern w:val="0"/>
                <w:sz w:val="24"/>
                <w:lang w:val="en-US" w:eastAsia="zh-CN"/>
              </w:rPr>
              <w:t>4-26</w:t>
            </w:r>
            <w:r>
              <w:rPr>
                <w:b/>
                <w:color w:val="auto"/>
                <w:kern w:val="0"/>
                <w:sz w:val="24"/>
              </w:rPr>
              <w:t>项目</w:t>
            </w:r>
            <w:r>
              <w:rPr>
                <w:b/>
                <w:color w:val="auto"/>
                <w:sz w:val="24"/>
              </w:rPr>
              <w:t>技改前</w:t>
            </w:r>
            <w:r>
              <w:rPr>
                <w:b/>
                <w:color w:val="auto"/>
                <w:kern w:val="0"/>
                <w:sz w:val="24"/>
              </w:rPr>
              <w:t>后污染物排放“</w:t>
            </w:r>
            <w:r>
              <w:rPr>
                <w:rFonts w:hint="eastAsia"/>
                <w:b/>
                <w:color w:val="auto"/>
                <w:kern w:val="0"/>
                <w:sz w:val="24"/>
                <w:lang w:eastAsia="zh-CN"/>
              </w:rPr>
              <w:t>三本账</w:t>
            </w:r>
            <w:r>
              <w:rPr>
                <w:b/>
                <w:color w:val="auto"/>
                <w:kern w:val="0"/>
                <w:sz w:val="24"/>
              </w:rPr>
              <w:t>”核算表</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1322"/>
              <w:gridCol w:w="693"/>
              <w:gridCol w:w="1004"/>
              <w:gridCol w:w="1080"/>
              <w:gridCol w:w="1379"/>
              <w:gridCol w:w="1150"/>
              <w:gridCol w:w="1108"/>
            </w:tblGrid>
            <w:tr w14:paraId="3C5F6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Align w:val="center"/>
                </w:tcPr>
                <w:p w14:paraId="58758BAE">
                  <w:pPr>
                    <w:adjustRightInd w:val="0"/>
                    <w:snapToGrid w:val="0"/>
                    <w:jc w:val="center"/>
                    <w:rPr>
                      <w:b/>
                      <w:color w:val="auto"/>
                      <w:szCs w:val="21"/>
                    </w:rPr>
                  </w:pPr>
                  <w:r>
                    <w:rPr>
                      <w:b/>
                      <w:color w:val="auto"/>
                      <w:szCs w:val="21"/>
                    </w:rPr>
                    <w:t>类别</w:t>
                  </w:r>
                </w:p>
              </w:tc>
              <w:tc>
                <w:tcPr>
                  <w:tcW w:w="778" w:type="pct"/>
                  <w:vAlign w:val="center"/>
                </w:tcPr>
                <w:p w14:paraId="08460716">
                  <w:pPr>
                    <w:adjustRightInd w:val="0"/>
                    <w:snapToGrid w:val="0"/>
                    <w:jc w:val="center"/>
                    <w:rPr>
                      <w:b/>
                      <w:color w:val="auto"/>
                      <w:szCs w:val="21"/>
                    </w:rPr>
                  </w:pPr>
                  <w:r>
                    <w:rPr>
                      <w:b/>
                      <w:color w:val="auto"/>
                      <w:szCs w:val="21"/>
                    </w:rPr>
                    <w:t>污染物</w:t>
                  </w:r>
                </w:p>
              </w:tc>
              <w:tc>
                <w:tcPr>
                  <w:tcW w:w="408" w:type="pct"/>
                  <w:vAlign w:val="center"/>
                </w:tcPr>
                <w:p w14:paraId="517A23E6">
                  <w:pPr>
                    <w:adjustRightInd w:val="0"/>
                    <w:snapToGrid w:val="0"/>
                    <w:jc w:val="center"/>
                    <w:rPr>
                      <w:b/>
                      <w:color w:val="auto"/>
                      <w:szCs w:val="21"/>
                    </w:rPr>
                  </w:pPr>
                  <w:r>
                    <w:rPr>
                      <w:b/>
                      <w:color w:val="auto"/>
                      <w:szCs w:val="21"/>
                    </w:rPr>
                    <w:t>单位</w:t>
                  </w:r>
                </w:p>
              </w:tc>
              <w:tc>
                <w:tcPr>
                  <w:tcW w:w="591" w:type="pct"/>
                  <w:vAlign w:val="center"/>
                </w:tcPr>
                <w:p w14:paraId="60A6E96B">
                  <w:pPr>
                    <w:adjustRightInd w:val="0"/>
                    <w:snapToGrid w:val="0"/>
                    <w:jc w:val="center"/>
                    <w:rPr>
                      <w:b/>
                      <w:color w:val="auto"/>
                      <w:szCs w:val="21"/>
                    </w:rPr>
                  </w:pPr>
                  <w:r>
                    <w:rPr>
                      <w:rFonts w:hint="eastAsia"/>
                      <w:b/>
                      <w:color w:val="auto"/>
                      <w:szCs w:val="21"/>
                    </w:rPr>
                    <w:t>现有工程</w:t>
                  </w:r>
                  <w:r>
                    <w:rPr>
                      <w:b/>
                      <w:color w:val="auto"/>
                      <w:szCs w:val="21"/>
                    </w:rPr>
                    <w:t>排放量</w:t>
                  </w:r>
                </w:p>
              </w:tc>
              <w:tc>
                <w:tcPr>
                  <w:tcW w:w="636" w:type="pct"/>
                  <w:vAlign w:val="center"/>
                </w:tcPr>
                <w:p w14:paraId="32063C0E">
                  <w:pPr>
                    <w:adjustRightInd w:val="0"/>
                    <w:snapToGrid w:val="0"/>
                    <w:jc w:val="center"/>
                    <w:rPr>
                      <w:b/>
                      <w:color w:val="auto"/>
                      <w:szCs w:val="21"/>
                    </w:rPr>
                  </w:pPr>
                  <w:r>
                    <w:rPr>
                      <w:rFonts w:hint="eastAsia"/>
                      <w:b/>
                      <w:color w:val="auto"/>
                      <w:szCs w:val="21"/>
                    </w:rPr>
                    <w:t>本项目</w:t>
                  </w:r>
                  <w:r>
                    <w:rPr>
                      <w:b/>
                      <w:color w:val="auto"/>
                      <w:szCs w:val="21"/>
                    </w:rPr>
                    <w:t>排放量</w:t>
                  </w:r>
                </w:p>
              </w:tc>
              <w:tc>
                <w:tcPr>
                  <w:tcW w:w="812" w:type="pct"/>
                  <w:vAlign w:val="center"/>
                </w:tcPr>
                <w:p w14:paraId="3EF92C91">
                  <w:pPr>
                    <w:adjustRightInd w:val="0"/>
                    <w:snapToGrid w:val="0"/>
                    <w:jc w:val="center"/>
                    <w:rPr>
                      <w:b/>
                      <w:color w:val="auto"/>
                      <w:szCs w:val="21"/>
                    </w:rPr>
                  </w:pPr>
                  <w:r>
                    <w:rPr>
                      <w:b/>
                      <w:color w:val="auto"/>
                      <w:szCs w:val="21"/>
                    </w:rPr>
                    <w:t>“以新带老”</w:t>
                  </w:r>
                </w:p>
                <w:p w14:paraId="2B07DADE">
                  <w:pPr>
                    <w:adjustRightInd w:val="0"/>
                    <w:snapToGrid w:val="0"/>
                    <w:jc w:val="center"/>
                    <w:rPr>
                      <w:b/>
                      <w:color w:val="auto"/>
                      <w:szCs w:val="21"/>
                    </w:rPr>
                  </w:pPr>
                  <w:r>
                    <w:rPr>
                      <w:b/>
                      <w:color w:val="auto"/>
                      <w:szCs w:val="21"/>
                    </w:rPr>
                    <w:t>削减量</w:t>
                  </w:r>
                </w:p>
              </w:tc>
              <w:tc>
                <w:tcPr>
                  <w:tcW w:w="677" w:type="pct"/>
                  <w:vAlign w:val="center"/>
                </w:tcPr>
                <w:p w14:paraId="5817ADEB">
                  <w:pPr>
                    <w:adjustRightInd w:val="0"/>
                    <w:snapToGrid w:val="0"/>
                    <w:jc w:val="center"/>
                    <w:rPr>
                      <w:b/>
                      <w:color w:val="auto"/>
                      <w:szCs w:val="21"/>
                    </w:rPr>
                  </w:pPr>
                  <w:r>
                    <w:rPr>
                      <w:rFonts w:hint="eastAsia"/>
                      <w:b/>
                      <w:color w:val="auto"/>
                      <w:szCs w:val="21"/>
                    </w:rPr>
                    <w:t>扩建</w:t>
                  </w:r>
                  <w:r>
                    <w:rPr>
                      <w:b/>
                      <w:color w:val="auto"/>
                      <w:szCs w:val="21"/>
                    </w:rPr>
                    <w:t>后排</w:t>
                  </w:r>
                </w:p>
                <w:p w14:paraId="6490764A">
                  <w:pPr>
                    <w:adjustRightInd w:val="0"/>
                    <w:snapToGrid w:val="0"/>
                    <w:jc w:val="center"/>
                    <w:rPr>
                      <w:b/>
                      <w:color w:val="auto"/>
                      <w:szCs w:val="21"/>
                    </w:rPr>
                  </w:pPr>
                  <w:r>
                    <w:rPr>
                      <w:b/>
                      <w:color w:val="auto"/>
                      <w:szCs w:val="21"/>
                    </w:rPr>
                    <w:t>放总量</w:t>
                  </w:r>
                </w:p>
              </w:tc>
              <w:tc>
                <w:tcPr>
                  <w:tcW w:w="652" w:type="pct"/>
                  <w:vAlign w:val="center"/>
                </w:tcPr>
                <w:p w14:paraId="451786F5">
                  <w:pPr>
                    <w:adjustRightInd w:val="0"/>
                    <w:snapToGrid w:val="0"/>
                    <w:jc w:val="center"/>
                    <w:rPr>
                      <w:b/>
                      <w:color w:val="auto"/>
                      <w:szCs w:val="21"/>
                    </w:rPr>
                  </w:pPr>
                  <w:r>
                    <w:rPr>
                      <w:b/>
                      <w:color w:val="auto"/>
                      <w:szCs w:val="21"/>
                    </w:rPr>
                    <w:t>增减量</w:t>
                  </w:r>
                </w:p>
              </w:tc>
            </w:tr>
            <w:tr w14:paraId="66F8A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restart"/>
                  <w:vAlign w:val="center"/>
                </w:tcPr>
                <w:p w14:paraId="64B46690">
                  <w:pPr>
                    <w:adjustRightInd w:val="0"/>
                    <w:snapToGrid w:val="0"/>
                    <w:jc w:val="center"/>
                    <w:rPr>
                      <w:color w:val="auto"/>
                      <w:szCs w:val="21"/>
                    </w:rPr>
                  </w:pPr>
                  <w:r>
                    <w:rPr>
                      <w:color w:val="auto"/>
                      <w:szCs w:val="21"/>
                    </w:rPr>
                    <w:t>废气</w:t>
                  </w:r>
                </w:p>
              </w:tc>
              <w:tc>
                <w:tcPr>
                  <w:tcW w:w="778" w:type="pct"/>
                  <w:shd w:val="clear" w:color="auto" w:fill="auto"/>
                  <w:vAlign w:val="center"/>
                </w:tcPr>
                <w:p w14:paraId="0D62FED5">
                  <w:pPr>
                    <w:jc w:val="center"/>
                    <w:rPr>
                      <w:rFonts w:cs="宋体"/>
                      <w:snapToGrid w:val="0"/>
                      <w:color w:val="auto"/>
                      <w:kern w:val="21"/>
                      <w:szCs w:val="21"/>
                    </w:rPr>
                  </w:pPr>
                  <w:r>
                    <w:rPr>
                      <w:rFonts w:hint="eastAsia"/>
                      <w:color w:val="auto"/>
                    </w:rPr>
                    <w:t>氮氧化物</w:t>
                  </w:r>
                </w:p>
              </w:tc>
              <w:tc>
                <w:tcPr>
                  <w:tcW w:w="408" w:type="pct"/>
                  <w:vAlign w:val="center"/>
                </w:tcPr>
                <w:p w14:paraId="34103544">
                  <w:pPr>
                    <w:jc w:val="center"/>
                    <w:rPr>
                      <w:color w:val="auto"/>
                      <w:szCs w:val="21"/>
                    </w:rPr>
                  </w:pPr>
                  <w:r>
                    <w:rPr>
                      <w:color w:val="auto"/>
                      <w:szCs w:val="21"/>
                    </w:rPr>
                    <w:t>t/a</w:t>
                  </w:r>
                </w:p>
              </w:tc>
              <w:tc>
                <w:tcPr>
                  <w:tcW w:w="591" w:type="pct"/>
                  <w:shd w:val="clear" w:color="auto" w:fill="auto"/>
                  <w:vAlign w:val="center"/>
                </w:tcPr>
                <w:p w14:paraId="3F2F2982">
                  <w:pPr>
                    <w:jc w:val="center"/>
                    <w:rPr>
                      <w:rFonts w:hint="eastAsia" w:eastAsia="宋体"/>
                      <w:color w:val="auto"/>
                      <w:lang w:eastAsia="zh-CN"/>
                    </w:rPr>
                  </w:pPr>
                  <w:r>
                    <w:rPr>
                      <w:rFonts w:hint="eastAsia"/>
                      <w:color w:val="auto"/>
                      <w:lang w:eastAsia="zh-CN"/>
                    </w:rPr>
                    <w:t>12.484</w:t>
                  </w:r>
                </w:p>
              </w:tc>
              <w:tc>
                <w:tcPr>
                  <w:tcW w:w="636" w:type="pct"/>
                  <w:shd w:val="clear" w:color="auto" w:fill="auto"/>
                  <w:vAlign w:val="center"/>
                </w:tcPr>
                <w:p w14:paraId="400EDA88">
                  <w:pPr>
                    <w:jc w:val="center"/>
                    <w:rPr>
                      <w:color w:val="auto"/>
                    </w:rPr>
                  </w:pPr>
                  <w:r>
                    <w:rPr>
                      <w:rFonts w:hint="eastAsia"/>
                      <w:color w:val="auto"/>
                    </w:rPr>
                    <w:t>0</w:t>
                  </w:r>
                </w:p>
              </w:tc>
              <w:tc>
                <w:tcPr>
                  <w:tcW w:w="812" w:type="pct"/>
                  <w:vAlign w:val="center"/>
                </w:tcPr>
                <w:p w14:paraId="17D19B3E">
                  <w:pPr>
                    <w:jc w:val="center"/>
                    <w:rPr>
                      <w:color w:val="auto"/>
                      <w:szCs w:val="21"/>
                    </w:rPr>
                  </w:pPr>
                  <w:r>
                    <w:rPr>
                      <w:rFonts w:hint="eastAsia"/>
                      <w:color w:val="auto"/>
                      <w:szCs w:val="21"/>
                    </w:rPr>
                    <w:t>0</w:t>
                  </w:r>
                </w:p>
              </w:tc>
              <w:tc>
                <w:tcPr>
                  <w:tcW w:w="677" w:type="pct"/>
                  <w:shd w:val="clear" w:color="auto" w:fill="auto"/>
                  <w:vAlign w:val="center"/>
                </w:tcPr>
                <w:p w14:paraId="7A3B6BDE">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12.484</w:t>
                  </w:r>
                </w:p>
              </w:tc>
              <w:tc>
                <w:tcPr>
                  <w:tcW w:w="652" w:type="pct"/>
                  <w:shd w:val="clear" w:color="auto" w:fill="auto"/>
                  <w:vAlign w:val="center"/>
                </w:tcPr>
                <w:p w14:paraId="480FE667">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1DFA0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3AC4C66">
                  <w:pPr>
                    <w:adjustRightInd w:val="0"/>
                    <w:snapToGrid w:val="0"/>
                    <w:jc w:val="center"/>
                    <w:rPr>
                      <w:color w:val="auto"/>
                      <w:szCs w:val="21"/>
                    </w:rPr>
                  </w:pPr>
                </w:p>
              </w:tc>
              <w:tc>
                <w:tcPr>
                  <w:tcW w:w="778" w:type="pct"/>
                  <w:shd w:val="clear" w:color="auto" w:fill="auto"/>
                  <w:vAlign w:val="center"/>
                </w:tcPr>
                <w:p w14:paraId="2723B562">
                  <w:pPr>
                    <w:jc w:val="center"/>
                    <w:rPr>
                      <w:rFonts w:cs="宋体"/>
                      <w:snapToGrid w:val="0"/>
                      <w:color w:val="auto"/>
                      <w:kern w:val="21"/>
                      <w:szCs w:val="21"/>
                    </w:rPr>
                  </w:pPr>
                  <w:r>
                    <w:rPr>
                      <w:rFonts w:hint="eastAsia"/>
                      <w:color w:val="auto"/>
                    </w:rPr>
                    <w:t>氯化氢</w:t>
                  </w:r>
                </w:p>
              </w:tc>
              <w:tc>
                <w:tcPr>
                  <w:tcW w:w="408" w:type="pct"/>
                  <w:vAlign w:val="center"/>
                </w:tcPr>
                <w:p w14:paraId="15D1805E">
                  <w:pPr>
                    <w:jc w:val="center"/>
                    <w:rPr>
                      <w:color w:val="auto"/>
                      <w:szCs w:val="21"/>
                    </w:rPr>
                  </w:pPr>
                  <w:r>
                    <w:rPr>
                      <w:color w:val="auto"/>
                      <w:szCs w:val="21"/>
                    </w:rPr>
                    <w:t>t/a</w:t>
                  </w:r>
                </w:p>
              </w:tc>
              <w:tc>
                <w:tcPr>
                  <w:tcW w:w="591" w:type="pct"/>
                  <w:shd w:val="clear" w:color="auto" w:fill="auto"/>
                  <w:vAlign w:val="center"/>
                </w:tcPr>
                <w:p w14:paraId="3B5AD43F">
                  <w:pPr>
                    <w:jc w:val="center"/>
                    <w:rPr>
                      <w:color w:val="auto"/>
                    </w:rPr>
                  </w:pPr>
                  <w:r>
                    <w:rPr>
                      <w:rFonts w:hint="eastAsia"/>
                      <w:color w:val="auto"/>
                    </w:rPr>
                    <w:t>0.0054</w:t>
                  </w:r>
                </w:p>
              </w:tc>
              <w:tc>
                <w:tcPr>
                  <w:tcW w:w="636" w:type="pct"/>
                  <w:shd w:val="clear" w:color="auto" w:fill="auto"/>
                  <w:vAlign w:val="center"/>
                </w:tcPr>
                <w:p w14:paraId="7D07CA42">
                  <w:pPr>
                    <w:jc w:val="center"/>
                    <w:rPr>
                      <w:color w:val="auto"/>
                    </w:rPr>
                  </w:pPr>
                  <w:r>
                    <w:rPr>
                      <w:rFonts w:hint="eastAsia"/>
                      <w:color w:val="auto"/>
                    </w:rPr>
                    <w:t>0</w:t>
                  </w:r>
                </w:p>
              </w:tc>
              <w:tc>
                <w:tcPr>
                  <w:tcW w:w="812" w:type="pct"/>
                  <w:vAlign w:val="center"/>
                </w:tcPr>
                <w:p w14:paraId="636B8EBD">
                  <w:pPr>
                    <w:jc w:val="center"/>
                    <w:rPr>
                      <w:color w:val="auto"/>
                      <w:szCs w:val="21"/>
                    </w:rPr>
                  </w:pPr>
                  <w:r>
                    <w:rPr>
                      <w:rFonts w:hint="eastAsia"/>
                      <w:color w:val="auto"/>
                      <w:szCs w:val="21"/>
                    </w:rPr>
                    <w:t>0</w:t>
                  </w:r>
                </w:p>
              </w:tc>
              <w:tc>
                <w:tcPr>
                  <w:tcW w:w="677" w:type="pct"/>
                  <w:shd w:val="clear" w:color="auto" w:fill="auto"/>
                  <w:vAlign w:val="center"/>
                </w:tcPr>
                <w:p w14:paraId="1EED579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652" w:type="pct"/>
                  <w:shd w:val="clear" w:color="auto" w:fill="auto"/>
                  <w:vAlign w:val="center"/>
                </w:tcPr>
                <w:p w14:paraId="4DDEF00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14:paraId="526D9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3B733B5C">
                  <w:pPr>
                    <w:adjustRightInd w:val="0"/>
                    <w:snapToGrid w:val="0"/>
                    <w:jc w:val="center"/>
                    <w:rPr>
                      <w:color w:val="auto"/>
                      <w:szCs w:val="21"/>
                    </w:rPr>
                  </w:pPr>
                </w:p>
              </w:tc>
              <w:tc>
                <w:tcPr>
                  <w:tcW w:w="778" w:type="pct"/>
                  <w:shd w:val="clear" w:color="auto" w:fill="auto"/>
                  <w:vAlign w:val="center"/>
                </w:tcPr>
                <w:p w14:paraId="63ED937D">
                  <w:pPr>
                    <w:jc w:val="center"/>
                    <w:rPr>
                      <w:rFonts w:cs="宋体"/>
                      <w:snapToGrid w:val="0"/>
                      <w:color w:val="auto"/>
                      <w:kern w:val="21"/>
                      <w:szCs w:val="21"/>
                    </w:rPr>
                  </w:pPr>
                  <w:r>
                    <w:rPr>
                      <w:rFonts w:hint="eastAsia"/>
                      <w:color w:val="auto"/>
                    </w:rPr>
                    <w:t>VOCs</w:t>
                  </w:r>
                </w:p>
              </w:tc>
              <w:tc>
                <w:tcPr>
                  <w:tcW w:w="408" w:type="pct"/>
                  <w:vAlign w:val="center"/>
                </w:tcPr>
                <w:p w14:paraId="13E0559A">
                  <w:pPr>
                    <w:jc w:val="center"/>
                    <w:rPr>
                      <w:color w:val="auto"/>
                      <w:szCs w:val="21"/>
                    </w:rPr>
                  </w:pPr>
                  <w:r>
                    <w:rPr>
                      <w:color w:val="auto"/>
                      <w:szCs w:val="21"/>
                    </w:rPr>
                    <w:t>t/a</w:t>
                  </w:r>
                </w:p>
              </w:tc>
              <w:tc>
                <w:tcPr>
                  <w:tcW w:w="591" w:type="pct"/>
                  <w:shd w:val="clear" w:color="auto" w:fill="auto"/>
                  <w:vAlign w:val="center"/>
                </w:tcPr>
                <w:p w14:paraId="70E39CB1">
                  <w:pPr>
                    <w:jc w:val="center"/>
                    <w:rPr>
                      <w:color w:val="auto"/>
                    </w:rPr>
                  </w:pPr>
                  <w:r>
                    <w:rPr>
                      <w:rFonts w:hint="eastAsia"/>
                      <w:color w:val="auto"/>
                    </w:rPr>
                    <w:t>5.503</w:t>
                  </w:r>
                </w:p>
              </w:tc>
              <w:tc>
                <w:tcPr>
                  <w:tcW w:w="636" w:type="pct"/>
                  <w:shd w:val="clear" w:color="auto" w:fill="auto"/>
                  <w:vAlign w:val="center"/>
                </w:tcPr>
                <w:p w14:paraId="6D011FCA">
                  <w:pPr>
                    <w:jc w:val="center"/>
                    <w:rPr>
                      <w:color w:val="auto"/>
                    </w:rPr>
                  </w:pPr>
                  <w:r>
                    <w:rPr>
                      <w:rFonts w:hint="eastAsia"/>
                      <w:color w:val="auto"/>
                    </w:rPr>
                    <w:t>0</w:t>
                  </w:r>
                </w:p>
              </w:tc>
              <w:tc>
                <w:tcPr>
                  <w:tcW w:w="812" w:type="pct"/>
                  <w:vAlign w:val="center"/>
                </w:tcPr>
                <w:p w14:paraId="716651F8">
                  <w:pPr>
                    <w:jc w:val="center"/>
                    <w:rPr>
                      <w:color w:val="auto"/>
                      <w:szCs w:val="21"/>
                    </w:rPr>
                  </w:pPr>
                  <w:r>
                    <w:rPr>
                      <w:rFonts w:hint="eastAsia"/>
                      <w:color w:val="auto"/>
                      <w:szCs w:val="21"/>
                    </w:rPr>
                    <w:t>0</w:t>
                  </w:r>
                </w:p>
              </w:tc>
              <w:tc>
                <w:tcPr>
                  <w:tcW w:w="677" w:type="pct"/>
                  <w:shd w:val="clear" w:color="auto" w:fill="auto"/>
                  <w:vAlign w:val="center"/>
                </w:tcPr>
                <w:p w14:paraId="3539022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5.503</w:t>
                  </w:r>
                </w:p>
              </w:tc>
              <w:tc>
                <w:tcPr>
                  <w:tcW w:w="652" w:type="pct"/>
                  <w:shd w:val="clear" w:color="auto" w:fill="auto"/>
                  <w:vAlign w:val="center"/>
                </w:tcPr>
                <w:p w14:paraId="31283336">
                  <w:pPr>
                    <w:keepNext w:val="0"/>
                    <w:keepLines w:val="0"/>
                    <w:widowControl/>
                    <w:suppressLineNumbers w:val="0"/>
                    <w:jc w:val="center"/>
                    <w:textAlignment w:val="center"/>
                    <w:rPr>
                      <w:rFonts w:hint="eastAsia" w:eastAsia="宋体"/>
                      <w:color w:val="auto"/>
                      <w:lang w:val="en-US" w:eastAsia="zh-CN"/>
                    </w:rPr>
                  </w:pPr>
                  <w:r>
                    <w:rPr>
                      <w:rFonts w:hint="eastAsia"/>
                      <w:color w:val="auto"/>
                      <w:lang w:val="en-US" w:eastAsia="zh-CN"/>
                    </w:rPr>
                    <w:t>0</w:t>
                  </w:r>
                </w:p>
              </w:tc>
            </w:tr>
            <w:tr w14:paraId="0B1A7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3B1C40E">
                  <w:pPr>
                    <w:adjustRightInd w:val="0"/>
                    <w:snapToGrid w:val="0"/>
                    <w:jc w:val="center"/>
                    <w:rPr>
                      <w:color w:val="auto"/>
                      <w:szCs w:val="21"/>
                    </w:rPr>
                  </w:pPr>
                </w:p>
              </w:tc>
              <w:tc>
                <w:tcPr>
                  <w:tcW w:w="778" w:type="pct"/>
                  <w:shd w:val="clear" w:color="auto" w:fill="auto"/>
                  <w:vAlign w:val="center"/>
                </w:tcPr>
                <w:p w14:paraId="447BF200">
                  <w:pPr>
                    <w:jc w:val="center"/>
                    <w:rPr>
                      <w:rFonts w:cs="宋体"/>
                      <w:snapToGrid w:val="0"/>
                      <w:color w:val="auto"/>
                      <w:kern w:val="21"/>
                      <w:szCs w:val="21"/>
                    </w:rPr>
                  </w:pPr>
                  <w:r>
                    <w:rPr>
                      <w:rFonts w:hint="eastAsia"/>
                      <w:color w:val="auto"/>
                    </w:rPr>
                    <w:t>非甲烷总烃</w:t>
                  </w:r>
                </w:p>
              </w:tc>
              <w:tc>
                <w:tcPr>
                  <w:tcW w:w="408" w:type="pct"/>
                  <w:shd w:val="clear" w:color="auto" w:fill="auto"/>
                  <w:vAlign w:val="center"/>
                </w:tcPr>
                <w:p w14:paraId="2C16AF5F">
                  <w:pPr>
                    <w:jc w:val="center"/>
                    <w:rPr>
                      <w:color w:val="auto"/>
                      <w:szCs w:val="21"/>
                    </w:rPr>
                  </w:pPr>
                  <w:r>
                    <w:rPr>
                      <w:color w:val="auto"/>
                      <w:szCs w:val="21"/>
                    </w:rPr>
                    <w:t>t/a</w:t>
                  </w:r>
                </w:p>
              </w:tc>
              <w:tc>
                <w:tcPr>
                  <w:tcW w:w="591" w:type="pct"/>
                  <w:shd w:val="clear" w:color="auto" w:fill="auto"/>
                  <w:vAlign w:val="center"/>
                </w:tcPr>
                <w:p w14:paraId="2AE72349">
                  <w:pPr>
                    <w:jc w:val="center"/>
                    <w:rPr>
                      <w:color w:val="auto"/>
                    </w:rPr>
                  </w:pPr>
                  <w:r>
                    <w:rPr>
                      <w:rFonts w:hint="eastAsia"/>
                      <w:color w:val="auto"/>
                    </w:rPr>
                    <w:t>0.97</w:t>
                  </w:r>
                </w:p>
              </w:tc>
              <w:tc>
                <w:tcPr>
                  <w:tcW w:w="636" w:type="pct"/>
                  <w:shd w:val="clear" w:color="auto" w:fill="auto"/>
                  <w:vAlign w:val="center"/>
                </w:tcPr>
                <w:p w14:paraId="263C15EA">
                  <w:pPr>
                    <w:jc w:val="center"/>
                    <w:rPr>
                      <w:rFonts w:hint="eastAsia" w:eastAsia="宋体"/>
                      <w:color w:val="auto"/>
                      <w:lang w:val="en-US" w:eastAsia="zh-CN"/>
                    </w:rPr>
                  </w:pPr>
                  <w:r>
                    <w:rPr>
                      <w:rFonts w:hint="eastAsia"/>
                      <w:color w:val="auto"/>
                    </w:rPr>
                    <w:t>0.09</w:t>
                  </w:r>
                  <w:r>
                    <w:rPr>
                      <w:rFonts w:hint="eastAsia"/>
                      <w:color w:val="auto"/>
                      <w:lang w:val="en-US" w:eastAsia="zh-CN"/>
                    </w:rPr>
                    <w:t>1</w:t>
                  </w:r>
                </w:p>
              </w:tc>
              <w:tc>
                <w:tcPr>
                  <w:tcW w:w="812" w:type="pct"/>
                  <w:vAlign w:val="center"/>
                </w:tcPr>
                <w:p w14:paraId="1A82F80A">
                  <w:pPr>
                    <w:jc w:val="center"/>
                    <w:rPr>
                      <w:color w:val="auto"/>
                      <w:szCs w:val="21"/>
                    </w:rPr>
                  </w:pPr>
                  <w:r>
                    <w:rPr>
                      <w:rFonts w:hint="eastAsia"/>
                      <w:color w:val="auto"/>
                      <w:szCs w:val="21"/>
                    </w:rPr>
                    <w:t>0</w:t>
                  </w:r>
                </w:p>
              </w:tc>
              <w:tc>
                <w:tcPr>
                  <w:tcW w:w="677" w:type="pct"/>
                  <w:shd w:val="clear" w:color="auto" w:fill="auto"/>
                  <w:vAlign w:val="center"/>
                </w:tcPr>
                <w:p w14:paraId="0A0055A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1.061</w:t>
                  </w:r>
                </w:p>
              </w:tc>
              <w:tc>
                <w:tcPr>
                  <w:tcW w:w="652" w:type="pct"/>
                  <w:shd w:val="clear" w:color="auto" w:fill="auto"/>
                  <w:vAlign w:val="center"/>
                </w:tcPr>
                <w:p w14:paraId="143B599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0.091</w:t>
                  </w:r>
                </w:p>
              </w:tc>
            </w:tr>
            <w:tr w14:paraId="25939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FA24A53">
                  <w:pPr>
                    <w:adjustRightInd w:val="0"/>
                    <w:snapToGrid w:val="0"/>
                    <w:jc w:val="center"/>
                    <w:rPr>
                      <w:color w:val="auto"/>
                      <w:szCs w:val="21"/>
                    </w:rPr>
                  </w:pPr>
                </w:p>
              </w:tc>
              <w:tc>
                <w:tcPr>
                  <w:tcW w:w="778" w:type="pct"/>
                  <w:shd w:val="clear" w:color="auto" w:fill="auto"/>
                  <w:vAlign w:val="center"/>
                </w:tcPr>
                <w:p w14:paraId="1B22E88D">
                  <w:pPr>
                    <w:jc w:val="center"/>
                    <w:rPr>
                      <w:rFonts w:cs="宋体"/>
                      <w:snapToGrid w:val="0"/>
                      <w:color w:val="auto"/>
                      <w:kern w:val="21"/>
                      <w:szCs w:val="21"/>
                    </w:rPr>
                  </w:pPr>
                  <w:r>
                    <w:rPr>
                      <w:rFonts w:hint="eastAsia"/>
                      <w:color w:val="auto"/>
                    </w:rPr>
                    <w:t>丙酮</w:t>
                  </w:r>
                </w:p>
              </w:tc>
              <w:tc>
                <w:tcPr>
                  <w:tcW w:w="408" w:type="pct"/>
                  <w:shd w:val="clear" w:color="auto" w:fill="auto"/>
                  <w:vAlign w:val="center"/>
                </w:tcPr>
                <w:p w14:paraId="6C406537">
                  <w:pPr>
                    <w:jc w:val="center"/>
                    <w:rPr>
                      <w:color w:val="auto"/>
                      <w:szCs w:val="21"/>
                    </w:rPr>
                  </w:pPr>
                  <w:r>
                    <w:rPr>
                      <w:color w:val="auto"/>
                      <w:szCs w:val="21"/>
                    </w:rPr>
                    <w:t>t/a</w:t>
                  </w:r>
                </w:p>
              </w:tc>
              <w:tc>
                <w:tcPr>
                  <w:tcW w:w="591" w:type="pct"/>
                  <w:shd w:val="clear" w:color="auto" w:fill="auto"/>
                  <w:vAlign w:val="center"/>
                </w:tcPr>
                <w:p w14:paraId="66B89BA5">
                  <w:pPr>
                    <w:jc w:val="center"/>
                    <w:rPr>
                      <w:color w:val="auto"/>
                    </w:rPr>
                  </w:pPr>
                  <w:r>
                    <w:rPr>
                      <w:rFonts w:hint="eastAsia"/>
                      <w:color w:val="auto"/>
                    </w:rPr>
                    <w:t>0.74</w:t>
                  </w:r>
                </w:p>
              </w:tc>
              <w:tc>
                <w:tcPr>
                  <w:tcW w:w="636" w:type="pct"/>
                  <w:shd w:val="clear" w:color="auto" w:fill="auto"/>
                  <w:vAlign w:val="center"/>
                </w:tcPr>
                <w:p w14:paraId="47D82CA4">
                  <w:pPr>
                    <w:jc w:val="center"/>
                    <w:rPr>
                      <w:color w:val="auto"/>
                    </w:rPr>
                  </w:pPr>
                  <w:r>
                    <w:rPr>
                      <w:rFonts w:hint="eastAsia"/>
                      <w:color w:val="auto"/>
                    </w:rPr>
                    <w:t>0</w:t>
                  </w:r>
                </w:p>
              </w:tc>
              <w:tc>
                <w:tcPr>
                  <w:tcW w:w="812" w:type="pct"/>
                  <w:vAlign w:val="center"/>
                </w:tcPr>
                <w:p w14:paraId="5426C05A">
                  <w:pPr>
                    <w:jc w:val="center"/>
                    <w:rPr>
                      <w:color w:val="auto"/>
                      <w:szCs w:val="21"/>
                    </w:rPr>
                  </w:pPr>
                  <w:r>
                    <w:rPr>
                      <w:rFonts w:hint="eastAsia"/>
                      <w:color w:val="auto"/>
                      <w:szCs w:val="21"/>
                    </w:rPr>
                    <w:t>0</w:t>
                  </w:r>
                </w:p>
              </w:tc>
              <w:tc>
                <w:tcPr>
                  <w:tcW w:w="677" w:type="pct"/>
                  <w:shd w:val="clear" w:color="auto" w:fill="auto"/>
                  <w:vAlign w:val="center"/>
                </w:tcPr>
                <w:p w14:paraId="6FD77048">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652" w:type="pct"/>
                  <w:shd w:val="clear" w:color="auto" w:fill="auto"/>
                  <w:vAlign w:val="center"/>
                </w:tcPr>
                <w:p w14:paraId="72969E9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1DA55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557C6123">
                  <w:pPr>
                    <w:adjustRightInd w:val="0"/>
                    <w:snapToGrid w:val="0"/>
                    <w:jc w:val="center"/>
                    <w:rPr>
                      <w:color w:val="auto"/>
                      <w:szCs w:val="21"/>
                    </w:rPr>
                  </w:pPr>
                </w:p>
              </w:tc>
              <w:tc>
                <w:tcPr>
                  <w:tcW w:w="778" w:type="pct"/>
                  <w:shd w:val="clear" w:color="auto" w:fill="auto"/>
                  <w:vAlign w:val="center"/>
                </w:tcPr>
                <w:p w14:paraId="6111FFBE">
                  <w:pPr>
                    <w:jc w:val="center"/>
                    <w:rPr>
                      <w:rFonts w:cs="宋体"/>
                      <w:snapToGrid w:val="0"/>
                      <w:color w:val="auto"/>
                      <w:kern w:val="21"/>
                      <w:szCs w:val="21"/>
                    </w:rPr>
                  </w:pPr>
                  <w:r>
                    <w:rPr>
                      <w:rFonts w:hint="eastAsia"/>
                      <w:color w:val="auto"/>
                    </w:rPr>
                    <w:t>颗粒物</w:t>
                  </w:r>
                </w:p>
              </w:tc>
              <w:tc>
                <w:tcPr>
                  <w:tcW w:w="408" w:type="pct"/>
                  <w:shd w:val="clear" w:color="auto" w:fill="auto"/>
                  <w:vAlign w:val="center"/>
                </w:tcPr>
                <w:p w14:paraId="1719A298">
                  <w:pPr>
                    <w:jc w:val="center"/>
                    <w:rPr>
                      <w:color w:val="auto"/>
                      <w:szCs w:val="21"/>
                    </w:rPr>
                  </w:pPr>
                  <w:r>
                    <w:rPr>
                      <w:color w:val="auto"/>
                      <w:szCs w:val="21"/>
                    </w:rPr>
                    <w:t>t/a</w:t>
                  </w:r>
                </w:p>
              </w:tc>
              <w:tc>
                <w:tcPr>
                  <w:tcW w:w="591" w:type="pct"/>
                  <w:shd w:val="clear" w:color="auto" w:fill="auto"/>
                  <w:vAlign w:val="center"/>
                </w:tcPr>
                <w:p w14:paraId="29137B2F">
                  <w:pPr>
                    <w:jc w:val="center"/>
                    <w:rPr>
                      <w:color w:val="auto"/>
                    </w:rPr>
                  </w:pPr>
                  <w:r>
                    <w:rPr>
                      <w:rFonts w:hint="eastAsia"/>
                      <w:color w:val="auto"/>
                    </w:rPr>
                    <w:t>9.7408</w:t>
                  </w:r>
                </w:p>
              </w:tc>
              <w:tc>
                <w:tcPr>
                  <w:tcW w:w="636" w:type="pct"/>
                  <w:shd w:val="clear" w:color="auto" w:fill="auto"/>
                  <w:vAlign w:val="center"/>
                </w:tcPr>
                <w:p w14:paraId="0DE832EC">
                  <w:pPr>
                    <w:jc w:val="center"/>
                    <w:rPr>
                      <w:rFonts w:hint="default" w:eastAsia="宋体"/>
                      <w:color w:val="auto"/>
                      <w:lang w:val="en-US" w:eastAsia="zh-CN"/>
                    </w:rPr>
                  </w:pPr>
                  <w:r>
                    <w:rPr>
                      <w:rFonts w:hint="eastAsia"/>
                      <w:color w:val="auto"/>
                    </w:rPr>
                    <w:t>0.</w:t>
                  </w:r>
                  <w:r>
                    <w:rPr>
                      <w:rFonts w:hint="eastAsia"/>
                      <w:color w:val="auto"/>
                      <w:lang w:val="en-US" w:eastAsia="zh-CN"/>
                    </w:rPr>
                    <w:t>641</w:t>
                  </w:r>
                </w:p>
              </w:tc>
              <w:tc>
                <w:tcPr>
                  <w:tcW w:w="812" w:type="pct"/>
                  <w:vAlign w:val="center"/>
                </w:tcPr>
                <w:p w14:paraId="00AA5D79">
                  <w:pPr>
                    <w:jc w:val="center"/>
                    <w:rPr>
                      <w:color w:val="auto"/>
                      <w:szCs w:val="21"/>
                    </w:rPr>
                  </w:pPr>
                  <w:r>
                    <w:rPr>
                      <w:rFonts w:hint="eastAsia"/>
                      <w:color w:val="auto"/>
                      <w:szCs w:val="21"/>
                    </w:rPr>
                    <w:t>0</w:t>
                  </w:r>
                </w:p>
              </w:tc>
              <w:tc>
                <w:tcPr>
                  <w:tcW w:w="677" w:type="pct"/>
                  <w:shd w:val="clear" w:color="auto" w:fill="auto"/>
                  <w:vAlign w:val="center"/>
                </w:tcPr>
                <w:p w14:paraId="1408BD9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10.3818</w:t>
                  </w:r>
                </w:p>
              </w:tc>
              <w:tc>
                <w:tcPr>
                  <w:tcW w:w="652" w:type="pct"/>
                  <w:shd w:val="clear" w:color="auto" w:fill="auto"/>
                  <w:vAlign w:val="center"/>
                </w:tcPr>
                <w:p w14:paraId="484220E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0.641</w:t>
                  </w:r>
                </w:p>
              </w:tc>
            </w:tr>
            <w:tr w14:paraId="793AF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1524E20">
                  <w:pPr>
                    <w:adjustRightInd w:val="0"/>
                    <w:snapToGrid w:val="0"/>
                    <w:jc w:val="center"/>
                    <w:rPr>
                      <w:color w:val="auto"/>
                      <w:szCs w:val="21"/>
                    </w:rPr>
                  </w:pPr>
                </w:p>
              </w:tc>
              <w:tc>
                <w:tcPr>
                  <w:tcW w:w="778" w:type="pct"/>
                  <w:shd w:val="clear" w:color="auto" w:fill="auto"/>
                  <w:vAlign w:val="center"/>
                </w:tcPr>
                <w:p w14:paraId="3FF08AE5">
                  <w:pPr>
                    <w:jc w:val="center"/>
                    <w:rPr>
                      <w:rFonts w:cs="宋体"/>
                      <w:snapToGrid w:val="0"/>
                      <w:color w:val="auto"/>
                      <w:kern w:val="21"/>
                      <w:szCs w:val="21"/>
                    </w:rPr>
                  </w:pPr>
                  <w:r>
                    <w:rPr>
                      <w:rFonts w:hint="eastAsia"/>
                      <w:color w:val="auto"/>
                    </w:rPr>
                    <w:t>二氧化硫</w:t>
                  </w:r>
                </w:p>
              </w:tc>
              <w:tc>
                <w:tcPr>
                  <w:tcW w:w="408" w:type="pct"/>
                  <w:shd w:val="clear" w:color="auto" w:fill="auto"/>
                  <w:vAlign w:val="center"/>
                </w:tcPr>
                <w:p w14:paraId="1154E47D">
                  <w:pPr>
                    <w:jc w:val="center"/>
                    <w:rPr>
                      <w:color w:val="auto"/>
                      <w:szCs w:val="21"/>
                    </w:rPr>
                  </w:pPr>
                  <w:r>
                    <w:rPr>
                      <w:color w:val="auto"/>
                      <w:szCs w:val="21"/>
                    </w:rPr>
                    <w:t>t/a</w:t>
                  </w:r>
                </w:p>
              </w:tc>
              <w:tc>
                <w:tcPr>
                  <w:tcW w:w="591" w:type="pct"/>
                  <w:shd w:val="clear" w:color="auto" w:fill="auto"/>
                  <w:vAlign w:val="center"/>
                </w:tcPr>
                <w:p w14:paraId="274B8B18">
                  <w:pPr>
                    <w:jc w:val="center"/>
                    <w:rPr>
                      <w:color w:val="auto"/>
                    </w:rPr>
                  </w:pPr>
                  <w:r>
                    <w:rPr>
                      <w:rFonts w:hint="eastAsia"/>
                      <w:color w:val="auto"/>
                    </w:rPr>
                    <w:t>2.9</w:t>
                  </w:r>
                </w:p>
              </w:tc>
              <w:tc>
                <w:tcPr>
                  <w:tcW w:w="636" w:type="pct"/>
                  <w:shd w:val="clear" w:color="auto" w:fill="auto"/>
                  <w:vAlign w:val="center"/>
                </w:tcPr>
                <w:p w14:paraId="16D681CF">
                  <w:pPr>
                    <w:jc w:val="center"/>
                    <w:rPr>
                      <w:color w:val="auto"/>
                    </w:rPr>
                  </w:pPr>
                  <w:r>
                    <w:rPr>
                      <w:rFonts w:hint="eastAsia"/>
                      <w:color w:val="auto"/>
                    </w:rPr>
                    <w:t>0</w:t>
                  </w:r>
                </w:p>
              </w:tc>
              <w:tc>
                <w:tcPr>
                  <w:tcW w:w="812" w:type="pct"/>
                  <w:vAlign w:val="center"/>
                </w:tcPr>
                <w:p w14:paraId="6BA712F3">
                  <w:pPr>
                    <w:jc w:val="center"/>
                    <w:rPr>
                      <w:color w:val="auto"/>
                      <w:szCs w:val="21"/>
                    </w:rPr>
                  </w:pPr>
                  <w:r>
                    <w:rPr>
                      <w:rFonts w:hint="eastAsia"/>
                      <w:color w:val="auto"/>
                      <w:szCs w:val="21"/>
                    </w:rPr>
                    <w:t>0</w:t>
                  </w:r>
                </w:p>
              </w:tc>
              <w:tc>
                <w:tcPr>
                  <w:tcW w:w="677" w:type="pct"/>
                  <w:shd w:val="clear" w:color="auto" w:fill="auto"/>
                  <w:vAlign w:val="center"/>
                </w:tcPr>
                <w:p w14:paraId="0D4FB72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2.9</w:t>
                  </w:r>
                </w:p>
              </w:tc>
              <w:tc>
                <w:tcPr>
                  <w:tcW w:w="652" w:type="pct"/>
                  <w:shd w:val="clear" w:color="auto" w:fill="auto"/>
                  <w:vAlign w:val="center"/>
                </w:tcPr>
                <w:p w14:paraId="44445A3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327B7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1CAA4617">
                  <w:pPr>
                    <w:adjustRightInd w:val="0"/>
                    <w:snapToGrid w:val="0"/>
                    <w:jc w:val="center"/>
                    <w:rPr>
                      <w:color w:val="auto"/>
                      <w:szCs w:val="21"/>
                    </w:rPr>
                  </w:pPr>
                </w:p>
              </w:tc>
              <w:tc>
                <w:tcPr>
                  <w:tcW w:w="778" w:type="pct"/>
                  <w:shd w:val="clear" w:color="auto" w:fill="auto"/>
                  <w:vAlign w:val="center"/>
                </w:tcPr>
                <w:p w14:paraId="5DF79FCC">
                  <w:pPr>
                    <w:jc w:val="center"/>
                    <w:rPr>
                      <w:rFonts w:cs="宋体"/>
                      <w:snapToGrid w:val="0"/>
                      <w:color w:val="auto"/>
                      <w:kern w:val="21"/>
                      <w:szCs w:val="21"/>
                    </w:rPr>
                  </w:pPr>
                  <w:r>
                    <w:rPr>
                      <w:rFonts w:hint="eastAsia"/>
                      <w:color w:val="auto"/>
                    </w:rPr>
                    <w:t>二甲苯</w:t>
                  </w:r>
                </w:p>
              </w:tc>
              <w:tc>
                <w:tcPr>
                  <w:tcW w:w="408" w:type="pct"/>
                  <w:shd w:val="clear" w:color="auto" w:fill="auto"/>
                  <w:vAlign w:val="center"/>
                </w:tcPr>
                <w:p w14:paraId="674F1E4A">
                  <w:pPr>
                    <w:jc w:val="center"/>
                    <w:rPr>
                      <w:color w:val="auto"/>
                      <w:szCs w:val="21"/>
                    </w:rPr>
                  </w:pPr>
                  <w:r>
                    <w:rPr>
                      <w:color w:val="auto"/>
                      <w:szCs w:val="21"/>
                    </w:rPr>
                    <w:t>t/a</w:t>
                  </w:r>
                </w:p>
              </w:tc>
              <w:tc>
                <w:tcPr>
                  <w:tcW w:w="591" w:type="pct"/>
                  <w:shd w:val="clear" w:color="auto" w:fill="auto"/>
                  <w:vAlign w:val="center"/>
                </w:tcPr>
                <w:p w14:paraId="2863466C">
                  <w:pPr>
                    <w:jc w:val="center"/>
                    <w:rPr>
                      <w:color w:val="auto"/>
                    </w:rPr>
                  </w:pPr>
                  <w:r>
                    <w:rPr>
                      <w:rFonts w:hint="eastAsia"/>
                      <w:color w:val="auto"/>
                    </w:rPr>
                    <w:t>0.43</w:t>
                  </w:r>
                </w:p>
              </w:tc>
              <w:tc>
                <w:tcPr>
                  <w:tcW w:w="636" w:type="pct"/>
                  <w:shd w:val="clear" w:color="auto" w:fill="auto"/>
                  <w:vAlign w:val="center"/>
                </w:tcPr>
                <w:p w14:paraId="4D474DFB">
                  <w:pPr>
                    <w:jc w:val="center"/>
                    <w:rPr>
                      <w:color w:val="auto"/>
                    </w:rPr>
                  </w:pPr>
                  <w:r>
                    <w:rPr>
                      <w:rFonts w:hint="eastAsia"/>
                      <w:color w:val="auto"/>
                    </w:rPr>
                    <w:t>0</w:t>
                  </w:r>
                </w:p>
              </w:tc>
              <w:tc>
                <w:tcPr>
                  <w:tcW w:w="812" w:type="pct"/>
                  <w:vAlign w:val="center"/>
                </w:tcPr>
                <w:p w14:paraId="38876F90">
                  <w:pPr>
                    <w:jc w:val="center"/>
                    <w:rPr>
                      <w:color w:val="auto"/>
                      <w:szCs w:val="21"/>
                    </w:rPr>
                  </w:pPr>
                  <w:r>
                    <w:rPr>
                      <w:rFonts w:hint="eastAsia"/>
                      <w:color w:val="auto"/>
                      <w:szCs w:val="21"/>
                    </w:rPr>
                    <w:t>0</w:t>
                  </w:r>
                </w:p>
              </w:tc>
              <w:tc>
                <w:tcPr>
                  <w:tcW w:w="677" w:type="pct"/>
                  <w:shd w:val="clear" w:color="auto" w:fill="auto"/>
                  <w:vAlign w:val="center"/>
                </w:tcPr>
                <w:p w14:paraId="390124E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652" w:type="pct"/>
                  <w:shd w:val="clear" w:color="auto" w:fill="auto"/>
                  <w:vAlign w:val="center"/>
                </w:tcPr>
                <w:p w14:paraId="576E3F46">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232F2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00188A1">
                  <w:pPr>
                    <w:adjustRightInd w:val="0"/>
                    <w:snapToGrid w:val="0"/>
                    <w:jc w:val="center"/>
                    <w:rPr>
                      <w:color w:val="auto"/>
                      <w:szCs w:val="21"/>
                    </w:rPr>
                  </w:pPr>
                </w:p>
              </w:tc>
              <w:tc>
                <w:tcPr>
                  <w:tcW w:w="778" w:type="pct"/>
                  <w:shd w:val="clear" w:color="auto" w:fill="auto"/>
                  <w:vAlign w:val="center"/>
                </w:tcPr>
                <w:p w14:paraId="0C96985B">
                  <w:pPr>
                    <w:jc w:val="center"/>
                    <w:rPr>
                      <w:rFonts w:cs="宋体"/>
                      <w:snapToGrid w:val="0"/>
                      <w:color w:val="auto"/>
                      <w:kern w:val="21"/>
                      <w:szCs w:val="21"/>
                    </w:rPr>
                  </w:pPr>
                  <w:r>
                    <w:rPr>
                      <w:rFonts w:hint="eastAsia"/>
                      <w:color w:val="auto"/>
                    </w:rPr>
                    <w:t>甲醛</w:t>
                  </w:r>
                </w:p>
              </w:tc>
              <w:tc>
                <w:tcPr>
                  <w:tcW w:w="408" w:type="pct"/>
                  <w:shd w:val="clear" w:color="auto" w:fill="auto"/>
                  <w:vAlign w:val="center"/>
                </w:tcPr>
                <w:p w14:paraId="14EBF5FB">
                  <w:pPr>
                    <w:jc w:val="center"/>
                    <w:rPr>
                      <w:color w:val="auto"/>
                      <w:szCs w:val="21"/>
                    </w:rPr>
                  </w:pPr>
                  <w:r>
                    <w:rPr>
                      <w:color w:val="auto"/>
                      <w:szCs w:val="21"/>
                    </w:rPr>
                    <w:t>t/a</w:t>
                  </w:r>
                </w:p>
              </w:tc>
              <w:tc>
                <w:tcPr>
                  <w:tcW w:w="591" w:type="pct"/>
                  <w:shd w:val="clear" w:color="auto" w:fill="auto"/>
                  <w:vAlign w:val="center"/>
                </w:tcPr>
                <w:p w14:paraId="6C956327">
                  <w:pPr>
                    <w:jc w:val="center"/>
                    <w:rPr>
                      <w:color w:val="auto"/>
                    </w:rPr>
                  </w:pPr>
                  <w:r>
                    <w:rPr>
                      <w:rFonts w:hint="eastAsia"/>
                      <w:color w:val="auto"/>
                    </w:rPr>
                    <w:t>0.0221</w:t>
                  </w:r>
                </w:p>
              </w:tc>
              <w:tc>
                <w:tcPr>
                  <w:tcW w:w="636" w:type="pct"/>
                  <w:shd w:val="clear" w:color="auto" w:fill="auto"/>
                  <w:vAlign w:val="center"/>
                </w:tcPr>
                <w:p w14:paraId="41D0BD97">
                  <w:pPr>
                    <w:jc w:val="center"/>
                    <w:rPr>
                      <w:color w:val="auto"/>
                    </w:rPr>
                  </w:pPr>
                  <w:r>
                    <w:rPr>
                      <w:rFonts w:hint="eastAsia"/>
                      <w:color w:val="auto"/>
                    </w:rPr>
                    <w:t>0</w:t>
                  </w:r>
                </w:p>
              </w:tc>
              <w:tc>
                <w:tcPr>
                  <w:tcW w:w="812" w:type="pct"/>
                  <w:vAlign w:val="center"/>
                </w:tcPr>
                <w:p w14:paraId="05ABFA78">
                  <w:pPr>
                    <w:jc w:val="center"/>
                    <w:rPr>
                      <w:color w:val="auto"/>
                      <w:szCs w:val="21"/>
                    </w:rPr>
                  </w:pPr>
                  <w:r>
                    <w:rPr>
                      <w:rFonts w:hint="eastAsia"/>
                      <w:color w:val="auto"/>
                      <w:szCs w:val="21"/>
                    </w:rPr>
                    <w:t>0</w:t>
                  </w:r>
                </w:p>
              </w:tc>
              <w:tc>
                <w:tcPr>
                  <w:tcW w:w="677" w:type="pct"/>
                  <w:shd w:val="clear" w:color="auto" w:fill="auto"/>
                  <w:vAlign w:val="center"/>
                </w:tcPr>
                <w:p w14:paraId="6C012BD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0.0221</w:t>
                  </w:r>
                </w:p>
              </w:tc>
              <w:tc>
                <w:tcPr>
                  <w:tcW w:w="652" w:type="pct"/>
                  <w:shd w:val="clear" w:color="auto" w:fill="auto"/>
                  <w:vAlign w:val="center"/>
                </w:tcPr>
                <w:p w14:paraId="5539B0B4">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FA91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B63E826">
                  <w:pPr>
                    <w:adjustRightInd w:val="0"/>
                    <w:snapToGrid w:val="0"/>
                    <w:jc w:val="center"/>
                    <w:rPr>
                      <w:color w:val="auto"/>
                      <w:szCs w:val="21"/>
                    </w:rPr>
                  </w:pPr>
                </w:p>
              </w:tc>
              <w:tc>
                <w:tcPr>
                  <w:tcW w:w="778" w:type="pct"/>
                  <w:shd w:val="clear" w:color="auto" w:fill="auto"/>
                  <w:vAlign w:val="center"/>
                </w:tcPr>
                <w:p w14:paraId="7D18C031">
                  <w:pPr>
                    <w:jc w:val="center"/>
                    <w:rPr>
                      <w:color w:val="auto"/>
                    </w:rPr>
                  </w:pPr>
                  <w:r>
                    <w:rPr>
                      <w:rFonts w:hint="eastAsia"/>
                      <w:color w:val="auto"/>
                    </w:rPr>
                    <w:t>甲苯</w:t>
                  </w:r>
                </w:p>
              </w:tc>
              <w:tc>
                <w:tcPr>
                  <w:tcW w:w="408" w:type="pct"/>
                  <w:vAlign w:val="center"/>
                </w:tcPr>
                <w:p w14:paraId="00A23961">
                  <w:pPr>
                    <w:jc w:val="center"/>
                    <w:rPr>
                      <w:color w:val="auto"/>
                      <w:szCs w:val="21"/>
                    </w:rPr>
                  </w:pPr>
                  <w:r>
                    <w:rPr>
                      <w:color w:val="auto"/>
                      <w:szCs w:val="21"/>
                    </w:rPr>
                    <w:t>t/a</w:t>
                  </w:r>
                </w:p>
              </w:tc>
              <w:tc>
                <w:tcPr>
                  <w:tcW w:w="591" w:type="pct"/>
                  <w:shd w:val="clear" w:color="auto" w:fill="auto"/>
                  <w:vAlign w:val="center"/>
                </w:tcPr>
                <w:p w14:paraId="33CA09F9">
                  <w:pPr>
                    <w:jc w:val="center"/>
                    <w:rPr>
                      <w:color w:val="auto"/>
                    </w:rPr>
                  </w:pPr>
                  <w:r>
                    <w:rPr>
                      <w:rFonts w:hint="eastAsia"/>
                      <w:color w:val="auto"/>
                    </w:rPr>
                    <w:t>0.17</w:t>
                  </w:r>
                </w:p>
              </w:tc>
              <w:tc>
                <w:tcPr>
                  <w:tcW w:w="636" w:type="pct"/>
                  <w:shd w:val="clear" w:color="auto" w:fill="auto"/>
                  <w:vAlign w:val="center"/>
                </w:tcPr>
                <w:p w14:paraId="085BF6AD">
                  <w:pPr>
                    <w:jc w:val="center"/>
                    <w:rPr>
                      <w:color w:val="auto"/>
                    </w:rPr>
                  </w:pPr>
                  <w:r>
                    <w:rPr>
                      <w:rFonts w:hint="eastAsia"/>
                      <w:color w:val="auto"/>
                    </w:rPr>
                    <w:t>0</w:t>
                  </w:r>
                </w:p>
              </w:tc>
              <w:tc>
                <w:tcPr>
                  <w:tcW w:w="812" w:type="pct"/>
                  <w:vAlign w:val="center"/>
                </w:tcPr>
                <w:p w14:paraId="04D45364">
                  <w:pPr>
                    <w:jc w:val="center"/>
                    <w:rPr>
                      <w:color w:val="auto"/>
                      <w:szCs w:val="21"/>
                    </w:rPr>
                  </w:pPr>
                  <w:r>
                    <w:rPr>
                      <w:rFonts w:hint="eastAsia"/>
                      <w:color w:val="auto"/>
                      <w:szCs w:val="21"/>
                    </w:rPr>
                    <w:t>0</w:t>
                  </w:r>
                </w:p>
              </w:tc>
              <w:tc>
                <w:tcPr>
                  <w:tcW w:w="677" w:type="pct"/>
                  <w:shd w:val="clear" w:color="auto" w:fill="auto"/>
                  <w:vAlign w:val="center"/>
                </w:tcPr>
                <w:p w14:paraId="516B2ED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652" w:type="pct"/>
                  <w:shd w:val="clear" w:color="auto" w:fill="auto"/>
                  <w:vAlign w:val="center"/>
                </w:tcPr>
                <w:p w14:paraId="06054EE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A10D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restart"/>
                  <w:vAlign w:val="center"/>
                </w:tcPr>
                <w:p w14:paraId="77593F82">
                  <w:pPr>
                    <w:adjustRightInd w:val="0"/>
                    <w:snapToGrid w:val="0"/>
                    <w:jc w:val="center"/>
                    <w:rPr>
                      <w:color w:val="auto"/>
                      <w:szCs w:val="21"/>
                    </w:rPr>
                  </w:pPr>
                  <w:r>
                    <w:rPr>
                      <w:color w:val="auto"/>
                      <w:szCs w:val="21"/>
                    </w:rPr>
                    <w:t>废水</w:t>
                  </w:r>
                </w:p>
              </w:tc>
              <w:tc>
                <w:tcPr>
                  <w:tcW w:w="778" w:type="pct"/>
                  <w:vAlign w:val="center"/>
                </w:tcPr>
                <w:p w14:paraId="2CFA6EF9">
                  <w:pPr>
                    <w:jc w:val="center"/>
                    <w:rPr>
                      <w:color w:val="auto"/>
                      <w:szCs w:val="21"/>
                    </w:rPr>
                  </w:pPr>
                  <w:r>
                    <w:rPr>
                      <w:rFonts w:hint="eastAsia"/>
                      <w:color w:val="auto"/>
                    </w:rPr>
                    <w:t>COD</w:t>
                  </w:r>
                  <w:r>
                    <w:rPr>
                      <w:rFonts w:hint="eastAsia"/>
                      <w:color w:val="auto"/>
                      <w:lang w:val="en-US" w:eastAsia="zh-CN"/>
                    </w:rPr>
                    <w:t>c</w:t>
                  </w:r>
                  <w:r>
                    <w:rPr>
                      <w:rFonts w:hint="eastAsia"/>
                      <w:color w:val="auto"/>
                    </w:rPr>
                    <w:t>r</w:t>
                  </w:r>
                </w:p>
              </w:tc>
              <w:tc>
                <w:tcPr>
                  <w:tcW w:w="408" w:type="pct"/>
                  <w:vAlign w:val="center"/>
                </w:tcPr>
                <w:p w14:paraId="03364F7F">
                  <w:pPr>
                    <w:jc w:val="center"/>
                    <w:rPr>
                      <w:color w:val="auto"/>
                      <w:szCs w:val="21"/>
                    </w:rPr>
                  </w:pPr>
                  <w:r>
                    <w:rPr>
                      <w:color w:val="auto"/>
                      <w:szCs w:val="21"/>
                    </w:rPr>
                    <w:t>t/a</w:t>
                  </w:r>
                </w:p>
              </w:tc>
              <w:tc>
                <w:tcPr>
                  <w:tcW w:w="591" w:type="pct"/>
                  <w:shd w:val="clear" w:color="auto" w:fill="auto"/>
                  <w:vAlign w:val="center"/>
                </w:tcPr>
                <w:p w14:paraId="62C42B32">
                  <w:pPr>
                    <w:jc w:val="center"/>
                    <w:rPr>
                      <w:rFonts w:cs="宋体"/>
                      <w:snapToGrid w:val="0"/>
                      <w:color w:val="auto"/>
                      <w:kern w:val="21"/>
                      <w:szCs w:val="21"/>
                    </w:rPr>
                  </w:pPr>
                  <w:r>
                    <w:rPr>
                      <w:rFonts w:hint="eastAsia"/>
                      <w:color w:val="auto"/>
                    </w:rPr>
                    <w:t>275.617</w:t>
                  </w:r>
                </w:p>
              </w:tc>
              <w:tc>
                <w:tcPr>
                  <w:tcW w:w="1080" w:type="dxa"/>
                  <w:shd w:val="clear" w:color="auto" w:fill="auto"/>
                  <w:vAlign w:val="center"/>
                </w:tcPr>
                <w:p w14:paraId="78064D57">
                  <w:pPr>
                    <w:pStyle w:val="50"/>
                    <w:spacing w:beforeLines="0" w:afterLines="0" w:line="240" w:lineRule="auto"/>
                    <w:rPr>
                      <w:rFonts w:hint="default" w:ascii="Times New Roman" w:eastAsia="宋体" w:cs="宋体"/>
                      <w:snapToGrid w:val="0"/>
                      <w:color w:val="auto"/>
                      <w:kern w:val="21"/>
                      <w:szCs w:val="21"/>
                      <w:lang w:val="en-US" w:eastAsia="zh-CN"/>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570</w:t>
                  </w:r>
                </w:p>
              </w:tc>
              <w:tc>
                <w:tcPr>
                  <w:tcW w:w="812" w:type="pct"/>
                  <w:vAlign w:val="center"/>
                </w:tcPr>
                <w:p w14:paraId="6D618680">
                  <w:pPr>
                    <w:jc w:val="center"/>
                    <w:rPr>
                      <w:color w:val="auto"/>
                      <w:szCs w:val="21"/>
                    </w:rPr>
                  </w:pPr>
                  <w:r>
                    <w:rPr>
                      <w:rFonts w:hint="eastAsia"/>
                      <w:color w:val="auto"/>
                      <w:szCs w:val="21"/>
                    </w:rPr>
                    <w:t>0</w:t>
                  </w:r>
                </w:p>
              </w:tc>
              <w:tc>
                <w:tcPr>
                  <w:tcW w:w="677" w:type="pct"/>
                  <w:shd w:val="clear" w:color="auto" w:fill="auto"/>
                  <w:vAlign w:val="center"/>
                </w:tcPr>
                <w:p w14:paraId="5474DC6A">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275.82</w:t>
                  </w:r>
                </w:p>
              </w:tc>
              <w:tc>
                <w:tcPr>
                  <w:tcW w:w="1108" w:type="dxa"/>
                  <w:shd w:val="clear" w:color="auto" w:fill="auto"/>
                  <w:vAlign w:val="center"/>
                </w:tcPr>
                <w:p w14:paraId="24293C74">
                  <w:pPr>
                    <w:pStyle w:val="50"/>
                    <w:spacing w:beforeLines="0" w:afterLines="0" w:line="240" w:lineRule="auto"/>
                    <w:rPr>
                      <w:rFonts w:ascii="Times New Roman" w:hAnsi="Times New Roman" w:eastAsia="宋体" w:cs="Times New Roman"/>
                      <w:color w:val="auto"/>
                      <w:kern w:val="2"/>
                      <w:sz w:val="21"/>
                      <w:szCs w:val="24"/>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570</w:t>
                  </w:r>
                </w:p>
              </w:tc>
            </w:tr>
            <w:tr w14:paraId="00200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B356498">
                  <w:pPr>
                    <w:adjustRightInd w:val="0"/>
                    <w:snapToGrid w:val="0"/>
                    <w:jc w:val="center"/>
                    <w:rPr>
                      <w:color w:val="auto"/>
                      <w:szCs w:val="21"/>
                    </w:rPr>
                  </w:pPr>
                </w:p>
              </w:tc>
              <w:tc>
                <w:tcPr>
                  <w:tcW w:w="778" w:type="pct"/>
                  <w:shd w:val="clear" w:color="auto" w:fill="auto"/>
                  <w:vAlign w:val="center"/>
                </w:tcPr>
                <w:p w14:paraId="4E78AAEE">
                  <w:pPr>
                    <w:jc w:val="center"/>
                    <w:rPr>
                      <w:color w:val="auto"/>
                    </w:rPr>
                  </w:pPr>
                  <w:r>
                    <w:rPr>
                      <w:rFonts w:hint="eastAsia"/>
                      <w:color w:val="auto"/>
                    </w:rPr>
                    <w:t>BODs</w:t>
                  </w:r>
                </w:p>
              </w:tc>
              <w:tc>
                <w:tcPr>
                  <w:tcW w:w="408" w:type="pct"/>
                  <w:vAlign w:val="center"/>
                </w:tcPr>
                <w:p w14:paraId="15D5C838">
                  <w:pPr>
                    <w:jc w:val="center"/>
                    <w:rPr>
                      <w:color w:val="auto"/>
                      <w:szCs w:val="21"/>
                    </w:rPr>
                  </w:pPr>
                  <w:r>
                    <w:rPr>
                      <w:color w:val="auto"/>
                      <w:szCs w:val="21"/>
                    </w:rPr>
                    <w:t>t/a</w:t>
                  </w:r>
                </w:p>
              </w:tc>
              <w:tc>
                <w:tcPr>
                  <w:tcW w:w="591" w:type="pct"/>
                  <w:shd w:val="clear" w:color="auto" w:fill="auto"/>
                  <w:vAlign w:val="center"/>
                </w:tcPr>
                <w:p w14:paraId="03EF46EA">
                  <w:pPr>
                    <w:jc w:val="center"/>
                    <w:rPr>
                      <w:rFonts w:cs="宋体"/>
                      <w:snapToGrid w:val="0"/>
                      <w:color w:val="auto"/>
                      <w:kern w:val="21"/>
                      <w:szCs w:val="21"/>
                    </w:rPr>
                  </w:pPr>
                  <w:r>
                    <w:rPr>
                      <w:rFonts w:hint="eastAsia"/>
                      <w:color w:val="auto"/>
                    </w:rPr>
                    <w:t>69.927</w:t>
                  </w:r>
                </w:p>
              </w:tc>
              <w:tc>
                <w:tcPr>
                  <w:tcW w:w="1080" w:type="dxa"/>
                  <w:shd w:val="clear" w:color="auto" w:fill="auto"/>
                  <w:vAlign w:val="center"/>
                </w:tcPr>
                <w:p w14:paraId="0CE789CF">
                  <w:pPr>
                    <w:pStyle w:val="50"/>
                    <w:spacing w:beforeLines="0" w:afterLines="0" w:line="240" w:lineRule="auto"/>
                    <w:rPr>
                      <w:rFonts w:hint="default" w:ascii="Times New Roman" w:eastAsia="宋体" w:cs="宋体"/>
                      <w:snapToGrid w:val="0"/>
                      <w:color w:val="auto"/>
                      <w:kern w:val="21"/>
                      <w:szCs w:val="21"/>
                      <w:lang w:val="en-US" w:eastAsia="zh-CN"/>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467</w:t>
                  </w:r>
                </w:p>
              </w:tc>
              <w:tc>
                <w:tcPr>
                  <w:tcW w:w="812" w:type="pct"/>
                  <w:vAlign w:val="center"/>
                </w:tcPr>
                <w:p w14:paraId="1A53843A">
                  <w:pPr>
                    <w:jc w:val="center"/>
                    <w:rPr>
                      <w:color w:val="auto"/>
                      <w:szCs w:val="21"/>
                    </w:rPr>
                  </w:pPr>
                  <w:r>
                    <w:rPr>
                      <w:rFonts w:hint="eastAsia"/>
                      <w:color w:val="auto"/>
                      <w:szCs w:val="21"/>
                    </w:rPr>
                    <w:t>0</w:t>
                  </w:r>
                </w:p>
              </w:tc>
              <w:tc>
                <w:tcPr>
                  <w:tcW w:w="677" w:type="pct"/>
                  <w:shd w:val="clear" w:color="auto" w:fill="auto"/>
                  <w:vAlign w:val="center"/>
                </w:tcPr>
                <w:p w14:paraId="5921CA25">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69.964</w:t>
                  </w:r>
                </w:p>
              </w:tc>
              <w:tc>
                <w:tcPr>
                  <w:tcW w:w="1108" w:type="dxa"/>
                  <w:shd w:val="clear" w:color="auto" w:fill="auto"/>
                  <w:vAlign w:val="center"/>
                </w:tcPr>
                <w:p w14:paraId="385316B6">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467</w:t>
                  </w:r>
                </w:p>
              </w:tc>
            </w:tr>
            <w:tr w14:paraId="2BDFD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06104CB9">
                  <w:pPr>
                    <w:adjustRightInd w:val="0"/>
                    <w:snapToGrid w:val="0"/>
                    <w:jc w:val="center"/>
                    <w:rPr>
                      <w:color w:val="auto"/>
                      <w:szCs w:val="21"/>
                    </w:rPr>
                  </w:pPr>
                </w:p>
              </w:tc>
              <w:tc>
                <w:tcPr>
                  <w:tcW w:w="778" w:type="pct"/>
                  <w:shd w:val="clear" w:color="auto" w:fill="auto"/>
                  <w:vAlign w:val="center"/>
                </w:tcPr>
                <w:p w14:paraId="1E355BCE">
                  <w:pPr>
                    <w:jc w:val="center"/>
                    <w:rPr>
                      <w:color w:val="auto"/>
                    </w:rPr>
                  </w:pPr>
                  <w:r>
                    <w:rPr>
                      <w:rFonts w:hint="eastAsia"/>
                      <w:color w:val="auto"/>
                    </w:rPr>
                    <w:t>总氮</w:t>
                  </w:r>
                </w:p>
              </w:tc>
              <w:tc>
                <w:tcPr>
                  <w:tcW w:w="408" w:type="pct"/>
                  <w:shd w:val="clear" w:color="auto" w:fill="auto"/>
                  <w:vAlign w:val="center"/>
                </w:tcPr>
                <w:p w14:paraId="08A00B52">
                  <w:pPr>
                    <w:jc w:val="center"/>
                    <w:rPr>
                      <w:color w:val="auto"/>
                      <w:szCs w:val="21"/>
                    </w:rPr>
                  </w:pPr>
                  <w:r>
                    <w:rPr>
                      <w:color w:val="auto"/>
                      <w:szCs w:val="21"/>
                    </w:rPr>
                    <w:t>t/a</w:t>
                  </w:r>
                </w:p>
              </w:tc>
              <w:tc>
                <w:tcPr>
                  <w:tcW w:w="591" w:type="pct"/>
                  <w:shd w:val="clear" w:color="auto" w:fill="auto"/>
                  <w:vAlign w:val="center"/>
                </w:tcPr>
                <w:p w14:paraId="46EFB11D">
                  <w:pPr>
                    <w:jc w:val="center"/>
                    <w:rPr>
                      <w:rFonts w:cs="宋体"/>
                      <w:snapToGrid w:val="0"/>
                      <w:color w:val="auto"/>
                      <w:kern w:val="21"/>
                      <w:szCs w:val="21"/>
                    </w:rPr>
                  </w:pPr>
                  <w:r>
                    <w:rPr>
                      <w:rFonts w:hint="eastAsia"/>
                      <w:color w:val="auto"/>
                    </w:rPr>
                    <w:t>36.486</w:t>
                  </w:r>
                </w:p>
              </w:tc>
              <w:tc>
                <w:tcPr>
                  <w:tcW w:w="1080" w:type="dxa"/>
                  <w:shd w:val="clear" w:color="auto" w:fill="auto"/>
                  <w:vAlign w:val="center"/>
                </w:tcPr>
                <w:p w14:paraId="04ABD393">
                  <w:pPr>
                    <w:pStyle w:val="50"/>
                    <w:spacing w:beforeLines="0" w:afterLines="0" w:line="240" w:lineRule="auto"/>
                    <w:rPr>
                      <w:rFonts w:hint="eastAsia" w:ascii="Times New Roman" w:eastAsia="宋体" w:cs="宋体"/>
                      <w:snapToGrid w:val="0"/>
                      <w:color w:val="auto"/>
                      <w:kern w:val="21"/>
                      <w:szCs w:val="21"/>
                      <w:lang w:eastAsia="zh-CN"/>
                    </w:rPr>
                  </w:pPr>
                  <w:r>
                    <w:rPr>
                      <w:rFonts w:hint="eastAsia" w:ascii="Times New Roman" w:cs="宋体"/>
                      <w:snapToGrid w:val="0"/>
                      <w:color w:val="auto"/>
                      <w:kern w:val="21"/>
                      <w:szCs w:val="21"/>
                    </w:rPr>
                    <w:t>0.00</w:t>
                  </w:r>
                  <w:r>
                    <w:rPr>
                      <w:rFonts w:hint="eastAsia" w:ascii="Times New Roman" w:cs="宋体"/>
                      <w:snapToGrid w:val="0"/>
                      <w:color w:val="auto"/>
                      <w:kern w:val="21"/>
                      <w:szCs w:val="21"/>
                      <w:lang w:val="en-US" w:eastAsia="zh-CN"/>
                    </w:rPr>
                    <w:t>2</w:t>
                  </w:r>
                </w:p>
              </w:tc>
              <w:tc>
                <w:tcPr>
                  <w:tcW w:w="812" w:type="pct"/>
                  <w:shd w:val="clear" w:color="auto" w:fill="auto"/>
                  <w:vAlign w:val="center"/>
                </w:tcPr>
                <w:p w14:paraId="64A79621">
                  <w:pPr>
                    <w:jc w:val="center"/>
                    <w:rPr>
                      <w:color w:val="auto"/>
                      <w:szCs w:val="21"/>
                    </w:rPr>
                  </w:pPr>
                  <w:r>
                    <w:rPr>
                      <w:rFonts w:hint="eastAsia"/>
                      <w:color w:val="auto"/>
                      <w:szCs w:val="21"/>
                    </w:rPr>
                    <w:t>0</w:t>
                  </w:r>
                </w:p>
              </w:tc>
              <w:tc>
                <w:tcPr>
                  <w:tcW w:w="677" w:type="pct"/>
                  <w:shd w:val="clear" w:color="auto" w:fill="auto"/>
                  <w:vAlign w:val="center"/>
                </w:tcPr>
                <w:p w14:paraId="694E3980">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36.492</w:t>
                  </w:r>
                </w:p>
              </w:tc>
              <w:tc>
                <w:tcPr>
                  <w:tcW w:w="1108" w:type="dxa"/>
                  <w:shd w:val="clear" w:color="auto" w:fill="auto"/>
                  <w:vAlign w:val="center"/>
                </w:tcPr>
                <w:p w14:paraId="4CE6EB20">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0.00</w:t>
                  </w:r>
                  <w:r>
                    <w:rPr>
                      <w:rFonts w:hint="eastAsia" w:ascii="Times New Roman" w:cs="宋体"/>
                      <w:snapToGrid w:val="0"/>
                      <w:color w:val="auto"/>
                      <w:kern w:val="21"/>
                      <w:szCs w:val="21"/>
                      <w:lang w:val="en-US" w:eastAsia="zh-CN"/>
                    </w:rPr>
                    <w:t>2</w:t>
                  </w:r>
                </w:p>
              </w:tc>
            </w:tr>
            <w:tr w14:paraId="3476B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38B9C5A">
                  <w:pPr>
                    <w:adjustRightInd w:val="0"/>
                    <w:snapToGrid w:val="0"/>
                    <w:jc w:val="center"/>
                    <w:rPr>
                      <w:color w:val="auto"/>
                      <w:szCs w:val="21"/>
                    </w:rPr>
                  </w:pPr>
                </w:p>
              </w:tc>
              <w:tc>
                <w:tcPr>
                  <w:tcW w:w="778" w:type="pct"/>
                  <w:shd w:val="clear" w:color="auto" w:fill="auto"/>
                  <w:vAlign w:val="center"/>
                </w:tcPr>
                <w:p w14:paraId="3C1FBFC5">
                  <w:pPr>
                    <w:jc w:val="center"/>
                    <w:rPr>
                      <w:color w:val="auto"/>
                    </w:rPr>
                  </w:pPr>
                  <w:r>
                    <w:rPr>
                      <w:rFonts w:hint="eastAsia"/>
                      <w:color w:val="auto"/>
                    </w:rPr>
                    <w:t>总磷</w:t>
                  </w:r>
                </w:p>
              </w:tc>
              <w:tc>
                <w:tcPr>
                  <w:tcW w:w="408" w:type="pct"/>
                  <w:shd w:val="clear" w:color="auto" w:fill="auto"/>
                  <w:vAlign w:val="center"/>
                </w:tcPr>
                <w:p w14:paraId="5EE0B967">
                  <w:pPr>
                    <w:jc w:val="center"/>
                    <w:rPr>
                      <w:color w:val="auto"/>
                      <w:szCs w:val="21"/>
                    </w:rPr>
                  </w:pPr>
                  <w:r>
                    <w:rPr>
                      <w:color w:val="auto"/>
                      <w:szCs w:val="21"/>
                    </w:rPr>
                    <w:t>t/a</w:t>
                  </w:r>
                </w:p>
              </w:tc>
              <w:tc>
                <w:tcPr>
                  <w:tcW w:w="591" w:type="pct"/>
                  <w:shd w:val="clear" w:color="auto" w:fill="auto"/>
                  <w:vAlign w:val="center"/>
                </w:tcPr>
                <w:p w14:paraId="7ADC3D82">
                  <w:pPr>
                    <w:jc w:val="center"/>
                    <w:rPr>
                      <w:rFonts w:cs="宋体"/>
                      <w:snapToGrid w:val="0"/>
                      <w:color w:val="auto"/>
                      <w:kern w:val="21"/>
                      <w:szCs w:val="21"/>
                    </w:rPr>
                  </w:pPr>
                  <w:r>
                    <w:rPr>
                      <w:rFonts w:hint="eastAsia"/>
                      <w:color w:val="auto"/>
                    </w:rPr>
                    <w:t>2.365</w:t>
                  </w:r>
                </w:p>
              </w:tc>
              <w:tc>
                <w:tcPr>
                  <w:tcW w:w="1080" w:type="dxa"/>
                  <w:shd w:val="clear" w:color="auto" w:fill="auto"/>
                  <w:vAlign w:val="center"/>
                </w:tcPr>
                <w:p w14:paraId="6146328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shd w:val="clear" w:color="auto" w:fill="auto"/>
                  <w:vAlign w:val="center"/>
                </w:tcPr>
                <w:p w14:paraId="0B957AEB">
                  <w:pPr>
                    <w:jc w:val="center"/>
                    <w:rPr>
                      <w:color w:val="auto"/>
                      <w:szCs w:val="21"/>
                    </w:rPr>
                  </w:pPr>
                  <w:r>
                    <w:rPr>
                      <w:rFonts w:hint="eastAsia"/>
                      <w:color w:val="auto"/>
                      <w:szCs w:val="21"/>
                    </w:rPr>
                    <w:t>0</w:t>
                  </w:r>
                </w:p>
              </w:tc>
              <w:tc>
                <w:tcPr>
                  <w:tcW w:w="677" w:type="pct"/>
                  <w:shd w:val="clear" w:color="auto" w:fill="auto"/>
                  <w:vAlign w:val="center"/>
                </w:tcPr>
                <w:p w14:paraId="01956DF8">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2.365</w:t>
                  </w:r>
                </w:p>
              </w:tc>
              <w:tc>
                <w:tcPr>
                  <w:tcW w:w="1108" w:type="dxa"/>
                  <w:shd w:val="clear" w:color="auto" w:fill="auto"/>
                  <w:vAlign w:val="center"/>
                </w:tcPr>
                <w:p w14:paraId="63BC2C5C">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7658D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776C4C09">
                  <w:pPr>
                    <w:adjustRightInd w:val="0"/>
                    <w:snapToGrid w:val="0"/>
                    <w:jc w:val="center"/>
                    <w:rPr>
                      <w:color w:val="auto"/>
                      <w:szCs w:val="21"/>
                    </w:rPr>
                  </w:pPr>
                </w:p>
              </w:tc>
              <w:tc>
                <w:tcPr>
                  <w:tcW w:w="778" w:type="pct"/>
                  <w:shd w:val="clear" w:color="auto" w:fill="auto"/>
                  <w:vAlign w:val="center"/>
                </w:tcPr>
                <w:p w14:paraId="234EF114">
                  <w:pPr>
                    <w:jc w:val="center"/>
                    <w:rPr>
                      <w:color w:val="auto"/>
                    </w:rPr>
                  </w:pPr>
                  <w:r>
                    <w:rPr>
                      <w:rFonts w:hint="eastAsia"/>
                      <w:color w:val="auto"/>
                    </w:rPr>
                    <w:t>氨氮</w:t>
                  </w:r>
                </w:p>
              </w:tc>
              <w:tc>
                <w:tcPr>
                  <w:tcW w:w="408" w:type="pct"/>
                  <w:shd w:val="clear" w:color="auto" w:fill="auto"/>
                  <w:vAlign w:val="center"/>
                </w:tcPr>
                <w:p w14:paraId="1BED9F64">
                  <w:pPr>
                    <w:jc w:val="center"/>
                    <w:rPr>
                      <w:color w:val="auto"/>
                      <w:szCs w:val="21"/>
                    </w:rPr>
                  </w:pPr>
                  <w:r>
                    <w:rPr>
                      <w:color w:val="auto"/>
                      <w:szCs w:val="21"/>
                    </w:rPr>
                    <w:t>t/a</w:t>
                  </w:r>
                </w:p>
              </w:tc>
              <w:tc>
                <w:tcPr>
                  <w:tcW w:w="591" w:type="pct"/>
                  <w:shd w:val="clear" w:color="auto" w:fill="auto"/>
                  <w:vAlign w:val="center"/>
                </w:tcPr>
                <w:p w14:paraId="789871BE">
                  <w:pPr>
                    <w:jc w:val="center"/>
                    <w:rPr>
                      <w:rFonts w:cs="宋体"/>
                      <w:snapToGrid w:val="0"/>
                      <w:color w:val="auto"/>
                      <w:kern w:val="21"/>
                      <w:szCs w:val="21"/>
                    </w:rPr>
                  </w:pPr>
                  <w:r>
                    <w:rPr>
                      <w:rFonts w:hint="eastAsia"/>
                      <w:color w:val="auto"/>
                    </w:rPr>
                    <w:t>24.541</w:t>
                  </w:r>
                </w:p>
              </w:tc>
              <w:tc>
                <w:tcPr>
                  <w:tcW w:w="1080" w:type="dxa"/>
                  <w:shd w:val="clear" w:color="auto" w:fill="auto"/>
                  <w:vAlign w:val="center"/>
                </w:tcPr>
                <w:p w14:paraId="75714FF8">
                  <w:pPr>
                    <w:pStyle w:val="50"/>
                    <w:spacing w:beforeLines="0" w:afterLines="0" w:line="240" w:lineRule="auto"/>
                    <w:rPr>
                      <w:rFonts w:hint="default" w:ascii="Times New Roman" w:eastAsia="宋体" w:cs="宋体"/>
                      <w:snapToGrid w:val="0"/>
                      <w:color w:val="auto"/>
                      <w:kern w:val="21"/>
                      <w:szCs w:val="21"/>
                      <w:lang w:val="en-US" w:eastAsia="zh-CN"/>
                    </w:rPr>
                  </w:pPr>
                  <w:r>
                    <w:rPr>
                      <w:rFonts w:hint="eastAsia" w:ascii="Times New Roman" w:cs="宋体"/>
                      <w:snapToGrid w:val="0"/>
                      <w:color w:val="auto"/>
                      <w:kern w:val="21"/>
                      <w:szCs w:val="21"/>
                    </w:rPr>
                    <w:t>0.0</w:t>
                  </w:r>
                  <w:r>
                    <w:rPr>
                      <w:rFonts w:hint="eastAsia" w:ascii="Times New Roman" w:cs="宋体"/>
                      <w:snapToGrid w:val="0"/>
                      <w:color w:val="auto"/>
                      <w:kern w:val="21"/>
                      <w:szCs w:val="21"/>
                      <w:lang w:val="en-US" w:eastAsia="zh-CN"/>
                    </w:rPr>
                    <w:t>65</w:t>
                  </w:r>
                </w:p>
              </w:tc>
              <w:tc>
                <w:tcPr>
                  <w:tcW w:w="812" w:type="pct"/>
                  <w:shd w:val="clear" w:color="auto" w:fill="auto"/>
                  <w:vAlign w:val="center"/>
                </w:tcPr>
                <w:p w14:paraId="5D1A9428">
                  <w:pPr>
                    <w:jc w:val="center"/>
                    <w:rPr>
                      <w:color w:val="auto"/>
                      <w:szCs w:val="21"/>
                    </w:rPr>
                  </w:pPr>
                  <w:r>
                    <w:rPr>
                      <w:rFonts w:hint="eastAsia"/>
                      <w:color w:val="auto"/>
                      <w:szCs w:val="21"/>
                    </w:rPr>
                    <w:t>0</w:t>
                  </w:r>
                </w:p>
              </w:tc>
              <w:tc>
                <w:tcPr>
                  <w:tcW w:w="677" w:type="pct"/>
                  <w:shd w:val="clear" w:color="auto" w:fill="auto"/>
                  <w:vAlign w:val="center"/>
                </w:tcPr>
                <w:p w14:paraId="6B6E7620">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24.561</w:t>
                  </w:r>
                </w:p>
              </w:tc>
              <w:tc>
                <w:tcPr>
                  <w:tcW w:w="1108" w:type="dxa"/>
                  <w:shd w:val="clear" w:color="auto" w:fill="auto"/>
                  <w:vAlign w:val="center"/>
                </w:tcPr>
                <w:p w14:paraId="17068B2B">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w:t>
                  </w:r>
                  <w:r>
                    <w:rPr>
                      <w:rFonts w:hint="eastAsia" w:ascii="Times New Roman" w:cs="宋体"/>
                      <w:snapToGrid w:val="0"/>
                      <w:color w:val="auto"/>
                      <w:kern w:val="21"/>
                      <w:szCs w:val="21"/>
                      <w:lang w:val="en-US" w:eastAsia="zh-CN"/>
                    </w:rPr>
                    <w:t>65</w:t>
                  </w:r>
                </w:p>
              </w:tc>
            </w:tr>
            <w:tr w14:paraId="206E8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2C095ED3">
                  <w:pPr>
                    <w:adjustRightInd w:val="0"/>
                    <w:snapToGrid w:val="0"/>
                    <w:jc w:val="center"/>
                    <w:rPr>
                      <w:color w:val="auto"/>
                      <w:szCs w:val="21"/>
                    </w:rPr>
                  </w:pPr>
                </w:p>
              </w:tc>
              <w:tc>
                <w:tcPr>
                  <w:tcW w:w="778" w:type="pct"/>
                  <w:shd w:val="clear" w:color="auto" w:fill="auto"/>
                  <w:vAlign w:val="center"/>
                </w:tcPr>
                <w:p w14:paraId="158AA20A">
                  <w:pPr>
                    <w:jc w:val="center"/>
                    <w:rPr>
                      <w:color w:val="auto"/>
                    </w:rPr>
                  </w:pPr>
                  <w:r>
                    <w:rPr>
                      <w:rFonts w:hint="eastAsia"/>
                      <w:color w:val="auto"/>
                    </w:rPr>
                    <w:t>SS</w:t>
                  </w:r>
                </w:p>
              </w:tc>
              <w:tc>
                <w:tcPr>
                  <w:tcW w:w="408" w:type="pct"/>
                  <w:shd w:val="clear" w:color="auto" w:fill="auto"/>
                  <w:vAlign w:val="center"/>
                </w:tcPr>
                <w:p w14:paraId="75654F39">
                  <w:pPr>
                    <w:jc w:val="center"/>
                    <w:rPr>
                      <w:color w:val="auto"/>
                      <w:szCs w:val="21"/>
                    </w:rPr>
                  </w:pPr>
                  <w:r>
                    <w:rPr>
                      <w:color w:val="auto"/>
                      <w:szCs w:val="21"/>
                    </w:rPr>
                    <w:t>t/a</w:t>
                  </w:r>
                </w:p>
              </w:tc>
              <w:tc>
                <w:tcPr>
                  <w:tcW w:w="591" w:type="pct"/>
                  <w:shd w:val="clear" w:color="auto" w:fill="auto"/>
                  <w:vAlign w:val="center"/>
                </w:tcPr>
                <w:p w14:paraId="27241C38">
                  <w:pPr>
                    <w:jc w:val="center"/>
                    <w:rPr>
                      <w:rFonts w:cs="宋体"/>
                      <w:snapToGrid w:val="0"/>
                      <w:color w:val="auto"/>
                      <w:kern w:val="21"/>
                      <w:szCs w:val="21"/>
                    </w:rPr>
                  </w:pPr>
                  <w:r>
                    <w:rPr>
                      <w:rFonts w:hint="eastAsia"/>
                      <w:color w:val="auto"/>
                    </w:rPr>
                    <w:t>114.006</w:t>
                  </w:r>
                </w:p>
              </w:tc>
              <w:tc>
                <w:tcPr>
                  <w:tcW w:w="1080" w:type="dxa"/>
                  <w:shd w:val="clear" w:color="auto" w:fill="auto"/>
                  <w:vAlign w:val="center"/>
                </w:tcPr>
                <w:p w14:paraId="6E2ACA0A">
                  <w:pPr>
                    <w:pStyle w:val="50"/>
                    <w:spacing w:beforeLines="0" w:afterLines="0" w:line="240" w:lineRule="auto"/>
                    <w:rPr>
                      <w:rFonts w:hint="default" w:ascii="Times New Roman" w:eastAsia="宋体" w:cs="宋体"/>
                      <w:snapToGrid w:val="0"/>
                      <w:color w:val="auto"/>
                      <w:kern w:val="21"/>
                      <w:szCs w:val="21"/>
                      <w:lang w:val="en-US" w:eastAsia="zh-CN"/>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659</w:t>
                  </w:r>
                </w:p>
              </w:tc>
              <w:tc>
                <w:tcPr>
                  <w:tcW w:w="812" w:type="pct"/>
                  <w:shd w:val="clear" w:color="auto" w:fill="auto"/>
                  <w:vAlign w:val="center"/>
                </w:tcPr>
                <w:p w14:paraId="411B436D">
                  <w:pPr>
                    <w:jc w:val="center"/>
                    <w:rPr>
                      <w:color w:val="auto"/>
                      <w:szCs w:val="21"/>
                    </w:rPr>
                  </w:pPr>
                  <w:r>
                    <w:rPr>
                      <w:rFonts w:hint="eastAsia"/>
                      <w:color w:val="auto"/>
                      <w:szCs w:val="21"/>
                    </w:rPr>
                    <w:t>0</w:t>
                  </w:r>
                </w:p>
              </w:tc>
              <w:tc>
                <w:tcPr>
                  <w:tcW w:w="677" w:type="pct"/>
                  <w:shd w:val="clear" w:color="auto" w:fill="auto"/>
                  <w:vAlign w:val="center"/>
                </w:tcPr>
                <w:p w14:paraId="28A94863">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114.047</w:t>
                  </w:r>
                </w:p>
              </w:tc>
              <w:tc>
                <w:tcPr>
                  <w:tcW w:w="1108" w:type="dxa"/>
                  <w:shd w:val="clear" w:color="auto" w:fill="auto"/>
                  <w:vAlign w:val="center"/>
                </w:tcPr>
                <w:p w14:paraId="3130B405">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659</w:t>
                  </w:r>
                </w:p>
              </w:tc>
            </w:tr>
            <w:tr w14:paraId="26B0F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00964CB1">
                  <w:pPr>
                    <w:adjustRightInd w:val="0"/>
                    <w:snapToGrid w:val="0"/>
                    <w:jc w:val="center"/>
                    <w:rPr>
                      <w:color w:val="auto"/>
                      <w:szCs w:val="21"/>
                    </w:rPr>
                  </w:pPr>
                </w:p>
              </w:tc>
              <w:tc>
                <w:tcPr>
                  <w:tcW w:w="778" w:type="pct"/>
                  <w:shd w:val="clear" w:color="auto" w:fill="auto"/>
                  <w:vAlign w:val="center"/>
                </w:tcPr>
                <w:p w14:paraId="6949AEB2">
                  <w:pPr>
                    <w:jc w:val="center"/>
                    <w:rPr>
                      <w:color w:val="auto"/>
                    </w:rPr>
                  </w:pPr>
                  <w:r>
                    <w:rPr>
                      <w:rFonts w:hint="eastAsia"/>
                      <w:color w:val="auto"/>
                    </w:rPr>
                    <w:t>石油类</w:t>
                  </w:r>
                </w:p>
              </w:tc>
              <w:tc>
                <w:tcPr>
                  <w:tcW w:w="408" w:type="pct"/>
                  <w:shd w:val="clear" w:color="auto" w:fill="auto"/>
                  <w:vAlign w:val="center"/>
                </w:tcPr>
                <w:p w14:paraId="7850AB35">
                  <w:pPr>
                    <w:jc w:val="center"/>
                    <w:rPr>
                      <w:color w:val="auto"/>
                      <w:szCs w:val="21"/>
                    </w:rPr>
                  </w:pPr>
                  <w:r>
                    <w:rPr>
                      <w:color w:val="auto"/>
                      <w:szCs w:val="21"/>
                    </w:rPr>
                    <w:t>t/a</w:t>
                  </w:r>
                </w:p>
              </w:tc>
              <w:tc>
                <w:tcPr>
                  <w:tcW w:w="591" w:type="pct"/>
                  <w:shd w:val="clear" w:color="auto" w:fill="auto"/>
                  <w:vAlign w:val="center"/>
                </w:tcPr>
                <w:p w14:paraId="027C0F11">
                  <w:pPr>
                    <w:jc w:val="center"/>
                    <w:rPr>
                      <w:rFonts w:cs="宋体"/>
                      <w:snapToGrid w:val="0"/>
                      <w:color w:val="auto"/>
                      <w:kern w:val="21"/>
                      <w:szCs w:val="21"/>
                    </w:rPr>
                  </w:pPr>
                  <w:r>
                    <w:rPr>
                      <w:rFonts w:hint="eastAsia"/>
                      <w:color w:val="auto"/>
                    </w:rPr>
                    <w:t>1.538</w:t>
                  </w:r>
                </w:p>
              </w:tc>
              <w:tc>
                <w:tcPr>
                  <w:tcW w:w="1080" w:type="dxa"/>
                  <w:shd w:val="clear" w:color="auto" w:fill="auto"/>
                  <w:vAlign w:val="center"/>
                </w:tcPr>
                <w:p w14:paraId="2D3F550A">
                  <w:pPr>
                    <w:pStyle w:val="50"/>
                    <w:spacing w:beforeLines="0" w:afterLines="0" w:line="240" w:lineRule="auto"/>
                    <w:rPr>
                      <w:rFonts w:hint="eastAsia" w:ascii="Times New Roman" w:eastAsia="宋体" w:cs="宋体"/>
                      <w:snapToGrid w:val="0"/>
                      <w:color w:val="auto"/>
                      <w:kern w:val="21"/>
                      <w:szCs w:val="21"/>
                      <w:lang w:val="en-US" w:eastAsia="zh-CN"/>
                    </w:rPr>
                  </w:pPr>
                  <w:r>
                    <w:rPr>
                      <w:rFonts w:hint="eastAsia" w:ascii="Times New Roman" w:cs="宋体"/>
                      <w:snapToGrid w:val="0"/>
                      <w:color w:val="auto"/>
                      <w:kern w:val="21"/>
                      <w:szCs w:val="21"/>
                    </w:rPr>
                    <w:t>0.000</w:t>
                  </w:r>
                  <w:r>
                    <w:rPr>
                      <w:rFonts w:hint="eastAsia" w:ascii="Times New Roman" w:cs="宋体"/>
                      <w:snapToGrid w:val="0"/>
                      <w:color w:val="auto"/>
                      <w:kern w:val="21"/>
                      <w:szCs w:val="21"/>
                      <w:lang w:val="en-US" w:eastAsia="zh-CN"/>
                    </w:rPr>
                    <w:t>2</w:t>
                  </w:r>
                </w:p>
              </w:tc>
              <w:tc>
                <w:tcPr>
                  <w:tcW w:w="812" w:type="pct"/>
                  <w:shd w:val="clear" w:color="auto" w:fill="auto"/>
                  <w:vAlign w:val="center"/>
                </w:tcPr>
                <w:p w14:paraId="05B85A14">
                  <w:pPr>
                    <w:jc w:val="center"/>
                    <w:rPr>
                      <w:color w:val="auto"/>
                      <w:szCs w:val="21"/>
                    </w:rPr>
                  </w:pPr>
                  <w:r>
                    <w:rPr>
                      <w:rFonts w:hint="eastAsia"/>
                      <w:color w:val="auto"/>
                      <w:szCs w:val="21"/>
                    </w:rPr>
                    <w:t>0</w:t>
                  </w:r>
                </w:p>
              </w:tc>
              <w:tc>
                <w:tcPr>
                  <w:tcW w:w="677" w:type="pct"/>
                  <w:shd w:val="clear" w:color="auto" w:fill="auto"/>
                  <w:vAlign w:val="center"/>
                </w:tcPr>
                <w:p w14:paraId="48776960">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1.5384</w:t>
                  </w:r>
                </w:p>
              </w:tc>
              <w:tc>
                <w:tcPr>
                  <w:tcW w:w="1108" w:type="dxa"/>
                  <w:shd w:val="clear" w:color="auto" w:fill="auto"/>
                  <w:vAlign w:val="center"/>
                </w:tcPr>
                <w:p w14:paraId="5902BBE8">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0.000</w:t>
                  </w:r>
                  <w:r>
                    <w:rPr>
                      <w:rFonts w:hint="eastAsia" w:ascii="Times New Roman" w:cs="宋体"/>
                      <w:snapToGrid w:val="0"/>
                      <w:color w:val="auto"/>
                      <w:kern w:val="21"/>
                      <w:szCs w:val="21"/>
                      <w:lang w:val="en-US" w:eastAsia="zh-CN"/>
                    </w:rPr>
                    <w:t>2</w:t>
                  </w:r>
                </w:p>
              </w:tc>
            </w:tr>
            <w:tr w14:paraId="6A365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78C1A9E">
                  <w:pPr>
                    <w:adjustRightInd w:val="0"/>
                    <w:snapToGrid w:val="0"/>
                    <w:jc w:val="center"/>
                    <w:rPr>
                      <w:color w:val="auto"/>
                      <w:szCs w:val="21"/>
                    </w:rPr>
                  </w:pPr>
                </w:p>
              </w:tc>
              <w:tc>
                <w:tcPr>
                  <w:tcW w:w="778" w:type="pct"/>
                  <w:shd w:val="clear" w:color="auto" w:fill="auto"/>
                  <w:vAlign w:val="center"/>
                </w:tcPr>
                <w:p w14:paraId="24FA34A0">
                  <w:pPr>
                    <w:jc w:val="center"/>
                    <w:rPr>
                      <w:color w:val="auto"/>
                    </w:rPr>
                  </w:pPr>
                  <w:r>
                    <w:rPr>
                      <w:rFonts w:hint="eastAsia"/>
                      <w:color w:val="auto"/>
                    </w:rPr>
                    <w:t>总锌</w:t>
                  </w:r>
                </w:p>
              </w:tc>
              <w:tc>
                <w:tcPr>
                  <w:tcW w:w="408" w:type="pct"/>
                  <w:shd w:val="clear" w:color="auto" w:fill="auto"/>
                  <w:vAlign w:val="center"/>
                </w:tcPr>
                <w:p w14:paraId="12B7FC5C">
                  <w:pPr>
                    <w:jc w:val="center"/>
                    <w:rPr>
                      <w:color w:val="auto"/>
                      <w:szCs w:val="21"/>
                    </w:rPr>
                  </w:pPr>
                  <w:r>
                    <w:rPr>
                      <w:color w:val="auto"/>
                      <w:szCs w:val="21"/>
                    </w:rPr>
                    <w:t>t/a</w:t>
                  </w:r>
                </w:p>
              </w:tc>
              <w:tc>
                <w:tcPr>
                  <w:tcW w:w="591" w:type="pct"/>
                  <w:shd w:val="clear" w:color="auto" w:fill="auto"/>
                  <w:vAlign w:val="center"/>
                </w:tcPr>
                <w:p w14:paraId="2443A5E1">
                  <w:pPr>
                    <w:jc w:val="center"/>
                    <w:rPr>
                      <w:rFonts w:cs="宋体"/>
                      <w:snapToGrid w:val="0"/>
                      <w:color w:val="auto"/>
                      <w:kern w:val="21"/>
                      <w:szCs w:val="21"/>
                    </w:rPr>
                  </w:pPr>
                  <w:r>
                    <w:rPr>
                      <w:rFonts w:hint="eastAsia"/>
                      <w:color w:val="auto"/>
                    </w:rPr>
                    <w:t>0.752</w:t>
                  </w:r>
                </w:p>
              </w:tc>
              <w:tc>
                <w:tcPr>
                  <w:tcW w:w="1080" w:type="dxa"/>
                  <w:shd w:val="clear" w:color="auto" w:fill="auto"/>
                  <w:vAlign w:val="center"/>
                </w:tcPr>
                <w:p w14:paraId="3047937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shd w:val="clear" w:color="auto" w:fill="auto"/>
                  <w:vAlign w:val="center"/>
                </w:tcPr>
                <w:p w14:paraId="2DA03755">
                  <w:pPr>
                    <w:jc w:val="center"/>
                    <w:rPr>
                      <w:color w:val="auto"/>
                      <w:szCs w:val="21"/>
                    </w:rPr>
                  </w:pPr>
                  <w:r>
                    <w:rPr>
                      <w:rFonts w:hint="eastAsia"/>
                      <w:color w:val="auto"/>
                      <w:szCs w:val="21"/>
                    </w:rPr>
                    <w:t>0</w:t>
                  </w:r>
                </w:p>
              </w:tc>
              <w:tc>
                <w:tcPr>
                  <w:tcW w:w="677" w:type="pct"/>
                  <w:shd w:val="clear" w:color="auto" w:fill="auto"/>
                  <w:vAlign w:val="center"/>
                </w:tcPr>
                <w:p w14:paraId="58164B4E">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0.752</w:t>
                  </w:r>
                </w:p>
              </w:tc>
              <w:tc>
                <w:tcPr>
                  <w:tcW w:w="1108" w:type="dxa"/>
                  <w:shd w:val="clear" w:color="auto" w:fill="auto"/>
                  <w:vAlign w:val="center"/>
                </w:tcPr>
                <w:p w14:paraId="3F8D436C">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73EDA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0DFB3DF2">
                  <w:pPr>
                    <w:adjustRightInd w:val="0"/>
                    <w:snapToGrid w:val="0"/>
                    <w:jc w:val="center"/>
                    <w:rPr>
                      <w:color w:val="auto"/>
                      <w:szCs w:val="21"/>
                    </w:rPr>
                  </w:pPr>
                </w:p>
              </w:tc>
              <w:tc>
                <w:tcPr>
                  <w:tcW w:w="778" w:type="pct"/>
                  <w:shd w:val="clear" w:color="auto" w:fill="auto"/>
                  <w:vAlign w:val="center"/>
                </w:tcPr>
                <w:p w14:paraId="5414D0DE">
                  <w:pPr>
                    <w:jc w:val="center"/>
                    <w:rPr>
                      <w:color w:val="auto"/>
                    </w:rPr>
                  </w:pPr>
                  <w:r>
                    <w:rPr>
                      <w:rFonts w:hint="eastAsia"/>
                      <w:color w:val="auto"/>
                    </w:rPr>
                    <w:t>总镍</w:t>
                  </w:r>
                </w:p>
              </w:tc>
              <w:tc>
                <w:tcPr>
                  <w:tcW w:w="408" w:type="pct"/>
                  <w:shd w:val="clear" w:color="auto" w:fill="auto"/>
                  <w:vAlign w:val="center"/>
                </w:tcPr>
                <w:p w14:paraId="0BB00D46">
                  <w:pPr>
                    <w:jc w:val="center"/>
                    <w:rPr>
                      <w:color w:val="auto"/>
                      <w:szCs w:val="21"/>
                    </w:rPr>
                  </w:pPr>
                  <w:r>
                    <w:rPr>
                      <w:color w:val="auto"/>
                      <w:szCs w:val="21"/>
                    </w:rPr>
                    <w:t>t/a</w:t>
                  </w:r>
                </w:p>
              </w:tc>
              <w:tc>
                <w:tcPr>
                  <w:tcW w:w="591" w:type="pct"/>
                  <w:shd w:val="clear" w:color="auto" w:fill="auto"/>
                  <w:vAlign w:val="center"/>
                </w:tcPr>
                <w:p w14:paraId="53B52659">
                  <w:pPr>
                    <w:jc w:val="center"/>
                    <w:rPr>
                      <w:rFonts w:cs="宋体"/>
                      <w:snapToGrid w:val="0"/>
                      <w:color w:val="auto"/>
                      <w:kern w:val="21"/>
                      <w:szCs w:val="21"/>
                    </w:rPr>
                  </w:pPr>
                  <w:r>
                    <w:rPr>
                      <w:rFonts w:hint="eastAsia"/>
                      <w:color w:val="auto"/>
                    </w:rPr>
                    <w:t>0.028</w:t>
                  </w:r>
                </w:p>
              </w:tc>
              <w:tc>
                <w:tcPr>
                  <w:tcW w:w="1080" w:type="dxa"/>
                  <w:shd w:val="clear" w:color="auto" w:fill="auto"/>
                  <w:vAlign w:val="center"/>
                </w:tcPr>
                <w:p w14:paraId="0AADED7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5A0F03E1">
                  <w:pPr>
                    <w:jc w:val="center"/>
                    <w:rPr>
                      <w:color w:val="auto"/>
                      <w:szCs w:val="21"/>
                    </w:rPr>
                  </w:pPr>
                  <w:r>
                    <w:rPr>
                      <w:rFonts w:hint="eastAsia"/>
                      <w:color w:val="auto"/>
                      <w:szCs w:val="21"/>
                    </w:rPr>
                    <w:t>0</w:t>
                  </w:r>
                </w:p>
              </w:tc>
              <w:tc>
                <w:tcPr>
                  <w:tcW w:w="677" w:type="pct"/>
                  <w:shd w:val="clear" w:color="auto" w:fill="auto"/>
                  <w:vAlign w:val="center"/>
                </w:tcPr>
                <w:p w14:paraId="12529523">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1108" w:type="dxa"/>
                  <w:shd w:val="clear" w:color="auto" w:fill="auto"/>
                  <w:vAlign w:val="center"/>
                </w:tcPr>
                <w:p w14:paraId="0DC48D52">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0687A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4C3621FF">
                  <w:pPr>
                    <w:adjustRightInd w:val="0"/>
                    <w:snapToGrid w:val="0"/>
                    <w:jc w:val="center"/>
                    <w:rPr>
                      <w:color w:val="auto"/>
                      <w:szCs w:val="21"/>
                    </w:rPr>
                  </w:pPr>
                </w:p>
              </w:tc>
              <w:tc>
                <w:tcPr>
                  <w:tcW w:w="778" w:type="pct"/>
                  <w:shd w:val="clear" w:color="auto" w:fill="auto"/>
                  <w:vAlign w:val="center"/>
                </w:tcPr>
                <w:p w14:paraId="0A33E9B0">
                  <w:pPr>
                    <w:jc w:val="center"/>
                    <w:rPr>
                      <w:color w:val="auto"/>
                    </w:rPr>
                  </w:pPr>
                  <w:r>
                    <w:rPr>
                      <w:rFonts w:hint="eastAsia"/>
                      <w:color w:val="auto"/>
                    </w:rPr>
                    <w:t>总铜</w:t>
                  </w:r>
                </w:p>
              </w:tc>
              <w:tc>
                <w:tcPr>
                  <w:tcW w:w="408" w:type="pct"/>
                  <w:shd w:val="clear" w:color="auto" w:fill="auto"/>
                  <w:vAlign w:val="center"/>
                </w:tcPr>
                <w:p w14:paraId="3EF67A04">
                  <w:pPr>
                    <w:jc w:val="center"/>
                    <w:rPr>
                      <w:color w:val="auto"/>
                      <w:szCs w:val="21"/>
                    </w:rPr>
                  </w:pPr>
                  <w:r>
                    <w:rPr>
                      <w:color w:val="auto"/>
                      <w:szCs w:val="21"/>
                    </w:rPr>
                    <w:t>t/a</w:t>
                  </w:r>
                </w:p>
              </w:tc>
              <w:tc>
                <w:tcPr>
                  <w:tcW w:w="591" w:type="pct"/>
                  <w:shd w:val="clear" w:color="auto" w:fill="auto"/>
                  <w:vAlign w:val="center"/>
                </w:tcPr>
                <w:p w14:paraId="58757402">
                  <w:pPr>
                    <w:jc w:val="center"/>
                    <w:rPr>
                      <w:rFonts w:cs="宋体"/>
                      <w:snapToGrid w:val="0"/>
                      <w:color w:val="auto"/>
                      <w:kern w:val="21"/>
                      <w:szCs w:val="21"/>
                    </w:rPr>
                  </w:pPr>
                  <w:r>
                    <w:rPr>
                      <w:rFonts w:hint="eastAsia"/>
                      <w:color w:val="auto"/>
                    </w:rPr>
                    <w:t>0.28</w:t>
                  </w:r>
                </w:p>
              </w:tc>
              <w:tc>
                <w:tcPr>
                  <w:tcW w:w="1080" w:type="dxa"/>
                  <w:shd w:val="clear" w:color="auto" w:fill="auto"/>
                  <w:vAlign w:val="center"/>
                </w:tcPr>
                <w:p w14:paraId="2BDFA7D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4554B6E7">
                  <w:pPr>
                    <w:jc w:val="center"/>
                    <w:rPr>
                      <w:color w:val="auto"/>
                      <w:szCs w:val="21"/>
                    </w:rPr>
                  </w:pPr>
                  <w:r>
                    <w:rPr>
                      <w:rFonts w:hint="eastAsia"/>
                      <w:color w:val="auto"/>
                      <w:szCs w:val="21"/>
                    </w:rPr>
                    <w:t>0</w:t>
                  </w:r>
                </w:p>
              </w:tc>
              <w:tc>
                <w:tcPr>
                  <w:tcW w:w="677" w:type="pct"/>
                  <w:shd w:val="clear" w:color="auto" w:fill="auto"/>
                  <w:vAlign w:val="center"/>
                </w:tcPr>
                <w:p w14:paraId="34BBF327">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108" w:type="dxa"/>
                  <w:shd w:val="clear" w:color="auto" w:fill="auto"/>
                  <w:vAlign w:val="center"/>
                </w:tcPr>
                <w:p w14:paraId="2E86113E">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75E90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0780991F">
                  <w:pPr>
                    <w:adjustRightInd w:val="0"/>
                    <w:snapToGrid w:val="0"/>
                    <w:jc w:val="center"/>
                    <w:rPr>
                      <w:color w:val="auto"/>
                      <w:szCs w:val="21"/>
                    </w:rPr>
                  </w:pPr>
                </w:p>
              </w:tc>
              <w:tc>
                <w:tcPr>
                  <w:tcW w:w="778" w:type="pct"/>
                  <w:shd w:val="clear" w:color="auto" w:fill="auto"/>
                  <w:vAlign w:val="center"/>
                </w:tcPr>
                <w:p w14:paraId="68240895">
                  <w:pPr>
                    <w:jc w:val="center"/>
                    <w:rPr>
                      <w:color w:val="auto"/>
                    </w:rPr>
                  </w:pPr>
                  <w:r>
                    <w:rPr>
                      <w:rFonts w:hint="eastAsia"/>
                      <w:color w:val="auto"/>
                    </w:rPr>
                    <w:t>总铬</w:t>
                  </w:r>
                </w:p>
              </w:tc>
              <w:tc>
                <w:tcPr>
                  <w:tcW w:w="408" w:type="pct"/>
                  <w:vAlign w:val="center"/>
                </w:tcPr>
                <w:p w14:paraId="617A321C">
                  <w:pPr>
                    <w:jc w:val="center"/>
                    <w:rPr>
                      <w:color w:val="auto"/>
                      <w:szCs w:val="21"/>
                    </w:rPr>
                  </w:pPr>
                  <w:r>
                    <w:rPr>
                      <w:color w:val="auto"/>
                      <w:szCs w:val="21"/>
                    </w:rPr>
                    <w:t>t/a</w:t>
                  </w:r>
                </w:p>
              </w:tc>
              <w:tc>
                <w:tcPr>
                  <w:tcW w:w="591" w:type="pct"/>
                  <w:shd w:val="clear" w:color="auto" w:fill="auto"/>
                  <w:vAlign w:val="center"/>
                </w:tcPr>
                <w:p w14:paraId="7ECBCAD6">
                  <w:pPr>
                    <w:jc w:val="center"/>
                    <w:rPr>
                      <w:rFonts w:cs="宋体"/>
                      <w:snapToGrid w:val="0"/>
                      <w:color w:val="auto"/>
                      <w:kern w:val="21"/>
                      <w:szCs w:val="21"/>
                    </w:rPr>
                  </w:pPr>
                  <w:r>
                    <w:rPr>
                      <w:rFonts w:hint="eastAsia"/>
                      <w:color w:val="auto"/>
                    </w:rPr>
                    <w:t>0.0201</w:t>
                  </w:r>
                </w:p>
              </w:tc>
              <w:tc>
                <w:tcPr>
                  <w:tcW w:w="1080" w:type="dxa"/>
                  <w:shd w:val="clear" w:color="auto" w:fill="auto"/>
                  <w:vAlign w:val="center"/>
                </w:tcPr>
                <w:p w14:paraId="114CCA9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50ACF506">
                  <w:pPr>
                    <w:jc w:val="center"/>
                    <w:rPr>
                      <w:color w:val="auto"/>
                      <w:szCs w:val="21"/>
                    </w:rPr>
                  </w:pPr>
                  <w:r>
                    <w:rPr>
                      <w:rFonts w:hint="eastAsia"/>
                      <w:color w:val="auto"/>
                      <w:szCs w:val="21"/>
                    </w:rPr>
                    <w:t>0</w:t>
                  </w:r>
                </w:p>
              </w:tc>
              <w:tc>
                <w:tcPr>
                  <w:tcW w:w="677" w:type="pct"/>
                  <w:shd w:val="clear" w:color="auto" w:fill="auto"/>
                  <w:vAlign w:val="center"/>
                </w:tcPr>
                <w:p w14:paraId="7432CCDC">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0.0201</w:t>
                  </w:r>
                </w:p>
              </w:tc>
              <w:tc>
                <w:tcPr>
                  <w:tcW w:w="1108" w:type="dxa"/>
                  <w:shd w:val="clear" w:color="auto" w:fill="auto"/>
                  <w:vAlign w:val="center"/>
                </w:tcPr>
                <w:p w14:paraId="2D99FA2B">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4ED0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39BDC45">
                  <w:pPr>
                    <w:adjustRightInd w:val="0"/>
                    <w:snapToGrid w:val="0"/>
                    <w:jc w:val="center"/>
                    <w:rPr>
                      <w:color w:val="auto"/>
                      <w:szCs w:val="21"/>
                    </w:rPr>
                  </w:pPr>
                </w:p>
              </w:tc>
              <w:tc>
                <w:tcPr>
                  <w:tcW w:w="778" w:type="pct"/>
                  <w:shd w:val="clear" w:color="auto" w:fill="auto"/>
                  <w:vAlign w:val="center"/>
                </w:tcPr>
                <w:p w14:paraId="0719F8A2">
                  <w:pPr>
                    <w:jc w:val="center"/>
                    <w:rPr>
                      <w:color w:val="auto"/>
                    </w:rPr>
                  </w:pPr>
                  <w:r>
                    <w:rPr>
                      <w:rFonts w:hint="eastAsia"/>
                      <w:color w:val="auto"/>
                    </w:rPr>
                    <w:t>LAS</w:t>
                  </w:r>
                </w:p>
              </w:tc>
              <w:tc>
                <w:tcPr>
                  <w:tcW w:w="408" w:type="pct"/>
                  <w:vAlign w:val="center"/>
                </w:tcPr>
                <w:p w14:paraId="5AFE38C0">
                  <w:pPr>
                    <w:jc w:val="center"/>
                    <w:rPr>
                      <w:color w:val="auto"/>
                      <w:szCs w:val="21"/>
                    </w:rPr>
                  </w:pPr>
                  <w:r>
                    <w:rPr>
                      <w:color w:val="auto"/>
                      <w:szCs w:val="21"/>
                    </w:rPr>
                    <w:t>t/a</w:t>
                  </w:r>
                </w:p>
              </w:tc>
              <w:tc>
                <w:tcPr>
                  <w:tcW w:w="591" w:type="pct"/>
                  <w:shd w:val="clear" w:color="auto" w:fill="auto"/>
                  <w:vAlign w:val="center"/>
                </w:tcPr>
                <w:p w14:paraId="03EF7D3B">
                  <w:pPr>
                    <w:jc w:val="center"/>
                    <w:rPr>
                      <w:rFonts w:cs="宋体"/>
                      <w:snapToGrid w:val="0"/>
                      <w:color w:val="auto"/>
                      <w:kern w:val="21"/>
                      <w:szCs w:val="21"/>
                    </w:rPr>
                  </w:pPr>
                  <w:r>
                    <w:rPr>
                      <w:rFonts w:hint="eastAsia"/>
                      <w:color w:val="auto"/>
                    </w:rPr>
                    <w:t>6.025</w:t>
                  </w:r>
                </w:p>
              </w:tc>
              <w:tc>
                <w:tcPr>
                  <w:tcW w:w="1080" w:type="dxa"/>
                  <w:shd w:val="clear" w:color="auto" w:fill="auto"/>
                  <w:vAlign w:val="center"/>
                </w:tcPr>
                <w:p w14:paraId="585C4100">
                  <w:pPr>
                    <w:pStyle w:val="50"/>
                    <w:spacing w:beforeLines="0" w:afterLines="0" w:line="240" w:lineRule="auto"/>
                    <w:rPr>
                      <w:rFonts w:hint="default" w:ascii="Times New Roman" w:eastAsia="宋体" w:cs="宋体"/>
                      <w:snapToGrid w:val="0"/>
                      <w:color w:val="auto"/>
                      <w:kern w:val="21"/>
                      <w:szCs w:val="21"/>
                      <w:lang w:val="en-US" w:eastAsia="zh-CN"/>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.006</w:t>
                  </w:r>
                </w:p>
              </w:tc>
              <w:tc>
                <w:tcPr>
                  <w:tcW w:w="812" w:type="pct"/>
                  <w:vAlign w:val="center"/>
                </w:tcPr>
                <w:p w14:paraId="00E2072E">
                  <w:pPr>
                    <w:jc w:val="center"/>
                    <w:rPr>
                      <w:color w:val="auto"/>
                      <w:szCs w:val="21"/>
                    </w:rPr>
                  </w:pPr>
                  <w:r>
                    <w:rPr>
                      <w:rFonts w:hint="eastAsia"/>
                      <w:color w:val="auto"/>
                      <w:szCs w:val="21"/>
                    </w:rPr>
                    <w:t>0</w:t>
                  </w:r>
                </w:p>
              </w:tc>
              <w:tc>
                <w:tcPr>
                  <w:tcW w:w="677" w:type="pct"/>
                  <w:shd w:val="clear" w:color="auto" w:fill="auto"/>
                  <w:vAlign w:val="center"/>
                </w:tcPr>
                <w:p w14:paraId="29288D08">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6.0252</w:t>
                  </w:r>
                </w:p>
              </w:tc>
              <w:tc>
                <w:tcPr>
                  <w:tcW w:w="1108" w:type="dxa"/>
                  <w:shd w:val="clear" w:color="auto" w:fill="auto"/>
                  <w:vAlign w:val="center"/>
                </w:tcPr>
                <w:p w14:paraId="5D49EB03">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.006</w:t>
                  </w:r>
                </w:p>
              </w:tc>
            </w:tr>
            <w:tr w14:paraId="5B130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2DFA7D07">
                  <w:pPr>
                    <w:adjustRightInd w:val="0"/>
                    <w:snapToGrid w:val="0"/>
                    <w:jc w:val="center"/>
                    <w:rPr>
                      <w:color w:val="auto"/>
                      <w:szCs w:val="21"/>
                    </w:rPr>
                  </w:pPr>
                </w:p>
              </w:tc>
              <w:tc>
                <w:tcPr>
                  <w:tcW w:w="778" w:type="pct"/>
                  <w:shd w:val="clear" w:color="auto" w:fill="auto"/>
                  <w:vAlign w:val="center"/>
                </w:tcPr>
                <w:p w14:paraId="3CBDA3BC">
                  <w:pPr>
                    <w:jc w:val="center"/>
                    <w:rPr>
                      <w:color w:val="auto"/>
                    </w:rPr>
                  </w:pPr>
                  <w:r>
                    <w:rPr>
                      <w:rFonts w:hint="eastAsia"/>
                      <w:color w:val="auto"/>
                    </w:rPr>
                    <w:t>总锡</w:t>
                  </w:r>
                </w:p>
              </w:tc>
              <w:tc>
                <w:tcPr>
                  <w:tcW w:w="408" w:type="pct"/>
                  <w:vAlign w:val="center"/>
                </w:tcPr>
                <w:p w14:paraId="18B630D0">
                  <w:pPr>
                    <w:jc w:val="center"/>
                    <w:rPr>
                      <w:color w:val="auto"/>
                      <w:szCs w:val="21"/>
                    </w:rPr>
                  </w:pPr>
                  <w:r>
                    <w:rPr>
                      <w:color w:val="auto"/>
                      <w:szCs w:val="21"/>
                    </w:rPr>
                    <w:t>t/a</w:t>
                  </w:r>
                </w:p>
              </w:tc>
              <w:tc>
                <w:tcPr>
                  <w:tcW w:w="591" w:type="pct"/>
                  <w:shd w:val="clear" w:color="auto" w:fill="auto"/>
                  <w:vAlign w:val="center"/>
                </w:tcPr>
                <w:p w14:paraId="54376E59">
                  <w:pPr>
                    <w:jc w:val="center"/>
                    <w:rPr>
                      <w:rFonts w:cs="宋体"/>
                      <w:snapToGrid w:val="0"/>
                      <w:color w:val="auto"/>
                      <w:kern w:val="21"/>
                      <w:szCs w:val="21"/>
                    </w:rPr>
                  </w:pPr>
                  <w:r>
                    <w:rPr>
                      <w:rFonts w:hint="eastAsia"/>
                      <w:color w:val="auto"/>
                    </w:rPr>
                    <w:t>0.198</w:t>
                  </w:r>
                </w:p>
              </w:tc>
              <w:tc>
                <w:tcPr>
                  <w:tcW w:w="1080" w:type="dxa"/>
                  <w:shd w:val="clear" w:color="auto" w:fill="auto"/>
                  <w:vAlign w:val="center"/>
                </w:tcPr>
                <w:p w14:paraId="4C99742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4894C049">
                  <w:pPr>
                    <w:jc w:val="center"/>
                    <w:rPr>
                      <w:color w:val="auto"/>
                      <w:szCs w:val="21"/>
                    </w:rPr>
                  </w:pPr>
                  <w:r>
                    <w:rPr>
                      <w:rFonts w:hint="eastAsia"/>
                      <w:color w:val="auto"/>
                      <w:szCs w:val="21"/>
                    </w:rPr>
                    <w:t>0</w:t>
                  </w:r>
                </w:p>
              </w:tc>
              <w:tc>
                <w:tcPr>
                  <w:tcW w:w="677" w:type="pct"/>
                  <w:shd w:val="clear" w:color="auto" w:fill="auto"/>
                  <w:vAlign w:val="center"/>
                </w:tcPr>
                <w:p w14:paraId="5AEB272C">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0.198</w:t>
                  </w:r>
                </w:p>
              </w:tc>
              <w:tc>
                <w:tcPr>
                  <w:tcW w:w="1108" w:type="dxa"/>
                  <w:shd w:val="clear" w:color="auto" w:fill="auto"/>
                  <w:vAlign w:val="center"/>
                </w:tcPr>
                <w:p w14:paraId="20AAAA8B">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675CE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D0C68F2">
                  <w:pPr>
                    <w:adjustRightInd w:val="0"/>
                    <w:snapToGrid w:val="0"/>
                    <w:jc w:val="center"/>
                    <w:rPr>
                      <w:color w:val="auto"/>
                      <w:szCs w:val="21"/>
                    </w:rPr>
                  </w:pPr>
                </w:p>
              </w:tc>
              <w:tc>
                <w:tcPr>
                  <w:tcW w:w="778" w:type="pct"/>
                  <w:shd w:val="clear" w:color="auto" w:fill="auto"/>
                  <w:vAlign w:val="center"/>
                </w:tcPr>
                <w:p w14:paraId="6DD7D6B2">
                  <w:pPr>
                    <w:jc w:val="center"/>
                    <w:rPr>
                      <w:color w:val="auto"/>
                    </w:rPr>
                  </w:pPr>
                  <w:r>
                    <w:rPr>
                      <w:rFonts w:hint="eastAsia"/>
                      <w:color w:val="auto"/>
                    </w:rPr>
                    <w:t>色度</w:t>
                  </w:r>
                </w:p>
              </w:tc>
              <w:tc>
                <w:tcPr>
                  <w:tcW w:w="408" w:type="pct"/>
                  <w:vAlign w:val="center"/>
                </w:tcPr>
                <w:p w14:paraId="6926F659">
                  <w:pPr>
                    <w:jc w:val="center"/>
                    <w:rPr>
                      <w:color w:val="auto"/>
                      <w:szCs w:val="21"/>
                    </w:rPr>
                  </w:pPr>
                  <w:r>
                    <w:rPr>
                      <w:color w:val="auto"/>
                      <w:szCs w:val="21"/>
                    </w:rPr>
                    <w:t>t/a</w:t>
                  </w:r>
                </w:p>
              </w:tc>
              <w:tc>
                <w:tcPr>
                  <w:tcW w:w="591" w:type="pct"/>
                  <w:shd w:val="clear" w:color="auto" w:fill="auto"/>
                  <w:vAlign w:val="center"/>
                </w:tcPr>
                <w:p w14:paraId="728A2711">
                  <w:pPr>
                    <w:jc w:val="center"/>
                    <w:rPr>
                      <w:rFonts w:cs="宋体"/>
                      <w:snapToGrid w:val="0"/>
                      <w:color w:val="auto"/>
                      <w:kern w:val="21"/>
                      <w:szCs w:val="21"/>
                    </w:rPr>
                  </w:pPr>
                  <w:r>
                    <w:rPr>
                      <w:rFonts w:hint="eastAsia"/>
                      <w:color w:val="auto"/>
                    </w:rPr>
                    <w:t>4.371</w:t>
                  </w:r>
                </w:p>
              </w:tc>
              <w:tc>
                <w:tcPr>
                  <w:tcW w:w="1080" w:type="dxa"/>
                  <w:shd w:val="clear" w:color="auto" w:fill="auto"/>
                  <w:vAlign w:val="center"/>
                </w:tcPr>
                <w:p w14:paraId="3C21D50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6C89BC5D">
                  <w:pPr>
                    <w:jc w:val="center"/>
                    <w:rPr>
                      <w:color w:val="auto"/>
                      <w:szCs w:val="21"/>
                    </w:rPr>
                  </w:pPr>
                  <w:r>
                    <w:rPr>
                      <w:rFonts w:hint="eastAsia"/>
                      <w:color w:val="auto"/>
                      <w:szCs w:val="21"/>
                    </w:rPr>
                    <w:t>0</w:t>
                  </w:r>
                </w:p>
              </w:tc>
              <w:tc>
                <w:tcPr>
                  <w:tcW w:w="677" w:type="pct"/>
                  <w:shd w:val="clear" w:color="auto" w:fill="auto"/>
                  <w:vAlign w:val="center"/>
                </w:tcPr>
                <w:p w14:paraId="48E3DEC4">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4.371</w:t>
                  </w:r>
                </w:p>
              </w:tc>
              <w:tc>
                <w:tcPr>
                  <w:tcW w:w="1108" w:type="dxa"/>
                  <w:shd w:val="clear" w:color="auto" w:fill="auto"/>
                  <w:vAlign w:val="center"/>
                </w:tcPr>
                <w:p w14:paraId="2C24EE61">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3DC46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66C6931">
                  <w:pPr>
                    <w:adjustRightInd w:val="0"/>
                    <w:snapToGrid w:val="0"/>
                    <w:jc w:val="center"/>
                    <w:rPr>
                      <w:color w:val="auto"/>
                      <w:szCs w:val="21"/>
                    </w:rPr>
                  </w:pPr>
                </w:p>
              </w:tc>
              <w:tc>
                <w:tcPr>
                  <w:tcW w:w="778" w:type="pct"/>
                  <w:shd w:val="clear" w:color="auto" w:fill="auto"/>
                  <w:vAlign w:val="center"/>
                </w:tcPr>
                <w:p w14:paraId="2A9A1F2E">
                  <w:pPr>
                    <w:jc w:val="center"/>
                    <w:rPr>
                      <w:color w:val="auto"/>
                    </w:rPr>
                  </w:pPr>
                  <w:r>
                    <w:rPr>
                      <w:rFonts w:hint="eastAsia"/>
                      <w:color w:val="auto"/>
                    </w:rPr>
                    <w:t>总硼</w:t>
                  </w:r>
                </w:p>
              </w:tc>
              <w:tc>
                <w:tcPr>
                  <w:tcW w:w="408" w:type="pct"/>
                  <w:vAlign w:val="center"/>
                </w:tcPr>
                <w:p w14:paraId="0120C100">
                  <w:pPr>
                    <w:jc w:val="center"/>
                    <w:rPr>
                      <w:color w:val="auto"/>
                      <w:szCs w:val="21"/>
                    </w:rPr>
                  </w:pPr>
                  <w:r>
                    <w:rPr>
                      <w:color w:val="auto"/>
                      <w:szCs w:val="21"/>
                    </w:rPr>
                    <w:t>t/a</w:t>
                  </w:r>
                </w:p>
              </w:tc>
              <w:tc>
                <w:tcPr>
                  <w:tcW w:w="591" w:type="pct"/>
                  <w:shd w:val="clear" w:color="auto" w:fill="auto"/>
                  <w:vAlign w:val="center"/>
                </w:tcPr>
                <w:p w14:paraId="4B10B1CC">
                  <w:pPr>
                    <w:jc w:val="center"/>
                    <w:rPr>
                      <w:rFonts w:cs="宋体"/>
                      <w:snapToGrid w:val="0"/>
                      <w:color w:val="auto"/>
                      <w:kern w:val="21"/>
                      <w:szCs w:val="21"/>
                    </w:rPr>
                  </w:pPr>
                  <w:r>
                    <w:rPr>
                      <w:rFonts w:hint="eastAsia"/>
                      <w:color w:val="auto"/>
                    </w:rPr>
                    <w:t>1.66</w:t>
                  </w:r>
                </w:p>
              </w:tc>
              <w:tc>
                <w:tcPr>
                  <w:tcW w:w="1080" w:type="dxa"/>
                  <w:shd w:val="clear" w:color="auto" w:fill="auto"/>
                  <w:vAlign w:val="center"/>
                </w:tcPr>
                <w:p w14:paraId="3CF07F9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812" w:type="pct"/>
                  <w:vAlign w:val="center"/>
                </w:tcPr>
                <w:p w14:paraId="175E814C">
                  <w:pPr>
                    <w:jc w:val="center"/>
                    <w:rPr>
                      <w:color w:val="auto"/>
                      <w:szCs w:val="21"/>
                    </w:rPr>
                  </w:pPr>
                  <w:r>
                    <w:rPr>
                      <w:rFonts w:hint="eastAsia"/>
                      <w:color w:val="auto"/>
                      <w:szCs w:val="21"/>
                    </w:rPr>
                    <w:t>0</w:t>
                  </w:r>
                </w:p>
              </w:tc>
              <w:tc>
                <w:tcPr>
                  <w:tcW w:w="677" w:type="pct"/>
                  <w:shd w:val="clear" w:color="auto" w:fill="auto"/>
                  <w:vAlign w:val="center"/>
                </w:tcPr>
                <w:p w14:paraId="768FADDC">
                  <w:pPr>
                    <w:keepNext w:val="0"/>
                    <w:keepLines w:val="0"/>
                    <w:widowControl/>
                    <w:suppressLineNumbers w:val="0"/>
                    <w:jc w:val="center"/>
                    <w:textAlignment w:val="center"/>
                    <w:rPr>
                      <w:rFonts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1108" w:type="dxa"/>
                  <w:shd w:val="clear" w:color="auto" w:fill="auto"/>
                  <w:vAlign w:val="center"/>
                </w:tcPr>
                <w:p w14:paraId="4065EB66">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r>
            <w:tr w14:paraId="7647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restart"/>
                  <w:vAlign w:val="center"/>
                </w:tcPr>
                <w:p w14:paraId="2EE67096">
                  <w:pPr>
                    <w:adjustRightInd w:val="0"/>
                    <w:snapToGrid w:val="0"/>
                    <w:jc w:val="center"/>
                    <w:rPr>
                      <w:color w:val="auto"/>
                      <w:szCs w:val="21"/>
                    </w:rPr>
                  </w:pPr>
                  <w:r>
                    <w:rPr>
                      <w:color w:val="auto"/>
                      <w:szCs w:val="21"/>
                    </w:rPr>
                    <w:t>固废</w:t>
                  </w:r>
                </w:p>
              </w:tc>
              <w:tc>
                <w:tcPr>
                  <w:tcW w:w="778" w:type="pct"/>
                  <w:shd w:val="clear" w:color="auto" w:fill="auto"/>
                  <w:vAlign w:val="center"/>
                </w:tcPr>
                <w:p w14:paraId="45D57BEA">
                  <w:pPr>
                    <w:pStyle w:val="50"/>
                    <w:topLinePunct/>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69C5D537">
                  <w:pPr>
                    <w:pStyle w:val="59"/>
                    <w:overflowPunct w:val="0"/>
                    <w:topLinePunct/>
                    <w:adjustRightInd w:val="0"/>
                    <w:rPr>
                      <w:rFonts w:ascii="Times New Roman" w:hAnsi="Times New Roman"/>
                      <w:color w:val="auto"/>
                      <w:szCs w:val="21"/>
                    </w:rPr>
                  </w:pPr>
                  <w:r>
                    <w:rPr>
                      <w:rFonts w:ascii="Times New Roman" w:hAnsi="Times New Roman" w:eastAsia="宋体"/>
                      <w:snapToGrid w:val="0"/>
                      <w:color w:val="auto"/>
                      <w:kern w:val="21"/>
                      <w:szCs w:val="21"/>
                    </w:rPr>
                    <w:t>固体废物</w:t>
                  </w:r>
                </w:p>
              </w:tc>
              <w:tc>
                <w:tcPr>
                  <w:tcW w:w="408" w:type="pct"/>
                  <w:shd w:val="clear" w:color="auto" w:fill="auto"/>
                  <w:vAlign w:val="center"/>
                </w:tcPr>
                <w:p w14:paraId="1C8E2140">
                  <w:pPr>
                    <w:adjustRightInd w:val="0"/>
                    <w:snapToGrid w:val="0"/>
                    <w:jc w:val="center"/>
                    <w:rPr>
                      <w:color w:val="auto"/>
                      <w:szCs w:val="21"/>
                    </w:rPr>
                  </w:pPr>
                  <w:r>
                    <w:rPr>
                      <w:color w:val="auto"/>
                      <w:szCs w:val="21"/>
                    </w:rPr>
                    <w:t>t/a</w:t>
                  </w:r>
                </w:p>
              </w:tc>
              <w:tc>
                <w:tcPr>
                  <w:tcW w:w="591" w:type="pct"/>
                  <w:shd w:val="clear" w:color="auto" w:fill="auto"/>
                  <w:vAlign w:val="center"/>
                </w:tcPr>
                <w:p w14:paraId="7462B2C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1935.736</w:t>
                  </w:r>
                </w:p>
              </w:tc>
              <w:tc>
                <w:tcPr>
                  <w:tcW w:w="636" w:type="pct"/>
                  <w:shd w:val="clear" w:color="auto" w:fill="auto"/>
                  <w:vAlign w:val="center"/>
                </w:tcPr>
                <w:p w14:paraId="68D7D53F">
                  <w:pPr>
                    <w:jc w:val="center"/>
                    <w:rPr>
                      <w:rFonts w:hint="default" w:eastAsia="宋体"/>
                      <w:color w:val="auto"/>
                      <w:spacing w:val="6"/>
                      <w:szCs w:val="21"/>
                      <w:lang w:val="en-US" w:eastAsia="zh-CN"/>
                    </w:rPr>
                  </w:pPr>
                  <w:r>
                    <w:rPr>
                      <w:rFonts w:hint="eastAsia"/>
                      <w:color w:val="auto"/>
                      <w:spacing w:val="6"/>
                      <w:szCs w:val="21"/>
                      <w:lang w:val="en-US" w:eastAsia="zh-CN"/>
                    </w:rPr>
                    <w:t>794.8</w:t>
                  </w:r>
                </w:p>
              </w:tc>
              <w:tc>
                <w:tcPr>
                  <w:tcW w:w="812" w:type="pct"/>
                  <w:shd w:val="clear" w:color="auto" w:fill="auto"/>
                  <w:vAlign w:val="center"/>
                </w:tcPr>
                <w:p w14:paraId="3BC297DB">
                  <w:pPr>
                    <w:adjustRightInd w:val="0"/>
                    <w:snapToGrid w:val="0"/>
                    <w:jc w:val="center"/>
                    <w:rPr>
                      <w:color w:val="auto"/>
                      <w:szCs w:val="21"/>
                    </w:rPr>
                  </w:pPr>
                  <w:r>
                    <w:rPr>
                      <w:rFonts w:hint="eastAsia"/>
                      <w:color w:val="auto"/>
                      <w:szCs w:val="21"/>
                    </w:rPr>
                    <w:t>0</w:t>
                  </w:r>
                </w:p>
              </w:tc>
              <w:tc>
                <w:tcPr>
                  <w:tcW w:w="677" w:type="pct"/>
                  <w:shd w:val="clear" w:color="auto" w:fill="auto"/>
                  <w:vAlign w:val="center"/>
                </w:tcPr>
                <w:p w14:paraId="151D4942">
                  <w:pPr>
                    <w:keepNext w:val="0"/>
                    <w:keepLines w:val="0"/>
                    <w:widowControl/>
                    <w:suppressLineNumbers w:val="0"/>
                    <w:jc w:val="center"/>
                    <w:textAlignment w:val="center"/>
                    <w:rPr>
                      <w:color w:val="auto"/>
                      <w:spacing w:val="6"/>
                      <w:szCs w:val="21"/>
                    </w:rPr>
                  </w:pPr>
                  <w:r>
                    <w:rPr>
                      <w:rFonts w:hint="default" w:ascii="Times New Roman" w:hAnsi="Times New Roman" w:eastAsia="宋体" w:cs="Times New Roman"/>
                      <w:i w:val="0"/>
                      <w:iCs w:val="0"/>
                      <w:color w:val="auto"/>
                      <w:kern w:val="0"/>
                      <w:sz w:val="21"/>
                      <w:szCs w:val="21"/>
                      <w:u w:val="none"/>
                      <w:lang w:val="en-US" w:eastAsia="zh-CN" w:bidi="ar"/>
                    </w:rPr>
                    <w:t>2730.536</w:t>
                  </w:r>
                </w:p>
              </w:tc>
              <w:tc>
                <w:tcPr>
                  <w:tcW w:w="652" w:type="pct"/>
                  <w:shd w:val="clear" w:color="auto" w:fill="auto"/>
                  <w:vAlign w:val="center"/>
                </w:tcPr>
                <w:p w14:paraId="38B1B95B">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794.8</w:t>
                  </w:r>
                </w:p>
              </w:tc>
            </w:tr>
            <w:tr w14:paraId="35420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 w:type="pct"/>
                  <w:vMerge w:val="continue"/>
                  <w:vAlign w:val="center"/>
                </w:tcPr>
                <w:p w14:paraId="67838FB9">
                  <w:pPr>
                    <w:adjustRightInd w:val="0"/>
                    <w:snapToGrid w:val="0"/>
                    <w:jc w:val="center"/>
                    <w:rPr>
                      <w:color w:val="auto"/>
                      <w:szCs w:val="21"/>
                    </w:rPr>
                  </w:pPr>
                </w:p>
              </w:tc>
              <w:tc>
                <w:tcPr>
                  <w:tcW w:w="778" w:type="pct"/>
                  <w:vAlign w:val="center"/>
                </w:tcPr>
                <w:p w14:paraId="79DD2FB3">
                  <w:pPr>
                    <w:pStyle w:val="59"/>
                    <w:overflowPunct w:val="0"/>
                    <w:topLinePunct/>
                    <w:adjustRightInd w:val="0"/>
                    <w:rPr>
                      <w:rFonts w:ascii="Times New Roman" w:hAnsi="Times New Roman"/>
                      <w:color w:val="auto"/>
                      <w:szCs w:val="21"/>
                    </w:rPr>
                  </w:pPr>
                  <w:r>
                    <w:rPr>
                      <w:rFonts w:hint="eastAsia" w:ascii="Times New Roman" w:hAnsi="Times New Roman" w:eastAsia="宋体" w:cs="Times New Roman"/>
                      <w:color w:val="auto"/>
                      <w:szCs w:val="21"/>
                      <w:lang w:val="en-US"/>
                    </w:rPr>
                    <w:t>危险废物</w:t>
                  </w:r>
                </w:p>
              </w:tc>
              <w:tc>
                <w:tcPr>
                  <w:tcW w:w="408" w:type="pct"/>
                  <w:vAlign w:val="center"/>
                </w:tcPr>
                <w:p w14:paraId="6E0E9471">
                  <w:pPr>
                    <w:adjustRightInd w:val="0"/>
                    <w:snapToGrid w:val="0"/>
                    <w:jc w:val="center"/>
                    <w:rPr>
                      <w:color w:val="auto"/>
                      <w:szCs w:val="21"/>
                    </w:rPr>
                  </w:pPr>
                  <w:r>
                    <w:rPr>
                      <w:color w:val="auto"/>
                      <w:szCs w:val="21"/>
                    </w:rPr>
                    <w:t>t/a</w:t>
                  </w:r>
                </w:p>
              </w:tc>
              <w:tc>
                <w:tcPr>
                  <w:tcW w:w="591" w:type="pct"/>
                  <w:shd w:val="clear" w:color="auto" w:fill="auto"/>
                  <w:vAlign w:val="center"/>
                </w:tcPr>
                <w:p w14:paraId="55FB09DD">
                  <w:pPr>
                    <w:pStyle w:val="50"/>
                    <w:spacing w:beforeLines="0" w:afterLines="0" w:line="240" w:lineRule="auto"/>
                    <w:rPr>
                      <w:rFonts w:ascii="Times New Roman" w:cs="宋体"/>
                      <w:snapToGrid w:val="0"/>
                      <w:color w:val="auto"/>
                      <w:kern w:val="21"/>
                      <w:szCs w:val="21"/>
                    </w:rPr>
                  </w:pPr>
                  <w:r>
                    <w:rPr>
                      <w:rFonts w:ascii="Times New Roman" w:cs="宋体"/>
                      <w:snapToGrid w:val="0"/>
                      <w:color w:val="auto"/>
                      <w:kern w:val="21"/>
                      <w:szCs w:val="21"/>
                    </w:rPr>
                    <w:t>1478.892</w:t>
                  </w:r>
                </w:p>
              </w:tc>
              <w:tc>
                <w:tcPr>
                  <w:tcW w:w="636" w:type="pct"/>
                  <w:shd w:val="clear" w:color="auto" w:fill="auto"/>
                  <w:vAlign w:val="center"/>
                </w:tcPr>
                <w:p w14:paraId="3C385A7A">
                  <w:pPr>
                    <w:jc w:val="center"/>
                    <w:rPr>
                      <w:rFonts w:hint="default" w:eastAsia="宋体"/>
                      <w:color w:val="auto"/>
                      <w:spacing w:val="6"/>
                      <w:szCs w:val="21"/>
                      <w:lang w:val="en-US" w:eastAsia="zh-CN"/>
                    </w:rPr>
                  </w:pPr>
                  <w:r>
                    <w:rPr>
                      <w:rFonts w:hint="eastAsia"/>
                      <w:color w:val="auto"/>
                      <w:spacing w:val="6"/>
                      <w:szCs w:val="21"/>
                      <w:lang w:val="en-US" w:eastAsia="zh-CN"/>
                    </w:rPr>
                    <w:t>0.4227</w:t>
                  </w:r>
                </w:p>
              </w:tc>
              <w:tc>
                <w:tcPr>
                  <w:tcW w:w="812" w:type="pct"/>
                  <w:vAlign w:val="center"/>
                </w:tcPr>
                <w:p w14:paraId="501FB5BD">
                  <w:pPr>
                    <w:adjustRightInd w:val="0"/>
                    <w:snapToGrid w:val="0"/>
                    <w:jc w:val="center"/>
                    <w:rPr>
                      <w:color w:val="auto"/>
                      <w:szCs w:val="21"/>
                    </w:rPr>
                  </w:pPr>
                  <w:r>
                    <w:rPr>
                      <w:rFonts w:hint="eastAsia"/>
                      <w:color w:val="auto"/>
                      <w:szCs w:val="21"/>
                    </w:rPr>
                    <w:t>0</w:t>
                  </w:r>
                </w:p>
              </w:tc>
              <w:tc>
                <w:tcPr>
                  <w:tcW w:w="677" w:type="pct"/>
                  <w:shd w:val="clear" w:color="auto" w:fill="auto"/>
                  <w:vAlign w:val="center"/>
                </w:tcPr>
                <w:p w14:paraId="5CFF0181">
                  <w:pPr>
                    <w:keepNext w:val="0"/>
                    <w:keepLines w:val="0"/>
                    <w:widowControl/>
                    <w:suppressLineNumbers w:val="0"/>
                    <w:jc w:val="center"/>
                    <w:textAlignment w:val="center"/>
                    <w:rPr>
                      <w:rFonts w:hint="default"/>
                      <w:color w:val="auto"/>
                      <w:spacing w:val="6"/>
                      <w:szCs w:val="21"/>
                      <w:lang w:val="en-US"/>
                    </w:rPr>
                  </w:pPr>
                  <w:r>
                    <w:rPr>
                      <w:rFonts w:hint="eastAsia" w:cs="Times New Roman"/>
                      <w:i w:val="0"/>
                      <w:iCs w:val="0"/>
                      <w:color w:val="auto"/>
                      <w:kern w:val="0"/>
                      <w:sz w:val="21"/>
                      <w:szCs w:val="21"/>
                      <w:u w:val="none"/>
                      <w:lang w:val="en-US" w:eastAsia="zh-CN" w:bidi="ar"/>
                    </w:rPr>
                    <w:t>1479.3147</w:t>
                  </w:r>
                </w:p>
              </w:tc>
              <w:tc>
                <w:tcPr>
                  <w:tcW w:w="652" w:type="pct"/>
                  <w:shd w:val="clear" w:color="auto" w:fill="auto"/>
                  <w:vAlign w:val="center"/>
                </w:tcPr>
                <w:p w14:paraId="1B19F0AA">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eastAsia" w:cs="Times New Roman"/>
                      <w:i w:val="0"/>
                      <w:iCs w:val="0"/>
                      <w:color w:val="auto"/>
                      <w:kern w:val="0"/>
                      <w:sz w:val="21"/>
                      <w:szCs w:val="21"/>
                      <w:u w:val="none"/>
                      <w:lang w:val="en-US" w:eastAsia="zh-CN" w:bidi="ar"/>
                    </w:rPr>
                    <w:t>+0.4227</w:t>
                  </w:r>
                </w:p>
              </w:tc>
            </w:tr>
          </w:tbl>
          <w:p w14:paraId="0317C7E0">
            <w:pPr>
              <w:pStyle w:val="8"/>
              <w:overflowPunct/>
              <w:snapToGrid/>
              <w:spacing w:before="0" w:after="0" w:line="360" w:lineRule="auto"/>
              <w:ind w:left="0" w:firstLine="442" w:firstLineChars="200"/>
              <w:jc w:val="left"/>
              <w:rPr>
                <w:rFonts w:ascii="宋体" w:hAnsi="宋体" w:cs="宋体"/>
                <w:color w:val="auto"/>
                <w:spacing w:val="-10"/>
                <w:sz w:val="24"/>
                <w:szCs w:val="24"/>
              </w:rPr>
            </w:pPr>
          </w:p>
        </w:tc>
      </w:tr>
    </w:tbl>
    <w:p w14:paraId="4B3B5A01">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1C7668C">
      <w:pPr>
        <w:pStyle w:val="20"/>
        <w:spacing w:before="0" w:beforeAutospacing="0" w:after="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1" w:name="_Hlk54167917"/>
      <w:r>
        <w:rPr>
          <w:rFonts w:hint="eastAsia" w:ascii="黑体" w:hAnsi="黑体" w:eastAsia="黑体"/>
          <w:snapToGrid w:val="0"/>
          <w:color w:val="auto"/>
          <w:sz w:val="30"/>
          <w:szCs w:val="30"/>
        </w:rPr>
        <w:t>环境保护措施监督检查清单</w:t>
      </w:r>
      <w:bookmarkEnd w:id="18"/>
      <w:bookmarkEnd w:id="19"/>
      <w:bookmarkEnd w:id="3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612"/>
        <w:gridCol w:w="712"/>
        <w:gridCol w:w="751"/>
        <w:gridCol w:w="1851"/>
        <w:gridCol w:w="62"/>
        <w:gridCol w:w="2402"/>
      </w:tblGrid>
      <w:tr w14:paraId="2CD83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l2br w:val="single" w:color="auto" w:sz="4" w:space="0"/>
            </w:tcBorders>
          </w:tcPr>
          <w:p w14:paraId="3E053727">
            <w:pPr>
              <w:adjustRightInd w:val="0"/>
              <w:snapToGrid w:val="0"/>
              <w:ind w:firstLine="840"/>
              <w:rPr>
                <w:rFonts w:cs="宋体"/>
                <w:color w:val="auto"/>
                <w:szCs w:val="21"/>
              </w:rPr>
            </w:pPr>
            <w:r>
              <w:rPr>
                <w:rFonts w:hint="eastAsia" w:cs="宋体"/>
                <w:color w:val="auto"/>
                <w:szCs w:val="21"/>
              </w:rPr>
              <w:t>内容</w:t>
            </w:r>
          </w:p>
          <w:p w14:paraId="32952066">
            <w:pPr>
              <w:adjustRightInd w:val="0"/>
              <w:snapToGrid w:val="0"/>
              <w:rPr>
                <w:rFonts w:cs="宋体"/>
                <w:color w:val="auto"/>
                <w:szCs w:val="21"/>
              </w:rPr>
            </w:pPr>
            <w:r>
              <w:rPr>
                <w:rFonts w:hint="eastAsia" w:cs="宋体"/>
                <w:color w:val="auto"/>
                <w:szCs w:val="21"/>
              </w:rPr>
              <w:t>要素</w:t>
            </w:r>
          </w:p>
        </w:tc>
        <w:tc>
          <w:tcPr>
            <w:tcW w:w="1612" w:type="dxa"/>
            <w:vAlign w:val="center"/>
          </w:tcPr>
          <w:p w14:paraId="083A6C25">
            <w:pPr>
              <w:adjustRightInd w:val="0"/>
              <w:snapToGrid w:val="0"/>
              <w:jc w:val="center"/>
              <w:rPr>
                <w:rFonts w:cs="宋体"/>
                <w:color w:val="auto"/>
                <w:szCs w:val="21"/>
              </w:rPr>
            </w:pPr>
            <w:r>
              <w:rPr>
                <w:rFonts w:hint="eastAsia" w:cs="宋体"/>
                <w:color w:val="auto"/>
                <w:szCs w:val="21"/>
              </w:rPr>
              <w:t>排放口(编号、</w:t>
            </w:r>
          </w:p>
          <w:p w14:paraId="4B0F7E06">
            <w:pPr>
              <w:adjustRightInd w:val="0"/>
              <w:snapToGrid w:val="0"/>
              <w:jc w:val="center"/>
              <w:rPr>
                <w:rFonts w:cs="宋体"/>
                <w:color w:val="auto"/>
                <w:szCs w:val="21"/>
              </w:rPr>
            </w:pPr>
            <w:r>
              <w:rPr>
                <w:rFonts w:hint="eastAsia" w:cs="宋体"/>
                <w:color w:val="auto"/>
                <w:szCs w:val="21"/>
              </w:rPr>
              <w:t>名称)/污染源</w:t>
            </w:r>
          </w:p>
        </w:tc>
        <w:tc>
          <w:tcPr>
            <w:tcW w:w="1463" w:type="dxa"/>
            <w:gridSpan w:val="2"/>
            <w:vAlign w:val="center"/>
          </w:tcPr>
          <w:p w14:paraId="7CBAA800">
            <w:pPr>
              <w:adjustRightInd w:val="0"/>
              <w:snapToGrid w:val="0"/>
              <w:jc w:val="center"/>
              <w:rPr>
                <w:rFonts w:cs="宋体"/>
                <w:color w:val="auto"/>
                <w:szCs w:val="21"/>
              </w:rPr>
            </w:pPr>
            <w:r>
              <w:rPr>
                <w:rFonts w:hint="eastAsia" w:cs="宋体"/>
                <w:color w:val="auto"/>
                <w:szCs w:val="21"/>
              </w:rPr>
              <w:t>污染物项目</w:t>
            </w:r>
          </w:p>
        </w:tc>
        <w:tc>
          <w:tcPr>
            <w:tcW w:w="1913" w:type="dxa"/>
            <w:gridSpan w:val="2"/>
            <w:vAlign w:val="center"/>
          </w:tcPr>
          <w:p w14:paraId="2D8370E9">
            <w:pPr>
              <w:adjustRightInd w:val="0"/>
              <w:snapToGrid w:val="0"/>
              <w:jc w:val="center"/>
              <w:rPr>
                <w:rFonts w:cs="宋体"/>
                <w:color w:val="auto"/>
                <w:szCs w:val="21"/>
              </w:rPr>
            </w:pPr>
            <w:r>
              <w:rPr>
                <w:rFonts w:hint="eastAsia" w:cs="宋体"/>
                <w:color w:val="auto"/>
                <w:szCs w:val="21"/>
              </w:rPr>
              <w:t>环境保护措施</w:t>
            </w:r>
          </w:p>
        </w:tc>
        <w:tc>
          <w:tcPr>
            <w:tcW w:w="2402" w:type="dxa"/>
            <w:vAlign w:val="center"/>
          </w:tcPr>
          <w:p w14:paraId="79111FB4">
            <w:pPr>
              <w:adjustRightInd w:val="0"/>
              <w:snapToGrid w:val="0"/>
              <w:jc w:val="center"/>
              <w:rPr>
                <w:rFonts w:cs="宋体"/>
                <w:color w:val="auto"/>
                <w:szCs w:val="21"/>
              </w:rPr>
            </w:pPr>
            <w:r>
              <w:rPr>
                <w:rFonts w:hint="eastAsia" w:cs="宋体"/>
                <w:color w:val="auto"/>
                <w:szCs w:val="21"/>
              </w:rPr>
              <w:t>执行标准</w:t>
            </w:r>
          </w:p>
        </w:tc>
      </w:tr>
      <w:tr w14:paraId="25B75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Align w:val="center"/>
          </w:tcPr>
          <w:p w14:paraId="1A76AF24">
            <w:pPr>
              <w:adjustRightInd w:val="0"/>
              <w:snapToGrid w:val="0"/>
              <w:jc w:val="center"/>
              <w:rPr>
                <w:rFonts w:cs="宋体"/>
                <w:color w:val="auto"/>
                <w:szCs w:val="21"/>
              </w:rPr>
            </w:pPr>
            <w:r>
              <w:rPr>
                <w:rFonts w:hint="eastAsia" w:cs="宋体"/>
                <w:color w:val="auto"/>
                <w:szCs w:val="21"/>
              </w:rPr>
              <w:t>大气环境</w:t>
            </w:r>
          </w:p>
        </w:tc>
        <w:tc>
          <w:tcPr>
            <w:tcW w:w="1612" w:type="dxa"/>
            <w:shd w:val="clear" w:color="auto" w:fill="auto"/>
            <w:vAlign w:val="center"/>
          </w:tcPr>
          <w:p w14:paraId="601EDABC">
            <w:pPr>
              <w:adjustRightInd w:val="0"/>
              <w:snapToGrid w:val="0"/>
              <w:jc w:val="center"/>
              <w:rPr>
                <w:color w:val="auto"/>
                <w:szCs w:val="21"/>
              </w:rPr>
            </w:pPr>
            <w:r>
              <w:rPr>
                <w:rFonts w:hint="eastAsia"/>
                <w:color w:val="auto"/>
                <w:szCs w:val="21"/>
              </w:rPr>
              <w:t>厂界</w:t>
            </w:r>
          </w:p>
        </w:tc>
        <w:tc>
          <w:tcPr>
            <w:tcW w:w="1463" w:type="dxa"/>
            <w:gridSpan w:val="2"/>
            <w:shd w:val="clear" w:color="auto" w:fill="auto"/>
            <w:vAlign w:val="center"/>
          </w:tcPr>
          <w:p w14:paraId="3E3566D8">
            <w:pPr>
              <w:adjustRightInd w:val="0"/>
              <w:snapToGrid w:val="0"/>
              <w:jc w:val="center"/>
              <w:rPr>
                <w:rFonts w:cs="宋体"/>
                <w:color w:val="auto"/>
                <w:szCs w:val="21"/>
              </w:rPr>
            </w:pPr>
            <w:r>
              <w:rPr>
                <w:rFonts w:hint="eastAsia" w:cs="宋体"/>
                <w:color w:val="auto"/>
                <w:szCs w:val="21"/>
              </w:rPr>
              <w:t>非甲烷总烃、颗粒物</w:t>
            </w:r>
          </w:p>
        </w:tc>
        <w:tc>
          <w:tcPr>
            <w:tcW w:w="1913" w:type="dxa"/>
            <w:gridSpan w:val="2"/>
            <w:shd w:val="clear" w:color="auto" w:fill="auto"/>
            <w:vAlign w:val="center"/>
          </w:tcPr>
          <w:p w14:paraId="2A5FF02E">
            <w:pPr>
              <w:adjustRightInd w:val="0"/>
              <w:snapToGrid w:val="0"/>
              <w:jc w:val="center"/>
              <w:rPr>
                <w:rFonts w:cs="宋体"/>
                <w:color w:val="auto"/>
                <w:szCs w:val="21"/>
              </w:rPr>
            </w:pPr>
            <w:r>
              <w:rPr>
                <w:color w:val="auto"/>
              </w:rPr>
              <w:t>加强通风</w:t>
            </w:r>
          </w:p>
        </w:tc>
        <w:tc>
          <w:tcPr>
            <w:tcW w:w="2402" w:type="dxa"/>
            <w:shd w:val="clear" w:color="auto" w:fill="auto"/>
            <w:vAlign w:val="center"/>
          </w:tcPr>
          <w:p w14:paraId="4580B5CA">
            <w:pPr>
              <w:adjustRightInd w:val="0"/>
              <w:snapToGrid w:val="0"/>
              <w:jc w:val="center"/>
              <w:rPr>
                <w:rFonts w:cs="宋体"/>
                <w:color w:val="auto"/>
                <w:szCs w:val="21"/>
              </w:rPr>
            </w:pPr>
            <w:r>
              <w:rPr>
                <w:rFonts w:hint="eastAsia"/>
                <w:bCs/>
                <w:color w:val="auto"/>
                <w:spacing w:val="4"/>
                <w:kern w:val="18"/>
                <w:szCs w:val="21"/>
              </w:rPr>
              <w:t>非甲烷总烃、颗粒物</w:t>
            </w:r>
            <w:r>
              <w:rPr>
                <w:rFonts w:hint="eastAsia" w:cs="宋体"/>
                <w:color w:val="auto"/>
                <w:szCs w:val="21"/>
              </w:rPr>
              <w:t>排放执行《大气污染物综合排放标准》（GB16297-1996）表2无组织排放监控浓度排放限值</w:t>
            </w:r>
            <w:r>
              <w:rPr>
                <w:rStyle w:val="31"/>
                <w:rFonts w:hint="eastAsia"/>
                <w:color w:val="auto"/>
                <w:kern w:val="0"/>
                <w:szCs w:val="20"/>
              </w:rPr>
              <w:t>及《挥发性有机物无组织排放控制标准》（GB37822-2019）</w:t>
            </w:r>
          </w:p>
        </w:tc>
      </w:tr>
      <w:tr w14:paraId="03009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00" w:type="dxa"/>
            <w:vAlign w:val="center"/>
          </w:tcPr>
          <w:p w14:paraId="1C2C0DE4">
            <w:pPr>
              <w:adjustRightInd w:val="0"/>
              <w:snapToGrid w:val="0"/>
              <w:jc w:val="center"/>
              <w:rPr>
                <w:rFonts w:cs="宋体"/>
                <w:color w:val="auto"/>
                <w:szCs w:val="21"/>
              </w:rPr>
            </w:pPr>
            <w:r>
              <w:rPr>
                <w:rFonts w:hint="eastAsia" w:cs="宋体"/>
                <w:color w:val="auto"/>
                <w:szCs w:val="21"/>
              </w:rPr>
              <w:t>地表水环境</w:t>
            </w:r>
          </w:p>
        </w:tc>
        <w:tc>
          <w:tcPr>
            <w:tcW w:w="1612" w:type="dxa"/>
            <w:vAlign w:val="center"/>
          </w:tcPr>
          <w:p w14:paraId="77CB1696">
            <w:pPr>
              <w:adjustRightInd w:val="0"/>
              <w:snapToGrid w:val="0"/>
              <w:jc w:val="center"/>
              <w:rPr>
                <w:rFonts w:cs="宋体"/>
                <w:color w:val="auto"/>
                <w:szCs w:val="21"/>
              </w:rPr>
            </w:pPr>
            <w:r>
              <w:rPr>
                <w:rFonts w:hint="eastAsia"/>
                <w:color w:val="auto"/>
                <w:szCs w:val="21"/>
              </w:rPr>
              <w:t>DW00</w:t>
            </w:r>
            <w:r>
              <w:rPr>
                <w:rFonts w:hint="eastAsia"/>
                <w:color w:val="auto"/>
                <w:szCs w:val="21"/>
                <w:lang w:val="en-US" w:eastAsia="zh-CN"/>
              </w:rPr>
              <w:t>3</w:t>
            </w:r>
            <w:r>
              <w:rPr>
                <w:rFonts w:hint="eastAsia"/>
                <w:color w:val="auto"/>
                <w:szCs w:val="21"/>
              </w:rPr>
              <w:t>废水</w:t>
            </w:r>
            <w:r>
              <w:rPr>
                <w:rFonts w:hint="eastAsia"/>
                <w:color w:val="auto"/>
                <w:szCs w:val="21"/>
                <w:lang w:val="en-US" w:eastAsia="zh-CN"/>
              </w:rPr>
              <w:t>总</w:t>
            </w:r>
            <w:r>
              <w:rPr>
                <w:rFonts w:hint="eastAsia"/>
                <w:color w:val="auto"/>
                <w:szCs w:val="21"/>
              </w:rPr>
              <w:t>排放口</w:t>
            </w:r>
          </w:p>
        </w:tc>
        <w:tc>
          <w:tcPr>
            <w:tcW w:w="1463" w:type="dxa"/>
            <w:gridSpan w:val="2"/>
            <w:vAlign w:val="center"/>
          </w:tcPr>
          <w:p w14:paraId="3D4053C3">
            <w:pPr>
              <w:adjustRightInd w:val="0"/>
              <w:snapToGrid w:val="0"/>
              <w:jc w:val="center"/>
              <w:rPr>
                <w:rFonts w:cs="宋体"/>
                <w:color w:val="auto"/>
                <w:szCs w:val="21"/>
              </w:rPr>
            </w:pPr>
            <w:r>
              <w:rPr>
                <w:rFonts w:hint="eastAsia" w:cs="宋体"/>
                <w:color w:val="auto"/>
                <w:szCs w:val="21"/>
              </w:rPr>
              <w:t>COD</w:t>
            </w:r>
            <w:r>
              <w:rPr>
                <w:rFonts w:hint="eastAsia" w:cs="宋体"/>
                <w:color w:val="auto"/>
                <w:szCs w:val="21"/>
                <w:vertAlign w:val="subscript"/>
              </w:rPr>
              <w:t>Cr</w:t>
            </w:r>
            <w:r>
              <w:rPr>
                <w:rFonts w:hint="eastAsia" w:cs="宋体"/>
                <w:color w:val="auto"/>
                <w:szCs w:val="21"/>
              </w:rPr>
              <w:t>、BOD</w:t>
            </w:r>
            <w:r>
              <w:rPr>
                <w:rFonts w:hint="eastAsia" w:cs="宋体"/>
                <w:color w:val="auto"/>
                <w:szCs w:val="21"/>
                <w:vertAlign w:val="subscript"/>
              </w:rPr>
              <w:t>5</w:t>
            </w:r>
            <w:r>
              <w:rPr>
                <w:rFonts w:hint="eastAsia" w:cs="宋体"/>
                <w:color w:val="auto"/>
                <w:szCs w:val="21"/>
              </w:rPr>
              <w:t>、SS、NH</w:t>
            </w:r>
            <w:r>
              <w:rPr>
                <w:rFonts w:hint="eastAsia" w:cs="宋体"/>
                <w:color w:val="auto"/>
                <w:szCs w:val="21"/>
                <w:vertAlign w:val="subscript"/>
              </w:rPr>
              <w:t>3</w:t>
            </w:r>
            <w:r>
              <w:rPr>
                <w:rFonts w:hint="eastAsia" w:cs="宋体"/>
                <w:color w:val="auto"/>
                <w:szCs w:val="21"/>
              </w:rPr>
              <w:t>-N、TN、石油类</w:t>
            </w:r>
          </w:p>
        </w:tc>
        <w:tc>
          <w:tcPr>
            <w:tcW w:w="1913" w:type="dxa"/>
            <w:gridSpan w:val="2"/>
            <w:vAlign w:val="center"/>
          </w:tcPr>
          <w:p w14:paraId="61E3D07B">
            <w:pPr>
              <w:adjustRightInd w:val="0"/>
              <w:snapToGrid w:val="0"/>
              <w:jc w:val="center"/>
              <w:rPr>
                <w:rFonts w:cs="宋体"/>
                <w:color w:val="auto"/>
                <w:szCs w:val="21"/>
              </w:rPr>
            </w:pPr>
            <w:r>
              <w:rPr>
                <w:rFonts w:hint="eastAsia"/>
                <w:color w:val="auto"/>
                <w:szCs w:val="21"/>
              </w:rPr>
              <w:t>生活污水：排入一期污水处理站（化粪池+混合废水处理系统（TW012）+中水回用系统（TW013）；清洗废水：排污污水收集后进入一期污水处理站（前处理废水（TW001）+混合废水处理系统（TW012）+中水回用系统（TW013）+排水池）</w:t>
            </w:r>
          </w:p>
        </w:tc>
        <w:tc>
          <w:tcPr>
            <w:tcW w:w="2402" w:type="dxa"/>
            <w:vAlign w:val="center"/>
          </w:tcPr>
          <w:p w14:paraId="6A953145">
            <w:pPr>
              <w:adjustRightInd w:val="0"/>
              <w:snapToGrid w:val="0"/>
              <w:jc w:val="center"/>
              <w:rPr>
                <w:rFonts w:cs="宋体"/>
                <w:color w:val="auto"/>
                <w:szCs w:val="21"/>
              </w:rPr>
            </w:pPr>
            <w:r>
              <w:rPr>
                <w:rFonts w:hint="eastAsia" w:cs="宋体"/>
                <w:color w:val="auto"/>
                <w:szCs w:val="21"/>
              </w:rPr>
              <w:t>《电子工业水污染物排放标准》（GB39731-2020）和赣州新能源科技城污水处理厂接管标准中较严值</w:t>
            </w:r>
          </w:p>
        </w:tc>
      </w:tr>
      <w:tr w14:paraId="19733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Align w:val="center"/>
          </w:tcPr>
          <w:p w14:paraId="01A7612C">
            <w:pPr>
              <w:adjustRightInd w:val="0"/>
              <w:snapToGrid w:val="0"/>
              <w:jc w:val="center"/>
              <w:rPr>
                <w:rFonts w:cs="宋体"/>
                <w:color w:val="auto"/>
                <w:szCs w:val="21"/>
              </w:rPr>
            </w:pPr>
            <w:r>
              <w:rPr>
                <w:rFonts w:hint="eastAsia" w:cs="宋体"/>
                <w:color w:val="auto"/>
                <w:szCs w:val="21"/>
              </w:rPr>
              <w:t>声环境</w:t>
            </w:r>
          </w:p>
        </w:tc>
        <w:tc>
          <w:tcPr>
            <w:tcW w:w="1612" w:type="dxa"/>
            <w:vAlign w:val="center"/>
          </w:tcPr>
          <w:p w14:paraId="16DBE8CA">
            <w:pPr>
              <w:pStyle w:val="63"/>
              <w:rPr>
                <w:color w:val="auto"/>
              </w:rPr>
            </w:pPr>
            <w:r>
              <w:rPr>
                <w:rFonts w:hint="eastAsia"/>
                <w:color w:val="auto"/>
              </w:rPr>
              <w:t>生产设备</w:t>
            </w:r>
          </w:p>
        </w:tc>
        <w:tc>
          <w:tcPr>
            <w:tcW w:w="1463" w:type="dxa"/>
            <w:gridSpan w:val="2"/>
            <w:vAlign w:val="center"/>
          </w:tcPr>
          <w:p w14:paraId="673DAD61">
            <w:pPr>
              <w:pStyle w:val="63"/>
              <w:rPr>
                <w:color w:val="auto"/>
              </w:rPr>
            </w:pPr>
            <w:r>
              <w:rPr>
                <w:color w:val="auto"/>
              </w:rPr>
              <w:t>等效A声级</w:t>
            </w:r>
          </w:p>
        </w:tc>
        <w:tc>
          <w:tcPr>
            <w:tcW w:w="1913" w:type="dxa"/>
            <w:gridSpan w:val="2"/>
            <w:vAlign w:val="center"/>
          </w:tcPr>
          <w:p w14:paraId="49C6F596">
            <w:pPr>
              <w:pStyle w:val="63"/>
              <w:rPr>
                <w:color w:val="auto"/>
              </w:rPr>
            </w:pPr>
            <w:r>
              <w:rPr>
                <w:color w:val="auto"/>
              </w:rPr>
              <w:t>选用高效低噪声设备、安装减振底座等</w:t>
            </w:r>
          </w:p>
        </w:tc>
        <w:tc>
          <w:tcPr>
            <w:tcW w:w="2402" w:type="dxa"/>
            <w:vAlign w:val="center"/>
          </w:tcPr>
          <w:p w14:paraId="03CE72AC">
            <w:pPr>
              <w:pStyle w:val="63"/>
              <w:rPr>
                <w:color w:val="auto"/>
              </w:rPr>
            </w:pPr>
            <w:r>
              <w:rPr>
                <w:color w:val="auto"/>
              </w:rPr>
              <w:t>《工业企业厂界环境噪声排放标准》（GB12348-2008）中3类标准</w:t>
            </w:r>
          </w:p>
        </w:tc>
      </w:tr>
      <w:tr w14:paraId="37AD6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Align w:val="center"/>
          </w:tcPr>
          <w:p w14:paraId="608107DD">
            <w:pPr>
              <w:adjustRightInd w:val="0"/>
              <w:snapToGrid w:val="0"/>
              <w:jc w:val="center"/>
              <w:rPr>
                <w:rFonts w:cs="宋体"/>
                <w:color w:val="auto"/>
                <w:szCs w:val="21"/>
              </w:rPr>
            </w:pPr>
            <w:r>
              <w:rPr>
                <w:rFonts w:hint="eastAsia" w:cs="宋体"/>
                <w:color w:val="auto"/>
                <w:szCs w:val="21"/>
              </w:rPr>
              <w:t>电磁辐射</w:t>
            </w:r>
          </w:p>
        </w:tc>
        <w:tc>
          <w:tcPr>
            <w:tcW w:w="7390" w:type="dxa"/>
            <w:gridSpan w:val="6"/>
            <w:vAlign w:val="center"/>
          </w:tcPr>
          <w:p w14:paraId="4D757D68">
            <w:pPr>
              <w:adjustRightInd w:val="0"/>
              <w:snapToGrid w:val="0"/>
              <w:jc w:val="center"/>
              <w:rPr>
                <w:rFonts w:cs="宋体"/>
                <w:color w:val="auto"/>
                <w:szCs w:val="21"/>
              </w:rPr>
            </w:pPr>
            <w:r>
              <w:rPr>
                <w:rFonts w:hint="eastAsia" w:cs="宋体"/>
                <w:color w:val="auto"/>
                <w:szCs w:val="21"/>
              </w:rPr>
              <w:t>无</w:t>
            </w:r>
          </w:p>
        </w:tc>
      </w:tr>
      <w:tr w14:paraId="6DD91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00" w:type="dxa"/>
            <w:vMerge w:val="restart"/>
            <w:vAlign w:val="center"/>
          </w:tcPr>
          <w:p w14:paraId="29B89CD1">
            <w:pPr>
              <w:adjustRightInd w:val="0"/>
              <w:snapToGrid w:val="0"/>
              <w:jc w:val="center"/>
              <w:rPr>
                <w:rFonts w:cs="宋体"/>
                <w:color w:val="auto"/>
                <w:szCs w:val="21"/>
              </w:rPr>
            </w:pPr>
            <w:r>
              <w:rPr>
                <w:rFonts w:hint="eastAsia" w:cs="宋体"/>
                <w:color w:val="auto"/>
                <w:szCs w:val="21"/>
              </w:rPr>
              <w:t>固体废物</w:t>
            </w:r>
          </w:p>
        </w:tc>
        <w:tc>
          <w:tcPr>
            <w:tcW w:w="2324" w:type="dxa"/>
            <w:gridSpan w:val="2"/>
            <w:vAlign w:val="center"/>
          </w:tcPr>
          <w:p w14:paraId="178E6DD9">
            <w:pPr>
              <w:topLinePunct/>
              <w:adjustRightInd w:val="0"/>
              <w:snapToGrid w:val="0"/>
              <w:jc w:val="center"/>
              <w:rPr>
                <w:rFonts w:ascii="宋体" w:hAnsi="宋体" w:cs="宋体"/>
                <w:color w:val="auto"/>
                <w:szCs w:val="21"/>
              </w:rPr>
            </w:pPr>
            <w:r>
              <w:rPr>
                <w:rFonts w:hint="eastAsia" w:ascii="宋体" w:hAnsi="宋体" w:cs="宋体"/>
                <w:color w:val="auto"/>
                <w:szCs w:val="21"/>
              </w:rPr>
              <w:t>生活垃圾</w:t>
            </w:r>
          </w:p>
        </w:tc>
        <w:tc>
          <w:tcPr>
            <w:tcW w:w="2602" w:type="dxa"/>
            <w:gridSpan w:val="2"/>
            <w:vAlign w:val="center"/>
          </w:tcPr>
          <w:p w14:paraId="0C28C9C0">
            <w:pPr>
              <w:topLinePunct/>
              <w:adjustRightInd w:val="0"/>
              <w:snapToGrid w:val="0"/>
              <w:jc w:val="center"/>
              <w:rPr>
                <w:color w:val="auto"/>
                <w:szCs w:val="21"/>
              </w:rPr>
            </w:pPr>
            <w:r>
              <w:rPr>
                <w:rFonts w:hint="eastAsia"/>
                <w:color w:val="auto"/>
                <w:szCs w:val="21"/>
              </w:rPr>
              <w:t>由当地环卫部门定期清运</w:t>
            </w:r>
          </w:p>
        </w:tc>
        <w:tc>
          <w:tcPr>
            <w:tcW w:w="2464" w:type="dxa"/>
            <w:gridSpan w:val="2"/>
            <w:vAlign w:val="center"/>
          </w:tcPr>
          <w:p w14:paraId="1A97A860">
            <w:pPr>
              <w:topLinePunct/>
              <w:adjustRightInd w:val="0"/>
              <w:snapToGrid w:val="0"/>
              <w:jc w:val="center"/>
              <w:rPr>
                <w:color w:val="auto"/>
                <w:szCs w:val="21"/>
              </w:rPr>
            </w:pPr>
            <w:r>
              <w:rPr>
                <w:rFonts w:hint="eastAsia"/>
                <w:color w:val="auto"/>
                <w:szCs w:val="21"/>
              </w:rPr>
              <w:t>/</w:t>
            </w:r>
          </w:p>
        </w:tc>
      </w:tr>
      <w:tr w14:paraId="54F22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00" w:type="dxa"/>
            <w:vMerge w:val="continue"/>
            <w:vAlign w:val="center"/>
          </w:tcPr>
          <w:p w14:paraId="41B8378D">
            <w:pPr>
              <w:adjustRightInd w:val="0"/>
              <w:snapToGrid w:val="0"/>
              <w:jc w:val="center"/>
              <w:rPr>
                <w:rFonts w:cs="宋体"/>
                <w:color w:val="auto"/>
                <w:szCs w:val="21"/>
              </w:rPr>
            </w:pPr>
          </w:p>
        </w:tc>
        <w:tc>
          <w:tcPr>
            <w:tcW w:w="2324" w:type="dxa"/>
            <w:gridSpan w:val="2"/>
            <w:vAlign w:val="center"/>
          </w:tcPr>
          <w:p w14:paraId="0608000A">
            <w:pPr>
              <w:topLinePunct/>
              <w:adjustRightInd w:val="0"/>
              <w:snapToGrid w:val="0"/>
              <w:jc w:val="center"/>
              <w:rPr>
                <w:rFonts w:ascii="宋体" w:hAnsi="宋体" w:cs="宋体"/>
                <w:color w:val="auto"/>
                <w:szCs w:val="21"/>
              </w:rPr>
            </w:pPr>
            <w:r>
              <w:rPr>
                <w:rFonts w:hint="eastAsia" w:ascii="宋体" w:hAnsi="宋体" w:cs="宋体"/>
                <w:color w:val="auto"/>
                <w:szCs w:val="21"/>
              </w:rPr>
              <w:t>一般工业固废</w:t>
            </w:r>
          </w:p>
        </w:tc>
        <w:tc>
          <w:tcPr>
            <w:tcW w:w="2602" w:type="dxa"/>
            <w:gridSpan w:val="2"/>
            <w:vAlign w:val="center"/>
          </w:tcPr>
          <w:p w14:paraId="2A3304F8">
            <w:pPr>
              <w:topLinePunct/>
              <w:adjustRightInd w:val="0"/>
              <w:snapToGrid w:val="0"/>
              <w:jc w:val="center"/>
              <w:rPr>
                <w:rFonts w:ascii="宋体" w:hAnsi="宋体" w:cs="宋体"/>
                <w:color w:val="auto"/>
                <w:szCs w:val="21"/>
              </w:rPr>
            </w:pPr>
            <w:r>
              <w:rPr>
                <w:rFonts w:hint="eastAsia" w:ascii="宋体" w:hAnsi="宋体" w:cs="宋体"/>
                <w:color w:val="auto"/>
                <w:szCs w:val="21"/>
              </w:rPr>
              <w:t>不合格品定期交由专业公司回收处理后回用，废包装材料定期外售</w:t>
            </w:r>
          </w:p>
        </w:tc>
        <w:tc>
          <w:tcPr>
            <w:tcW w:w="2464" w:type="dxa"/>
            <w:gridSpan w:val="2"/>
            <w:vAlign w:val="center"/>
          </w:tcPr>
          <w:p w14:paraId="6EA8EB76">
            <w:pPr>
              <w:topLinePunct/>
              <w:adjustRightInd w:val="0"/>
              <w:snapToGrid w:val="0"/>
              <w:jc w:val="center"/>
              <w:rPr>
                <w:color w:val="auto"/>
                <w:szCs w:val="21"/>
              </w:rPr>
            </w:pPr>
            <w:r>
              <w:rPr>
                <w:rFonts w:hint="eastAsia"/>
                <w:color w:val="auto"/>
                <w:szCs w:val="21"/>
              </w:rPr>
              <w:t>《中华人民共和国固体废物污染环境防治法》要求，其中一般工业固体废物在厂内采用库房或包装工具贮存，要求本项目一般工业固体废物贮存过程应满足相应防渗漏、防雨淋、防扬尘等环境保护要求</w:t>
            </w:r>
          </w:p>
        </w:tc>
      </w:tr>
      <w:tr w14:paraId="74ECD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00" w:type="dxa"/>
            <w:vMerge w:val="continue"/>
            <w:vAlign w:val="center"/>
          </w:tcPr>
          <w:p w14:paraId="31A3735E">
            <w:pPr>
              <w:adjustRightInd w:val="0"/>
              <w:snapToGrid w:val="0"/>
              <w:jc w:val="center"/>
              <w:rPr>
                <w:color w:val="auto"/>
              </w:rPr>
            </w:pPr>
          </w:p>
        </w:tc>
        <w:tc>
          <w:tcPr>
            <w:tcW w:w="2324" w:type="dxa"/>
            <w:gridSpan w:val="2"/>
            <w:vAlign w:val="center"/>
          </w:tcPr>
          <w:p w14:paraId="11F2B4ED">
            <w:pPr>
              <w:topLinePunct/>
              <w:adjustRightInd w:val="0"/>
              <w:snapToGrid w:val="0"/>
              <w:jc w:val="center"/>
              <w:rPr>
                <w:rFonts w:ascii="宋体" w:hAnsi="宋体" w:cs="宋体"/>
                <w:color w:val="auto"/>
                <w:szCs w:val="21"/>
              </w:rPr>
            </w:pPr>
            <w:r>
              <w:rPr>
                <w:rFonts w:hint="eastAsia" w:ascii="宋体" w:hAnsi="宋体" w:cs="宋体"/>
                <w:color w:val="auto"/>
                <w:szCs w:val="21"/>
              </w:rPr>
              <w:t>危险废物</w:t>
            </w:r>
          </w:p>
        </w:tc>
        <w:tc>
          <w:tcPr>
            <w:tcW w:w="2602" w:type="dxa"/>
            <w:gridSpan w:val="2"/>
            <w:vAlign w:val="center"/>
          </w:tcPr>
          <w:p w14:paraId="4A737783">
            <w:pPr>
              <w:topLinePunct/>
              <w:adjustRightInd w:val="0"/>
              <w:snapToGrid w:val="0"/>
              <w:jc w:val="center"/>
              <w:rPr>
                <w:rFonts w:ascii="宋体" w:hAnsi="宋体" w:cs="宋体"/>
                <w:color w:val="auto"/>
                <w:szCs w:val="21"/>
              </w:rPr>
            </w:pPr>
            <w:r>
              <w:rPr>
                <w:rFonts w:hint="eastAsia"/>
                <w:color w:val="auto"/>
                <w:szCs w:val="21"/>
              </w:rPr>
              <w:t>废切削液、废胶水瓶、废机油、含油废抹布暂存于危险废物暂存间，定期</w:t>
            </w:r>
            <w:r>
              <w:rPr>
                <w:rFonts w:hint="eastAsia"/>
                <w:color w:val="auto"/>
                <w:szCs w:val="21"/>
                <w:lang w:eastAsia="zh-CN"/>
              </w:rPr>
              <w:t>交予</w:t>
            </w:r>
            <w:r>
              <w:rPr>
                <w:rFonts w:hint="eastAsia"/>
                <w:color w:val="auto"/>
                <w:szCs w:val="21"/>
              </w:rPr>
              <w:t>有资质单位处置</w:t>
            </w:r>
          </w:p>
        </w:tc>
        <w:tc>
          <w:tcPr>
            <w:tcW w:w="2464" w:type="dxa"/>
            <w:gridSpan w:val="2"/>
            <w:vAlign w:val="center"/>
          </w:tcPr>
          <w:p w14:paraId="797DCB70">
            <w:pPr>
              <w:topLinePunct/>
              <w:adjustRightInd w:val="0"/>
              <w:snapToGrid w:val="0"/>
              <w:jc w:val="center"/>
              <w:rPr>
                <w:color w:val="auto"/>
                <w:szCs w:val="21"/>
              </w:rPr>
            </w:pPr>
            <w:r>
              <w:rPr>
                <w:color w:val="auto"/>
              </w:rPr>
              <w:t>《危险废物贮存污染控制标准》</w:t>
            </w:r>
            <w:r>
              <w:rPr>
                <w:rFonts w:hint="eastAsia"/>
                <w:color w:val="auto"/>
              </w:rPr>
              <w:t>（GB18597-2023）</w:t>
            </w:r>
          </w:p>
        </w:tc>
      </w:tr>
      <w:tr w14:paraId="480E8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00" w:type="dxa"/>
            <w:vAlign w:val="center"/>
          </w:tcPr>
          <w:p w14:paraId="2A094F17">
            <w:pPr>
              <w:adjustRightInd w:val="0"/>
              <w:snapToGrid w:val="0"/>
              <w:jc w:val="center"/>
              <w:rPr>
                <w:rFonts w:cs="宋体"/>
                <w:color w:val="auto"/>
                <w:szCs w:val="21"/>
              </w:rPr>
            </w:pPr>
            <w:r>
              <w:rPr>
                <w:rFonts w:hint="eastAsia" w:cs="宋体"/>
                <w:color w:val="auto"/>
                <w:szCs w:val="21"/>
              </w:rPr>
              <w:t>土壤及地下水</w:t>
            </w:r>
          </w:p>
          <w:p w14:paraId="7FBB4D6D">
            <w:pPr>
              <w:adjustRightInd w:val="0"/>
              <w:snapToGrid w:val="0"/>
              <w:jc w:val="center"/>
              <w:rPr>
                <w:rFonts w:cs="宋体"/>
                <w:color w:val="auto"/>
                <w:szCs w:val="21"/>
              </w:rPr>
            </w:pPr>
            <w:r>
              <w:rPr>
                <w:rFonts w:hint="eastAsia" w:cs="宋体"/>
                <w:color w:val="auto"/>
                <w:szCs w:val="21"/>
              </w:rPr>
              <w:t>污染防治措施</w:t>
            </w:r>
          </w:p>
        </w:tc>
        <w:tc>
          <w:tcPr>
            <w:tcW w:w="7390" w:type="dxa"/>
            <w:gridSpan w:val="6"/>
            <w:vAlign w:val="center"/>
          </w:tcPr>
          <w:p w14:paraId="1104DA58">
            <w:pPr>
              <w:adjustRightInd w:val="0"/>
              <w:snapToGrid w:val="0"/>
              <w:jc w:val="center"/>
              <w:rPr>
                <w:rFonts w:cs="宋体"/>
                <w:color w:val="auto"/>
                <w:szCs w:val="21"/>
              </w:rPr>
            </w:pPr>
            <w:r>
              <w:rPr>
                <w:rFonts w:hint="eastAsia"/>
                <w:color w:val="auto"/>
                <w:szCs w:val="21"/>
                <w:lang w:val="zh-CN"/>
              </w:rPr>
              <w:t>生产车间、路面做好防渗防漏，地面采用水泥硬底化，需对地面水泥砂浆抹面，找平、压实、抹光，基础必须防渗，防渗层必须为砼结构，各功能区均采取“源头控制”、“分区控制”的防渗防漏措施，可以有效防止污染物进入地下水、土壤环境，防止污染地下水、土壤。</w:t>
            </w:r>
          </w:p>
        </w:tc>
      </w:tr>
      <w:tr w14:paraId="3B3F3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00" w:type="dxa"/>
            <w:vAlign w:val="center"/>
          </w:tcPr>
          <w:p w14:paraId="01EA57D6">
            <w:pPr>
              <w:adjustRightInd w:val="0"/>
              <w:snapToGrid w:val="0"/>
              <w:jc w:val="center"/>
              <w:rPr>
                <w:rFonts w:cs="宋体"/>
                <w:color w:val="auto"/>
                <w:szCs w:val="21"/>
              </w:rPr>
            </w:pPr>
            <w:r>
              <w:rPr>
                <w:rFonts w:hint="eastAsia" w:cs="宋体"/>
                <w:color w:val="auto"/>
                <w:szCs w:val="21"/>
              </w:rPr>
              <w:t>生态保护措施</w:t>
            </w:r>
          </w:p>
        </w:tc>
        <w:tc>
          <w:tcPr>
            <w:tcW w:w="7390" w:type="dxa"/>
            <w:gridSpan w:val="6"/>
            <w:vAlign w:val="center"/>
          </w:tcPr>
          <w:p w14:paraId="67FEC2AD">
            <w:pPr>
              <w:adjustRightInd w:val="0"/>
              <w:snapToGrid w:val="0"/>
              <w:jc w:val="center"/>
              <w:rPr>
                <w:rFonts w:cs="宋体"/>
                <w:color w:val="auto"/>
                <w:szCs w:val="21"/>
              </w:rPr>
            </w:pPr>
            <w:r>
              <w:rPr>
                <w:rFonts w:hint="eastAsia" w:cs="宋体"/>
                <w:color w:val="auto"/>
                <w:szCs w:val="21"/>
              </w:rPr>
              <w:t>无</w:t>
            </w:r>
          </w:p>
        </w:tc>
      </w:tr>
      <w:tr w14:paraId="692FC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500" w:type="dxa"/>
            <w:vAlign w:val="center"/>
          </w:tcPr>
          <w:p w14:paraId="3062EC1F">
            <w:pPr>
              <w:adjustRightInd w:val="0"/>
              <w:snapToGrid w:val="0"/>
              <w:jc w:val="center"/>
              <w:rPr>
                <w:rFonts w:cs="宋体"/>
                <w:color w:val="auto"/>
                <w:spacing w:val="-8"/>
                <w:szCs w:val="21"/>
              </w:rPr>
            </w:pPr>
            <w:r>
              <w:rPr>
                <w:rFonts w:hint="eastAsia" w:cs="宋体"/>
                <w:color w:val="auto"/>
                <w:spacing w:val="-8"/>
                <w:szCs w:val="21"/>
              </w:rPr>
              <w:t>环境风险</w:t>
            </w:r>
          </w:p>
          <w:p w14:paraId="393178AB">
            <w:pPr>
              <w:adjustRightInd w:val="0"/>
              <w:snapToGrid w:val="0"/>
              <w:jc w:val="center"/>
              <w:rPr>
                <w:rFonts w:cs="宋体"/>
                <w:color w:val="auto"/>
                <w:spacing w:val="-8"/>
                <w:szCs w:val="21"/>
              </w:rPr>
            </w:pPr>
            <w:r>
              <w:rPr>
                <w:rFonts w:hint="eastAsia" w:cs="宋体"/>
                <w:color w:val="auto"/>
                <w:spacing w:val="-8"/>
                <w:szCs w:val="21"/>
              </w:rPr>
              <w:t>防范措施</w:t>
            </w:r>
          </w:p>
        </w:tc>
        <w:tc>
          <w:tcPr>
            <w:tcW w:w="7390" w:type="dxa"/>
            <w:gridSpan w:val="6"/>
            <w:vAlign w:val="center"/>
          </w:tcPr>
          <w:p w14:paraId="2802C0BE">
            <w:pPr>
              <w:adjustRightInd w:val="0"/>
              <w:snapToGrid w:val="0"/>
              <w:jc w:val="center"/>
              <w:rPr>
                <w:rFonts w:cs="宋体"/>
                <w:color w:val="auto"/>
                <w:szCs w:val="21"/>
              </w:rPr>
            </w:pPr>
            <w:r>
              <w:rPr>
                <w:rFonts w:hint="eastAsia" w:cs="宋体"/>
                <w:color w:val="auto"/>
                <w:szCs w:val="21"/>
              </w:rPr>
              <w:t>/</w:t>
            </w:r>
          </w:p>
        </w:tc>
      </w:tr>
      <w:tr w14:paraId="16B6F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500" w:type="dxa"/>
            <w:vAlign w:val="center"/>
          </w:tcPr>
          <w:p w14:paraId="7CA12817">
            <w:pPr>
              <w:adjustRightInd w:val="0"/>
              <w:snapToGrid w:val="0"/>
              <w:jc w:val="center"/>
              <w:rPr>
                <w:rFonts w:cs="宋体"/>
                <w:color w:val="auto"/>
                <w:spacing w:val="-8"/>
                <w:szCs w:val="21"/>
              </w:rPr>
            </w:pPr>
            <w:r>
              <w:rPr>
                <w:rFonts w:hint="eastAsia" w:cs="宋体"/>
                <w:color w:val="auto"/>
                <w:spacing w:val="-8"/>
                <w:szCs w:val="21"/>
              </w:rPr>
              <w:t>其他环境</w:t>
            </w:r>
          </w:p>
          <w:p w14:paraId="4F4EB0D4">
            <w:pPr>
              <w:adjustRightInd w:val="0"/>
              <w:snapToGrid w:val="0"/>
              <w:jc w:val="center"/>
              <w:rPr>
                <w:rFonts w:cs="宋体"/>
                <w:color w:val="auto"/>
                <w:spacing w:val="-8"/>
                <w:szCs w:val="21"/>
              </w:rPr>
            </w:pPr>
            <w:r>
              <w:rPr>
                <w:rFonts w:hint="eastAsia" w:cs="宋体"/>
                <w:color w:val="auto"/>
                <w:spacing w:val="-8"/>
                <w:szCs w:val="21"/>
              </w:rPr>
              <w:t>管理要求</w:t>
            </w:r>
          </w:p>
        </w:tc>
        <w:tc>
          <w:tcPr>
            <w:tcW w:w="7390" w:type="dxa"/>
            <w:gridSpan w:val="6"/>
            <w:vAlign w:val="center"/>
          </w:tcPr>
          <w:p w14:paraId="08861373">
            <w:pPr>
              <w:pStyle w:val="63"/>
              <w:jc w:val="left"/>
              <w:rPr>
                <w:color w:val="auto"/>
                <w:lang w:val="zh-CN"/>
              </w:rPr>
            </w:pPr>
            <w:r>
              <w:rPr>
                <w:rFonts w:hint="eastAsia"/>
                <w:color w:val="auto"/>
                <w:lang w:val="zh-CN"/>
              </w:rPr>
              <w:t>1、根据环评要求，落实“三废”治理费用，做到专款专用，项目实施后应保证足够的环保资金，确保污染防治措施有效地运行，保证污染物达标排放；</w:t>
            </w:r>
          </w:p>
          <w:p w14:paraId="7E8E1EAD">
            <w:pPr>
              <w:pStyle w:val="63"/>
              <w:jc w:val="left"/>
              <w:rPr>
                <w:color w:val="auto"/>
                <w:lang w:val="zh-CN"/>
              </w:rPr>
            </w:pPr>
            <w:r>
              <w:rPr>
                <w:rFonts w:hint="eastAsia"/>
                <w:color w:val="auto"/>
                <w:lang w:val="zh-CN"/>
              </w:rPr>
              <w:t>2、加强环境管理和宣传教育，增强员工环保意识；</w:t>
            </w:r>
          </w:p>
          <w:p w14:paraId="0A9B21E2">
            <w:pPr>
              <w:pStyle w:val="63"/>
              <w:jc w:val="left"/>
              <w:rPr>
                <w:color w:val="auto"/>
                <w:lang w:val="zh-CN"/>
              </w:rPr>
            </w:pPr>
            <w:r>
              <w:rPr>
                <w:rFonts w:hint="eastAsia"/>
                <w:color w:val="auto"/>
                <w:lang w:val="zh-CN"/>
              </w:rPr>
              <w:t>3、建立健全一套完善的环境管理制度，并严格按照管理制度执行；</w:t>
            </w:r>
          </w:p>
          <w:p w14:paraId="55D61F34">
            <w:pPr>
              <w:pStyle w:val="63"/>
              <w:jc w:val="left"/>
              <w:rPr>
                <w:color w:val="auto"/>
                <w:lang w:val="zh-CN"/>
              </w:rPr>
            </w:pPr>
            <w:r>
              <w:rPr>
                <w:rFonts w:hint="eastAsia"/>
                <w:color w:val="auto"/>
                <w:lang w:val="zh-CN"/>
              </w:rPr>
              <w:t>4、加强生产管理，实施清洁生产，从而减少污染物的产生量；</w:t>
            </w:r>
          </w:p>
          <w:p w14:paraId="23D6920D">
            <w:pPr>
              <w:pStyle w:val="63"/>
              <w:jc w:val="left"/>
              <w:rPr>
                <w:color w:val="auto"/>
                <w:lang w:val="zh-CN"/>
              </w:rPr>
            </w:pPr>
            <w:r>
              <w:rPr>
                <w:rFonts w:hint="eastAsia"/>
                <w:color w:val="auto"/>
                <w:lang w:val="zh-CN"/>
              </w:rPr>
              <w:t>5、合理生产布局，建立设备管理网络体系，形成保证设备正常运行和正常维修保养的一系列工程程序，确保设备完好，尽可能减少污染物排放量；</w:t>
            </w:r>
          </w:p>
          <w:p w14:paraId="61CDAA2A">
            <w:pPr>
              <w:pStyle w:val="63"/>
              <w:jc w:val="left"/>
              <w:rPr>
                <w:color w:val="auto"/>
                <w:lang w:val="zh-CN"/>
              </w:rPr>
            </w:pPr>
            <w:r>
              <w:rPr>
                <w:rFonts w:hint="eastAsia"/>
                <w:color w:val="auto"/>
                <w:lang w:val="zh-CN"/>
              </w:rPr>
              <w:t>6、做好防范措施，防止废气、噪声扰民；一旦出现相关投诉，项目应立即停止生产并协调处理相关投诉，采取有效措施；</w:t>
            </w:r>
          </w:p>
          <w:p w14:paraId="15C03EC0">
            <w:pPr>
              <w:pStyle w:val="63"/>
              <w:jc w:val="left"/>
              <w:rPr>
                <w:color w:val="auto"/>
                <w:lang w:val="zh-CN"/>
              </w:rPr>
            </w:pPr>
            <w:r>
              <w:rPr>
                <w:rFonts w:hint="eastAsia"/>
                <w:color w:val="auto"/>
                <w:lang w:val="zh-CN"/>
              </w:rPr>
              <w:t>7、企业要定期或不定期委托具有监测能力和资格单位对项目的有组织或无组织排放情况进行监测，以便掌握项目污染及达标排放情况，一旦出现有投诉影响人体健康或污染物排放超过国家和地方有关环保标准，应及时停产并对环保设施进行检修。</w:t>
            </w:r>
          </w:p>
          <w:p w14:paraId="332015B7">
            <w:pPr>
              <w:pStyle w:val="63"/>
              <w:jc w:val="left"/>
              <w:rPr>
                <w:color w:val="auto"/>
              </w:rPr>
            </w:pPr>
            <w:r>
              <w:rPr>
                <w:rFonts w:hint="eastAsia"/>
                <w:color w:val="auto"/>
              </w:rPr>
              <w:t>8、环境管理制度</w:t>
            </w:r>
          </w:p>
          <w:p w14:paraId="47D90546">
            <w:pPr>
              <w:pStyle w:val="63"/>
              <w:jc w:val="left"/>
              <w:rPr>
                <w:color w:val="auto"/>
                <w:lang w:val="zh-CN"/>
              </w:rPr>
            </w:pPr>
            <w:r>
              <w:rPr>
                <w:rFonts w:hint="eastAsia"/>
                <w:color w:val="auto"/>
                <w:lang w:val="zh-CN"/>
              </w:rPr>
              <w:t>建设项目环境保护管理是指工程在运营期执行和遵守国家、省、市有关环境保护法律法规、政策和标准，接受地方环境保护主管部门的环境监督，调整和制定环境保护规划和目标，把不利影响</w:t>
            </w:r>
            <w:r>
              <w:rPr>
                <w:rFonts w:hint="eastAsia"/>
                <w:color w:val="auto"/>
                <w:lang w:val="en-US" w:eastAsia="zh-CN"/>
              </w:rPr>
              <w:t>降低</w:t>
            </w:r>
            <w:r>
              <w:rPr>
                <w:rFonts w:hint="eastAsia"/>
                <w:color w:val="auto"/>
                <w:lang w:val="zh-CN"/>
              </w:rPr>
              <w:t>到最低限度，加强项目环境管理，及时调整工程运行方式和环境保护措施，最终达到保护环境的目的，取得更好的综合环境效益。</w:t>
            </w:r>
          </w:p>
          <w:p w14:paraId="1A8AA367">
            <w:pPr>
              <w:pStyle w:val="63"/>
              <w:jc w:val="left"/>
              <w:rPr>
                <w:color w:val="auto"/>
                <w:lang w:val="zh-CN"/>
              </w:rPr>
            </w:pPr>
            <w:r>
              <w:rPr>
                <w:rFonts w:hint="eastAsia"/>
                <w:color w:val="auto"/>
                <w:lang w:val="zh-CN"/>
              </w:rPr>
              <w:t>（</w:t>
            </w:r>
            <w:r>
              <w:rPr>
                <w:rFonts w:hint="eastAsia"/>
                <w:color w:val="auto"/>
              </w:rPr>
              <w:t>1</w:t>
            </w:r>
            <w:r>
              <w:rPr>
                <w:rFonts w:hint="eastAsia"/>
                <w:color w:val="auto"/>
                <w:lang w:val="zh-CN"/>
              </w:rPr>
              <w:t>）环境管理机构与人员</w:t>
            </w:r>
          </w:p>
          <w:p w14:paraId="497E76CB">
            <w:pPr>
              <w:pStyle w:val="63"/>
              <w:jc w:val="left"/>
              <w:rPr>
                <w:color w:val="auto"/>
                <w:lang w:val="zh-CN"/>
              </w:rPr>
            </w:pPr>
            <w:r>
              <w:rPr>
                <w:rFonts w:hint="eastAsia"/>
                <w:color w:val="auto"/>
                <w:lang w:val="zh-CN"/>
              </w:rPr>
              <w:t>营运期需确定环境管理单位，负责具体的环境管理和监测，环境监测可委托有资质单位进行。</w:t>
            </w:r>
          </w:p>
          <w:p w14:paraId="28460490">
            <w:pPr>
              <w:pStyle w:val="63"/>
              <w:jc w:val="left"/>
              <w:rPr>
                <w:color w:val="auto"/>
                <w:lang w:val="zh-CN"/>
              </w:rPr>
            </w:pPr>
            <w:r>
              <w:rPr>
                <w:rFonts w:hint="eastAsia"/>
                <w:color w:val="auto"/>
                <w:lang w:val="zh-CN"/>
              </w:rPr>
              <w:t>（</w:t>
            </w:r>
            <w:r>
              <w:rPr>
                <w:rFonts w:hint="eastAsia"/>
                <w:color w:val="auto"/>
              </w:rPr>
              <w:t>2</w:t>
            </w:r>
            <w:r>
              <w:rPr>
                <w:rFonts w:hint="eastAsia"/>
                <w:color w:val="auto"/>
                <w:lang w:val="zh-CN"/>
              </w:rPr>
              <w:t>）环境管理机构职责</w:t>
            </w:r>
          </w:p>
          <w:p w14:paraId="5696E426">
            <w:pPr>
              <w:pStyle w:val="63"/>
              <w:jc w:val="left"/>
              <w:rPr>
                <w:color w:val="auto"/>
                <w:lang w:val="zh-CN"/>
              </w:rPr>
            </w:pPr>
            <w:r>
              <w:rPr>
                <w:rFonts w:hint="eastAsia"/>
                <w:color w:val="auto"/>
                <w:lang w:val="zh-CN"/>
              </w:rPr>
              <w:t>环境管理机构负责项目营运期的环境管理与环境监测工作，主要职责：</w:t>
            </w:r>
          </w:p>
          <w:p w14:paraId="03DFD89C">
            <w:pPr>
              <w:pStyle w:val="63"/>
              <w:jc w:val="left"/>
              <w:rPr>
                <w:color w:val="auto"/>
                <w:lang w:val="zh-CN"/>
              </w:rPr>
            </w:pPr>
            <w:r>
              <w:rPr>
                <w:rFonts w:hint="eastAsia"/>
                <w:color w:val="auto"/>
                <w:lang w:val="zh-CN"/>
              </w:rPr>
              <w:t>①编制、提出该项目运营期的短期环境保护计划及长远环境保护规划。</w:t>
            </w:r>
          </w:p>
          <w:p w14:paraId="584B5196">
            <w:pPr>
              <w:pStyle w:val="63"/>
              <w:jc w:val="left"/>
              <w:rPr>
                <w:color w:val="auto"/>
                <w:lang w:val="zh-CN"/>
              </w:rPr>
            </w:pPr>
            <w:r>
              <w:rPr>
                <w:rFonts w:hint="eastAsia"/>
                <w:color w:val="auto"/>
                <w:lang w:val="zh-CN"/>
              </w:rPr>
              <w:t>②贯彻落实国家和地方的环境保护法律、法规、政策和标准，直接接受环保主管部门的监督、领导，配合环境保护主管部门做好环保工作。</w:t>
            </w:r>
          </w:p>
          <w:p w14:paraId="739172C9">
            <w:pPr>
              <w:pStyle w:val="63"/>
              <w:jc w:val="left"/>
              <w:rPr>
                <w:color w:val="auto"/>
                <w:lang w:val="zh-CN"/>
              </w:rPr>
            </w:pPr>
            <w:r>
              <w:rPr>
                <w:rFonts w:hint="eastAsia"/>
                <w:color w:val="auto"/>
                <w:lang w:val="zh-CN"/>
              </w:rPr>
              <w:t>③领导并组织环境监测工作，制定和实施监测方案，定期向主管部门及市环境保护主管部门上报。</w:t>
            </w:r>
          </w:p>
          <w:p w14:paraId="7C713492">
            <w:pPr>
              <w:pStyle w:val="63"/>
              <w:jc w:val="left"/>
              <w:rPr>
                <w:color w:val="auto"/>
                <w:lang w:val="zh-CN"/>
              </w:rPr>
            </w:pPr>
            <w:r>
              <w:rPr>
                <w:rFonts w:hint="eastAsia"/>
                <w:color w:val="auto"/>
                <w:lang w:val="zh-CN"/>
              </w:rPr>
              <w:t>④监督项目各排污口污染物排放情况，按《环境保护图形标志――排放口（源）》（GB15562.1-1995）的图形，在各气、水、声排污口（源）挂牌标识，做到各排污口（源）的环保标志明显，便于企业管理和公众监督，确保污染物达到国家排放标准。</w:t>
            </w:r>
          </w:p>
          <w:p w14:paraId="2C38A344">
            <w:pPr>
              <w:pStyle w:val="63"/>
              <w:jc w:val="left"/>
              <w:rPr>
                <w:color w:val="auto"/>
                <w:lang w:val="zh-CN"/>
              </w:rPr>
            </w:pPr>
            <w:r>
              <w:rPr>
                <w:rFonts w:hint="eastAsia"/>
                <w:color w:val="auto"/>
                <w:lang w:val="zh-CN"/>
              </w:rPr>
              <w:t>（</w:t>
            </w:r>
            <w:r>
              <w:rPr>
                <w:rFonts w:hint="eastAsia"/>
                <w:color w:val="auto"/>
              </w:rPr>
              <w:t>3</w:t>
            </w:r>
            <w:r>
              <w:rPr>
                <w:rFonts w:hint="eastAsia"/>
                <w:color w:val="auto"/>
                <w:lang w:val="zh-CN"/>
              </w:rPr>
              <w:t>）项目运营期的环境保护管理</w:t>
            </w:r>
          </w:p>
          <w:p w14:paraId="055E3817">
            <w:pPr>
              <w:pStyle w:val="63"/>
              <w:jc w:val="left"/>
              <w:rPr>
                <w:color w:val="auto"/>
                <w:lang w:val="zh-CN"/>
              </w:rPr>
            </w:pPr>
            <w:r>
              <w:rPr>
                <w:rFonts w:hint="eastAsia"/>
                <w:color w:val="auto"/>
                <w:lang w:val="zh-CN"/>
              </w:rPr>
              <w:t>①根据国家环保政策、标准及环境监测要求，制定该项目营运期环保管理规章制度、各种污染物排放控制指标；</w:t>
            </w:r>
          </w:p>
          <w:p w14:paraId="52CE448F">
            <w:pPr>
              <w:pStyle w:val="63"/>
              <w:jc w:val="left"/>
              <w:rPr>
                <w:color w:val="auto"/>
                <w:lang w:val="zh-CN"/>
              </w:rPr>
            </w:pPr>
            <w:r>
              <w:rPr>
                <w:rFonts w:hint="eastAsia"/>
                <w:color w:val="auto"/>
                <w:lang w:val="zh-CN"/>
              </w:rPr>
              <w:t>②负责该项目内所有环保设施的日常运行管理，保障各环保设施的正常运行，并对环保设施的改进提出积极的建议；</w:t>
            </w:r>
          </w:p>
          <w:p w14:paraId="372513D3">
            <w:pPr>
              <w:pStyle w:val="63"/>
              <w:jc w:val="left"/>
              <w:rPr>
                <w:color w:val="auto"/>
                <w:lang w:val="zh-CN"/>
              </w:rPr>
            </w:pPr>
            <w:r>
              <w:rPr>
                <w:rFonts w:hint="eastAsia"/>
                <w:color w:val="auto"/>
                <w:lang w:val="zh-CN"/>
              </w:rPr>
              <w:t>③负责该项目营运期环境监测工作，及时掌握该项目污染状况，整理监测数据，建立污染源档案；</w:t>
            </w:r>
          </w:p>
          <w:p w14:paraId="37B6E534">
            <w:pPr>
              <w:pStyle w:val="63"/>
              <w:jc w:val="left"/>
              <w:rPr>
                <w:color w:val="auto"/>
                <w:lang w:val="zh-CN"/>
              </w:rPr>
            </w:pPr>
            <w:r>
              <w:rPr>
                <w:rFonts w:hint="eastAsia"/>
                <w:color w:val="auto"/>
                <w:lang w:val="zh-CN"/>
              </w:rPr>
              <w:t>④该项目营运期需要设置好环保管理单位，并接受环境保护主管部门的指导和监督；</w:t>
            </w:r>
          </w:p>
          <w:p w14:paraId="53B49EFB">
            <w:pPr>
              <w:pStyle w:val="63"/>
              <w:jc w:val="left"/>
              <w:rPr>
                <w:color w:val="auto"/>
                <w:lang w:val="zh-CN"/>
              </w:rPr>
            </w:pPr>
            <w:r>
              <w:rPr>
                <w:rFonts w:hint="eastAsia"/>
                <w:color w:val="auto"/>
                <w:lang w:val="zh-CN"/>
              </w:rPr>
              <w:t>⑤负责对本单位职工和周边居民进行环保宣传工作。</w:t>
            </w:r>
          </w:p>
          <w:p w14:paraId="6998D442">
            <w:pPr>
              <w:pStyle w:val="63"/>
              <w:jc w:val="left"/>
              <w:rPr>
                <w:color w:val="auto"/>
              </w:rPr>
            </w:pPr>
            <w:r>
              <w:rPr>
                <w:rFonts w:hint="eastAsia"/>
                <w:color w:val="auto"/>
              </w:rPr>
              <w:t>9、排污口规范化</w:t>
            </w:r>
          </w:p>
          <w:p w14:paraId="1C612250">
            <w:pPr>
              <w:pStyle w:val="63"/>
              <w:jc w:val="left"/>
              <w:rPr>
                <w:color w:val="auto"/>
                <w:lang w:val="zh-CN"/>
              </w:rPr>
            </w:pPr>
            <w:r>
              <w:rPr>
                <w:rFonts w:hint="eastAsia"/>
                <w:color w:val="auto"/>
              </w:rPr>
              <w:t>废</w:t>
            </w:r>
            <w:r>
              <w:rPr>
                <w:color w:val="auto"/>
                <w:lang w:val="zh-CN"/>
              </w:rPr>
              <w:t>水排放口、固定噪声源、固体废物贮存和排气筒必须按照《江西省排污口设置与规范化整治管理办法》进行建设</w:t>
            </w:r>
            <w:r>
              <w:rPr>
                <w:rFonts w:hint="eastAsia"/>
                <w:color w:val="auto"/>
                <w:lang w:val="zh-CN"/>
              </w:rPr>
              <w:t>，</w:t>
            </w:r>
            <w:r>
              <w:rPr>
                <w:color w:val="auto"/>
                <w:lang w:val="zh-CN"/>
              </w:rPr>
              <w:t>应符合“一明显、二合理、三便于”的要求</w:t>
            </w:r>
            <w:r>
              <w:rPr>
                <w:rFonts w:hint="eastAsia"/>
                <w:color w:val="auto"/>
                <w:lang w:val="zh-CN"/>
              </w:rPr>
              <w:t>，</w:t>
            </w:r>
            <w:r>
              <w:rPr>
                <w:color w:val="auto"/>
                <w:lang w:val="zh-CN"/>
              </w:rPr>
              <w:t>即环保标志明显</w:t>
            </w:r>
            <w:r>
              <w:rPr>
                <w:rFonts w:hint="eastAsia"/>
                <w:color w:val="auto"/>
                <w:lang w:val="zh-CN"/>
              </w:rPr>
              <w:t>，</w:t>
            </w:r>
            <w:r>
              <w:rPr>
                <w:color w:val="auto"/>
                <w:lang w:val="zh-CN"/>
              </w:rPr>
              <w:t>排污口（接管口）设置合理</w:t>
            </w:r>
            <w:r>
              <w:rPr>
                <w:rFonts w:hint="eastAsia"/>
                <w:color w:val="auto"/>
                <w:lang w:val="zh-CN"/>
              </w:rPr>
              <w:t>，</w:t>
            </w:r>
            <w:r>
              <w:rPr>
                <w:color w:val="auto"/>
                <w:lang w:val="zh-CN"/>
              </w:rPr>
              <w:t>便于采集样品、便于监测计量、便于公众参与和监督管理。同时要求按照</w:t>
            </w:r>
            <w:r>
              <w:rPr>
                <w:rFonts w:hint="eastAsia"/>
                <w:color w:val="auto"/>
                <w:lang w:val="zh-CN"/>
              </w:rPr>
              <w:t>环境保护部</w:t>
            </w:r>
            <w:r>
              <w:rPr>
                <w:color w:val="auto"/>
                <w:lang w:val="zh-CN"/>
              </w:rPr>
              <w:t>制定的《环境保护图形标志实施细则（试行）》的规定</w:t>
            </w:r>
            <w:r>
              <w:rPr>
                <w:rFonts w:hint="eastAsia"/>
                <w:color w:val="auto"/>
                <w:lang w:val="zh-CN"/>
              </w:rPr>
              <w:t>，</w:t>
            </w:r>
            <w:r>
              <w:rPr>
                <w:color w:val="auto"/>
                <w:lang w:val="zh-CN"/>
              </w:rPr>
              <w:t>设置与排污口相应的图形标志牌。</w:t>
            </w:r>
          </w:p>
          <w:p w14:paraId="4D705EF0">
            <w:pPr>
              <w:pStyle w:val="63"/>
              <w:jc w:val="left"/>
              <w:rPr>
                <w:color w:val="auto"/>
                <w:lang w:val="zh-CN"/>
              </w:rPr>
            </w:pPr>
            <w:r>
              <w:rPr>
                <w:color w:val="auto"/>
                <w:lang w:val="zh-CN"/>
              </w:rPr>
              <w:t>（1）排气筒设置取样口</w:t>
            </w:r>
            <w:r>
              <w:rPr>
                <w:rFonts w:hint="eastAsia"/>
                <w:color w:val="auto"/>
                <w:lang w:val="zh-CN"/>
              </w:rPr>
              <w:t>，</w:t>
            </w:r>
            <w:r>
              <w:rPr>
                <w:color w:val="auto"/>
                <w:lang w:val="zh-CN"/>
              </w:rPr>
              <w:t>并具备采样监测条件</w:t>
            </w:r>
            <w:r>
              <w:rPr>
                <w:rFonts w:hint="eastAsia"/>
                <w:color w:val="auto"/>
                <w:lang w:val="zh-CN"/>
              </w:rPr>
              <w:t>，</w:t>
            </w:r>
            <w:r>
              <w:rPr>
                <w:color w:val="auto"/>
                <w:lang w:val="zh-CN"/>
              </w:rPr>
              <w:t>排放口附近树立图形标志牌。</w:t>
            </w:r>
          </w:p>
          <w:p w14:paraId="17695CFB">
            <w:pPr>
              <w:pStyle w:val="63"/>
              <w:jc w:val="left"/>
              <w:rPr>
                <w:color w:val="auto"/>
                <w:lang w:val="zh-CN"/>
              </w:rPr>
            </w:pPr>
            <w:r>
              <w:rPr>
                <w:color w:val="auto"/>
                <w:lang w:val="zh-CN"/>
              </w:rPr>
              <w:t>（2）排污口管理。建设单位应在各个排污口</w:t>
            </w:r>
            <w:r>
              <w:rPr>
                <w:rFonts w:hint="eastAsia"/>
                <w:color w:val="auto"/>
                <w:lang w:val="zh-CN"/>
              </w:rPr>
              <w:t>处竖立</w:t>
            </w:r>
            <w:r>
              <w:rPr>
                <w:color w:val="auto"/>
                <w:lang w:val="zh-CN"/>
              </w:rPr>
              <w:t>标志牌</w:t>
            </w:r>
            <w:r>
              <w:rPr>
                <w:rFonts w:hint="eastAsia"/>
                <w:color w:val="auto"/>
                <w:lang w:val="zh-CN"/>
              </w:rPr>
              <w:t>，</w:t>
            </w:r>
            <w:r>
              <w:rPr>
                <w:color w:val="auto"/>
                <w:lang w:val="zh-CN"/>
              </w:rPr>
              <w:t>并如实填写《中华人民共和国规范化排污口标记登记证》</w:t>
            </w:r>
            <w:r>
              <w:rPr>
                <w:rFonts w:hint="eastAsia"/>
                <w:color w:val="auto"/>
                <w:lang w:val="zh-CN"/>
              </w:rPr>
              <w:t>，</w:t>
            </w:r>
            <w:r>
              <w:rPr>
                <w:color w:val="auto"/>
                <w:lang w:val="zh-CN"/>
              </w:rPr>
              <w:t>由</w:t>
            </w:r>
            <w:r>
              <w:rPr>
                <w:rFonts w:hint="eastAsia"/>
                <w:color w:val="auto"/>
                <w:lang w:val="zh-CN"/>
              </w:rPr>
              <w:t>生态环境保护部门</w:t>
            </w:r>
            <w:r>
              <w:rPr>
                <w:color w:val="auto"/>
                <w:lang w:val="zh-CN"/>
              </w:rPr>
              <w:t>签发。环保主管部门和建设单位可分别按以下内容建立排污口管理的专门档案：排污口性质和编号；位置；排放主要污染物种类、数量、浓度；排放去向；达标情况；治理设施运行情况及整改意见。</w:t>
            </w:r>
          </w:p>
          <w:p w14:paraId="42690BED">
            <w:pPr>
              <w:pStyle w:val="63"/>
              <w:jc w:val="left"/>
              <w:rPr>
                <w:color w:val="auto"/>
                <w:lang w:val="zh-CN"/>
              </w:rPr>
            </w:pPr>
            <w:r>
              <w:rPr>
                <w:color w:val="auto"/>
                <w:lang w:val="zh-CN"/>
              </w:rPr>
              <w:t>（3）环境保护图形标志</w:t>
            </w:r>
          </w:p>
          <w:p w14:paraId="58E21F40">
            <w:pPr>
              <w:pStyle w:val="63"/>
              <w:jc w:val="left"/>
              <w:rPr>
                <w:color w:val="auto"/>
                <w:lang w:val="zh-CN"/>
              </w:rPr>
            </w:pPr>
            <w:r>
              <w:rPr>
                <w:color w:val="auto"/>
                <w:lang w:val="zh-CN"/>
              </w:rPr>
              <w:t>在厂区的废水排放口、废气排放源、固体废物贮存处置场应设置环境保护图形标志</w:t>
            </w:r>
            <w:r>
              <w:rPr>
                <w:rFonts w:hint="eastAsia"/>
                <w:color w:val="auto"/>
                <w:lang w:val="zh-CN"/>
              </w:rPr>
              <w:t>，</w:t>
            </w:r>
            <w:r>
              <w:rPr>
                <w:color w:val="auto"/>
                <w:lang w:val="zh-CN"/>
              </w:rPr>
              <w:t>图形符号分为提示图形和警告图形符号两种</w:t>
            </w:r>
            <w:r>
              <w:rPr>
                <w:rFonts w:hint="eastAsia"/>
                <w:color w:val="auto"/>
                <w:lang w:val="zh-CN"/>
              </w:rPr>
              <w:t>，</w:t>
            </w:r>
            <w:r>
              <w:rPr>
                <w:color w:val="auto"/>
                <w:lang w:val="zh-CN"/>
              </w:rPr>
              <w:t>分别按GB15562.1-1995、</w:t>
            </w:r>
            <w:r>
              <w:rPr>
                <w:rFonts w:hint="eastAsia"/>
                <w:color w:val="auto"/>
                <w:lang w:val="zh-CN"/>
              </w:rPr>
              <w:t>GB15562.2-1995及修改单</w:t>
            </w:r>
            <w:r>
              <w:rPr>
                <w:color w:val="auto"/>
                <w:lang w:val="zh-CN"/>
              </w:rPr>
              <w:t>执行。环境保护图形符号见表</w:t>
            </w:r>
            <w:r>
              <w:rPr>
                <w:rFonts w:hint="eastAsia"/>
                <w:color w:val="auto"/>
              </w:rPr>
              <w:t>5</w:t>
            </w:r>
            <w:r>
              <w:rPr>
                <w:color w:val="auto"/>
                <w:lang w:val="zh-CN"/>
              </w:rPr>
              <w:t>-1</w:t>
            </w:r>
            <w:r>
              <w:rPr>
                <w:rFonts w:hint="eastAsia"/>
                <w:color w:val="auto"/>
                <w:lang w:val="zh-CN"/>
              </w:rPr>
              <w:t>，</w:t>
            </w:r>
            <w:r>
              <w:rPr>
                <w:color w:val="auto"/>
                <w:lang w:val="zh-CN"/>
              </w:rPr>
              <w:t>环境保护图形标志的形状及颜色见表</w:t>
            </w:r>
            <w:r>
              <w:rPr>
                <w:rFonts w:hint="eastAsia"/>
                <w:color w:val="auto"/>
              </w:rPr>
              <w:t>5</w:t>
            </w:r>
            <w:r>
              <w:rPr>
                <w:color w:val="auto"/>
                <w:lang w:val="zh-CN"/>
              </w:rPr>
              <w:t>-2</w:t>
            </w:r>
            <w:r>
              <w:rPr>
                <w:rFonts w:hint="eastAsia"/>
                <w:color w:val="auto"/>
                <w:lang w:val="zh-CN"/>
              </w:rPr>
              <w:t>。</w:t>
            </w:r>
          </w:p>
          <w:p w14:paraId="0790D8B8">
            <w:pPr>
              <w:pStyle w:val="62"/>
              <w:rPr>
                <w:rFonts w:hint="default"/>
                <w:color w:val="auto"/>
              </w:rPr>
            </w:pPr>
            <w:r>
              <w:rPr>
                <w:color w:val="auto"/>
              </w:rPr>
              <w:t>表5-1项目环境保护图形符号一览表</w:t>
            </w:r>
          </w:p>
          <w:tbl>
            <w:tblPr>
              <w:tblStyle w:val="24"/>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6"/>
              <w:gridCol w:w="1308"/>
              <w:gridCol w:w="1365"/>
              <w:gridCol w:w="987"/>
              <w:gridCol w:w="2864"/>
            </w:tblGrid>
            <w:tr w14:paraId="67F4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tcBorders>
                    <w:tl2br w:val="nil"/>
                    <w:tr2bl w:val="nil"/>
                  </w:tcBorders>
                  <w:tcMar>
                    <w:top w:w="15" w:type="dxa"/>
                    <w:left w:w="15" w:type="dxa"/>
                    <w:right w:w="15" w:type="dxa"/>
                  </w:tcMar>
                  <w:vAlign w:val="center"/>
                </w:tcPr>
                <w:p w14:paraId="3D390D54">
                  <w:pPr>
                    <w:pStyle w:val="63"/>
                    <w:rPr>
                      <w:b/>
                      <w:bCs/>
                      <w:color w:val="auto"/>
                    </w:rPr>
                  </w:pPr>
                  <w:r>
                    <w:rPr>
                      <w:b/>
                      <w:bCs/>
                      <w:color w:val="auto"/>
                    </w:rPr>
                    <w:t>序号</w:t>
                  </w:r>
                </w:p>
              </w:tc>
              <w:tc>
                <w:tcPr>
                  <w:tcW w:w="913" w:type="pct"/>
                  <w:tcBorders>
                    <w:tl2br w:val="nil"/>
                    <w:tr2bl w:val="nil"/>
                  </w:tcBorders>
                  <w:tcMar>
                    <w:top w:w="15" w:type="dxa"/>
                    <w:left w:w="15" w:type="dxa"/>
                    <w:right w:w="15" w:type="dxa"/>
                  </w:tcMar>
                  <w:vAlign w:val="center"/>
                </w:tcPr>
                <w:p w14:paraId="7D72E8FB">
                  <w:pPr>
                    <w:pStyle w:val="63"/>
                    <w:rPr>
                      <w:b/>
                      <w:bCs/>
                      <w:color w:val="auto"/>
                    </w:rPr>
                  </w:pPr>
                  <w:r>
                    <w:rPr>
                      <w:b/>
                      <w:bCs/>
                      <w:color w:val="auto"/>
                    </w:rPr>
                    <w:t>提示图形符号</w:t>
                  </w:r>
                </w:p>
              </w:tc>
              <w:tc>
                <w:tcPr>
                  <w:tcW w:w="953" w:type="pct"/>
                  <w:tcBorders>
                    <w:tl2br w:val="nil"/>
                    <w:tr2bl w:val="nil"/>
                  </w:tcBorders>
                  <w:tcMar>
                    <w:top w:w="15" w:type="dxa"/>
                    <w:left w:w="15" w:type="dxa"/>
                    <w:right w:w="15" w:type="dxa"/>
                  </w:tcMar>
                  <w:vAlign w:val="center"/>
                </w:tcPr>
                <w:p w14:paraId="61585252">
                  <w:pPr>
                    <w:pStyle w:val="63"/>
                    <w:rPr>
                      <w:b/>
                      <w:bCs/>
                      <w:color w:val="auto"/>
                    </w:rPr>
                  </w:pPr>
                  <w:r>
                    <w:rPr>
                      <w:b/>
                      <w:bCs/>
                      <w:color w:val="auto"/>
                    </w:rPr>
                    <w:t>警告图形符号</w:t>
                  </w:r>
                </w:p>
              </w:tc>
              <w:tc>
                <w:tcPr>
                  <w:tcW w:w="689" w:type="pct"/>
                  <w:tcBorders>
                    <w:tl2br w:val="nil"/>
                    <w:tr2bl w:val="nil"/>
                  </w:tcBorders>
                  <w:tcMar>
                    <w:top w:w="15" w:type="dxa"/>
                    <w:left w:w="15" w:type="dxa"/>
                    <w:right w:w="15" w:type="dxa"/>
                  </w:tcMar>
                  <w:vAlign w:val="center"/>
                </w:tcPr>
                <w:p w14:paraId="1A9E53CE">
                  <w:pPr>
                    <w:pStyle w:val="63"/>
                    <w:rPr>
                      <w:b/>
                      <w:bCs/>
                      <w:color w:val="auto"/>
                    </w:rPr>
                  </w:pPr>
                  <w:r>
                    <w:rPr>
                      <w:b/>
                      <w:bCs/>
                      <w:color w:val="auto"/>
                    </w:rPr>
                    <w:t>名称</w:t>
                  </w:r>
                </w:p>
              </w:tc>
              <w:tc>
                <w:tcPr>
                  <w:tcW w:w="2000" w:type="pct"/>
                  <w:tcBorders>
                    <w:tl2br w:val="nil"/>
                    <w:tr2bl w:val="nil"/>
                  </w:tcBorders>
                  <w:tcMar>
                    <w:top w:w="15" w:type="dxa"/>
                    <w:left w:w="15" w:type="dxa"/>
                    <w:right w:w="15" w:type="dxa"/>
                  </w:tcMar>
                  <w:vAlign w:val="center"/>
                </w:tcPr>
                <w:p w14:paraId="4D79247E">
                  <w:pPr>
                    <w:pStyle w:val="63"/>
                    <w:rPr>
                      <w:b/>
                      <w:bCs/>
                      <w:color w:val="auto"/>
                    </w:rPr>
                  </w:pPr>
                  <w:r>
                    <w:rPr>
                      <w:b/>
                      <w:bCs/>
                      <w:color w:val="auto"/>
                    </w:rPr>
                    <w:t>功能</w:t>
                  </w:r>
                </w:p>
              </w:tc>
            </w:tr>
            <w:tr w14:paraId="3AE1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restart"/>
                  <w:tcBorders>
                    <w:tl2br w:val="nil"/>
                    <w:tr2bl w:val="nil"/>
                  </w:tcBorders>
                  <w:tcMar>
                    <w:top w:w="15" w:type="dxa"/>
                    <w:left w:w="15" w:type="dxa"/>
                    <w:right w:w="15" w:type="dxa"/>
                  </w:tcMar>
                  <w:vAlign w:val="center"/>
                </w:tcPr>
                <w:p w14:paraId="6FF866D1">
                  <w:pPr>
                    <w:pStyle w:val="63"/>
                    <w:rPr>
                      <w:color w:val="auto"/>
                    </w:rPr>
                  </w:pPr>
                  <w:r>
                    <w:rPr>
                      <w:color w:val="auto"/>
                    </w:rPr>
                    <w:t>1</w:t>
                  </w:r>
                </w:p>
              </w:tc>
              <w:tc>
                <w:tcPr>
                  <w:tcW w:w="913" w:type="pct"/>
                  <w:vMerge w:val="restart"/>
                  <w:tcBorders>
                    <w:tl2br w:val="nil"/>
                    <w:tr2bl w:val="nil"/>
                  </w:tcBorders>
                  <w:tcMar>
                    <w:top w:w="15" w:type="dxa"/>
                    <w:left w:w="15" w:type="dxa"/>
                    <w:right w:w="15" w:type="dxa"/>
                  </w:tcMar>
                  <w:vAlign w:val="center"/>
                </w:tcPr>
                <w:p w14:paraId="69975BC6">
                  <w:pPr>
                    <w:pStyle w:val="63"/>
                    <w:rPr>
                      <w:color w:val="auto"/>
                    </w:rPr>
                  </w:pPr>
                  <w:r>
                    <w:rPr>
                      <w:color w:val="auto"/>
                    </w:rPr>
                    <w:drawing>
                      <wp:inline distT="0" distB="0" distL="114300" distR="114300">
                        <wp:extent cx="410210" cy="356235"/>
                        <wp:effectExtent l="0" t="0" r="8890" b="571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38"/>
                                <a:stretch>
                                  <a:fillRect/>
                                </a:stretch>
                              </pic:blipFill>
                              <pic:spPr>
                                <a:xfrm>
                                  <a:off x="0" y="0"/>
                                  <a:ext cx="410210" cy="356235"/>
                                </a:xfrm>
                                <a:prstGeom prst="rect">
                                  <a:avLst/>
                                </a:prstGeom>
                                <a:noFill/>
                                <a:ln>
                                  <a:noFill/>
                                </a:ln>
                              </pic:spPr>
                            </pic:pic>
                          </a:graphicData>
                        </a:graphic>
                      </wp:inline>
                    </w:drawing>
                  </w:r>
                </w:p>
              </w:tc>
              <w:tc>
                <w:tcPr>
                  <w:tcW w:w="953" w:type="pct"/>
                  <w:vMerge w:val="restart"/>
                  <w:tcBorders>
                    <w:tl2br w:val="nil"/>
                    <w:tr2bl w:val="nil"/>
                  </w:tcBorders>
                  <w:tcMar>
                    <w:top w:w="15" w:type="dxa"/>
                    <w:left w:w="15" w:type="dxa"/>
                    <w:right w:w="15" w:type="dxa"/>
                  </w:tcMar>
                  <w:vAlign w:val="center"/>
                </w:tcPr>
                <w:p w14:paraId="7F67C2DA">
                  <w:pPr>
                    <w:pStyle w:val="63"/>
                    <w:rPr>
                      <w:color w:val="auto"/>
                    </w:rPr>
                  </w:pPr>
                  <w:r>
                    <w:rPr>
                      <w:color w:val="auto"/>
                    </w:rPr>
                    <w:drawing>
                      <wp:inline distT="0" distB="0" distL="114300" distR="114300">
                        <wp:extent cx="410210" cy="361315"/>
                        <wp:effectExtent l="0" t="0" r="8890" b="63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39"/>
                                <a:stretch>
                                  <a:fillRect/>
                                </a:stretch>
                              </pic:blipFill>
                              <pic:spPr>
                                <a:xfrm>
                                  <a:off x="0" y="0"/>
                                  <a:ext cx="410210" cy="361315"/>
                                </a:xfrm>
                                <a:prstGeom prst="rect">
                                  <a:avLst/>
                                </a:prstGeom>
                                <a:noFill/>
                                <a:ln>
                                  <a:noFill/>
                                </a:ln>
                              </pic:spPr>
                            </pic:pic>
                          </a:graphicData>
                        </a:graphic>
                      </wp:inline>
                    </w:drawing>
                  </w:r>
                </w:p>
              </w:tc>
              <w:tc>
                <w:tcPr>
                  <w:tcW w:w="689" w:type="pct"/>
                  <w:vMerge w:val="restart"/>
                  <w:tcBorders>
                    <w:tl2br w:val="nil"/>
                    <w:tr2bl w:val="nil"/>
                  </w:tcBorders>
                  <w:tcMar>
                    <w:top w:w="15" w:type="dxa"/>
                    <w:left w:w="15" w:type="dxa"/>
                    <w:right w:w="15" w:type="dxa"/>
                  </w:tcMar>
                  <w:vAlign w:val="center"/>
                </w:tcPr>
                <w:p w14:paraId="54F4BA6B">
                  <w:pPr>
                    <w:pStyle w:val="63"/>
                    <w:rPr>
                      <w:color w:val="auto"/>
                    </w:rPr>
                  </w:pPr>
                  <w:r>
                    <w:rPr>
                      <w:color w:val="auto"/>
                    </w:rPr>
                    <w:t>废水排放口</w:t>
                  </w:r>
                </w:p>
              </w:tc>
              <w:tc>
                <w:tcPr>
                  <w:tcW w:w="2000" w:type="pct"/>
                  <w:vMerge w:val="restart"/>
                  <w:tcBorders>
                    <w:tl2br w:val="nil"/>
                    <w:tr2bl w:val="nil"/>
                  </w:tcBorders>
                  <w:tcMar>
                    <w:top w:w="15" w:type="dxa"/>
                    <w:left w:w="15" w:type="dxa"/>
                    <w:right w:w="15" w:type="dxa"/>
                  </w:tcMar>
                  <w:vAlign w:val="center"/>
                </w:tcPr>
                <w:p w14:paraId="055F08D1">
                  <w:pPr>
                    <w:pStyle w:val="63"/>
                    <w:rPr>
                      <w:color w:val="auto"/>
                    </w:rPr>
                  </w:pPr>
                  <w:r>
                    <w:rPr>
                      <w:color w:val="auto"/>
                    </w:rPr>
                    <w:t>表示废水向水体排放</w:t>
                  </w:r>
                </w:p>
              </w:tc>
            </w:tr>
            <w:tr w14:paraId="05A6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continue"/>
                  <w:tcBorders>
                    <w:tl2br w:val="nil"/>
                    <w:tr2bl w:val="nil"/>
                  </w:tcBorders>
                  <w:tcMar>
                    <w:top w:w="15" w:type="dxa"/>
                    <w:left w:w="15" w:type="dxa"/>
                    <w:right w:w="15" w:type="dxa"/>
                  </w:tcMar>
                  <w:vAlign w:val="center"/>
                </w:tcPr>
                <w:p w14:paraId="6C213C75">
                  <w:pPr>
                    <w:pStyle w:val="63"/>
                    <w:rPr>
                      <w:color w:val="auto"/>
                    </w:rPr>
                  </w:pPr>
                </w:p>
              </w:tc>
              <w:tc>
                <w:tcPr>
                  <w:tcW w:w="913" w:type="pct"/>
                  <w:vMerge w:val="continue"/>
                  <w:tcBorders>
                    <w:tl2br w:val="nil"/>
                    <w:tr2bl w:val="nil"/>
                  </w:tcBorders>
                  <w:tcMar>
                    <w:top w:w="15" w:type="dxa"/>
                    <w:left w:w="15" w:type="dxa"/>
                    <w:right w:w="15" w:type="dxa"/>
                  </w:tcMar>
                  <w:vAlign w:val="center"/>
                </w:tcPr>
                <w:p w14:paraId="343B7B88">
                  <w:pPr>
                    <w:pStyle w:val="63"/>
                    <w:rPr>
                      <w:color w:val="auto"/>
                    </w:rPr>
                  </w:pPr>
                </w:p>
              </w:tc>
              <w:tc>
                <w:tcPr>
                  <w:tcW w:w="953" w:type="pct"/>
                  <w:vMerge w:val="continue"/>
                  <w:tcBorders>
                    <w:tl2br w:val="nil"/>
                    <w:tr2bl w:val="nil"/>
                  </w:tcBorders>
                  <w:tcMar>
                    <w:top w:w="15" w:type="dxa"/>
                    <w:left w:w="15" w:type="dxa"/>
                    <w:right w:w="15" w:type="dxa"/>
                  </w:tcMar>
                  <w:vAlign w:val="center"/>
                </w:tcPr>
                <w:p w14:paraId="295D7843">
                  <w:pPr>
                    <w:pStyle w:val="63"/>
                    <w:rPr>
                      <w:color w:val="auto"/>
                    </w:rPr>
                  </w:pPr>
                </w:p>
              </w:tc>
              <w:tc>
                <w:tcPr>
                  <w:tcW w:w="689" w:type="pct"/>
                  <w:vMerge w:val="continue"/>
                  <w:tcBorders>
                    <w:tl2br w:val="nil"/>
                    <w:tr2bl w:val="nil"/>
                  </w:tcBorders>
                  <w:tcMar>
                    <w:top w:w="15" w:type="dxa"/>
                    <w:left w:w="15" w:type="dxa"/>
                    <w:right w:w="15" w:type="dxa"/>
                  </w:tcMar>
                  <w:vAlign w:val="center"/>
                </w:tcPr>
                <w:p w14:paraId="2CD56194">
                  <w:pPr>
                    <w:pStyle w:val="63"/>
                    <w:rPr>
                      <w:color w:val="auto"/>
                    </w:rPr>
                  </w:pPr>
                </w:p>
              </w:tc>
              <w:tc>
                <w:tcPr>
                  <w:tcW w:w="2000" w:type="pct"/>
                  <w:vMerge w:val="continue"/>
                  <w:tcBorders>
                    <w:tl2br w:val="nil"/>
                    <w:tr2bl w:val="nil"/>
                  </w:tcBorders>
                  <w:tcMar>
                    <w:top w:w="15" w:type="dxa"/>
                    <w:left w:w="15" w:type="dxa"/>
                    <w:right w:w="15" w:type="dxa"/>
                  </w:tcMar>
                  <w:vAlign w:val="center"/>
                </w:tcPr>
                <w:p w14:paraId="6A89D610">
                  <w:pPr>
                    <w:pStyle w:val="63"/>
                    <w:rPr>
                      <w:color w:val="auto"/>
                    </w:rPr>
                  </w:pPr>
                </w:p>
              </w:tc>
            </w:tr>
            <w:tr w14:paraId="4F3D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continue"/>
                  <w:tcBorders>
                    <w:tl2br w:val="nil"/>
                    <w:tr2bl w:val="nil"/>
                  </w:tcBorders>
                  <w:tcMar>
                    <w:top w:w="15" w:type="dxa"/>
                    <w:left w:w="15" w:type="dxa"/>
                    <w:right w:w="15" w:type="dxa"/>
                  </w:tcMar>
                  <w:vAlign w:val="center"/>
                </w:tcPr>
                <w:p w14:paraId="0F599DDB">
                  <w:pPr>
                    <w:pStyle w:val="63"/>
                    <w:rPr>
                      <w:color w:val="auto"/>
                    </w:rPr>
                  </w:pPr>
                </w:p>
              </w:tc>
              <w:tc>
                <w:tcPr>
                  <w:tcW w:w="913" w:type="pct"/>
                  <w:vMerge w:val="continue"/>
                  <w:tcBorders>
                    <w:tl2br w:val="nil"/>
                    <w:tr2bl w:val="nil"/>
                  </w:tcBorders>
                  <w:tcMar>
                    <w:top w:w="15" w:type="dxa"/>
                    <w:left w:w="15" w:type="dxa"/>
                    <w:right w:w="15" w:type="dxa"/>
                  </w:tcMar>
                  <w:vAlign w:val="center"/>
                </w:tcPr>
                <w:p w14:paraId="4D04B5AE">
                  <w:pPr>
                    <w:pStyle w:val="63"/>
                    <w:rPr>
                      <w:color w:val="auto"/>
                    </w:rPr>
                  </w:pPr>
                </w:p>
              </w:tc>
              <w:tc>
                <w:tcPr>
                  <w:tcW w:w="953" w:type="pct"/>
                  <w:vMerge w:val="continue"/>
                  <w:tcBorders>
                    <w:tl2br w:val="nil"/>
                    <w:tr2bl w:val="nil"/>
                  </w:tcBorders>
                  <w:tcMar>
                    <w:top w:w="15" w:type="dxa"/>
                    <w:left w:w="15" w:type="dxa"/>
                    <w:right w:w="15" w:type="dxa"/>
                  </w:tcMar>
                  <w:vAlign w:val="center"/>
                </w:tcPr>
                <w:p w14:paraId="4A57331D">
                  <w:pPr>
                    <w:pStyle w:val="63"/>
                    <w:rPr>
                      <w:color w:val="auto"/>
                    </w:rPr>
                  </w:pPr>
                </w:p>
              </w:tc>
              <w:tc>
                <w:tcPr>
                  <w:tcW w:w="689" w:type="pct"/>
                  <w:vMerge w:val="continue"/>
                  <w:tcBorders>
                    <w:tl2br w:val="nil"/>
                    <w:tr2bl w:val="nil"/>
                  </w:tcBorders>
                  <w:tcMar>
                    <w:top w:w="15" w:type="dxa"/>
                    <w:left w:w="15" w:type="dxa"/>
                    <w:right w:w="15" w:type="dxa"/>
                  </w:tcMar>
                  <w:vAlign w:val="center"/>
                </w:tcPr>
                <w:p w14:paraId="40AB93EF">
                  <w:pPr>
                    <w:pStyle w:val="63"/>
                    <w:rPr>
                      <w:color w:val="auto"/>
                    </w:rPr>
                  </w:pPr>
                </w:p>
              </w:tc>
              <w:tc>
                <w:tcPr>
                  <w:tcW w:w="2000" w:type="pct"/>
                  <w:vMerge w:val="continue"/>
                  <w:tcBorders>
                    <w:tl2br w:val="nil"/>
                    <w:tr2bl w:val="nil"/>
                  </w:tcBorders>
                  <w:tcMar>
                    <w:top w:w="15" w:type="dxa"/>
                    <w:left w:w="15" w:type="dxa"/>
                    <w:right w:w="15" w:type="dxa"/>
                  </w:tcMar>
                  <w:vAlign w:val="center"/>
                </w:tcPr>
                <w:p w14:paraId="05A91611">
                  <w:pPr>
                    <w:pStyle w:val="63"/>
                    <w:rPr>
                      <w:color w:val="auto"/>
                    </w:rPr>
                  </w:pPr>
                </w:p>
              </w:tc>
            </w:tr>
            <w:tr w14:paraId="4ABE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restart"/>
                  <w:tcBorders>
                    <w:tl2br w:val="nil"/>
                    <w:tr2bl w:val="nil"/>
                  </w:tcBorders>
                  <w:tcMar>
                    <w:top w:w="15" w:type="dxa"/>
                    <w:left w:w="15" w:type="dxa"/>
                    <w:right w:w="15" w:type="dxa"/>
                  </w:tcMar>
                  <w:vAlign w:val="center"/>
                </w:tcPr>
                <w:p w14:paraId="0918E483">
                  <w:pPr>
                    <w:pStyle w:val="63"/>
                    <w:rPr>
                      <w:color w:val="auto"/>
                    </w:rPr>
                  </w:pPr>
                  <w:r>
                    <w:rPr>
                      <w:rFonts w:hint="eastAsia"/>
                      <w:color w:val="auto"/>
                    </w:rPr>
                    <w:t>2</w:t>
                  </w:r>
                </w:p>
              </w:tc>
              <w:tc>
                <w:tcPr>
                  <w:tcW w:w="913" w:type="pct"/>
                  <w:vMerge w:val="restart"/>
                  <w:tcBorders>
                    <w:tl2br w:val="nil"/>
                    <w:tr2bl w:val="nil"/>
                  </w:tcBorders>
                  <w:tcMar>
                    <w:top w:w="15" w:type="dxa"/>
                    <w:left w:w="15" w:type="dxa"/>
                    <w:right w:w="15" w:type="dxa"/>
                  </w:tcMar>
                  <w:vAlign w:val="center"/>
                </w:tcPr>
                <w:p w14:paraId="65DEE3D8">
                  <w:pPr>
                    <w:pStyle w:val="63"/>
                    <w:rPr>
                      <w:color w:val="auto"/>
                    </w:rPr>
                  </w:pPr>
                  <w:r>
                    <w:rPr>
                      <w:color w:val="auto"/>
                    </w:rPr>
                    <w:drawing>
                      <wp:inline distT="0" distB="0" distL="114300" distR="114300">
                        <wp:extent cx="410210" cy="410210"/>
                        <wp:effectExtent l="0" t="0" r="8890" b="889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40"/>
                                <a:stretch>
                                  <a:fillRect/>
                                </a:stretch>
                              </pic:blipFill>
                              <pic:spPr>
                                <a:xfrm>
                                  <a:off x="0" y="0"/>
                                  <a:ext cx="410210" cy="410210"/>
                                </a:xfrm>
                                <a:prstGeom prst="rect">
                                  <a:avLst/>
                                </a:prstGeom>
                                <a:noFill/>
                                <a:ln>
                                  <a:noFill/>
                                </a:ln>
                              </pic:spPr>
                            </pic:pic>
                          </a:graphicData>
                        </a:graphic>
                      </wp:inline>
                    </w:drawing>
                  </w:r>
                </w:p>
              </w:tc>
              <w:tc>
                <w:tcPr>
                  <w:tcW w:w="953" w:type="pct"/>
                  <w:vMerge w:val="restart"/>
                  <w:tcBorders>
                    <w:tl2br w:val="nil"/>
                    <w:tr2bl w:val="nil"/>
                  </w:tcBorders>
                  <w:tcMar>
                    <w:top w:w="15" w:type="dxa"/>
                    <w:left w:w="15" w:type="dxa"/>
                    <w:right w:w="15" w:type="dxa"/>
                  </w:tcMar>
                  <w:vAlign w:val="center"/>
                </w:tcPr>
                <w:p w14:paraId="7E2F5326">
                  <w:pPr>
                    <w:pStyle w:val="63"/>
                    <w:rPr>
                      <w:color w:val="auto"/>
                    </w:rPr>
                  </w:pPr>
                  <w:r>
                    <w:rPr>
                      <w:color w:val="auto"/>
                    </w:rPr>
                    <w:drawing>
                      <wp:inline distT="0" distB="0" distL="114300" distR="114300">
                        <wp:extent cx="410210" cy="348615"/>
                        <wp:effectExtent l="0" t="0" r="8890" b="13335"/>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41"/>
                                <a:stretch>
                                  <a:fillRect/>
                                </a:stretch>
                              </pic:blipFill>
                              <pic:spPr>
                                <a:xfrm>
                                  <a:off x="0" y="0"/>
                                  <a:ext cx="410210" cy="348615"/>
                                </a:xfrm>
                                <a:prstGeom prst="rect">
                                  <a:avLst/>
                                </a:prstGeom>
                                <a:noFill/>
                                <a:ln>
                                  <a:noFill/>
                                </a:ln>
                              </pic:spPr>
                            </pic:pic>
                          </a:graphicData>
                        </a:graphic>
                      </wp:inline>
                    </w:drawing>
                  </w:r>
                </w:p>
              </w:tc>
              <w:tc>
                <w:tcPr>
                  <w:tcW w:w="689" w:type="pct"/>
                  <w:vMerge w:val="restart"/>
                  <w:tcBorders>
                    <w:tl2br w:val="nil"/>
                    <w:tr2bl w:val="nil"/>
                  </w:tcBorders>
                  <w:tcMar>
                    <w:top w:w="15" w:type="dxa"/>
                    <w:left w:w="15" w:type="dxa"/>
                    <w:right w:w="15" w:type="dxa"/>
                  </w:tcMar>
                  <w:vAlign w:val="center"/>
                </w:tcPr>
                <w:p w14:paraId="40BD2713">
                  <w:pPr>
                    <w:pStyle w:val="63"/>
                    <w:rPr>
                      <w:color w:val="auto"/>
                    </w:rPr>
                  </w:pPr>
                  <w:r>
                    <w:rPr>
                      <w:color w:val="auto"/>
                    </w:rPr>
                    <w:t>一般固体废物</w:t>
                  </w:r>
                </w:p>
              </w:tc>
              <w:tc>
                <w:tcPr>
                  <w:tcW w:w="2000" w:type="pct"/>
                  <w:vMerge w:val="restart"/>
                  <w:tcBorders>
                    <w:tl2br w:val="nil"/>
                    <w:tr2bl w:val="nil"/>
                  </w:tcBorders>
                  <w:tcMar>
                    <w:top w:w="15" w:type="dxa"/>
                    <w:left w:w="15" w:type="dxa"/>
                    <w:right w:w="15" w:type="dxa"/>
                  </w:tcMar>
                  <w:vAlign w:val="center"/>
                </w:tcPr>
                <w:p w14:paraId="34FC93BA">
                  <w:pPr>
                    <w:pStyle w:val="63"/>
                    <w:rPr>
                      <w:color w:val="auto"/>
                    </w:rPr>
                  </w:pPr>
                  <w:r>
                    <w:rPr>
                      <w:color w:val="auto"/>
                    </w:rPr>
                    <w:t>表示一般固体废物贮存、处置场</w:t>
                  </w:r>
                </w:p>
              </w:tc>
            </w:tr>
            <w:tr w14:paraId="097A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continue"/>
                  <w:tcBorders>
                    <w:tl2br w:val="nil"/>
                    <w:tr2bl w:val="nil"/>
                  </w:tcBorders>
                  <w:tcMar>
                    <w:top w:w="15" w:type="dxa"/>
                    <w:left w:w="15" w:type="dxa"/>
                    <w:right w:w="15" w:type="dxa"/>
                  </w:tcMar>
                  <w:vAlign w:val="center"/>
                </w:tcPr>
                <w:p w14:paraId="7F1B2019">
                  <w:pPr>
                    <w:pStyle w:val="63"/>
                    <w:rPr>
                      <w:color w:val="auto"/>
                    </w:rPr>
                  </w:pPr>
                </w:p>
              </w:tc>
              <w:tc>
                <w:tcPr>
                  <w:tcW w:w="913" w:type="pct"/>
                  <w:vMerge w:val="continue"/>
                  <w:tcBorders>
                    <w:tl2br w:val="nil"/>
                    <w:tr2bl w:val="nil"/>
                  </w:tcBorders>
                  <w:tcMar>
                    <w:top w:w="15" w:type="dxa"/>
                    <w:left w:w="15" w:type="dxa"/>
                    <w:right w:w="15" w:type="dxa"/>
                  </w:tcMar>
                  <w:vAlign w:val="center"/>
                </w:tcPr>
                <w:p w14:paraId="6D899037">
                  <w:pPr>
                    <w:pStyle w:val="63"/>
                    <w:rPr>
                      <w:color w:val="auto"/>
                    </w:rPr>
                  </w:pPr>
                </w:p>
              </w:tc>
              <w:tc>
                <w:tcPr>
                  <w:tcW w:w="953" w:type="pct"/>
                  <w:vMerge w:val="continue"/>
                  <w:tcBorders>
                    <w:tl2br w:val="nil"/>
                    <w:tr2bl w:val="nil"/>
                  </w:tcBorders>
                  <w:tcMar>
                    <w:top w:w="15" w:type="dxa"/>
                    <w:left w:w="15" w:type="dxa"/>
                    <w:right w:w="15" w:type="dxa"/>
                  </w:tcMar>
                  <w:vAlign w:val="center"/>
                </w:tcPr>
                <w:p w14:paraId="4A876952">
                  <w:pPr>
                    <w:pStyle w:val="63"/>
                    <w:rPr>
                      <w:color w:val="auto"/>
                    </w:rPr>
                  </w:pPr>
                </w:p>
              </w:tc>
              <w:tc>
                <w:tcPr>
                  <w:tcW w:w="689" w:type="pct"/>
                  <w:vMerge w:val="continue"/>
                  <w:tcBorders>
                    <w:tl2br w:val="nil"/>
                    <w:tr2bl w:val="nil"/>
                  </w:tcBorders>
                  <w:tcMar>
                    <w:top w:w="15" w:type="dxa"/>
                    <w:left w:w="15" w:type="dxa"/>
                    <w:right w:w="15" w:type="dxa"/>
                  </w:tcMar>
                  <w:vAlign w:val="center"/>
                </w:tcPr>
                <w:p w14:paraId="1C882D60">
                  <w:pPr>
                    <w:pStyle w:val="63"/>
                    <w:rPr>
                      <w:color w:val="auto"/>
                    </w:rPr>
                  </w:pPr>
                </w:p>
              </w:tc>
              <w:tc>
                <w:tcPr>
                  <w:tcW w:w="2000" w:type="pct"/>
                  <w:vMerge w:val="continue"/>
                  <w:tcBorders>
                    <w:tl2br w:val="nil"/>
                    <w:tr2bl w:val="nil"/>
                  </w:tcBorders>
                  <w:tcMar>
                    <w:top w:w="15" w:type="dxa"/>
                    <w:left w:w="15" w:type="dxa"/>
                    <w:right w:w="15" w:type="dxa"/>
                  </w:tcMar>
                  <w:vAlign w:val="center"/>
                </w:tcPr>
                <w:p w14:paraId="1EBFDD27">
                  <w:pPr>
                    <w:pStyle w:val="63"/>
                    <w:rPr>
                      <w:color w:val="auto"/>
                    </w:rPr>
                  </w:pPr>
                </w:p>
              </w:tc>
            </w:tr>
            <w:tr w14:paraId="3B5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restart"/>
                  <w:tcBorders>
                    <w:tl2br w:val="nil"/>
                    <w:tr2bl w:val="nil"/>
                  </w:tcBorders>
                  <w:tcMar>
                    <w:top w:w="15" w:type="dxa"/>
                    <w:left w:w="15" w:type="dxa"/>
                    <w:right w:w="15" w:type="dxa"/>
                  </w:tcMar>
                  <w:vAlign w:val="center"/>
                </w:tcPr>
                <w:p w14:paraId="1DFE31CC">
                  <w:pPr>
                    <w:pStyle w:val="63"/>
                    <w:rPr>
                      <w:color w:val="auto"/>
                    </w:rPr>
                  </w:pPr>
                  <w:r>
                    <w:rPr>
                      <w:rFonts w:hint="eastAsia"/>
                      <w:color w:val="auto"/>
                    </w:rPr>
                    <w:t>3</w:t>
                  </w:r>
                </w:p>
              </w:tc>
              <w:tc>
                <w:tcPr>
                  <w:tcW w:w="913" w:type="pct"/>
                  <w:vMerge w:val="restart"/>
                  <w:tcBorders>
                    <w:tl2br w:val="nil"/>
                    <w:tr2bl w:val="nil"/>
                  </w:tcBorders>
                  <w:tcMar>
                    <w:top w:w="15" w:type="dxa"/>
                    <w:left w:w="15" w:type="dxa"/>
                    <w:right w:w="15" w:type="dxa"/>
                  </w:tcMar>
                  <w:vAlign w:val="center"/>
                </w:tcPr>
                <w:p w14:paraId="7290147C">
                  <w:pPr>
                    <w:pStyle w:val="63"/>
                    <w:rPr>
                      <w:color w:val="auto"/>
                    </w:rPr>
                  </w:pPr>
                  <w:r>
                    <w:rPr>
                      <w:rFonts w:hint="eastAsia"/>
                      <w:color w:val="auto"/>
                    </w:rPr>
                    <w:t>/</w:t>
                  </w:r>
                </w:p>
              </w:tc>
              <w:tc>
                <w:tcPr>
                  <w:tcW w:w="953" w:type="pct"/>
                  <w:vMerge w:val="restart"/>
                  <w:tcBorders>
                    <w:tl2br w:val="nil"/>
                    <w:tr2bl w:val="nil"/>
                  </w:tcBorders>
                  <w:tcMar>
                    <w:top w:w="15" w:type="dxa"/>
                    <w:left w:w="15" w:type="dxa"/>
                    <w:right w:w="15" w:type="dxa"/>
                  </w:tcMar>
                  <w:vAlign w:val="center"/>
                </w:tcPr>
                <w:p w14:paraId="493548FC">
                  <w:pPr>
                    <w:pStyle w:val="63"/>
                    <w:rPr>
                      <w:color w:val="auto"/>
                    </w:rPr>
                  </w:pPr>
                  <w:r>
                    <w:rPr>
                      <w:color w:val="auto"/>
                    </w:rPr>
                    <w:drawing>
                      <wp:inline distT="0" distB="0" distL="114300" distR="114300">
                        <wp:extent cx="384175" cy="337185"/>
                        <wp:effectExtent l="0" t="0" r="15875" b="5715"/>
                        <wp:docPr id="13" name="图片 21" descr="F:\01环评报告\36江西荣路电子有限公司年产值400万平方米绕线覆铜板生产项目\图\危废牌子.png危废牌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F:\01环评报告\36江西荣路电子有限公司年产值400万平方米绕线覆铜板生产项目\图\危废牌子.png危废牌子"/>
                                <pic:cNvPicPr>
                                  <a:picLocks noChangeAspect="1"/>
                                </pic:cNvPicPr>
                              </pic:nvPicPr>
                              <pic:blipFill>
                                <a:blip r:embed="rId42"/>
                                <a:stretch>
                                  <a:fillRect/>
                                </a:stretch>
                              </pic:blipFill>
                              <pic:spPr>
                                <a:xfrm>
                                  <a:off x="0" y="0"/>
                                  <a:ext cx="384175" cy="337185"/>
                                </a:xfrm>
                                <a:prstGeom prst="rect">
                                  <a:avLst/>
                                </a:prstGeom>
                                <a:noFill/>
                                <a:ln>
                                  <a:noFill/>
                                </a:ln>
                              </pic:spPr>
                            </pic:pic>
                          </a:graphicData>
                        </a:graphic>
                      </wp:inline>
                    </w:drawing>
                  </w:r>
                </w:p>
              </w:tc>
              <w:tc>
                <w:tcPr>
                  <w:tcW w:w="689" w:type="pct"/>
                  <w:vMerge w:val="restart"/>
                  <w:tcBorders>
                    <w:tl2br w:val="nil"/>
                    <w:tr2bl w:val="nil"/>
                  </w:tcBorders>
                  <w:tcMar>
                    <w:top w:w="15" w:type="dxa"/>
                    <w:left w:w="15" w:type="dxa"/>
                    <w:right w:w="15" w:type="dxa"/>
                  </w:tcMar>
                  <w:vAlign w:val="center"/>
                </w:tcPr>
                <w:p w14:paraId="0FA8CE40">
                  <w:pPr>
                    <w:pStyle w:val="63"/>
                    <w:rPr>
                      <w:color w:val="auto"/>
                    </w:rPr>
                  </w:pPr>
                  <w:r>
                    <w:rPr>
                      <w:color w:val="auto"/>
                    </w:rPr>
                    <w:t>危险废物</w:t>
                  </w:r>
                </w:p>
              </w:tc>
              <w:tc>
                <w:tcPr>
                  <w:tcW w:w="2000" w:type="pct"/>
                  <w:vMerge w:val="restart"/>
                  <w:tcBorders>
                    <w:tl2br w:val="nil"/>
                    <w:tr2bl w:val="nil"/>
                  </w:tcBorders>
                  <w:tcMar>
                    <w:top w:w="15" w:type="dxa"/>
                    <w:left w:w="15" w:type="dxa"/>
                    <w:right w:w="15" w:type="dxa"/>
                  </w:tcMar>
                  <w:vAlign w:val="center"/>
                </w:tcPr>
                <w:p w14:paraId="583A89F6">
                  <w:pPr>
                    <w:pStyle w:val="63"/>
                    <w:rPr>
                      <w:color w:val="auto"/>
                    </w:rPr>
                  </w:pPr>
                  <w:r>
                    <w:rPr>
                      <w:color w:val="auto"/>
                    </w:rPr>
                    <w:t>表示危险废物贮存、处置场</w:t>
                  </w:r>
                </w:p>
              </w:tc>
            </w:tr>
            <w:tr w14:paraId="1905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continue"/>
                  <w:tcBorders>
                    <w:tl2br w:val="nil"/>
                    <w:tr2bl w:val="nil"/>
                  </w:tcBorders>
                  <w:tcMar>
                    <w:top w:w="15" w:type="dxa"/>
                    <w:left w:w="15" w:type="dxa"/>
                    <w:right w:w="15" w:type="dxa"/>
                  </w:tcMar>
                  <w:vAlign w:val="center"/>
                </w:tcPr>
                <w:p w14:paraId="11D9CD2B">
                  <w:pPr>
                    <w:pStyle w:val="63"/>
                    <w:rPr>
                      <w:color w:val="auto"/>
                    </w:rPr>
                  </w:pPr>
                </w:p>
              </w:tc>
              <w:tc>
                <w:tcPr>
                  <w:tcW w:w="913" w:type="pct"/>
                  <w:vMerge w:val="continue"/>
                  <w:tcBorders>
                    <w:tl2br w:val="nil"/>
                    <w:tr2bl w:val="nil"/>
                  </w:tcBorders>
                  <w:tcMar>
                    <w:top w:w="15" w:type="dxa"/>
                    <w:left w:w="15" w:type="dxa"/>
                    <w:right w:w="15" w:type="dxa"/>
                  </w:tcMar>
                  <w:vAlign w:val="center"/>
                </w:tcPr>
                <w:p w14:paraId="208FC4A0">
                  <w:pPr>
                    <w:pStyle w:val="63"/>
                    <w:rPr>
                      <w:color w:val="auto"/>
                    </w:rPr>
                  </w:pPr>
                </w:p>
              </w:tc>
              <w:tc>
                <w:tcPr>
                  <w:tcW w:w="953" w:type="pct"/>
                  <w:vMerge w:val="continue"/>
                  <w:tcBorders>
                    <w:tl2br w:val="nil"/>
                    <w:tr2bl w:val="nil"/>
                  </w:tcBorders>
                  <w:tcMar>
                    <w:top w:w="15" w:type="dxa"/>
                    <w:left w:w="15" w:type="dxa"/>
                    <w:right w:w="15" w:type="dxa"/>
                  </w:tcMar>
                  <w:vAlign w:val="center"/>
                </w:tcPr>
                <w:p w14:paraId="2DD28AB3">
                  <w:pPr>
                    <w:pStyle w:val="63"/>
                    <w:rPr>
                      <w:color w:val="auto"/>
                    </w:rPr>
                  </w:pPr>
                </w:p>
              </w:tc>
              <w:tc>
                <w:tcPr>
                  <w:tcW w:w="689" w:type="pct"/>
                  <w:vMerge w:val="continue"/>
                  <w:tcBorders>
                    <w:tl2br w:val="nil"/>
                    <w:tr2bl w:val="nil"/>
                  </w:tcBorders>
                  <w:tcMar>
                    <w:top w:w="15" w:type="dxa"/>
                    <w:left w:w="15" w:type="dxa"/>
                    <w:right w:w="15" w:type="dxa"/>
                  </w:tcMar>
                  <w:vAlign w:val="center"/>
                </w:tcPr>
                <w:p w14:paraId="3807F283">
                  <w:pPr>
                    <w:pStyle w:val="63"/>
                    <w:rPr>
                      <w:color w:val="auto"/>
                    </w:rPr>
                  </w:pPr>
                </w:p>
              </w:tc>
              <w:tc>
                <w:tcPr>
                  <w:tcW w:w="2000" w:type="pct"/>
                  <w:vMerge w:val="continue"/>
                  <w:tcBorders>
                    <w:tl2br w:val="nil"/>
                    <w:tr2bl w:val="nil"/>
                  </w:tcBorders>
                  <w:tcMar>
                    <w:top w:w="15" w:type="dxa"/>
                    <w:left w:w="15" w:type="dxa"/>
                    <w:right w:w="15" w:type="dxa"/>
                  </w:tcMar>
                  <w:vAlign w:val="center"/>
                </w:tcPr>
                <w:p w14:paraId="48D5838F">
                  <w:pPr>
                    <w:pStyle w:val="63"/>
                    <w:rPr>
                      <w:color w:val="auto"/>
                    </w:rPr>
                  </w:pPr>
                </w:p>
              </w:tc>
            </w:tr>
            <w:tr w14:paraId="5A40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restart"/>
                  <w:tcBorders>
                    <w:tl2br w:val="nil"/>
                    <w:tr2bl w:val="nil"/>
                  </w:tcBorders>
                  <w:tcMar>
                    <w:top w:w="15" w:type="dxa"/>
                    <w:left w:w="15" w:type="dxa"/>
                    <w:right w:w="15" w:type="dxa"/>
                  </w:tcMar>
                  <w:vAlign w:val="center"/>
                </w:tcPr>
                <w:p w14:paraId="55DE9850">
                  <w:pPr>
                    <w:pStyle w:val="63"/>
                    <w:rPr>
                      <w:color w:val="auto"/>
                    </w:rPr>
                  </w:pPr>
                  <w:r>
                    <w:rPr>
                      <w:rFonts w:hint="eastAsia"/>
                      <w:color w:val="auto"/>
                    </w:rPr>
                    <w:t>4</w:t>
                  </w:r>
                </w:p>
              </w:tc>
              <w:tc>
                <w:tcPr>
                  <w:tcW w:w="913" w:type="pct"/>
                  <w:vMerge w:val="restart"/>
                  <w:tcBorders>
                    <w:tl2br w:val="nil"/>
                    <w:tr2bl w:val="nil"/>
                  </w:tcBorders>
                  <w:tcMar>
                    <w:top w:w="15" w:type="dxa"/>
                    <w:left w:w="15" w:type="dxa"/>
                    <w:right w:w="15" w:type="dxa"/>
                  </w:tcMar>
                  <w:vAlign w:val="center"/>
                </w:tcPr>
                <w:p w14:paraId="02F01B80">
                  <w:pPr>
                    <w:pStyle w:val="63"/>
                    <w:rPr>
                      <w:color w:val="auto"/>
                    </w:rPr>
                  </w:pPr>
                  <w:r>
                    <w:rPr>
                      <w:color w:val="auto"/>
                    </w:rPr>
                    <w:drawing>
                      <wp:inline distT="0" distB="0" distL="114300" distR="114300">
                        <wp:extent cx="410210" cy="410210"/>
                        <wp:effectExtent l="0" t="0" r="8890" b="889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43"/>
                                <a:stretch>
                                  <a:fillRect/>
                                </a:stretch>
                              </pic:blipFill>
                              <pic:spPr>
                                <a:xfrm>
                                  <a:off x="0" y="0"/>
                                  <a:ext cx="410210" cy="410210"/>
                                </a:xfrm>
                                <a:prstGeom prst="rect">
                                  <a:avLst/>
                                </a:prstGeom>
                                <a:noFill/>
                                <a:ln>
                                  <a:noFill/>
                                </a:ln>
                              </pic:spPr>
                            </pic:pic>
                          </a:graphicData>
                        </a:graphic>
                      </wp:inline>
                    </w:drawing>
                  </w:r>
                </w:p>
              </w:tc>
              <w:tc>
                <w:tcPr>
                  <w:tcW w:w="953" w:type="pct"/>
                  <w:vMerge w:val="restart"/>
                  <w:tcBorders>
                    <w:tl2br w:val="nil"/>
                    <w:tr2bl w:val="nil"/>
                  </w:tcBorders>
                  <w:tcMar>
                    <w:top w:w="15" w:type="dxa"/>
                    <w:left w:w="15" w:type="dxa"/>
                    <w:right w:w="15" w:type="dxa"/>
                  </w:tcMar>
                  <w:vAlign w:val="center"/>
                </w:tcPr>
                <w:p w14:paraId="43ECE7D7">
                  <w:pPr>
                    <w:pStyle w:val="63"/>
                    <w:rPr>
                      <w:color w:val="auto"/>
                    </w:rPr>
                  </w:pPr>
                  <w:r>
                    <w:rPr>
                      <w:color w:val="auto"/>
                    </w:rPr>
                    <w:drawing>
                      <wp:inline distT="0" distB="0" distL="114300" distR="114300">
                        <wp:extent cx="410210" cy="366395"/>
                        <wp:effectExtent l="0" t="0" r="8890" b="14605"/>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44"/>
                                <a:stretch>
                                  <a:fillRect/>
                                </a:stretch>
                              </pic:blipFill>
                              <pic:spPr>
                                <a:xfrm>
                                  <a:off x="0" y="0"/>
                                  <a:ext cx="410210" cy="366395"/>
                                </a:xfrm>
                                <a:prstGeom prst="rect">
                                  <a:avLst/>
                                </a:prstGeom>
                                <a:noFill/>
                                <a:ln>
                                  <a:noFill/>
                                </a:ln>
                              </pic:spPr>
                            </pic:pic>
                          </a:graphicData>
                        </a:graphic>
                      </wp:inline>
                    </w:drawing>
                  </w:r>
                </w:p>
              </w:tc>
              <w:tc>
                <w:tcPr>
                  <w:tcW w:w="689" w:type="pct"/>
                  <w:vMerge w:val="restart"/>
                  <w:tcBorders>
                    <w:tl2br w:val="nil"/>
                    <w:tr2bl w:val="nil"/>
                  </w:tcBorders>
                  <w:tcMar>
                    <w:top w:w="15" w:type="dxa"/>
                    <w:left w:w="15" w:type="dxa"/>
                    <w:right w:w="15" w:type="dxa"/>
                  </w:tcMar>
                  <w:vAlign w:val="center"/>
                </w:tcPr>
                <w:p w14:paraId="4144A70F">
                  <w:pPr>
                    <w:pStyle w:val="63"/>
                    <w:rPr>
                      <w:color w:val="auto"/>
                    </w:rPr>
                  </w:pPr>
                  <w:r>
                    <w:rPr>
                      <w:color w:val="auto"/>
                    </w:rPr>
                    <w:t>噪声排放源</w:t>
                  </w:r>
                </w:p>
              </w:tc>
              <w:tc>
                <w:tcPr>
                  <w:tcW w:w="2000" w:type="pct"/>
                  <w:vMerge w:val="restart"/>
                  <w:tcBorders>
                    <w:tl2br w:val="nil"/>
                    <w:tr2bl w:val="nil"/>
                  </w:tcBorders>
                  <w:tcMar>
                    <w:top w:w="15" w:type="dxa"/>
                    <w:left w:w="15" w:type="dxa"/>
                    <w:right w:w="15" w:type="dxa"/>
                  </w:tcMar>
                  <w:vAlign w:val="center"/>
                </w:tcPr>
                <w:p w14:paraId="2BBBBB5F">
                  <w:pPr>
                    <w:pStyle w:val="63"/>
                    <w:rPr>
                      <w:color w:val="auto"/>
                    </w:rPr>
                  </w:pPr>
                  <w:r>
                    <w:rPr>
                      <w:color w:val="auto"/>
                    </w:rPr>
                    <w:t>表示噪声向外环境排放</w:t>
                  </w:r>
                </w:p>
              </w:tc>
            </w:tr>
            <w:tr w14:paraId="26A5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44" w:type="pct"/>
                  <w:vMerge w:val="continue"/>
                  <w:tcBorders>
                    <w:tl2br w:val="nil"/>
                    <w:tr2bl w:val="nil"/>
                  </w:tcBorders>
                  <w:tcMar>
                    <w:top w:w="15" w:type="dxa"/>
                    <w:left w:w="15" w:type="dxa"/>
                    <w:right w:w="15" w:type="dxa"/>
                  </w:tcMar>
                  <w:vAlign w:val="center"/>
                </w:tcPr>
                <w:p w14:paraId="2D3302DE">
                  <w:pPr>
                    <w:pStyle w:val="63"/>
                    <w:rPr>
                      <w:color w:val="auto"/>
                    </w:rPr>
                  </w:pPr>
                </w:p>
              </w:tc>
              <w:tc>
                <w:tcPr>
                  <w:tcW w:w="913" w:type="pct"/>
                  <w:vMerge w:val="continue"/>
                  <w:tcBorders>
                    <w:tl2br w:val="nil"/>
                    <w:tr2bl w:val="nil"/>
                  </w:tcBorders>
                  <w:tcMar>
                    <w:top w:w="15" w:type="dxa"/>
                    <w:left w:w="15" w:type="dxa"/>
                    <w:right w:w="15" w:type="dxa"/>
                  </w:tcMar>
                  <w:vAlign w:val="center"/>
                </w:tcPr>
                <w:p w14:paraId="2EFFE83F">
                  <w:pPr>
                    <w:pStyle w:val="63"/>
                    <w:rPr>
                      <w:color w:val="auto"/>
                    </w:rPr>
                  </w:pPr>
                </w:p>
              </w:tc>
              <w:tc>
                <w:tcPr>
                  <w:tcW w:w="953" w:type="pct"/>
                  <w:vMerge w:val="continue"/>
                  <w:tcBorders>
                    <w:tl2br w:val="nil"/>
                    <w:tr2bl w:val="nil"/>
                  </w:tcBorders>
                  <w:tcMar>
                    <w:top w:w="15" w:type="dxa"/>
                    <w:left w:w="15" w:type="dxa"/>
                    <w:right w:w="15" w:type="dxa"/>
                  </w:tcMar>
                  <w:vAlign w:val="center"/>
                </w:tcPr>
                <w:p w14:paraId="35779406">
                  <w:pPr>
                    <w:pStyle w:val="63"/>
                    <w:rPr>
                      <w:color w:val="auto"/>
                    </w:rPr>
                  </w:pPr>
                </w:p>
              </w:tc>
              <w:tc>
                <w:tcPr>
                  <w:tcW w:w="689" w:type="pct"/>
                  <w:vMerge w:val="continue"/>
                  <w:tcBorders>
                    <w:tl2br w:val="nil"/>
                    <w:tr2bl w:val="nil"/>
                  </w:tcBorders>
                  <w:tcMar>
                    <w:top w:w="15" w:type="dxa"/>
                    <w:left w:w="15" w:type="dxa"/>
                    <w:right w:w="15" w:type="dxa"/>
                  </w:tcMar>
                  <w:vAlign w:val="center"/>
                </w:tcPr>
                <w:p w14:paraId="7B66F780">
                  <w:pPr>
                    <w:pStyle w:val="63"/>
                    <w:rPr>
                      <w:color w:val="auto"/>
                    </w:rPr>
                  </w:pPr>
                </w:p>
              </w:tc>
              <w:tc>
                <w:tcPr>
                  <w:tcW w:w="2000" w:type="pct"/>
                  <w:vMerge w:val="continue"/>
                  <w:tcBorders>
                    <w:tl2br w:val="nil"/>
                    <w:tr2bl w:val="nil"/>
                  </w:tcBorders>
                  <w:tcMar>
                    <w:top w:w="15" w:type="dxa"/>
                    <w:left w:w="15" w:type="dxa"/>
                    <w:right w:w="15" w:type="dxa"/>
                  </w:tcMar>
                  <w:vAlign w:val="center"/>
                </w:tcPr>
                <w:p w14:paraId="43EEC9CF">
                  <w:pPr>
                    <w:pStyle w:val="63"/>
                    <w:rPr>
                      <w:color w:val="auto"/>
                    </w:rPr>
                  </w:pPr>
                </w:p>
              </w:tc>
            </w:tr>
          </w:tbl>
          <w:p w14:paraId="71F1B233">
            <w:pPr>
              <w:pStyle w:val="62"/>
              <w:rPr>
                <w:rFonts w:hint="default"/>
                <w:color w:val="auto"/>
              </w:rPr>
            </w:pPr>
            <w:r>
              <w:rPr>
                <w:color w:val="auto"/>
              </w:rPr>
              <w:t>表5-2环境保护图形标志的形状及颜色表</w:t>
            </w:r>
          </w:p>
          <w:tbl>
            <w:tblPr>
              <w:tblStyle w:val="2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90"/>
              <w:gridCol w:w="1790"/>
              <w:gridCol w:w="1792"/>
              <w:gridCol w:w="1792"/>
            </w:tblGrid>
            <w:tr w14:paraId="6838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249" w:type="pct"/>
                  <w:tcBorders>
                    <w:tl2br w:val="nil"/>
                    <w:tr2bl w:val="nil"/>
                  </w:tcBorders>
                  <w:tcMar>
                    <w:top w:w="15" w:type="dxa"/>
                    <w:left w:w="15" w:type="dxa"/>
                    <w:right w:w="15" w:type="dxa"/>
                  </w:tcMar>
                  <w:vAlign w:val="center"/>
                </w:tcPr>
                <w:p w14:paraId="30BA5FAD">
                  <w:pPr>
                    <w:pStyle w:val="63"/>
                    <w:rPr>
                      <w:b/>
                      <w:bCs/>
                      <w:color w:val="auto"/>
                    </w:rPr>
                  </w:pPr>
                  <w:r>
                    <w:rPr>
                      <w:b/>
                      <w:bCs/>
                      <w:color w:val="auto"/>
                    </w:rPr>
                    <w:t>标志名称</w:t>
                  </w:r>
                </w:p>
              </w:tc>
              <w:tc>
                <w:tcPr>
                  <w:tcW w:w="1249" w:type="pct"/>
                  <w:tcBorders>
                    <w:tl2br w:val="nil"/>
                    <w:tr2bl w:val="nil"/>
                  </w:tcBorders>
                  <w:tcMar>
                    <w:top w:w="15" w:type="dxa"/>
                    <w:left w:w="15" w:type="dxa"/>
                    <w:right w:w="15" w:type="dxa"/>
                  </w:tcMar>
                  <w:vAlign w:val="center"/>
                </w:tcPr>
                <w:p w14:paraId="4CCB3DA7">
                  <w:pPr>
                    <w:pStyle w:val="63"/>
                    <w:rPr>
                      <w:b/>
                      <w:bCs/>
                      <w:color w:val="auto"/>
                    </w:rPr>
                  </w:pPr>
                  <w:r>
                    <w:rPr>
                      <w:b/>
                      <w:bCs/>
                      <w:color w:val="auto"/>
                    </w:rPr>
                    <w:t>形状</w:t>
                  </w:r>
                </w:p>
              </w:tc>
              <w:tc>
                <w:tcPr>
                  <w:tcW w:w="1250" w:type="pct"/>
                  <w:tcBorders>
                    <w:tl2br w:val="nil"/>
                    <w:tr2bl w:val="nil"/>
                  </w:tcBorders>
                  <w:tcMar>
                    <w:top w:w="15" w:type="dxa"/>
                    <w:left w:w="15" w:type="dxa"/>
                    <w:right w:w="15" w:type="dxa"/>
                  </w:tcMar>
                  <w:vAlign w:val="center"/>
                </w:tcPr>
                <w:p w14:paraId="58C5F786">
                  <w:pPr>
                    <w:pStyle w:val="63"/>
                    <w:rPr>
                      <w:b/>
                      <w:bCs/>
                      <w:color w:val="auto"/>
                    </w:rPr>
                  </w:pPr>
                  <w:r>
                    <w:rPr>
                      <w:b/>
                      <w:bCs/>
                      <w:color w:val="auto"/>
                    </w:rPr>
                    <w:t>背景颜色</w:t>
                  </w:r>
                </w:p>
              </w:tc>
              <w:tc>
                <w:tcPr>
                  <w:tcW w:w="1250" w:type="pct"/>
                  <w:tcBorders>
                    <w:tl2br w:val="nil"/>
                    <w:tr2bl w:val="nil"/>
                  </w:tcBorders>
                  <w:tcMar>
                    <w:top w:w="15" w:type="dxa"/>
                    <w:left w:w="15" w:type="dxa"/>
                    <w:right w:w="15" w:type="dxa"/>
                  </w:tcMar>
                  <w:vAlign w:val="center"/>
                </w:tcPr>
                <w:p w14:paraId="7DCDE8BE">
                  <w:pPr>
                    <w:pStyle w:val="63"/>
                    <w:rPr>
                      <w:b/>
                      <w:bCs/>
                      <w:color w:val="auto"/>
                    </w:rPr>
                  </w:pPr>
                  <w:r>
                    <w:rPr>
                      <w:b/>
                      <w:bCs/>
                      <w:color w:val="auto"/>
                    </w:rPr>
                    <w:t>图形颜色</w:t>
                  </w:r>
                </w:p>
              </w:tc>
            </w:tr>
            <w:tr w14:paraId="58D6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249" w:type="pct"/>
                  <w:tcBorders>
                    <w:tl2br w:val="nil"/>
                    <w:tr2bl w:val="nil"/>
                  </w:tcBorders>
                  <w:tcMar>
                    <w:top w:w="15" w:type="dxa"/>
                    <w:left w:w="15" w:type="dxa"/>
                    <w:right w:w="15" w:type="dxa"/>
                  </w:tcMar>
                  <w:vAlign w:val="center"/>
                </w:tcPr>
                <w:p w14:paraId="62C3673A">
                  <w:pPr>
                    <w:pStyle w:val="63"/>
                    <w:rPr>
                      <w:color w:val="auto"/>
                    </w:rPr>
                  </w:pPr>
                  <w:r>
                    <w:rPr>
                      <w:color w:val="auto"/>
                    </w:rPr>
                    <w:t>警告标志</w:t>
                  </w:r>
                </w:p>
              </w:tc>
              <w:tc>
                <w:tcPr>
                  <w:tcW w:w="1249" w:type="pct"/>
                  <w:tcBorders>
                    <w:tl2br w:val="nil"/>
                    <w:tr2bl w:val="nil"/>
                  </w:tcBorders>
                  <w:tcMar>
                    <w:top w:w="15" w:type="dxa"/>
                    <w:left w:w="15" w:type="dxa"/>
                    <w:right w:w="15" w:type="dxa"/>
                  </w:tcMar>
                  <w:vAlign w:val="center"/>
                </w:tcPr>
                <w:p w14:paraId="23335C52">
                  <w:pPr>
                    <w:pStyle w:val="63"/>
                    <w:rPr>
                      <w:color w:val="auto"/>
                    </w:rPr>
                  </w:pPr>
                  <w:r>
                    <w:rPr>
                      <w:color w:val="auto"/>
                    </w:rPr>
                    <w:t>三角形边框</w:t>
                  </w:r>
                </w:p>
              </w:tc>
              <w:tc>
                <w:tcPr>
                  <w:tcW w:w="1250" w:type="pct"/>
                  <w:tcBorders>
                    <w:tl2br w:val="nil"/>
                    <w:tr2bl w:val="nil"/>
                  </w:tcBorders>
                  <w:tcMar>
                    <w:top w:w="15" w:type="dxa"/>
                    <w:left w:w="15" w:type="dxa"/>
                    <w:right w:w="15" w:type="dxa"/>
                  </w:tcMar>
                  <w:vAlign w:val="center"/>
                </w:tcPr>
                <w:p w14:paraId="0235F243">
                  <w:pPr>
                    <w:pStyle w:val="63"/>
                    <w:rPr>
                      <w:color w:val="auto"/>
                    </w:rPr>
                  </w:pPr>
                  <w:r>
                    <w:rPr>
                      <w:color w:val="auto"/>
                    </w:rPr>
                    <w:t>黄色</w:t>
                  </w:r>
                </w:p>
              </w:tc>
              <w:tc>
                <w:tcPr>
                  <w:tcW w:w="1250" w:type="pct"/>
                  <w:tcBorders>
                    <w:tl2br w:val="nil"/>
                    <w:tr2bl w:val="nil"/>
                  </w:tcBorders>
                  <w:tcMar>
                    <w:top w:w="15" w:type="dxa"/>
                    <w:left w:w="15" w:type="dxa"/>
                    <w:right w:w="15" w:type="dxa"/>
                  </w:tcMar>
                  <w:vAlign w:val="center"/>
                </w:tcPr>
                <w:p w14:paraId="5FCD4C81">
                  <w:pPr>
                    <w:pStyle w:val="63"/>
                    <w:rPr>
                      <w:color w:val="auto"/>
                    </w:rPr>
                  </w:pPr>
                  <w:r>
                    <w:rPr>
                      <w:color w:val="auto"/>
                    </w:rPr>
                    <w:t>黑色</w:t>
                  </w:r>
                </w:p>
              </w:tc>
            </w:tr>
            <w:tr w14:paraId="109A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249" w:type="pct"/>
                  <w:tcBorders>
                    <w:tl2br w:val="nil"/>
                    <w:tr2bl w:val="nil"/>
                  </w:tcBorders>
                  <w:tcMar>
                    <w:top w:w="15" w:type="dxa"/>
                    <w:left w:w="15" w:type="dxa"/>
                    <w:right w:w="15" w:type="dxa"/>
                  </w:tcMar>
                  <w:vAlign w:val="center"/>
                </w:tcPr>
                <w:p w14:paraId="15470B97">
                  <w:pPr>
                    <w:pStyle w:val="63"/>
                    <w:rPr>
                      <w:color w:val="auto"/>
                    </w:rPr>
                  </w:pPr>
                  <w:r>
                    <w:rPr>
                      <w:color w:val="auto"/>
                    </w:rPr>
                    <w:t>提示标志</w:t>
                  </w:r>
                </w:p>
              </w:tc>
              <w:tc>
                <w:tcPr>
                  <w:tcW w:w="1249" w:type="pct"/>
                  <w:tcBorders>
                    <w:tl2br w:val="nil"/>
                    <w:tr2bl w:val="nil"/>
                  </w:tcBorders>
                  <w:tcMar>
                    <w:top w:w="15" w:type="dxa"/>
                    <w:left w:w="15" w:type="dxa"/>
                    <w:right w:w="15" w:type="dxa"/>
                  </w:tcMar>
                  <w:vAlign w:val="center"/>
                </w:tcPr>
                <w:p w14:paraId="51F6BF32">
                  <w:pPr>
                    <w:pStyle w:val="63"/>
                    <w:rPr>
                      <w:color w:val="auto"/>
                    </w:rPr>
                  </w:pPr>
                  <w:r>
                    <w:rPr>
                      <w:color w:val="auto"/>
                    </w:rPr>
                    <w:t>正方形边框</w:t>
                  </w:r>
                </w:p>
              </w:tc>
              <w:tc>
                <w:tcPr>
                  <w:tcW w:w="1250" w:type="pct"/>
                  <w:tcBorders>
                    <w:tl2br w:val="nil"/>
                    <w:tr2bl w:val="nil"/>
                  </w:tcBorders>
                  <w:tcMar>
                    <w:top w:w="15" w:type="dxa"/>
                    <w:left w:w="15" w:type="dxa"/>
                    <w:right w:w="15" w:type="dxa"/>
                  </w:tcMar>
                  <w:vAlign w:val="center"/>
                </w:tcPr>
                <w:p w14:paraId="519FD02E">
                  <w:pPr>
                    <w:pStyle w:val="63"/>
                    <w:rPr>
                      <w:color w:val="auto"/>
                    </w:rPr>
                  </w:pPr>
                  <w:r>
                    <w:rPr>
                      <w:color w:val="auto"/>
                    </w:rPr>
                    <w:t>绿色</w:t>
                  </w:r>
                </w:p>
              </w:tc>
              <w:tc>
                <w:tcPr>
                  <w:tcW w:w="1250" w:type="pct"/>
                  <w:tcBorders>
                    <w:tl2br w:val="nil"/>
                    <w:tr2bl w:val="nil"/>
                  </w:tcBorders>
                  <w:tcMar>
                    <w:top w:w="15" w:type="dxa"/>
                    <w:left w:w="15" w:type="dxa"/>
                    <w:right w:w="15" w:type="dxa"/>
                  </w:tcMar>
                  <w:vAlign w:val="center"/>
                </w:tcPr>
                <w:p w14:paraId="31DB7204">
                  <w:pPr>
                    <w:pStyle w:val="63"/>
                    <w:rPr>
                      <w:color w:val="auto"/>
                    </w:rPr>
                  </w:pPr>
                  <w:r>
                    <w:rPr>
                      <w:color w:val="auto"/>
                    </w:rPr>
                    <w:t>白色</w:t>
                  </w:r>
                </w:p>
              </w:tc>
            </w:tr>
          </w:tbl>
          <w:p w14:paraId="1507F2FE">
            <w:pPr>
              <w:adjustRightInd w:val="0"/>
              <w:snapToGrid w:val="0"/>
              <w:jc w:val="center"/>
              <w:rPr>
                <w:rFonts w:cs="宋体"/>
                <w:color w:val="auto"/>
                <w:szCs w:val="21"/>
              </w:rPr>
            </w:pPr>
          </w:p>
        </w:tc>
      </w:tr>
    </w:tbl>
    <w:p w14:paraId="3122BD9C">
      <w:pPr>
        <w:pStyle w:val="20"/>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32" w:name="_Toc8816"/>
      <w:bookmarkStart w:id="33" w:name="_Toc21539"/>
      <w:r>
        <w:rPr>
          <w:rFonts w:hint="eastAsia" w:ascii="黑体" w:hAnsi="黑体" w:eastAsia="黑体"/>
          <w:snapToGrid w:val="0"/>
          <w:color w:val="auto"/>
          <w:sz w:val="30"/>
          <w:szCs w:val="30"/>
        </w:rPr>
        <w:t>六、结论</w:t>
      </w:r>
      <w:bookmarkEnd w:id="32"/>
      <w:bookmarkEnd w:id="3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5465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72409CF9">
            <w:pPr>
              <w:spacing w:line="360" w:lineRule="auto"/>
              <w:ind w:firstLine="480" w:firstLineChars="200"/>
              <w:rPr>
                <w:rFonts w:ascii="宋体" w:cs="宋体"/>
                <w:color w:val="auto"/>
                <w:sz w:val="24"/>
              </w:rPr>
            </w:pPr>
            <w:r>
              <w:rPr>
                <w:rFonts w:hint="eastAsia" w:cs="宋体"/>
                <w:color w:val="auto"/>
                <w:sz w:val="24"/>
              </w:rPr>
              <w:t>江西劲诚永磁新材料有限公司新建机械加工及组件制造中心项目位于江西省赣州市赣州经济技术开发区东至科技大道、南至湘江路、西至青云山路、北至旭日大道</w:t>
            </w:r>
            <w:r>
              <w:rPr>
                <w:rFonts w:hint="eastAsia"/>
                <w:color w:val="auto"/>
                <w:sz w:val="24"/>
              </w:rPr>
              <w:t>，</w:t>
            </w:r>
            <w:r>
              <w:rPr>
                <w:rFonts w:hint="eastAsia" w:ascii="宋体" w:cs="宋体"/>
                <w:color w:val="auto"/>
                <w:sz w:val="24"/>
              </w:rPr>
              <w:t>本项目建设符合国家及地方产业政策，选址合理可行。采用的各项环保设施合理、可靠、有效，各污染物能够做到达标排放，不会对区域环境质量产生明显的影响，污染物的排放总量在当地生态环境部门的控制指标之内。因此本评价认为，在严格执行国家“三同时”的政策和各项规章制度，并切实落实各项污染物防治措施，保证环保设施正常运转的条件下，从环境保护角度而言是可行的。【注：项目基础资料均由建设单位提供，并对其准确性和有效性负责。建设单位未来如需增加本报告表所涉及之外的污染源或对其功能进行调整，则应按要求向有关生态环境保护部门进行申报，并按污染控制目标采取相应的污染治理措施。】</w:t>
            </w:r>
          </w:p>
        </w:tc>
      </w:tr>
    </w:tbl>
    <w:p w14:paraId="17974434">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50DB215">
      <w:pPr>
        <w:pStyle w:val="20"/>
        <w:adjustRightInd w:val="0"/>
        <w:snapToGrid w:val="0"/>
        <w:spacing w:before="0" w:beforeAutospacing="0" w:after="0" w:afterAutospacing="0"/>
        <w:outlineLvl w:val="0"/>
        <w:rPr>
          <w:rFonts w:ascii="黑体" w:hAnsi="黑体" w:eastAsia="黑体"/>
          <w:snapToGrid w:val="0"/>
          <w:color w:val="auto"/>
          <w:sz w:val="32"/>
          <w:szCs w:val="32"/>
        </w:rPr>
      </w:pPr>
      <w:bookmarkStart w:id="34" w:name="_Toc28063"/>
      <w:bookmarkStart w:id="35" w:name="_Toc4943"/>
      <w:r>
        <w:rPr>
          <w:rFonts w:hint="eastAsia" w:ascii="黑体" w:hAnsi="黑体" w:eastAsia="黑体"/>
          <w:snapToGrid w:val="0"/>
          <w:color w:val="auto"/>
          <w:sz w:val="32"/>
          <w:szCs w:val="32"/>
        </w:rPr>
        <w:t>附表</w:t>
      </w:r>
      <w:bookmarkEnd w:id="34"/>
      <w:bookmarkEnd w:id="35"/>
    </w:p>
    <w:p w14:paraId="5A5682E2">
      <w:pPr>
        <w:pStyle w:val="20"/>
        <w:adjustRightInd w:val="0"/>
        <w:snapToGrid w:val="0"/>
        <w:spacing w:before="0" w:beforeAutospacing="0" w:after="0" w:afterAutospacing="0"/>
        <w:jc w:val="center"/>
        <w:outlineLvl w:val="0"/>
        <w:rPr>
          <w:rFonts w:ascii="方正小标宋_GBK" w:hAnsi="黑体" w:eastAsia="方正小标宋_GBK"/>
          <w:snapToGrid w:val="0"/>
          <w:color w:val="auto"/>
          <w:sz w:val="38"/>
          <w:szCs w:val="38"/>
        </w:rPr>
      </w:pPr>
      <w:bookmarkStart w:id="36" w:name="_Toc14244"/>
      <w:bookmarkStart w:id="37" w:name="_Toc25241"/>
      <w:r>
        <w:rPr>
          <w:rFonts w:hint="eastAsia" w:ascii="方正小标宋_GBK" w:hAnsi="黑体" w:eastAsia="方正小标宋_GBK"/>
          <w:snapToGrid w:val="0"/>
          <w:color w:val="auto"/>
          <w:sz w:val="38"/>
          <w:szCs w:val="38"/>
        </w:rPr>
        <w:t>建设项目污染物排放量汇总表</w:t>
      </w:r>
      <w:bookmarkEnd w:id="36"/>
      <w:bookmarkEnd w:id="37"/>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564"/>
        <w:gridCol w:w="1701"/>
        <w:gridCol w:w="1276"/>
        <w:gridCol w:w="1701"/>
        <w:gridCol w:w="1559"/>
        <w:gridCol w:w="1374"/>
        <w:gridCol w:w="1912"/>
        <w:gridCol w:w="1260"/>
      </w:tblGrid>
      <w:tr w14:paraId="72AB2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1" w:type="dxa"/>
            <w:tcBorders>
              <w:tl2br w:val="single" w:color="auto" w:sz="4" w:space="0"/>
            </w:tcBorders>
            <w:tcMar>
              <w:left w:w="28" w:type="dxa"/>
              <w:right w:w="28" w:type="dxa"/>
            </w:tcMar>
            <w:vAlign w:val="center"/>
          </w:tcPr>
          <w:p w14:paraId="204358A2">
            <w:pPr>
              <w:pStyle w:val="50"/>
              <w:spacing w:beforeLines="0" w:afterLines="0" w:line="240" w:lineRule="auto"/>
              <w:rPr>
                <w:rFonts w:ascii="Times New Roman" w:cs="宋体"/>
                <w:b/>
                <w:bCs/>
                <w:snapToGrid w:val="0"/>
                <w:color w:val="auto"/>
                <w:spacing w:val="-6"/>
                <w:kern w:val="21"/>
                <w:szCs w:val="21"/>
              </w:rPr>
            </w:pPr>
            <w:r>
              <w:rPr>
                <w:rFonts w:hint="eastAsia" w:ascii="Times New Roman" w:cs="宋体"/>
                <w:b/>
                <w:bCs/>
                <w:snapToGrid w:val="0"/>
                <w:color w:val="auto"/>
                <w:spacing w:val="-6"/>
                <w:kern w:val="21"/>
                <w:szCs w:val="21"/>
              </w:rPr>
              <w:t>项目</w:t>
            </w:r>
          </w:p>
          <w:p w14:paraId="764B8B26">
            <w:pPr>
              <w:pStyle w:val="50"/>
              <w:spacing w:beforeLines="0" w:afterLines="0" w:line="240" w:lineRule="auto"/>
              <w:jc w:val="left"/>
              <w:rPr>
                <w:rFonts w:ascii="Times New Roman" w:cs="宋体"/>
                <w:b/>
                <w:bCs/>
                <w:snapToGrid w:val="0"/>
                <w:color w:val="auto"/>
                <w:spacing w:val="-6"/>
                <w:kern w:val="21"/>
                <w:szCs w:val="21"/>
              </w:rPr>
            </w:pPr>
            <w:r>
              <w:rPr>
                <w:rFonts w:hint="eastAsia" w:ascii="Times New Roman" w:cs="宋体"/>
                <w:b/>
                <w:bCs/>
                <w:snapToGrid w:val="0"/>
                <w:color w:val="auto"/>
                <w:spacing w:val="-6"/>
                <w:kern w:val="21"/>
                <w:szCs w:val="21"/>
              </w:rPr>
              <w:t>分类</w:t>
            </w:r>
          </w:p>
        </w:tc>
        <w:tc>
          <w:tcPr>
            <w:tcW w:w="1564" w:type="dxa"/>
            <w:tcMar>
              <w:left w:w="28" w:type="dxa"/>
              <w:right w:w="28" w:type="dxa"/>
            </w:tcMar>
            <w:vAlign w:val="center"/>
          </w:tcPr>
          <w:p w14:paraId="03B290D2">
            <w:pPr>
              <w:pStyle w:val="50"/>
              <w:spacing w:beforeLines="0" w:afterLines="0" w:line="240" w:lineRule="auto"/>
              <w:rPr>
                <w:rFonts w:ascii="Times New Roman" w:cs="宋体"/>
                <w:b/>
                <w:bCs/>
                <w:snapToGrid w:val="0"/>
                <w:color w:val="auto"/>
                <w:spacing w:val="-6"/>
                <w:kern w:val="21"/>
                <w:szCs w:val="21"/>
              </w:rPr>
            </w:pPr>
            <w:r>
              <w:rPr>
                <w:rFonts w:hint="eastAsia" w:ascii="Times New Roman" w:cs="宋体"/>
                <w:b/>
                <w:bCs/>
                <w:snapToGrid w:val="0"/>
                <w:color w:val="auto"/>
                <w:spacing w:val="-6"/>
                <w:kern w:val="21"/>
                <w:szCs w:val="21"/>
              </w:rPr>
              <w:t>污染物名称</w:t>
            </w:r>
          </w:p>
        </w:tc>
        <w:tc>
          <w:tcPr>
            <w:tcW w:w="1701" w:type="dxa"/>
            <w:tcMar>
              <w:left w:w="28" w:type="dxa"/>
              <w:right w:w="28" w:type="dxa"/>
            </w:tcMar>
            <w:vAlign w:val="center"/>
          </w:tcPr>
          <w:p w14:paraId="0C03F6BB">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现有工程</w:t>
            </w:r>
          </w:p>
          <w:p w14:paraId="02916911">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w:t>
            </w:r>
            <w:r>
              <w:rPr>
                <w:rFonts w:hint="eastAsia" w:ascii="Times New Roman"/>
                <w:b/>
                <w:bCs/>
                <w:snapToGrid w:val="0"/>
                <w:color w:val="auto"/>
                <w:spacing w:val="-6"/>
                <w:kern w:val="21"/>
                <w:szCs w:val="21"/>
              </w:rPr>
              <w:t>体</w:t>
            </w:r>
            <w:r>
              <w:rPr>
                <w:rFonts w:ascii="Times New Roman"/>
                <w:b/>
                <w:bCs/>
                <w:snapToGrid w:val="0"/>
                <w:color w:val="auto"/>
                <w:spacing w:val="-6"/>
                <w:kern w:val="21"/>
                <w:szCs w:val="21"/>
              </w:rPr>
              <w:t>废</w:t>
            </w:r>
            <w:r>
              <w:rPr>
                <w:rFonts w:hint="eastAsia" w:ascii="Times New Roman"/>
                <w:b/>
                <w:bCs/>
                <w:snapToGrid w:val="0"/>
                <w:color w:val="auto"/>
                <w:spacing w:val="-6"/>
                <w:kern w:val="21"/>
                <w:szCs w:val="21"/>
              </w:rPr>
              <w:t>物</w:t>
            </w:r>
            <w:r>
              <w:rPr>
                <w:rFonts w:ascii="Times New Roman"/>
                <w:b/>
                <w:bCs/>
                <w:snapToGrid w:val="0"/>
                <w:color w:val="auto"/>
                <w:spacing w:val="-6"/>
                <w:kern w:val="21"/>
                <w:szCs w:val="21"/>
              </w:rPr>
              <w:t>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1 \* GB3 \* MERGEFORMAT </w:instrText>
            </w:r>
            <w:r>
              <w:rPr>
                <w:rFonts w:ascii="Times New Roman"/>
                <w:b/>
                <w:bCs/>
                <w:snapToGrid w:val="0"/>
                <w:color w:val="auto"/>
                <w:spacing w:val="-6"/>
                <w:kern w:val="21"/>
                <w:szCs w:val="21"/>
              </w:rPr>
              <w:fldChar w:fldCharType="separate"/>
            </w:r>
            <w:r>
              <w:rPr>
                <w:rFonts w:hint="eastAsia" w:ascii="Times New Roman" w:cs="宋体"/>
                <w:b/>
                <w:bCs/>
                <w:color w:val="auto"/>
                <w:kern w:val="2"/>
                <w:szCs w:val="21"/>
              </w:rPr>
              <w:t>①</w:t>
            </w:r>
            <w:r>
              <w:rPr>
                <w:rFonts w:ascii="Times New Roman"/>
                <w:b/>
                <w:bCs/>
                <w:snapToGrid w:val="0"/>
                <w:color w:val="auto"/>
                <w:spacing w:val="-6"/>
                <w:kern w:val="21"/>
                <w:szCs w:val="21"/>
              </w:rPr>
              <w:fldChar w:fldCharType="end"/>
            </w:r>
          </w:p>
        </w:tc>
        <w:tc>
          <w:tcPr>
            <w:tcW w:w="1276" w:type="dxa"/>
            <w:tcMar>
              <w:left w:w="28" w:type="dxa"/>
              <w:right w:w="28" w:type="dxa"/>
            </w:tcMar>
            <w:vAlign w:val="center"/>
          </w:tcPr>
          <w:p w14:paraId="364AE28F">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现有工程</w:t>
            </w:r>
          </w:p>
          <w:p w14:paraId="6DB7C2CE">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许可排放量</w:t>
            </w:r>
          </w:p>
          <w:p w14:paraId="6EC3A3DD">
            <w:pPr>
              <w:pStyle w:val="50"/>
              <w:spacing w:beforeLines="0" w:afterLines="0"/>
              <w:rPr>
                <w:rFonts w:ascii="Times New Roman"/>
                <w:b/>
                <w:bCs/>
                <w:snapToGrid w:val="0"/>
                <w:color w:val="auto"/>
                <w:spacing w:val="-6"/>
                <w:kern w:val="21"/>
                <w:szCs w:val="21"/>
              </w:rPr>
            </w:pP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2 \* GB3 \* MERGEFORMAT </w:instrText>
            </w:r>
            <w:r>
              <w:rPr>
                <w:rFonts w:ascii="Times New Roman"/>
                <w:b/>
                <w:bCs/>
                <w:snapToGrid w:val="0"/>
                <w:color w:val="auto"/>
                <w:spacing w:val="-6"/>
                <w:kern w:val="21"/>
                <w:szCs w:val="21"/>
              </w:rPr>
              <w:fldChar w:fldCharType="separate"/>
            </w:r>
            <w:r>
              <w:rPr>
                <w:rFonts w:hint="eastAsia" w:ascii="Times New Roman" w:cs="宋体"/>
                <w:b/>
                <w:bCs/>
                <w:snapToGrid w:val="0"/>
                <w:color w:val="auto"/>
                <w:spacing w:val="-6"/>
                <w:kern w:val="21"/>
                <w:szCs w:val="21"/>
              </w:rPr>
              <w:t>②</w:t>
            </w:r>
            <w:r>
              <w:rPr>
                <w:rFonts w:ascii="Times New Roman"/>
                <w:b/>
                <w:bCs/>
                <w:snapToGrid w:val="0"/>
                <w:color w:val="auto"/>
                <w:spacing w:val="-6"/>
                <w:kern w:val="21"/>
                <w:szCs w:val="21"/>
              </w:rPr>
              <w:fldChar w:fldCharType="end"/>
            </w:r>
          </w:p>
        </w:tc>
        <w:tc>
          <w:tcPr>
            <w:tcW w:w="1701" w:type="dxa"/>
            <w:tcMar>
              <w:left w:w="28" w:type="dxa"/>
              <w:right w:w="28" w:type="dxa"/>
            </w:tcMar>
            <w:vAlign w:val="center"/>
          </w:tcPr>
          <w:p w14:paraId="14789B96">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在建工程</w:t>
            </w:r>
          </w:p>
          <w:p w14:paraId="30F0456F">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w:t>
            </w:r>
            <w:r>
              <w:rPr>
                <w:rFonts w:hint="eastAsia" w:ascii="Times New Roman"/>
                <w:b/>
                <w:bCs/>
                <w:snapToGrid w:val="0"/>
                <w:color w:val="auto"/>
                <w:spacing w:val="-6"/>
                <w:kern w:val="21"/>
                <w:szCs w:val="21"/>
              </w:rPr>
              <w:t>体</w:t>
            </w:r>
            <w:r>
              <w:rPr>
                <w:rFonts w:ascii="Times New Roman"/>
                <w:b/>
                <w:bCs/>
                <w:snapToGrid w:val="0"/>
                <w:color w:val="auto"/>
                <w:spacing w:val="-6"/>
                <w:kern w:val="21"/>
                <w:szCs w:val="21"/>
              </w:rPr>
              <w:t>废</w:t>
            </w:r>
            <w:r>
              <w:rPr>
                <w:rFonts w:hint="eastAsia" w:ascii="Times New Roman"/>
                <w:b/>
                <w:bCs/>
                <w:snapToGrid w:val="0"/>
                <w:color w:val="auto"/>
                <w:spacing w:val="-6"/>
                <w:kern w:val="21"/>
                <w:szCs w:val="21"/>
              </w:rPr>
              <w:t>物</w:t>
            </w:r>
            <w:r>
              <w:rPr>
                <w:rFonts w:ascii="Times New Roman"/>
                <w:b/>
                <w:bCs/>
                <w:snapToGrid w:val="0"/>
                <w:color w:val="auto"/>
                <w:spacing w:val="-6"/>
                <w:kern w:val="21"/>
                <w:szCs w:val="21"/>
              </w:rPr>
              <w:t>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3 \* GB3 \* MERGEFORMAT </w:instrText>
            </w:r>
            <w:r>
              <w:rPr>
                <w:rFonts w:ascii="Times New Roman"/>
                <w:b/>
                <w:bCs/>
                <w:snapToGrid w:val="0"/>
                <w:color w:val="auto"/>
                <w:spacing w:val="-6"/>
                <w:kern w:val="21"/>
                <w:szCs w:val="21"/>
              </w:rPr>
              <w:fldChar w:fldCharType="separate"/>
            </w:r>
            <w:r>
              <w:rPr>
                <w:rFonts w:hint="eastAsia" w:ascii="Times New Roman" w:cs="宋体"/>
                <w:b/>
                <w:bCs/>
                <w:color w:val="auto"/>
                <w:kern w:val="2"/>
                <w:szCs w:val="21"/>
              </w:rPr>
              <w:t>③</w:t>
            </w:r>
            <w:r>
              <w:rPr>
                <w:rFonts w:ascii="Times New Roman"/>
                <w:b/>
                <w:bCs/>
                <w:snapToGrid w:val="0"/>
                <w:color w:val="auto"/>
                <w:spacing w:val="-6"/>
                <w:kern w:val="21"/>
                <w:szCs w:val="21"/>
              </w:rPr>
              <w:fldChar w:fldCharType="end"/>
            </w:r>
          </w:p>
        </w:tc>
        <w:tc>
          <w:tcPr>
            <w:tcW w:w="1559" w:type="dxa"/>
            <w:tcMar>
              <w:left w:w="28" w:type="dxa"/>
              <w:right w:w="28" w:type="dxa"/>
            </w:tcMar>
            <w:vAlign w:val="center"/>
          </w:tcPr>
          <w:p w14:paraId="0843A951">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本项目</w:t>
            </w:r>
          </w:p>
          <w:p w14:paraId="1E89E577">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w:t>
            </w:r>
            <w:r>
              <w:rPr>
                <w:rFonts w:hint="eastAsia" w:ascii="Times New Roman"/>
                <w:b/>
                <w:bCs/>
                <w:snapToGrid w:val="0"/>
                <w:color w:val="auto"/>
                <w:spacing w:val="-6"/>
                <w:kern w:val="21"/>
                <w:szCs w:val="21"/>
              </w:rPr>
              <w:t>体</w:t>
            </w:r>
            <w:r>
              <w:rPr>
                <w:rFonts w:ascii="Times New Roman"/>
                <w:b/>
                <w:bCs/>
                <w:snapToGrid w:val="0"/>
                <w:color w:val="auto"/>
                <w:spacing w:val="-6"/>
                <w:kern w:val="21"/>
                <w:szCs w:val="21"/>
              </w:rPr>
              <w:t>废</w:t>
            </w:r>
            <w:r>
              <w:rPr>
                <w:rFonts w:hint="eastAsia" w:ascii="Times New Roman"/>
                <w:b/>
                <w:bCs/>
                <w:snapToGrid w:val="0"/>
                <w:color w:val="auto"/>
                <w:spacing w:val="-6"/>
                <w:kern w:val="21"/>
                <w:szCs w:val="21"/>
              </w:rPr>
              <w:t>物</w:t>
            </w:r>
            <w:r>
              <w:rPr>
                <w:rFonts w:ascii="Times New Roman"/>
                <w:b/>
                <w:bCs/>
                <w:snapToGrid w:val="0"/>
                <w:color w:val="auto"/>
                <w:spacing w:val="-6"/>
                <w:kern w:val="21"/>
                <w:szCs w:val="21"/>
              </w:rPr>
              <w:t>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4 \* GB3 \* MERGEFORMAT </w:instrText>
            </w:r>
            <w:r>
              <w:rPr>
                <w:rFonts w:ascii="Times New Roman"/>
                <w:b/>
                <w:bCs/>
                <w:snapToGrid w:val="0"/>
                <w:color w:val="auto"/>
                <w:spacing w:val="-6"/>
                <w:kern w:val="21"/>
                <w:szCs w:val="21"/>
              </w:rPr>
              <w:fldChar w:fldCharType="separate"/>
            </w:r>
            <w:r>
              <w:rPr>
                <w:rFonts w:hint="eastAsia" w:ascii="Times New Roman" w:cs="宋体"/>
                <w:b/>
                <w:bCs/>
                <w:color w:val="auto"/>
                <w:kern w:val="2"/>
                <w:szCs w:val="21"/>
              </w:rPr>
              <w:t>④</w:t>
            </w:r>
            <w:r>
              <w:rPr>
                <w:rFonts w:ascii="Times New Roman"/>
                <w:b/>
                <w:bCs/>
                <w:snapToGrid w:val="0"/>
                <w:color w:val="auto"/>
                <w:spacing w:val="-6"/>
                <w:kern w:val="21"/>
                <w:szCs w:val="21"/>
              </w:rPr>
              <w:fldChar w:fldCharType="end"/>
            </w:r>
          </w:p>
        </w:tc>
        <w:tc>
          <w:tcPr>
            <w:tcW w:w="1374" w:type="dxa"/>
            <w:tcMar>
              <w:left w:w="28" w:type="dxa"/>
              <w:right w:w="28" w:type="dxa"/>
            </w:tcMar>
            <w:vAlign w:val="center"/>
          </w:tcPr>
          <w:p w14:paraId="6AF26593">
            <w:pPr>
              <w:pStyle w:val="50"/>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以新带老削减量</w:t>
            </w:r>
          </w:p>
          <w:p w14:paraId="53F9FCD0">
            <w:pPr>
              <w:pStyle w:val="50"/>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（新建项目不填）</w:t>
            </w:r>
            <w:r>
              <w:rPr>
                <w:rFonts w:ascii="Times New Roman"/>
                <w:b/>
                <w:bCs/>
                <w:snapToGrid w:val="0"/>
                <w:color w:val="auto"/>
                <w:spacing w:val="-16"/>
                <w:kern w:val="21"/>
                <w:szCs w:val="21"/>
              </w:rPr>
              <w:fldChar w:fldCharType="begin"/>
            </w:r>
            <w:r>
              <w:rPr>
                <w:rFonts w:ascii="Times New Roman"/>
                <w:b/>
                <w:bCs/>
                <w:snapToGrid w:val="0"/>
                <w:color w:val="auto"/>
                <w:spacing w:val="-16"/>
                <w:kern w:val="21"/>
                <w:szCs w:val="21"/>
              </w:rPr>
              <w:instrText xml:space="preserve"> = 5 \* GB3 \* MERGEFORMAT </w:instrText>
            </w:r>
            <w:r>
              <w:rPr>
                <w:rFonts w:ascii="Times New Roman"/>
                <w:b/>
                <w:bCs/>
                <w:snapToGrid w:val="0"/>
                <w:color w:val="auto"/>
                <w:spacing w:val="-16"/>
                <w:kern w:val="21"/>
                <w:szCs w:val="21"/>
              </w:rPr>
              <w:fldChar w:fldCharType="separate"/>
            </w:r>
            <w:r>
              <w:rPr>
                <w:rFonts w:hint="eastAsia" w:ascii="Times New Roman" w:cs="宋体"/>
                <w:b/>
                <w:bCs/>
                <w:color w:val="auto"/>
                <w:kern w:val="2"/>
                <w:szCs w:val="21"/>
              </w:rPr>
              <w:t>⑤</w:t>
            </w:r>
            <w:r>
              <w:rPr>
                <w:rFonts w:ascii="Times New Roman"/>
                <w:b/>
                <w:bCs/>
                <w:snapToGrid w:val="0"/>
                <w:color w:val="auto"/>
                <w:spacing w:val="-16"/>
                <w:kern w:val="21"/>
                <w:szCs w:val="21"/>
              </w:rPr>
              <w:fldChar w:fldCharType="end"/>
            </w:r>
          </w:p>
        </w:tc>
        <w:tc>
          <w:tcPr>
            <w:tcW w:w="1912" w:type="dxa"/>
            <w:tcMar>
              <w:left w:w="28" w:type="dxa"/>
              <w:right w:w="28" w:type="dxa"/>
            </w:tcMar>
            <w:vAlign w:val="center"/>
          </w:tcPr>
          <w:p w14:paraId="48A89226">
            <w:pPr>
              <w:pStyle w:val="50"/>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本项目建成后</w:t>
            </w:r>
          </w:p>
          <w:p w14:paraId="3B0778F3">
            <w:pPr>
              <w:pStyle w:val="50"/>
              <w:spacing w:beforeLines="0" w:afterLines="0" w:line="240" w:lineRule="auto"/>
              <w:rPr>
                <w:rFonts w:ascii="Times New Roman"/>
                <w:b/>
                <w:bCs/>
                <w:snapToGrid w:val="0"/>
                <w:color w:val="auto"/>
                <w:spacing w:val="-16"/>
                <w:kern w:val="21"/>
                <w:szCs w:val="21"/>
              </w:rPr>
            </w:pPr>
            <w:r>
              <w:rPr>
                <w:rFonts w:hint="eastAsia" w:ascii="Times New Roman"/>
                <w:b/>
                <w:bCs/>
                <w:snapToGrid w:val="0"/>
                <w:color w:val="auto"/>
                <w:spacing w:val="-16"/>
                <w:kern w:val="21"/>
                <w:szCs w:val="21"/>
              </w:rPr>
              <w:t>全厂</w:t>
            </w:r>
            <w:r>
              <w:rPr>
                <w:rFonts w:ascii="Times New Roman"/>
                <w:b/>
                <w:bCs/>
                <w:snapToGrid w:val="0"/>
                <w:color w:val="auto"/>
                <w:spacing w:val="-16"/>
                <w:kern w:val="21"/>
                <w:szCs w:val="21"/>
              </w:rPr>
              <w:t>排放量（固</w:t>
            </w:r>
            <w:r>
              <w:rPr>
                <w:rFonts w:hint="eastAsia" w:ascii="Times New Roman"/>
                <w:b/>
                <w:bCs/>
                <w:snapToGrid w:val="0"/>
                <w:color w:val="auto"/>
                <w:spacing w:val="-16"/>
                <w:kern w:val="21"/>
                <w:szCs w:val="21"/>
              </w:rPr>
              <w:t>体</w:t>
            </w:r>
            <w:r>
              <w:rPr>
                <w:rFonts w:ascii="Times New Roman"/>
                <w:b/>
                <w:bCs/>
                <w:snapToGrid w:val="0"/>
                <w:color w:val="auto"/>
                <w:spacing w:val="-16"/>
                <w:kern w:val="21"/>
                <w:szCs w:val="21"/>
              </w:rPr>
              <w:t>废</w:t>
            </w:r>
            <w:r>
              <w:rPr>
                <w:rFonts w:hint="eastAsia" w:ascii="Times New Roman"/>
                <w:b/>
                <w:bCs/>
                <w:snapToGrid w:val="0"/>
                <w:color w:val="auto"/>
                <w:spacing w:val="-16"/>
                <w:kern w:val="21"/>
                <w:szCs w:val="21"/>
              </w:rPr>
              <w:t>物</w:t>
            </w:r>
            <w:r>
              <w:rPr>
                <w:rFonts w:ascii="Times New Roman"/>
                <w:b/>
                <w:bCs/>
                <w:snapToGrid w:val="0"/>
                <w:color w:val="auto"/>
                <w:spacing w:val="-16"/>
                <w:kern w:val="21"/>
                <w:szCs w:val="21"/>
              </w:rPr>
              <w:t>产生量）</w:t>
            </w:r>
            <w:r>
              <w:rPr>
                <w:rFonts w:ascii="Times New Roman"/>
                <w:b/>
                <w:bCs/>
                <w:snapToGrid w:val="0"/>
                <w:color w:val="auto"/>
                <w:spacing w:val="-16"/>
                <w:kern w:val="21"/>
                <w:szCs w:val="21"/>
              </w:rPr>
              <w:fldChar w:fldCharType="begin"/>
            </w:r>
            <w:r>
              <w:rPr>
                <w:rFonts w:ascii="Times New Roman"/>
                <w:b/>
                <w:bCs/>
                <w:snapToGrid w:val="0"/>
                <w:color w:val="auto"/>
                <w:spacing w:val="-16"/>
                <w:kern w:val="21"/>
                <w:szCs w:val="21"/>
              </w:rPr>
              <w:instrText xml:space="preserve"> = 6 \* GB3 \* MERGEFORMAT </w:instrText>
            </w:r>
            <w:r>
              <w:rPr>
                <w:rFonts w:ascii="Times New Roman"/>
                <w:b/>
                <w:bCs/>
                <w:snapToGrid w:val="0"/>
                <w:color w:val="auto"/>
                <w:spacing w:val="-16"/>
                <w:kern w:val="21"/>
                <w:szCs w:val="21"/>
              </w:rPr>
              <w:fldChar w:fldCharType="separate"/>
            </w:r>
            <w:r>
              <w:rPr>
                <w:rFonts w:hint="eastAsia" w:ascii="Times New Roman" w:cs="宋体"/>
                <w:b/>
                <w:bCs/>
                <w:color w:val="auto"/>
                <w:kern w:val="2"/>
                <w:szCs w:val="21"/>
              </w:rPr>
              <w:t>⑥</w:t>
            </w:r>
            <w:r>
              <w:rPr>
                <w:rFonts w:ascii="Times New Roman"/>
                <w:b/>
                <w:bCs/>
                <w:snapToGrid w:val="0"/>
                <w:color w:val="auto"/>
                <w:spacing w:val="-16"/>
                <w:kern w:val="21"/>
                <w:szCs w:val="21"/>
              </w:rPr>
              <w:fldChar w:fldCharType="end"/>
            </w:r>
          </w:p>
        </w:tc>
        <w:tc>
          <w:tcPr>
            <w:tcW w:w="1260" w:type="dxa"/>
            <w:tcMar>
              <w:left w:w="28" w:type="dxa"/>
              <w:right w:w="28" w:type="dxa"/>
            </w:tcMar>
            <w:vAlign w:val="center"/>
          </w:tcPr>
          <w:p w14:paraId="2B52C571">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变化量</w:t>
            </w:r>
          </w:p>
          <w:p w14:paraId="35B9FDC1">
            <w:pPr>
              <w:pStyle w:val="50"/>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7 \* GB3 \* MERGEFORMAT </w:instrText>
            </w:r>
            <w:r>
              <w:rPr>
                <w:rFonts w:ascii="Times New Roman"/>
                <w:b/>
                <w:bCs/>
                <w:snapToGrid w:val="0"/>
                <w:color w:val="auto"/>
                <w:spacing w:val="-6"/>
                <w:kern w:val="21"/>
                <w:szCs w:val="21"/>
              </w:rPr>
              <w:fldChar w:fldCharType="separate"/>
            </w:r>
            <w:r>
              <w:rPr>
                <w:rFonts w:hint="eastAsia" w:ascii="Times New Roman" w:cs="宋体"/>
                <w:b/>
                <w:bCs/>
                <w:color w:val="auto"/>
                <w:kern w:val="2"/>
                <w:szCs w:val="21"/>
              </w:rPr>
              <w:t>⑦</w:t>
            </w:r>
            <w:r>
              <w:rPr>
                <w:rFonts w:ascii="Times New Roman"/>
                <w:b/>
                <w:bCs/>
                <w:snapToGrid w:val="0"/>
                <w:color w:val="auto"/>
                <w:spacing w:val="-6"/>
                <w:kern w:val="21"/>
                <w:szCs w:val="21"/>
              </w:rPr>
              <w:fldChar w:fldCharType="end"/>
            </w:r>
          </w:p>
        </w:tc>
      </w:tr>
      <w:tr w14:paraId="2D0FB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41" w:type="dxa"/>
            <w:vMerge w:val="restart"/>
            <w:vAlign w:val="center"/>
          </w:tcPr>
          <w:p w14:paraId="2353DF60">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废气</w:t>
            </w:r>
          </w:p>
        </w:tc>
        <w:tc>
          <w:tcPr>
            <w:tcW w:w="1564" w:type="dxa"/>
            <w:vAlign w:val="center"/>
          </w:tcPr>
          <w:p w14:paraId="156C5ACA">
            <w:pPr>
              <w:jc w:val="center"/>
              <w:rPr>
                <w:rFonts w:cs="宋体"/>
                <w:snapToGrid w:val="0"/>
                <w:color w:val="auto"/>
                <w:kern w:val="21"/>
                <w:szCs w:val="21"/>
              </w:rPr>
            </w:pPr>
            <w:r>
              <w:rPr>
                <w:rFonts w:hint="eastAsia"/>
                <w:color w:val="auto"/>
              </w:rPr>
              <w:t>氮氧化物</w:t>
            </w:r>
          </w:p>
        </w:tc>
        <w:tc>
          <w:tcPr>
            <w:tcW w:w="1701" w:type="dxa"/>
            <w:vAlign w:val="center"/>
          </w:tcPr>
          <w:p w14:paraId="6CDBD6BA">
            <w:pPr>
              <w:jc w:val="center"/>
              <w:rPr>
                <w:rFonts w:hint="eastAsia" w:eastAsia="宋体"/>
                <w:color w:val="auto"/>
                <w:lang w:eastAsia="zh-CN"/>
              </w:rPr>
            </w:pPr>
            <w:r>
              <w:rPr>
                <w:rFonts w:hint="eastAsia"/>
                <w:color w:val="auto"/>
                <w:lang w:eastAsia="zh-CN"/>
              </w:rPr>
              <w:t>12.484（</w:t>
            </w:r>
            <w:r>
              <w:rPr>
                <w:rFonts w:hint="eastAsia"/>
                <w:color w:val="auto"/>
                <w:lang w:val="en-US" w:eastAsia="zh-CN"/>
              </w:rPr>
              <w:t>含无组织0.714</w:t>
            </w:r>
            <w:r>
              <w:rPr>
                <w:rFonts w:hint="eastAsia"/>
                <w:color w:val="auto"/>
                <w:lang w:eastAsia="zh-CN"/>
              </w:rPr>
              <w:t>）</w:t>
            </w:r>
          </w:p>
        </w:tc>
        <w:tc>
          <w:tcPr>
            <w:tcW w:w="1276" w:type="dxa"/>
            <w:vAlign w:val="center"/>
          </w:tcPr>
          <w:p w14:paraId="42AFFB1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11.77</w:t>
            </w:r>
          </w:p>
        </w:tc>
        <w:tc>
          <w:tcPr>
            <w:tcW w:w="1701" w:type="dxa"/>
            <w:vAlign w:val="center"/>
          </w:tcPr>
          <w:p w14:paraId="3D64A79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4CEA28D7">
            <w:pPr>
              <w:jc w:val="center"/>
              <w:rPr>
                <w:color w:val="auto"/>
              </w:rPr>
            </w:pPr>
            <w:r>
              <w:rPr>
                <w:rFonts w:hint="eastAsia"/>
                <w:color w:val="auto"/>
              </w:rPr>
              <w:t>0</w:t>
            </w:r>
          </w:p>
        </w:tc>
        <w:tc>
          <w:tcPr>
            <w:tcW w:w="1374" w:type="dxa"/>
            <w:shd w:val="clear" w:color="auto" w:fill="auto"/>
            <w:vAlign w:val="center"/>
          </w:tcPr>
          <w:p w14:paraId="3EEA5F47">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3FFCC01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12.484</w:t>
            </w:r>
          </w:p>
        </w:tc>
        <w:tc>
          <w:tcPr>
            <w:tcW w:w="1260" w:type="dxa"/>
            <w:shd w:val="clear" w:color="auto" w:fill="auto"/>
            <w:vAlign w:val="center"/>
          </w:tcPr>
          <w:p w14:paraId="1ECCB6CF">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E6C4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27EBC8C4">
            <w:pPr>
              <w:pStyle w:val="50"/>
              <w:spacing w:beforeLines="0" w:afterLines="0" w:line="240" w:lineRule="auto"/>
              <w:rPr>
                <w:rFonts w:ascii="Times New Roman" w:cs="宋体"/>
                <w:snapToGrid w:val="0"/>
                <w:color w:val="auto"/>
                <w:kern w:val="21"/>
                <w:szCs w:val="21"/>
              </w:rPr>
            </w:pPr>
          </w:p>
        </w:tc>
        <w:tc>
          <w:tcPr>
            <w:tcW w:w="1564" w:type="dxa"/>
            <w:vAlign w:val="center"/>
          </w:tcPr>
          <w:p w14:paraId="01B44AAB">
            <w:pPr>
              <w:jc w:val="center"/>
              <w:rPr>
                <w:rFonts w:cs="宋体"/>
                <w:snapToGrid w:val="0"/>
                <w:color w:val="auto"/>
                <w:kern w:val="21"/>
                <w:szCs w:val="21"/>
              </w:rPr>
            </w:pPr>
            <w:r>
              <w:rPr>
                <w:rFonts w:hint="eastAsia"/>
                <w:color w:val="auto"/>
              </w:rPr>
              <w:t>氯化氢</w:t>
            </w:r>
          </w:p>
        </w:tc>
        <w:tc>
          <w:tcPr>
            <w:tcW w:w="1701" w:type="dxa"/>
            <w:vAlign w:val="center"/>
          </w:tcPr>
          <w:p w14:paraId="612DD1BD">
            <w:pPr>
              <w:jc w:val="center"/>
              <w:rPr>
                <w:color w:val="auto"/>
              </w:rPr>
            </w:pPr>
            <w:r>
              <w:rPr>
                <w:rFonts w:hint="eastAsia"/>
                <w:color w:val="auto"/>
              </w:rPr>
              <w:t>0.0054</w:t>
            </w:r>
          </w:p>
        </w:tc>
        <w:tc>
          <w:tcPr>
            <w:tcW w:w="1276" w:type="dxa"/>
            <w:vAlign w:val="center"/>
          </w:tcPr>
          <w:p w14:paraId="309A3608">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14F9D2F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62340BFE">
            <w:pPr>
              <w:jc w:val="center"/>
              <w:rPr>
                <w:color w:val="auto"/>
              </w:rPr>
            </w:pPr>
            <w:r>
              <w:rPr>
                <w:rFonts w:hint="eastAsia"/>
                <w:color w:val="auto"/>
              </w:rPr>
              <w:t>0</w:t>
            </w:r>
          </w:p>
        </w:tc>
        <w:tc>
          <w:tcPr>
            <w:tcW w:w="1374" w:type="dxa"/>
            <w:shd w:val="clear" w:color="auto" w:fill="auto"/>
            <w:vAlign w:val="center"/>
          </w:tcPr>
          <w:p w14:paraId="44B5EF5B">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1D3E8F2E">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1260" w:type="dxa"/>
            <w:shd w:val="clear" w:color="auto" w:fill="auto"/>
            <w:vAlign w:val="center"/>
          </w:tcPr>
          <w:p w14:paraId="62EC9D9F">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123C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3681F282">
            <w:pPr>
              <w:pStyle w:val="50"/>
              <w:spacing w:beforeLines="0" w:afterLines="0" w:line="240" w:lineRule="auto"/>
              <w:rPr>
                <w:rFonts w:ascii="Times New Roman" w:cs="宋体"/>
                <w:snapToGrid w:val="0"/>
                <w:color w:val="auto"/>
                <w:kern w:val="21"/>
                <w:szCs w:val="21"/>
              </w:rPr>
            </w:pPr>
          </w:p>
        </w:tc>
        <w:tc>
          <w:tcPr>
            <w:tcW w:w="1564" w:type="dxa"/>
            <w:vAlign w:val="center"/>
          </w:tcPr>
          <w:p w14:paraId="1C12A6FC">
            <w:pPr>
              <w:jc w:val="center"/>
              <w:rPr>
                <w:rFonts w:cs="宋体"/>
                <w:snapToGrid w:val="0"/>
                <w:color w:val="auto"/>
                <w:kern w:val="21"/>
                <w:szCs w:val="21"/>
              </w:rPr>
            </w:pPr>
            <w:r>
              <w:rPr>
                <w:rFonts w:hint="eastAsia"/>
                <w:color w:val="auto"/>
              </w:rPr>
              <w:t>VOCs</w:t>
            </w:r>
          </w:p>
        </w:tc>
        <w:tc>
          <w:tcPr>
            <w:tcW w:w="1701" w:type="dxa"/>
            <w:vAlign w:val="center"/>
          </w:tcPr>
          <w:p w14:paraId="7570A6AB">
            <w:pPr>
              <w:jc w:val="center"/>
              <w:rPr>
                <w:color w:val="auto"/>
              </w:rPr>
            </w:pPr>
            <w:r>
              <w:rPr>
                <w:rFonts w:hint="eastAsia"/>
                <w:color w:val="auto"/>
              </w:rPr>
              <w:t>5.503</w:t>
            </w:r>
          </w:p>
        </w:tc>
        <w:tc>
          <w:tcPr>
            <w:tcW w:w="1276" w:type="dxa"/>
            <w:vAlign w:val="center"/>
          </w:tcPr>
          <w:p w14:paraId="52AA450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4.07</w:t>
            </w:r>
          </w:p>
        </w:tc>
        <w:tc>
          <w:tcPr>
            <w:tcW w:w="1701" w:type="dxa"/>
            <w:vAlign w:val="center"/>
          </w:tcPr>
          <w:p w14:paraId="1A4FC797">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5FD3D806">
            <w:pPr>
              <w:jc w:val="center"/>
              <w:rPr>
                <w:color w:val="auto"/>
              </w:rPr>
            </w:pPr>
            <w:r>
              <w:rPr>
                <w:rFonts w:hint="eastAsia"/>
                <w:color w:val="auto"/>
              </w:rPr>
              <w:t>0</w:t>
            </w:r>
          </w:p>
        </w:tc>
        <w:tc>
          <w:tcPr>
            <w:tcW w:w="1374" w:type="dxa"/>
            <w:shd w:val="clear" w:color="auto" w:fill="auto"/>
            <w:vAlign w:val="center"/>
          </w:tcPr>
          <w:p w14:paraId="5C651AE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54986C9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5.503</w:t>
            </w:r>
          </w:p>
        </w:tc>
        <w:tc>
          <w:tcPr>
            <w:tcW w:w="1260" w:type="dxa"/>
            <w:shd w:val="clear" w:color="auto" w:fill="auto"/>
            <w:vAlign w:val="center"/>
          </w:tcPr>
          <w:p w14:paraId="38D7B624">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w:t>
            </w:r>
          </w:p>
        </w:tc>
      </w:tr>
      <w:tr w14:paraId="06A3D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2CF5CDB0">
            <w:pPr>
              <w:pStyle w:val="50"/>
              <w:spacing w:beforeLines="0" w:afterLines="0" w:line="240" w:lineRule="auto"/>
              <w:rPr>
                <w:rFonts w:ascii="Times New Roman" w:cs="宋体"/>
                <w:snapToGrid w:val="0"/>
                <w:color w:val="auto"/>
                <w:kern w:val="21"/>
                <w:szCs w:val="21"/>
              </w:rPr>
            </w:pPr>
          </w:p>
        </w:tc>
        <w:tc>
          <w:tcPr>
            <w:tcW w:w="1564" w:type="dxa"/>
            <w:vAlign w:val="center"/>
          </w:tcPr>
          <w:p w14:paraId="4A0419D0">
            <w:pPr>
              <w:jc w:val="center"/>
              <w:rPr>
                <w:rFonts w:cs="宋体"/>
                <w:snapToGrid w:val="0"/>
                <w:color w:val="auto"/>
                <w:kern w:val="21"/>
                <w:szCs w:val="21"/>
              </w:rPr>
            </w:pPr>
            <w:r>
              <w:rPr>
                <w:rFonts w:hint="eastAsia"/>
                <w:color w:val="auto"/>
              </w:rPr>
              <w:t>非甲烷总烃</w:t>
            </w:r>
          </w:p>
        </w:tc>
        <w:tc>
          <w:tcPr>
            <w:tcW w:w="1701" w:type="dxa"/>
            <w:vAlign w:val="center"/>
          </w:tcPr>
          <w:p w14:paraId="531998F5">
            <w:pPr>
              <w:jc w:val="center"/>
              <w:rPr>
                <w:color w:val="auto"/>
              </w:rPr>
            </w:pPr>
            <w:r>
              <w:rPr>
                <w:rFonts w:hint="eastAsia"/>
                <w:color w:val="auto"/>
              </w:rPr>
              <w:t>0.97</w:t>
            </w:r>
          </w:p>
        </w:tc>
        <w:tc>
          <w:tcPr>
            <w:tcW w:w="1276" w:type="dxa"/>
            <w:vAlign w:val="center"/>
          </w:tcPr>
          <w:p w14:paraId="45EE229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7CB53050">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70E70521">
            <w:pPr>
              <w:jc w:val="center"/>
              <w:rPr>
                <w:rFonts w:hint="eastAsia" w:eastAsia="宋体"/>
                <w:color w:val="auto"/>
                <w:lang w:val="en-US" w:eastAsia="zh-CN"/>
              </w:rPr>
            </w:pPr>
            <w:r>
              <w:rPr>
                <w:rFonts w:hint="eastAsia"/>
                <w:color w:val="auto"/>
              </w:rPr>
              <w:t>0.09</w:t>
            </w:r>
            <w:r>
              <w:rPr>
                <w:rFonts w:hint="eastAsia"/>
                <w:color w:val="auto"/>
                <w:lang w:val="en-US" w:eastAsia="zh-CN"/>
              </w:rPr>
              <w:t>1</w:t>
            </w:r>
          </w:p>
        </w:tc>
        <w:tc>
          <w:tcPr>
            <w:tcW w:w="1374" w:type="dxa"/>
            <w:shd w:val="clear" w:color="auto" w:fill="auto"/>
            <w:vAlign w:val="center"/>
          </w:tcPr>
          <w:p w14:paraId="2AA24179">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4877353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1.061</w:t>
            </w:r>
          </w:p>
        </w:tc>
        <w:tc>
          <w:tcPr>
            <w:tcW w:w="1260" w:type="dxa"/>
            <w:shd w:val="clear" w:color="auto" w:fill="auto"/>
            <w:vAlign w:val="center"/>
          </w:tcPr>
          <w:p w14:paraId="4D7AA140">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0.091</w:t>
            </w:r>
          </w:p>
        </w:tc>
      </w:tr>
      <w:tr w14:paraId="768F2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2DAC715F">
            <w:pPr>
              <w:pStyle w:val="50"/>
              <w:spacing w:beforeLines="0" w:afterLines="0" w:line="240" w:lineRule="auto"/>
              <w:rPr>
                <w:rFonts w:ascii="Times New Roman" w:cs="宋体"/>
                <w:snapToGrid w:val="0"/>
                <w:color w:val="auto"/>
                <w:kern w:val="21"/>
                <w:szCs w:val="21"/>
              </w:rPr>
            </w:pPr>
          </w:p>
        </w:tc>
        <w:tc>
          <w:tcPr>
            <w:tcW w:w="1564" w:type="dxa"/>
            <w:vAlign w:val="center"/>
          </w:tcPr>
          <w:p w14:paraId="0D8B360E">
            <w:pPr>
              <w:jc w:val="center"/>
              <w:rPr>
                <w:rFonts w:cs="宋体"/>
                <w:snapToGrid w:val="0"/>
                <w:color w:val="auto"/>
                <w:kern w:val="21"/>
                <w:szCs w:val="21"/>
              </w:rPr>
            </w:pPr>
            <w:r>
              <w:rPr>
                <w:rFonts w:hint="eastAsia"/>
                <w:color w:val="auto"/>
              </w:rPr>
              <w:t>丙酮</w:t>
            </w:r>
          </w:p>
        </w:tc>
        <w:tc>
          <w:tcPr>
            <w:tcW w:w="1701" w:type="dxa"/>
            <w:vAlign w:val="center"/>
          </w:tcPr>
          <w:p w14:paraId="1E3CA3B4">
            <w:pPr>
              <w:jc w:val="center"/>
              <w:rPr>
                <w:color w:val="auto"/>
              </w:rPr>
            </w:pPr>
            <w:r>
              <w:rPr>
                <w:rFonts w:hint="eastAsia"/>
                <w:color w:val="auto"/>
              </w:rPr>
              <w:t>0.74</w:t>
            </w:r>
          </w:p>
        </w:tc>
        <w:tc>
          <w:tcPr>
            <w:tcW w:w="1276" w:type="dxa"/>
            <w:vAlign w:val="center"/>
          </w:tcPr>
          <w:p w14:paraId="463AD1F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20767E4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69CFB75F">
            <w:pPr>
              <w:jc w:val="center"/>
              <w:rPr>
                <w:color w:val="auto"/>
              </w:rPr>
            </w:pPr>
            <w:r>
              <w:rPr>
                <w:rFonts w:hint="eastAsia"/>
                <w:color w:val="auto"/>
              </w:rPr>
              <w:t>0</w:t>
            </w:r>
          </w:p>
        </w:tc>
        <w:tc>
          <w:tcPr>
            <w:tcW w:w="1374" w:type="dxa"/>
            <w:shd w:val="clear" w:color="auto" w:fill="auto"/>
            <w:vAlign w:val="center"/>
          </w:tcPr>
          <w:p w14:paraId="7567787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48FA8149">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1260" w:type="dxa"/>
            <w:shd w:val="clear" w:color="auto" w:fill="auto"/>
            <w:vAlign w:val="center"/>
          </w:tcPr>
          <w:p w14:paraId="1C8EB55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0104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2FCCC051">
            <w:pPr>
              <w:pStyle w:val="50"/>
              <w:spacing w:beforeLines="0" w:afterLines="0" w:line="240" w:lineRule="auto"/>
              <w:rPr>
                <w:rFonts w:ascii="Times New Roman" w:cs="宋体"/>
                <w:snapToGrid w:val="0"/>
                <w:color w:val="auto"/>
                <w:kern w:val="21"/>
                <w:szCs w:val="21"/>
              </w:rPr>
            </w:pPr>
          </w:p>
        </w:tc>
        <w:tc>
          <w:tcPr>
            <w:tcW w:w="1564" w:type="dxa"/>
            <w:vAlign w:val="center"/>
          </w:tcPr>
          <w:p w14:paraId="43C2208C">
            <w:pPr>
              <w:jc w:val="center"/>
              <w:rPr>
                <w:rFonts w:cs="宋体"/>
                <w:snapToGrid w:val="0"/>
                <w:color w:val="auto"/>
                <w:kern w:val="21"/>
                <w:szCs w:val="21"/>
              </w:rPr>
            </w:pPr>
            <w:r>
              <w:rPr>
                <w:rFonts w:hint="eastAsia"/>
                <w:color w:val="auto"/>
              </w:rPr>
              <w:t>颗粒物</w:t>
            </w:r>
          </w:p>
        </w:tc>
        <w:tc>
          <w:tcPr>
            <w:tcW w:w="1701" w:type="dxa"/>
            <w:vAlign w:val="center"/>
          </w:tcPr>
          <w:p w14:paraId="49F97D30">
            <w:pPr>
              <w:jc w:val="center"/>
              <w:rPr>
                <w:color w:val="auto"/>
              </w:rPr>
            </w:pPr>
            <w:r>
              <w:rPr>
                <w:rFonts w:hint="eastAsia"/>
                <w:color w:val="auto"/>
              </w:rPr>
              <w:t>9.7408</w:t>
            </w:r>
          </w:p>
        </w:tc>
        <w:tc>
          <w:tcPr>
            <w:tcW w:w="1276" w:type="dxa"/>
            <w:vAlign w:val="center"/>
          </w:tcPr>
          <w:p w14:paraId="7FEA1D5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774B152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435BA1CA">
            <w:pPr>
              <w:jc w:val="center"/>
              <w:rPr>
                <w:rFonts w:hint="default" w:eastAsia="宋体"/>
                <w:color w:val="auto"/>
                <w:lang w:val="en-US" w:eastAsia="zh-CN"/>
              </w:rPr>
            </w:pPr>
            <w:bookmarkStart w:id="38" w:name="_GoBack"/>
            <w:r>
              <w:rPr>
                <w:rFonts w:hint="eastAsia"/>
                <w:color w:val="auto"/>
              </w:rPr>
              <w:t>0.</w:t>
            </w:r>
            <w:r>
              <w:rPr>
                <w:rFonts w:hint="eastAsia"/>
                <w:color w:val="auto"/>
                <w:lang w:val="en-US" w:eastAsia="zh-CN"/>
              </w:rPr>
              <w:t>641</w:t>
            </w:r>
            <w:bookmarkEnd w:id="38"/>
          </w:p>
        </w:tc>
        <w:tc>
          <w:tcPr>
            <w:tcW w:w="1374" w:type="dxa"/>
            <w:shd w:val="clear" w:color="auto" w:fill="auto"/>
            <w:vAlign w:val="center"/>
          </w:tcPr>
          <w:p w14:paraId="24CA92C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54139EC0">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10.3818</w:t>
            </w:r>
          </w:p>
        </w:tc>
        <w:tc>
          <w:tcPr>
            <w:tcW w:w="1260" w:type="dxa"/>
            <w:shd w:val="clear" w:color="auto" w:fill="auto"/>
            <w:vAlign w:val="center"/>
          </w:tcPr>
          <w:p w14:paraId="546C633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0.641</w:t>
            </w:r>
          </w:p>
        </w:tc>
      </w:tr>
      <w:tr w14:paraId="61A2A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50B39D98">
            <w:pPr>
              <w:pStyle w:val="50"/>
              <w:spacing w:beforeLines="0" w:afterLines="0" w:line="240" w:lineRule="auto"/>
              <w:rPr>
                <w:rFonts w:ascii="Times New Roman" w:cs="宋体"/>
                <w:snapToGrid w:val="0"/>
                <w:color w:val="auto"/>
                <w:kern w:val="21"/>
                <w:szCs w:val="21"/>
              </w:rPr>
            </w:pPr>
          </w:p>
        </w:tc>
        <w:tc>
          <w:tcPr>
            <w:tcW w:w="1564" w:type="dxa"/>
            <w:vAlign w:val="center"/>
          </w:tcPr>
          <w:p w14:paraId="11FC1499">
            <w:pPr>
              <w:jc w:val="center"/>
              <w:rPr>
                <w:rFonts w:cs="宋体"/>
                <w:snapToGrid w:val="0"/>
                <w:color w:val="auto"/>
                <w:kern w:val="21"/>
                <w:szCs w:val="21"/>
              </w:rPr>
            </w:pPr>
            <w:r>
              <w:rPr>
                <w:rFonts w:hint="eastAsia"/>
                <w:color w:val="auto"/>
              </w:rPr>
              <w:t>二氧化硫</w:t>
            </w:r>
          </w:p>
        </w:tc>
        <w:tc>
          <w:tcPr>
            <w:tcW w:w="1701" w:type="dxa"/>
            <w:vAlign w:val="center"/>
          </w:tcPr>
          <w:p w14:paraId="12D682BF">
            <w:pPr>
              <w:jc w:val="center"/>
              <w:rPr>
                <w:color w:val="auto"/>
              </w:rPr>
            </w:pPr>
            <w:r>
              <w:rPr>
                <w:rFonts w:hint="eastAsia"/>
                <w:color w:val="auto"/>
              </w:rPr>
              <w:t>2.9</w:t>
            </w:r>
          </w:p>
        </w:tc>
        <w:tc>
          <w:tcPr>
            <w:tcW w:w="1276" w:type="dxa"/>
            <w:vAlign w:val="center"/>
          </w:tcPr>
          <w:p w14:paraId="5A3CE41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3D142400">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6F064279">
            <w:pPr>
              <w:jc w:val="center"/>
              <w:rPr>
                <w:color w:val="auto"/>
              </w:rPr>
            </w:pPr>
            <w:r>
              <w:rPr>
                <w:rFonts w:hint="eastAsia"/>
                <w:color w:val="auto"/>
              </w:rPr>
              <w:t>0</w:t>
            </w:r>
          </w:p>
        </w:tc>
        <w:tc>
          <w:tcPr>
            <w:tcW w:w="1374" w:type="dxa"/>
            <w:shd w:val="clear" w:color="auto" w:fill="auto"/>
            <w:vAlign w:val="center"/>
          </w:tcPr>
          <w:p w14:paraId="3F2DA19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6529D4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260" w:type="dxa"/>
            <w:shd w:val="clear" w:color="auto" w:fill="auto"/>
            <w:vAlign w:val="center"/>
          </w:tcPr>
          <w:p w14:paraId="6340389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488B1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519E719E">
            <w:pPr>
              <w:pStyle w:val="50"/>
              <w:spacing w:beforeLines="0" w:afterLines="0" w:line="240" w:lineRule="auto"/>
              <w:rPr>
                <w:rFonts w:ascii="Times New Roman" w:cs="宋体"/>
                <w:snapToGrid w:val="0"/>
                <w:color w:val="auto"/>
                <w:kern w:val="21"/>
                <w:szCs w:val="21"/>
              </w:rPr>
            </w:pPr>
          </w:p>
        </w:tc>
        <w:tc>
          <w:tcPr>
            <w:tcW w:w="1564" w:type="dxa"/>
            <w:vAlign w:val="center"/>
          </w:tcPr>
          <w:p w14:paraId="1A337B3D">
            <w:pPr>
              <w:jc w:val="center"/>
              <w:rPr>
                <w:rFonts w:cs="宋体"/>
                <w:snapToGrid w:val="0"/>
                <w:color w:val="auto"/>
                <w:kern w:val="21"/>
                <w:szCs w:val="21"/>
              </w:rPr>
            </w:pPr>
            <w:r>
              <w:rPr>
                <w:rFonts w:hint="eastAsia"/>
                <w:color w:val="auto"/>
              </w:rPr>
              <w:t>二甲苯</w:t>
            </w:r>
          </w:p>
        </w:tc>
        <w:tc>
          <w:tcPr>
            <w:tcW w:w="1701" w:type="dxa"/>
            <w:vAlign w:val="center"/>
          </w:tcPr>
          <w:p w14:paraId="4091D62E">
            <w:pPr>
              <w:jc w:val="center"/>
              <w:rPr>
                <w:color w:val="auto"/>
              </w:rPr>
            </w:pPr>
            <w:r>
              <w:rPr>
                <w:rFonts w:hint="eastAsia"/>
                <w:color w:val="auto"/>
              </w:rPr>
              <w:t>0.43</w:t>
            </w:r>
          </w:p>
        </w:tc>
        <w:tc>
          <w:tcPr>
            <w:tcW w:w="1276" w:type="dxa"/>
            <w:vAlign w:val="center"/>
          </w:tcPr>
          <w:p w14:paraId="18194AC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34E9F9C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690FB7A6">
            <w:pPr>
              <w:jc w:val="center"/>
              <w:rPr>
                <w:color w:val="auto"/>
              </w:rPr>
            </w:pPr>
            <w:r>
              <w:rPr>
                <w:rFonts w:hint="eastAsia"/>
                <w:color w:val="auto"/>
              </w:rPr>
              <w:t>0</w:t>
            </w:r>
          </w:p>
        </w:tc>
        <w:tc>
          <w:tcPr>
            <w:tcW w:w="1374" w:type="dxa"/>
            <w:shd w:val="clear" w:color="auto" w:fill="auto"/>
            <w:vAlign w:val="center"/>
          </w:tcPr>
          <w:p w14:paraId="52F193BB">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57B1282">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260" w:type="dxa"/>
            <w:shd w:val="clear" w:color="auto" w:fill="auto"/>
            <w:vAlign w:val="center"/>
          </w:tcPr>
          <w:p w14:paraId="5EA737BA">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46C4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2881402C">
            <w:pPr>
              <w:pStyle w:val="50"/>
              <w:spacing w:beforeLines="0" w:afterLines="0" w:line="240" w:lineRule="auto"/>
              <w:rPr>
                <w:rFonts w:ascii="Times New Roman" w:cs="宋体"/>
                <w:snapToGrid w:val="0"/>
                <w:color w:val="auto"/>
                <w:kern w:val="21"/>
                <w:szCs w:val="21"/>
              </w:rPr>
            </w:pPr>
          </w:p>
        </w:tc>
        <w:tc>
          <w:tcPr>
            <w:tcW w:w="1564" w:type="dxa"/>
            <w:vAlign w:val="center"/>
          </w:tcPr>
          <w:p w14:paraId="62992FC1">
            <w:pPr>
              <w:jc w:val="center"/>
              <w:rPr>
                <w:rFonts w:cs="宋体"/>
                <w:snapToGrid w:val="0"/>
                <w:color w:val="auto"/>
                <w:kern w:val="21"/>
                <w:szCs w:val="21"/>
              </w:rPr>
            </w:pPr>
            <w:r>
              <w:rPr>
                <w:rFonts w:hint="eastAsia"/>
                <w:color w:val="auto"/>
              </w:rPr>
              <w:t>甲醛</w:t>
            </w:r>
          </w:p>
        </w:tc>
        <w:tc>
          <w:tcPr>
            <w:tcW w:w="1701" w:type="dxa"/>
            <w:vAlign w:val="center"/>
          </w:tcPr>
          <w:p w14:paraId="1F5DB890">
            <w:pPr>
              <w:jc w:val="center"/>
              <w:rPr>
                <w:color w:val="auto"/>
              </w:rPr>
            </w:pPr>
            <w:r>
              <w:rPr>
                <w:rFonts w:hint="eastAsia"/>
                <w:color w:val="auto"/>
              </w:rPr>
              <w:t>0.0221</w:t>
            </w:r>
          </w:p>
        </w:tc>
        <w:tc>
          <w:tcPr>
            <w:tcW w:w="1276" w:type="dxa"/>
            <w:vAlign w:val="center"/>
          </w:tcPr>
          <w:p w14:paraId="569C67F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519BCA27">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17DC1F39">
            <w:pPr>
              <w:jc w:val="center"/>
              <w:rPr>
                <w:color w:val="auto"/>
              </w:rPr>
            </w:pPr>
            <w:r>
              <w:rPr>
                <w:rFonts w:hint="eastAsia"/>
                <w:color w:val="auto"/>
              </w:rPr>
              <w:t>0</w:t>
            </w:r>
          </w:p>
        </w:tc>
        <w:tc>
          <w:tcPr>
            <w:tcW w:w="1374" w:type="dxa"/>
            <w:shd w:val="clear" w:color="auto" w:fill="auto"/>
            <w:vAlign w:val="center"/>
          </w:tcPr>
          <w:p w14:paraId="60A807E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534623C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0.0221</w:t>
            </w:r>
          </w:p>
        </w:tc>
        <w:tc>
          <w:tcPr>
            <w:tcW w:w="1260" w:type="dxa"/>
            <w:shd w:val="clear" w:color="auto" w:fill="auto"/>
            <w:vAlign w:val="center"/>
          </w:tcPr>
          <w:p w14:paraId="245241F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9E82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40B5E18C">
            <w:pPr>
              <w:pStyle w:val="50"/>
              <w:spacing w:beforeLines="0" w:afterLines="0" w:line="240" w:lineRule="auto"/>
              <w:rPr>
                <w:rFonts w:ascii="Times New Roman" w:cs="宋体"/>
                <w:snapToGrid w:val="0"/>
                <w:color w:val="auto"/>
                <w:kern w:val="21"/>
                <w:szCs w:val="21"/>
              </w:rPr>
            </w:pPr>
          </w:p>
        </w:tc>
        <w:tc>
          <w:tcPr>
            <w:tcW w:w="1564" w:type="dxa"/>
            <w:vAlign w:val="center"/>
          </w:tcPr>
          <w:p w14:paraId="3CD6EE7D">
            <w:pPr>
              <w:jc w:val="center"/>
              <w:rPr>
                <w:color w:val="auto"/>
              </w:rPr>
            </w:pPr>
            <w:r>
              <w:rPr>
                <w:rFonts w:hint="eastAsia"/>
                <w:color w:val="auto"/>
              </w:rPr>
              <w:t>甲苯</w:t>
            </w:r>
          </w:p>
        </w:tc>
        <w:tc>
          <w:tcPr>
            <w:tcW w:w="1701" w:type="dxa"/>
            <w:vAlign w:val="center"/>
          </w:tcPr>
          <w:p w14:paraId="2B1C7EB0">
            <w:pPr>
              <w:jc w:val="center"/>
              <w:rPr>
                <w:color w:val="auto"/>
              </w:rPr>
            </w:pPr>
            <w:r>
              <w:rPr>
                <w:rFonts w:hint="eastAsia"/>
                <w:color w:val="auto"/>
              </w:rPr>
              <w:t>0.17</w:t>
            </w:r>
          </w:p>
        </w:tc>
        <w:tc>
          <w:tcPr>
            <w:tcW w:w="1276" w:type="dxa"/>
            <w:vAlign w:val="center"/>
          </w:tcPr>
          <w:p w14:paraId="4AF9901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0FD0495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vAlign w:val="center"/>
          </w:tcPr>
          <w:p w14:paraId="07958E5B">
            <w:pPr>
              <w:jc w:val="center"/>
              <w:rPr>
                <w:color w:val="auto"/>
              </w:rPr>
            </w:pPr>
            <w:r>
              <w:rPr>
                <w:rFonts w:hint="eastAsia"/>
                <w:color w:val="auto"/>
              </w:rPr>
              <w:t>0</w:t>
            </w:r>
          </w:p>
        </w:tc>
        <w:tc>
          <w:tcPr>
            <w:tcW w:w="1374" w:type="dxa"/>
            <w:shd w:val="clear" w:color="auto" w:fill="auto"/>
            <w:vAlign w:val="center"/>
          </w:tcPr>
          <w:p w14:paraId="25238F1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4237B3D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260" w:type="dxa"/>
            <w:shd w:val="clear" w:color="auto" w:fill="auto"/>
            <w:vAlign w:val="center"/>
          </w:tcPr>
          <w:p w14:paraId="24AFDB1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DDE2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441" w:type="dxa"/>
            <w:vMerge w:val="restart"/>
            <w:vAlign w:val="center"/>
          </w:tcPr>
          <w:p w14:paraId="7B30AFA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废水</w:t>
            </w:r>
          </w:p>
        </w:tc>
        <w:tc>
          <w:tcPr>
            <w:tcW w:w="1564" w:type="dxa"/>
            <w:vAlign w:val="center"/>
          </w:tcPr>
          <w:p w14:paraId="64F1B342">
            <w:pPr>
              <w:jc w:val="center"/>
              <w:rPr>
                <w:color w:val="auto"/>
              </w:rPr>
            </w:pPr>
            <w:r>
              <w:rPr>
                <w:rFonts w:hint="eastAsia"/>
                <w:color w:val="auto"/>
              </w:rPr>
              <w:t>CODer</w:t>
            </w:r>
          </w:p>
        </w:tc>
        <w:tc>
          <w:tcPr>
            <w:tcW w:w="1701" w:type="dxa"/>
            <w:vAlign w:val="center"/>
          </w:tcPr>
          <w:p w14:paraId="73804B73">
            <w:pPr>
              <w:jc w:val="center"/>
              <w:rPr>
                <w:rFonts w:cs="宋体"/>
                <w:snapToGrid w:val="0"/>
                <w:color w:val="auto"/>
                <w:kern w:val="21"/>
                <w:szCs w:val="21"/>
              </w:rPr>
            </w:pPr>
            <w:r>
              <w:rPr>
                <w:rFonts w:hint="eastAsia"/>
                <w:color w:val="auto"/>
              </w:rPr>
              <w:t>275.617</w:t>
            </w:r>
          </w:p>
        </w:tc>
        <w:tc>
          <w:tcPr>
            <w:tcW w:w="1276" w:type="dxa"/>
            <w:vAlign w:val="center"/>
          </w:tcPr>
          <w:p w14:paraId="45224AE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28.71</w:t>
            </w:r>
          </w:p>
        </w:tc>
        <w:tc>
          <w:tcPr>
            <w:tcW w:w="1701" w:type="dxa"/>
            <w:vAlign w:val="center"/>
          </w:tcPr>
          <w:p w14:paraId="1C13AED9">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6F514EE6">
            <w:pPr>
              <w:pStyle w:val="50"/>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570</w:t>
            </w:r>
          </w:p>
        </w:tc>
        <w:tc>
          <w:tcPr>
            <w:tcW w:w="1374" w:type="dxa"/>
            <w:shd w:val="clear" w:color="auto" w:fill="auto"/>
            <w:vAlign w:val="center"/>
          </w:tcPr>
          <w:p w14:paraId="179F42E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5A36290">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275.82</w:t>
            </w:r>
          </w:p>
        </w:tc>
        <w:tc>
          <w:tcPr>
            <w:tcW w:w="1260" w:type="dxa"/>
            <w:shd w:val="clear" w:color="auto" w:fill="auto"/>
            <w:vAlign w:val="center"/>
          </w:tcPr>
          <w:p w14:paraId="57710473">
            <w:pPr>
              <w:pStyle w:val="50"/>
              <w:spacing w:beforeLines="0" w:afterLines="0" w:line="240" w:lineRule="auto"/>
              <w:rPr>
                <w:rFonts w:ascii="Times New Roman" w:hAnsi="Times New Roman" w:eastAsia="宋体" w:cs="Times New Roman"/>
                <w:color w:val="auto"/>
                <w:kern w:val="2"/>
                <w:sz w:val="21"/>
                <w:szCs w:val="24"/>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570</w:t>
            </w:r>
          </w:p>
        </w:tc>
      </w:tr>
      <w:tr w14:paraId="365B2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3E7F2757">
            <w:pPr>
              <w:pStyle w:val="50"/>
              <w:spacing w:beforeLines="0" w:afterLines="0" w:line="240" w:lineRule="auto"/>
              <w:rPr>
                <w:rFonts w:ascii="Times New Roman" w:cs="宋体"/>
                <w:snapToGrid w:val="0"/>
                <w:color w:val="auto"/>
                <w:kern w:val="21"/>
                <w:szCs w:val="21"/>
              </w:rPr>
            </w:pPr>
          </w:p>
        </w:tc>
        <w:tc>
          <w:tcPr>
            <w:tcW w:w="1564" w:type="dxa"/>
            <w:vAlign w:val="center"/>
          </w:tcPr>
          <w:p w14:paraId="38787EDF">
            <w:pPr>
              <w:jc w:val="center"/>
              <w:rPr>
                <w:rFonts w:hint="eastAsia" w:eastAsia="宋体"/>
                <w:color w:val="auto"/>
                <w:lang w:val="en-US" w:eastAsia="zh-CN"/>
              </w:rPr>
            </w:pPr>
            <w:r>
              <w:rPr>
                <w:rFonts w:hint="eastAsia"/>
                <w:color w:val="auto"/>
              </w:rPr>
              <w:t>BOD</w:t>
            </w:r>
            <w:r>
              <w:rPr>
                <w:rFonts w:hint="eastAsia"/>
                <w:color w:val="auto"/>
                <w:vertAlign w:val="subscript"/>
                <w:lang w:val="en-US" w:eastAsia="zh-CN"/>
              </w:rPr>
              <w:t>5</w:t>
            </w:r>
          </w:p>
        </w:tc>
        <w:tc>
          <w:tcPr>
            <w:tcW w:w="1701" w:type="dxa"/>
            <w:vAlign w:val="center"/>
          </w:tcPr>
          <w:p w14:paraId="3D7BB740">
            <w:pPr>
              <w:jc w:val="center"/>
              <w:rPr>
                <w:rFonts w:cs="宋体"/>
                <w:snapToGrid w:val="0"/>
                <w:color w:val="auto"/>
                <w:kern w:val="21"/>
                <w:szCs w:val="21"/>
              </w:rPr>
            </w:pPr>
            <w:r>
              <w:rPr>
                <w:rFonts w:hint="eastAsia"/>
                <w:color w:val="auto"/>
              </w:rPr>
              <w:t>69.927</w:t>
            </w:r>
          </w:p>
        </w:tc>
        <w:tc>
          <w:tcPr>
            <w:tcW w:w="1276" w:type="dxa"/>
            <w:vAlign w:val="center"/>
          </w:tcPr>
          <w:p w14:paraId="62C0DC4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455C959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0EF1CEC">
            <w:pPr>
              <w:pStyle w:val="50"/>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467</w:t>
            </w:r>
          </w:p>
        </w:tc>
        <w:tc>
          <w:tcPr>
            <w:tcW w:w="1374" w:type="dxa"/>
            <w:shd w:val="clear" w:color="auto" w:fill="auto"/>
            <w:vAlign w:val="center"/>
          </w:tcPr>
          <w:p w14:paraId="1097738B">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498349B7">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69.964</w:t>
            </w:r>
          </w:p>
        </w:tc>
        <w:tc>
          <w:tcPr>
            <w:tcW w:w="1260" w:type="dxa"/>
            <w:shd w:val="clear" w:color="auto" w:fill="auto"/>
            <w:vAlign w:val="center"/>
          </w:tcPr>
          <w:p w14:paraId="4F03F48E">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467</w:t>
            </w:r>
          </w:p>
        </w:tc>
      </w:tr>
      <w:tr w14:paraId="3DD36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68DB6B8A">
            <w:pPr>
              <w:pStyle w:val="50"/>
              <w:spacing w:beforeLines="0" w:afterLines="0" w:line="240" w:lineRule="auto"/>
              <w:rPr>
                <w:rFonts w:ascii="Times New Roman" w:cs="宋体"/>
                <w:snapToGrid w:val="0"/>
                <w:color w:val="auto"/>
                <w:kern w:val="21"/>
                <w:szCs w:val="21"/>
              </w:rPr>
            </w:pPr>
          </w:p>
        </w:tc>
        <w:tc>
          <w:tcPr>
            <w:tcW w:w="1564" w:type="dxa"/>
            <w:vAlign w:val="center"/>
          </w:tcPr>
          <w:p w14:paraId="03F032FC">
            <w:pPr>
              <w:jc w:val="center"/>
              <w:rPr>
                <w:color w:val="auto"/>
              </w:rPr>
            </w:pPr>
            <w:r>
              <w:rPr>
                <w:rFonts w:hint="eastAsia"/>
                <w:color w:val="auto"/>
              </w:rPr>
              <w:t>总氮</w:t>
            </w:r>
          </w:p>
        </w:tc>
        <w:tc>
          <w:tcPr>
            <w:tcW w:w="1701" w:type="dxa"/>
            <w:vAlign w:val="center"/>
          </w:tcPr>
          <w:p w14:paraId="5A7FB228">
            <w:pPr>
              <w:jc w:val="center"/>
              <w:rPr>
                <w:rFonts w:cs="宋体"/>
                <w:snapToGrid w:val="0"/>
                <w:color w:val="auto"/>
                <w:kern w:val="21"/>
                <w:szCs w:val="21"/>
              </w:rPr>
            </w:pPr>
            <w:r>
              <w:rPr>
                <w:rFonts w:hint="eastAsia"/>
                <w:color w:val="auto"/>
              </w:rPr>
              <w:t>36.486</w:t>
            </w:r>
          </w:p>
        </w:tc>
        <w:tc>
          <w:tcPr>
            <w:tcW w:w="1276" w:type="dxa"/>
            <w:vAlign w:val="center"/>
          </w:tcPr>
          <w:p w14:paraId="1238BF8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5DCA5F9B">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739F26CA">
            <w:pPr>
              <w:pStyle w:val="50"/>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0.00</w:t>
            </w:r>
            <w:r>
              <w:rPr>
                <w:rFonts w:hint="eastAsia" w:ascii="Times New Roman" w:cs="宋体"/>
                <w:snapToGrid w:val="0"/>
                <w:color w:val="auto"/>
                <w:kern w:val="21"/>
                <w:szCs w:val="21"/>
                <w:lang w:val="en-US" w:eastAsia="zh-CN"/>
              </w:rPr>
              <w:t>2</w:t>
            </w:r>
          </w:p>
        </w:tc>
        <w:tc>
          <w:tcPr>
            <w:tcW w:w="1374" w:type="dxa"/>
            <w:shd w:val="clear" w:color="auto" w:fill="auto"/>
            <w:vAlign w:val="center"/>
          </w:tcPr>
          <w:p w14:paraId="2E899DED">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5227676F">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36.492</w:t>
            </w:r>
          </w:p>
        </w:tc>
        <w:tc>
          <w:tcPr>
            <w:tcW w:w="1260" w:type="dxa"/>
            <w:shd w:val="clear" w:color="auto" w:fill="auto"/>
            <w:vAlign w:val="center"/>
          </w:tcPr>
          <w:p w14:paraId="744369C0">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0.00</w:t>
            </w:r>
            <w:r>
              <w:rPr>
                <w:rFonts w:hint="eastAsia" w:ascii="Times New Roman" w:cs="宋体"/>
                <w:snapToGrid w:val="0"/>
                <w:color w:val="auto"/>
                <w:kern w:val="21"/>
                <w:szCs w:val="21"/>
                <w:lang w:val="en-US" w:eastAsia="zh-CN"/>
              </w:rPr>
              <w:t>2</w:t>
            </w:r>
          </w:p>
        </w:tc>
      </w:tr>
      <w:tr w14:paraId="37311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29283447">
            <w:pPr>
              <w:pStyle w:val="50"/>
              <w:spacing w:beforeLines="0" w:afterLines="0" w:line="240" w:lineRule="auto"/>
              <w:rPr>
                <w:rFonts w:ascii="Times New Roman" w:cs="宋体"/>
                <w:snapToGrid w:val="0"/>
                <w:color w:val="auto"/>
                <w:kern w:val="21"/>
                <w:szCs w:val="21"/>
              </w:rPr>
            </w:pPr>
          </w:p>
        </w:tc>
        <w:tc>
          <w:tcPr>
            <w:tcW w:w="1564" w:type="dxa"/>
            <w:vAlign w:val="center"/>
          </w:tcPr>
          <w:p w14:paraId="472087C6">
            <w:pPr>
              <w:jc w:val="center"/>
              <w:rPr>
                <w:color w:val="auto"/>
              </w:rPr>
            </w:pPr>
            <w:r>
              <w:rPr>
                <w:rFonts w:hint="eastAsia"/>
                <w:color w:val="auto"/>
              </w:rPr>
              <w:t>总磷</w:t>
            </w:r>
          </w:p>
        </w:tc>
        <w:tc>
          <w:tcPr>
            <w:tcW w:w="1701" w:type="dxa"/>
            <w:vAlign w:val="center"/>
          </w:tcPr>
          <w:p w14:paraId="267301E8">
            <w:pPr>
              <w:jc w:val="center"/>
              <w:rPr>
                <w:rFonts w:cs="宋体"/>
                <w:snapToGrid w:val="0"/>
                <w:color w:val="auto"/>
                <w:kern w:val="21"/>
                <w:szCs w:val="21"/>
              </w:rPr>
            </w:pPr>
            <w:r>
              <w:rPr>
                <w:rFonts w:hint="eastAsia"/>
                <w:color w:val="auto"/>
              </w:rPr>
              <w:t>2.365</w:t>
            </w:r>
          </w:p>
        </w:tc>
        <w:tc>
          <w:tcPr>
            <w:tcW w:w="1276" w:type="dxa"/>
            <w:vAlign w:val="center"/>
          </w:tcPr>
          <w:p w14:paraId="2788D2C9">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4B12A97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0F428AA0">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44DE9959">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0CB52710">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2.365</w:t>
            </w:r>
          </w:p>
        </w:tc>
        <w:tc>
          <w:tcPr>
            <w:tcW w:w="1260" w:type="dxa"/>
            <w:shd w:val="clear" w:color="auto" w:fill="auto"/>
            <w:vAlign w:val="center"/>
          </w:tcPr>
          <w:p w14:paraId="4EC8BD08">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30FD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3AE9907B">
            <w:pPr>
              <w:pStyle w:val="50"/>
              <w:spacing w:beforeLines="0" w:afterLines="0" w:line="240" w:lineRule="auto"/>
              <w:rPr>
                <w:rFonts w:ascii="Times New Roman" w:cs="宋体"/>
                <w:snapToGrid w:val="0"/>
                <w:color w:val="auto"/>
                <w:kern w:val="21"/>
                <w:szCs w:val="21"/>
              </w:rPr>
            </w:pPr>
          </w:p>
        </w:tc>
        <w:tc>
          <w:tcPr>
            <w:tcW w:w="1564" w:type="dxa"/>
            <w:vAlign w:val="center"/>
          </w:tcPr>
          <w:p w14:paraId="65178EFA">
            <w:pPr>
              <w:jc w:val="center"/>
              <w:rPr>
                <w:color w:val="auto"/>
              </w:rPr>
            </w:pPr>
            <w:r>
              <w:rPr>
                <w:rFonts w:hint="eastAsia"/>
                <w:color w:val="auto"/>
              </w:rPr>
              <w:t>氨氮</w:t>
            </w:r>
          </w:p>
        </w:tc>
        <w:tc>
          <w:tcPr>
            <w:tcW w:w="1701" w:type="dxa"/>
            <w:vAlign w:val="center"/>
          </w:tcPr>
          <w:p w14:paraId="6E4A186A">
            <w:pPr>
              <w:jc w:val="center"/>
              <w:rPr>
                <w:rFonts w:cs="宋体"/>
                <w:snapToGrid w:val="0"/>
                <w:color w:val="auto"/>
                <w:kern w:val="21"/>
                <w:szCs w:val="21"/>
              </w:rPr>
            </w:pPr>
            <w:r>
              <w:rPr>
                <w:rFonts w:hint="eastAsia"/>
                <w:color w:val="auto"/>
              </w:rPr>
              <w:t>24.541</w:t>
            </w:r>
          </w:p>
        </w:tc>
        <w:tc>
          <w:tcPr>
            <w:tcW w:w="1276" w:type="dxa"/>
            <w:vAlign w:val="center"/>
          </w:tcPr>
          <w:p w14:paraId="749898F0">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2.87</w:t>
            </w:r>
          </w:p>
        </w:tc>
        <w:tc>
          <w:tcPr>
            <w:tcW w:w="1701" w:type="dxa"/>
            <w:vAlign w:val="center"/>
          </w:tcPr>
          <w:p w14:paraId="6D83A341">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01F24AF">
            <w:pPr>
              <w:pStyle w:val="50"/>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0.0</w:t>
            </w:r>
            <w:r>
              <w:rPr>
                <w:rFonts w:hint="eastAsia" w:ascii="Times New Roman" w:cs="宋体"/>
                <w:snapToGrid w:val="0"/>
                <w:color w:val="auto"/>
                <w:kern w:val="21"/>
                <w:szCs w:val="21"/>
                <w:lang w:val="en-US" w:eastAsia="zh-CN"/>
              </w:rPr>
              <w:t>65</w:t>
            </w:r>
          </w:p>
        </w:tc>
        <w:tc>
          <w:tcPr>
            <w:tcW w:w="1374" w:type="dxa"/>
            <w:shd w:val="clear" w:color="auto" w:fill="auto"/>
            <w:vAlign w:val="center"/>
          </w:tcPr>
          <w:p w14:paraId="285516A9">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0545478C">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24.561</w:t>
            </w:r>
          </w:p>
        </w:tc>
        <w:tc>
          <w:tcPr>
            <w:tcW w:w="1260" w:type="dxa"/>
            <w:shd w:val="clear" w:color="auto" w:fill="auto"/>
            <w:vAlign w:val="center"/>
          </w:tcPr>
          <w:p w14:paraId="02886A32">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w:t>
            </w:r>
            <w:r>
              <w:rPr>
                <w:rFonts w:hint="eastAsia" w:ascii="Times New Roman" w:cs="宋体"/>
                <w:snapToGrid w:val="0"/>
                <w:color w:val="auto"/>
                <w:kern w:val="21"/>
                <w:szCs w:val="21"/>
                <w:lang w:val="en-US" w:eastAsia="zh-CN"/>
              </w:rPr>
              <w:t>65</w:t>
            </w:r>
          </w:p>
        </w:tc>
      </w:tr>
      <w:tr w14:paraId="490ED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1E52E3E7">
            <w:pPr>
              <w:pStyle w:val="50"/>
              <w:spacing w:beforeLines="0" w:afterLines="0" w:line="240" w:lineRule="auto"/>
              <w:rPr>
                <w:rFonts w:ascii="Times New Roman" w:cs="宋体"/>
                <w:snapToGrid w:val="0"/>
                <w:color w:val="auto"/>
                <w:kern w:val="21"/>
                <w:szCs w:val="21"/>
              </w:rPr>
            </w:pPr>
          </w:p>
        </w:tc>
        <w:tc>
          <w:tcPr>
            <w:tcW w:w="1564" w:type="dxa"/>
            <w:vAlign w:val="center"/>
          </w:tcPr>
          <w:p w14:paraId="2CC8F197">
            <w:pPr>
              <w:jc w:val="center"/>
              <w:rPr>
                <w:color w:val="auto"/>
              </w:rPr>
            </w:pPr>
            <w:r>
              <w:rPr>
                <w:rFonts w:hint="eastAsia"/>
                <w:color w:val="auto"/>
              </w:rPr>
              <w:t>SS</w:t>
            </w:r>
          </w:p>
        </w:tc>
        <w:tc>
          <w:tcPr>
            <w:tcW w:w="1701" w:type="dxa"/>
            <w:vAlign w:val="center"/>
          </w:tcPr>
          <w:p w14:paraId="27A245E8">
            <w:pPr>
              <w:jc w:val="center"/>
              <w:rPr>
                <w:rFonts w:cs="宋体"/>
                <w:snapToGrid w:val="0"/>
                <w:color w:val="auto"/>
                <w:kern w:val="21"/>
                <w:szCs w:val="21"/>
              </w:rPr>
            </w:pPr>
            <w:r>
              <w:rPr>
                <w:rFonts w:hint="eastAsia"/>
                <w:color w:val="auto"/>
              </w:rPr>
              <w:t>114.006</w:t>
            </w:r>
          </w:p>
        </w:tc>
        <w:tc>
          <w:tcPr>
            <w:tcW w:w="1276" w:type="dxa"/>
            <w:vAlign w:val="center"/>
          </w:tcPr>
          <w:p w14:paraId="39EFA61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6CC958E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05A3F0A8">
            <w:pPr>
              <w:pStyle w:val="50"/>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659</w:t>
            </w:r>
          </w:p>
        </w:tc>
        <w:tc>
          <w:tcPr>
            <w:tcW w:w="1374" w:type="dxa"/>
            <w:shd w:val="clear" w:color="auto" w:fill="auto"/>
            <w:vAlign w:val="center"/>
          </w:tcPr>
          <w:p w14:paraId="2435F9A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3ABDBC2E">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114.047</w:t>
            </w:r>
          </w:p>
        </w:tc>
        <w:tc>
          <w:tcPr>
            <w:tcW w:w="1260" w:type="dxa"/>
            <w:shd w:val="clear" w:color="auto" w:fill="auto"/>
            <w:vAlign w:val="center"/>
          </w:tcPr>
          <w:p w14:paraId="4710B109">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659</w:t>
            </w:r>
          </w:p>
        </w:tc>
      </w:tr>
      <w:tr w14:paraId="74D51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7E29C3E3">
            <w:pPr>
              <w:pStyle w:val="50"/>
              <w:spacing w:beforeLines="0" w:afterLines="0" w:line="240" w:lineRule="auto"/>
              <w:rPr>
                <w:rFonts w:ascii="Times New Roman" w:cs="宋体"/>
                <w:snapToGrid w:val="0"/>
                <w:color w:val="auto"/>
                <w:kern w:val="21"/>
                <w:szCs w:val="21"/>
              </w:rPr>
            </w:pPr>
          </w:p>
        </w:tc>
        <w:tc>
          <w:tcPr>
            <w:tcW w:w="1564" w:type="dxa"/>
            <w:vAlign w:val="center"/>
          </w:tcPr>
          <w:p w14:paraId="1501D640">
            <w:pPr>
              <w:jc w:val="center"/>
              <w:rPr>
                <w:color w:val="auto"/>
              </w:rPr>
            </w:pPr>
            <w:r>
              <w:rPr>
                <w:rFonts w:hint="eastAsia"/>
                <w:color w:val="auto"/>
              </w:rPr>
              <w:t>石油类</w:t>
            </w:r>
          </w:p>
        </w:tc>
        <w:tc>
          <w:tcPr>
            <w:tcW w:w="1701" w:type="dxa"/>
            <w:vAlign w:val="center"/>
          </w:tcPr>
          <w:p w14:paraId="7182A9A3">
            <w:pPr>
              <w:jc w:val="center"/>
              <w:rPr>
                <w:rFonts w:cs="宋体"/>
                <w:snapToGrid w:val="0"/>
                <w:color w:val="auto"/>
                <w:kern w:val="21"/>
                <w:szCs w:val="21"/>
              </w:rPr>
            </w:pPr>
            <w:r>
              <w:rPr>
                <w:rFonts w:hint="eastAsia"/>
                <w:color w:val="auto"/>
              </w:rPr>
              <w:t>1.538</w:t>
            </w:r>
          </w:p>
        </w:tc>
        <w:tc>
          <w:tcPr>
            <w:tcW w:w="1276" w:type="dxa"/>
            <w:vAlign w:val="center"/>
          </w:tcPr>
          <w:p w14:paraId="2FF92E6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360BD11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9D81175">
            <w:pPr>
              <w:pStyle w:val="50"/>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0.000</w:t>
            </w:r>
            <w:r>
              <w:rPr>
                <w:rFonts w:hint="eastAsia" w:ascii="Times New Roman" w:cs="宋体"/>
                <w:snapToGrid w:val="0"/>
                <w:color w:val="auto"/>
                <w:kern w:val="21"/>
                <w:szCs w:val="21"/>
                <w:lang w:val="en-US" w:eastAsia="zh-CN"/>
              </w:rPr>
              <w:t>2</w:t>
            </w:r>
          </w:p>
        </w:tc>
        <w:tc>
          <w:tcPr>
            <w:tcW w:w="1374" w:type="dxa"/>
            <w:shd w:val="clear" w:color="auto" w:fill="auto"/>
            <w:vAlign w:val="center"/>
          </w:tcPr>
          <w:p w14:paraId="33D38D4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07A91E52">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1.5384</w:t>
            </w:r>
          </w:p>
        </w:tc>
        <w:tc>
          <w:tcPr>
            <w:tcW w:w="1260" w:type="dxa"/>
            <w:shd w:val="clear" w:color="auto" w:fill="auto"/>
            <w:vAlign w:val="center"/>
          </w:tcPr>
          <w:p w14:paraId="1C7348D9">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w:t>
            </w:r>
            <w:r>
              <w:rPr>
                <w:rFonts w:hint="eastAsia" w:ascii="Times New Roman" w:cs="宋体"/>
                <w:snapToGrid w:val="0"/>
                <w:color w:val="auto"/>
                <w:kern w:val="21"/>
                <w:szCs w:val="21"/>
              </w:rPr>
              <w:t>0.000</w:t>
            </w:r>
            <w:r>
              <w:rPr>
                <w:rFonts w:hint="eastAsia" w:ascii="Times New Roman" w:cs="宋体"/>
                <w:snapToGrid w:val="0"/>
                <w:color w:val="auto"/>
                <w:kern w:val="21"/>
                <w:szCs w:val="21"/>
                <w:lang w:val="en-US" w:eastAsia="zh-CN"/>
              </w:rPr>
              <w:t>2</w:t>
            </w:r>
          </w:p>
        </w:tc>
      </w:tr>
      <w:tr w14:paraId="7B627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1194B45B">
            <w:pPr>
              <w:pStyle w:val="50"/>
              <w:spacing w:beforeLines="0" w:afterLines="0" w:line="240" w:lineRule="auto"/>
              <w:rPr>
                <w:rFonts w:ascii="Times New Roman" w:cs="宋体"/>
                <w:snapToGrid w:val="0"/>
                <w:color w:val="auto"/>
                <w:kern w:val="21"/>
                <w:szCs w:val="21"/>
              </w:rPr>
            </w:pPr>
          </w:p>
        </w:tc>
        <w:tc>
          <w:tcPr>
            <w:tcW w:w="1564" w:type="dxa"/>
            <w:vAlign w:val="center"/>
          </w:tcPr>
          <w:p w14:paraId="09A31117">
            <w:pPr>
              <w:jc w:val="center"/>
              <w:rPr>
                <w:color w:val="auto"/>
              </w:rPr>
            </w:pPr>
            <w:r>
              <w:rPr>
                <w:rFonts w:hint="eastAsia"/>
                <w:color w:val="auto"/>
              </w:rPr>
              <w:t>总锌</w:t>
            </w:r>
          </w:p>
        </w:tc>
        <w:tc>
          <w:tcPr>
            <w:tcW w:w="1701" w:type="dxa"/>
            <w:vAlign w:val="center"/>
          </w:tcPr>
          <w:p w14:paraId="5F417A72">
            <w:pPr>
              <w:jc w:val="center"/>
              <w:rPr>
                <w:rFonts w:cs="宋体"/>
                <w:snapToGrid w:val="0"/>
                <w:color w:val="auto"/>
                <w:kern w:val="21"/>
                <w:szCs w:val="21"/>
              </w:rPr>
            </w:pPr>
            <w:r>
              <w:rPr>
                <w:rFonts w:hint="eastAsia"/>
                <w:color w:val="auto"/>
              </w:rPr>
              <w:t>0.752</w:t>
            </w:r>
          </w:p>
        </w:tc>
        <w:tc>
          <w:tcPr>
            <w:tcW w:w="1276" w:type="dxa"/>
            <w:vAlign w:val="center"/>
          </w:tcPr>
          <w:p w14:paraId="7687BAE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3566BAE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248E415">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36F3800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D17C925">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0.752</w:t>
            </w:r>
          </w:p>
        </w:tc>
        <w:tc>
          <w:tcPr>
            <w:tcW w:w="1260" w:type="dxa"/>
            <w:shd w:val="clear" w:color="auto" w:fill="auto"/>
            <w:vAlign w:val="center"/>
          </w:tcPr>
          <w:p w14:paraId="0499C521">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5570B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2532070A">
            <w:pPr>
              <w:pStyle w:val="50"/>
              <w:spacing w:beforeLines="0" w:afterLines="0" w:line="240" w:lineRule="auto"/>
              <w:rPr>
                <w:rFonts w:ascii="Times New Roman" w:cs="宋体"/>
                <w:snapToGrid w:val="0"/>
                <w:color w:val="auto"/>
                <w:kern w:val="21"/>
                <w:szCs w:val="21"/>
              </w:rPr>
            </w:pPr>
          </w:p>
        </w:tc>
        <w:tc>
          <w:tcPr>
            <w:tcW w:w="1564" w:type="dxa"/>
            <w:vAlign w:val="center"/>
          </w:tcPr>
          <w:p w14:paraId="37F9BB8F">
            <w:pPr>
              <w:jc w:val="center"/>
              <w:rPr>
                <w:color w:val="auto"/>
              </w:rPr>
            </w:pPr>
            <w:r>
              <w:rPr>
                <w:rFonts w:hint="eastAsia"/>
                <w:color w:val="auto"/>
              </w:rPr>
              <w:t>总镍</w:t>
            </w:r>
          </w:p>
        </w:tc>
        <w:tc>
          <w:tcPr>
            <w:tcW w:w="1701" w:type="dxa"/>
            <w:vAlign w:val="center"/>
          </w:tcPr>
          <w:p w14:paraId="44D3B584">
            <w:pPr>
              <w:jc w:val="center"/>
              <w:rPr>
                <w:rFonts w:cs="宋体"/>
                <w:snapToGrid w:val="0"/>
                <w:color w:val="auto"/>
                <w:kern w:val="21"/>
                <w:szCs w:val="21"/>
              </w:rPr>
            </w:pPr>
            <w:r>
              <w:rPr>
                <w:rFonts w:hint="eastAsia"/>
                <w:color w:val="auto"/>
              </w:rPr>
              <w:t>0.028</w:t>
            </w:r>
          </w:p>
        </w:tc>
        <w:tc>
          <w:tcPr>
            <w:tcW w:w="1276" w:type="dxa"/>
            <w:vAlign w:val="center"/>
          </w:tcPr>
          <w:p w14:paraId="6003BD1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5494D87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45408D5F">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52E50A6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A2D3409">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1260" w:type="dxa"/>
            <w:shd w:val="clear" w:color="auto" w:fill="auto"/>
            <w:vAlign w:val="center"/>
          </w:tcPr>
          <w:p w14:paraId="4EA04390">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4B6AE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678AEE13">
            <w:pPr>
              <w:pStyle w:val="50"/>
              <w:spacing w:beforeLines="0" w:afterLines="0" w:line="240" w:lineRule="auto"/>
              <w:rPr>
                <w:rFonts w:ascii="Times New Roman" w:cs="宋体"/>
                <w:snapToGrid w:val="0"/>
                <w:color w:val="auto"/>
                <w:kern w:val="21"/>
                <w:szCs w:val="21"/>
              </w:rPr>
            </w:pPr>
          </w:p>
        </w:tc>
        <w:tc>
          <w:tcPr>
            <w:tcW w:w="1564" w:type="dxa"/>
            <w:vAlign w:val="center"/>
          </w:tcPr>
          <w:p w14:paraId="2DABA8BB">
            <w:pPr>
              <w:jc w:val="center"/>
              <w:rPr>
                <w:color w:val="auto"/>
              </w:rPr>
            </w:pPr>
            <w:r>
              <w:rPr>
                <w:rFonts w:hint="eastAsia"/>
                <w:color w:val="auto"/>
              </w:rPr>
              <w:t>总铜</w:t>
            </w:r>
          </w:p>
        </w:tc>
        <w:tc>
          <w:tcPr>
            <w:tcW w:w="1701" w:type="dxa"/>
            <w:vAlign w:val="center"/>
          </w:tcPr>
          <w:p w14:paraId="377072D3">
            <w:pPr>
              <w:jc w:val="center"/>
              <w:rPr>
                <w:rFonts w:cs="宋体"/>
                <w:snapToGrid w:val="0"/>
                <w:color w:val="auto"/>
                <w:kern w:val="21"/>
                <w:szCs w:val="21"/>
              </w:rPr>
            </w:pPr>
            <w:r>
              <w:rPr>
                <w:rFonts w:hint="eastAsia"/>
                <w:color w:val="auto"/>
              </w:rPr>
              <w:t>0.28</w:t>
            </w:r>
          </w:p>
        </w:tc>
        <w:tc>
          <w:tcPr>
            <w:tcW w:w="1276" w:type="dxa"/>
            <w:vAlign w:val="center"/>
          </w:tcPr>
          <w:p w14:paraId="05F9EF68">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1E661E9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0ACA870">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1688E12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13E0D0E6">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260" w:type="dxa"/>
            <w:shd w:val="clear" w:color="auto" w:fill="auto"/>
            <w:vAlign w:val="center"/>
          </w:tcPr>
          <w:p w14:paraId="13450CB6">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6973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25D48A0C">
            <w:pPr>
              <w:pStyle w:val="50"/>
              <w:spacing w:beforeLines="0" w:afterLines="0" w:line="240" w:lineRule="auto"/>
              <w:rPr>
                <w:rFonts w:ascii="Times New Roman" w:cs="宋体"/>
                <w:snapToGrid w:val="0"/>
                <w:color w:val="auto"/>
                <w:kern w:val="21"/>
                <w:szCs w:val="21"/>
              </w:rPr>
            </w:pPr>
          </w:p>
        </w:tc>
        <w:tc>
          <w:tcPr>
            <w:tcW w:w="1564" w:type="dxa"/>
            <w:vAlign w:val="center"/>
          </w:tcPr>
          <w:p w14:paraId="07BA272A">
            <w:pPr>
              <w:jc w:val="center"/>
              <w:rPr>
                <w:color w:val="auto"/>
              </w:rPr>
            </w:pPr>
            <w:r>
              <w:rPr>
                <w:rFonts w:hint="eastAsia"/>
                <w:color w:val="auto"/>
              </w:rPr>
              <w:t>总铬</w:t>
            </w:r>
          </w:p>
        </w:tc>
        <w:tc>
          <w:tcPr>
            <w:tcW w:w="1701" w:type="dxa"/>
            <w:vAlign w:val="center"/>
          </w:tcPr>
          <w:p w14:paraId="3A322F5E">
            <w:pPr>
              <w:jc w:val="center"/>
              <w:rPr>
                <w:rFonts w:cs="宋体"/>
                <w:snapToGrid w:val="0"/>
                <w:color w:val="auto"/>
                <w:kern w:val="21"/>
                <w:szCs w:val="21"/>
              </w:rPr>
            </w:pPr>
            <w:r>
              <w:rPr>
                <w:rFonts w:hint="eastAsia"/>
                <w:color w:val="auto"/>
              </w:rPr>
              <w:t>0.0201</w:t>
            </w:r>
          </w:p>
        </w:tc>
        <w:tc>
          <w:tcPr>
            <w:tcW w:w="1276" w:type="dxa"/>
            <w:vAlign w:val="center"/>
          </w:tcPr>
          <w:p w14:paraId="736817B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0.0201</w:t>
            </w:r>
          </w:p>
        </w:tc>
        <w:tc>
          <w:tcPr>
            <w:tcW w:w="1701" w:type="dxa"/>
            <w:vAlign w:val="center"/>
          </w:tcPr>
          <w:p w14:paraId="67BF0CB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407807C7">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60D0A0B8">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27DEA900">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0.0201</w:t>
            </w:r>
          </w:p>
        </w:tc>
        <w:tc>
          <w:tcPr>
            <w:tcW w:w="1260" w:type="dxa"/>
            <w:shd w:val="clear" w:color="auto" w:fill="auto"/>
            <w:vAlign w:val="center"/>
          </w:tcPr>
          <w:p w14:paraId="5406B859">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8810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598107F1">
            <w:pPr>
              <w:pStyle w:val="50"/>
              <w:spacing w:beforeLines="0" w:afterLines="0" w:line="240" w:lineRule="auto"/>
              <w:rPr>
                <w:rFonts w:ascii="Times New Roman" w:cs="宋体"/>
                <w:snapToGrid w:val="0"/>
                <w:color w:val="auto"/>
                <w:kern w:val="21"/>
                <w:szCs w:val="21"/>
              </w:rPr>
            </w:pPr>
          </w:p>
        </w:tc>
        <w:tc>
          <w:tcPr>
            <w:tcW w:w="1564" w:type="dxa"/>
            <w:vAlign w:val="center"/>
          </w:tcPr>
          <w:p w14:paraId="144E447E">
            <w:pPr>
              <w:jc w:val="center"/>
              <w:rPr>
                <w:color w:val="auto"/>
              </w:rPr>
            </w:pPr>
            <w:r>
              <w:rPr>
                <w:rFonts w:hint="eastAsia"/>
                <w:color w:val="auto"/>
              </w:rPr>
              <w:t>LAS</w:t>
            </w:r>
          </w:p>
        </w:tc>
        <w:tc>
          <w:tcPr>
            <w:tcW w:w="1701" w:type="dxa"/>
            <w:vAlign w:val="center"/>
          </w:tcPr>
          <w:p w14:paraId="12BB0410">
            <w:pPr>
              <w:jc w:val="center"/>
              <w:rPr>
                <w:rFonts w:cs="宋体"/>
                <w:snapToGrid w:val="0"/>
                <w:color w:val="auto"/>
                <w:kern w:val="21"/>
                <w:szCs w:val="21"/>
              </w:rPr>
            </w:pPr>
            <w:r>
              <w:rPr>
                <w:rFonts w:hint="eastAsia"/>
                <w:color w:val="auto"/>
              </w:rPr>
              <w:t>6.025</w:t>
            </w:r>
          </w:p>
        </w:tc>
        <w:tc>
          <w:tcPr>
            <w:tcW w:w="1276" w:type="dxa"/>
            <w:vAlign w:val="center"/>
          </w:tcPr>
          <w:p w14:paraId="719F2EF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7EC3D11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0567034F">
            <w:pPr>
              <w:pStyle w:val="50"/>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.006</w:t>
            </w:r>
          </w:p>
        </w:tc>
        <w:tc>
          <w:tcPr>
            <w:tcW w:w="1374" w:type="dxa"/>
            <w:shd w:val="clear" w:color="auto" w:fill="auto"/>
            <w:vAlign w:val="center"/>
          </w:tcPr>
          <w:p w14:paraId="65FDA9D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71F5F0F4">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6.0252</w:t>
            </w:r>
          </w:p>
        </w:tc>
        <w:tc>
          <w:tcPr>
            <w:tcW w:w="1260" w:type="dxa"/>
            <w:shd w:val="clear" w:color="auto" w:fill="auto"/>
            <w:vAlign w:val="center"/>
          </w:tcPr>
          <w:p w14:paraId="300E37CA">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eastAsia" w:cs="Times New Roman"/>
                <w:i w:val="0"/>
                <w:iCs w:val="0"/>
                <w:color w:val="auto"/>
                <w:kern w:val="0"/>
                <w:sz w:val="21"/>
                <w:szCs w:val="21"/>
                <w:u w:val="none"/>
                <w:lang w:val="en-US" w:eastAsia="zh-CN" w:bidi="ar"/>
              </w:rPr>
              <w:t>+</w:t>
            </w:r>
            <w:r>
              <w:rPr>
                <w:rFonts w:hint="eastAsia" w:ascii="Times New Roman" w:cs="宋体"/>
                <w:snapToGrid w:val="0"/>
                <w:color w:val="auto"/>
                <w:kern w:val="21"/>
                <w:szCs w:val="21"/>
              </w:rPr>
              <w:t>0</w:t>
            </w:r>
            <w:r>
              <w:rPr>
                <w:rFonts w:hint="eastAsia" w:ascii="Times New Roman" w:cs="宋体"/>
                <w:snapToGrid w:val="0"/>
                <w:color w:val="auto"/>
                <w:kern w:val="21"/>
                <w:szCs w:val="21"/>
                <w:lang w:val="en-US" w:eastAsia="zh-CN"/>
              </w:rPr>
              <w:t>.006</w:t>
            </w:r>
          </w:p>
        </w:tc>
      </w:tr>
      <w:tr w14:paraId="2B6FB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5F0CE799">
            <w:pPr>
              <w:pStyle w:val="50"/>
              <w:spacing w:beforeLines="0" w:afterLines="0" w:line="240" w:lineRule="auto"/>
              <w:rPr>
                <w:rFonts w:ascii="Times New Roman" w:cs="宋体"/>
                <w:snapToGrid w:val="0"/>
                <w:color w:val="auto"/>
                <w:kern w:val="21"/>
                <w:szCs w:val="21"/>
              </w:rPr>
            </w:pPr>
          </w:p>
        </w:tc>
        <w:tc>
          <w:tcPr>
            <w:tcW w:w="1564" w:type="dxa"/>
            <w:vAlign w:val="center"/>
          </w:tcPr>
          <w:p w14:paraId="4C47357D">
            <w:pPr>
              <w:jc w:val="center"/>
              <w:rPr>
                <w:color w:val="auto"/>
              </w:rPr>
            </w:pPr>
            <w:r>
              <w:rPr>
                <w:rFonts w:hint="eastAsia"/>
                <w:color w:val="auto"/>
              </w:rPr>
              <w:t>总锡</w:t>
            </w:r>
          </w:p>
        </w:tc>
        <w:tc>
          <w:tcPr>
            <w:tcW w:w="1701" w:type="dxa"/>
            <w:vAlign w:val="center"/>
          </w:tcPr>
          <w:p w14:paraId="71FF64AE">
            <w:pPr>
              <w:jc w:val="center"/>
              <w:rPr>
                <w:rFonts w:cs="宋体"/>
                <w:snapToGrid w:val="0"/>
                <w:color w:val="auto"/>
                <w:kern w:val="21"/>
                <w:szCs w:val="21"/>
              </w:rPr>
            </w:pPr>
            <w:r>
              <w:rPr>
                <w:rFonts w:hint="eastAsia"/>
                <w:color w:val="auto"/>
              </w:rPr>
              <w:t>0.198</w:t>
            </w:r>
          </w:p>
        </w:tc>
        <w:tc>
          <w:tcPr>
            <w:tcW w:w="1276" w:type="dxa"/>
            <w:vAlign w:val="center"/>
          </w:tcPr>
          <w:p w14:paraId="27E1648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341F700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36471D1B">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7352BFFF">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4D4024D3">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0.198</w:t>
            </w:r>
          </w:p>
        </w:tc>
        <w:tc>
          <w:tcPr>
            <w:tcW w:w="1260" w:type="dxa"/>
            <w:shd w:val="clear" w:color="auto" w:fill="auto"/>
            <w:vAlign w:val="center"/>
          </w:tcPr>
          <w:p w14:paraId="23BBB765">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1FC0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62F55A1F">
            <w:pPr>
              <w:pStyle w:val="50"/>
              <w:spacing w:beforeLines="0" w:afterLines="0" w:line="240" w:lineRule="auto"/>
              <w:rPr>
                <w:rFonts w:ascii="Times New Roman" w:cs="宋体"/>
                <w:snapToGrid w:val="0"/>
                <w:color w:val="auto"/>
                <w:kern w:val="21"/>
                <w:szCs w:val="21"/>
              </w:rPr>
            </w:pPr>
          </w:p>
        </w:tc>
        <w:tc>
          <w:tcPr>
            <w:tcW w:w="1564" w:type="dxa"/>
            <w:vAlign w:val="center"/>
          </w:tcPr>
          <w:p w14:paraId="4980DA83">
            <w:pPr>
              <w:jc w:val="center"/>
              <w:rPr>
                <w:color w:val="auto"/>
              </w:rPr>
            </w:pPr>
            <w:r>
              <w:rPr>
                <w:rFonts w:hint="eastAsia"/>
                <w:color w:val="auto"/>
              </w:rPr>
              <w:t>色度</w:t>
            </w:r>
          </w:p>
        </w:tc>
        <w:tc>
          <w:tcPr>
            <w:tcW w:w="1701" w:type="dxa"/>
            <w:vAlign w:val="center"/>
          </w:tcPr>
          <w:p w14:paraId="3D355E8E">
            <w:pPr>
              <w:jc w:val="center"/>
              <w:rPr>
                <w:rFonts w:cs="宋体"/>
                <w:snapToGrid w:val="0"/>
                <w:color w:val="auto"/>
                <w:kern w:val="21"/>
                <w:szCs w:val="21"/>
              </w:rPr>
            </w:pPr>
            <w:r>
              <w:rPr>
                <w:rFonts w:hint="eastAsia"/>
                <w:color w:val="auto"/>
              </w:rPr>
              <w:t>4.371</w:t>
            </w:r>
          </w:p>
        </w:tc>
        <w:tc>
          <w:tcPr>
            <w:tcW w:w="1276" w:type="dxa"/>
            <w:vAlign w:val="center"/>
          </w:tcPr>
          <w:p w14:paraId="7FE76F9B">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60ABCBA0">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463E26F9">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768D557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8817629">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4.371</w:t>
            </w:r>
          </w:p>
        </w:tc>
        <w:tc>
          <w:tcPr>
            <w:tcW w:w="1260" w:type="dxa"/>
            <w:shd w:val="clear" w:color="auto" w:fill="auto"/>
            <w:vAlign w:val="center"/>
          </w:tcPr>
          <w:p w14:paraId="1D542997">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350A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41" w:type="dxa"/>
            <w:vMerge w:val="continue"/>
            <w:vAlign w:val="center"/>
          </w:tcPr>
          <w:p w14:paraId="6820C180">
            <w:pPr>
              <w:pStyle w:val="50"/>
              <w:spacing w:beforeLines="0" w:afterLines="0" w:line="240" w:lineRule="auto"/>
              <w:rPr>
                <w:rFonts w:ascii="Times New Roman" w:cs="宋体"/>
                <w:snapToGrid w:val="0"/>
                <w:color w:val="auto"/>
                <w:kern w:val="21"/>
                <w:szCs w:val="21"/>
              </w:rPr>
            </w:pPr>
          </w:p>
        </w:tc>
        <w:tc>
          <w:tcPr>
            <w:tcW w:w="1564" w:type="dxa"/>
            <w:vAlign w:val="center"/>
          </w:tcPr>
          <w:p w14:paraId="37898002">
            <w:pPr>
              <w:jc w:val="center"/>
              <w:rPr>
                <w:color w:val="auto"/>
              </w:rPr>
            </w:pPr>
            <w:r>
              <w:rPr>
                <w:rFonts w:hint="eastAsia"/>
                <w:color w:val="auto"/>
              </w:rPr>
              <w:t>总硼</w:t>
            </w:r>
          </w:p>
        </w:tc>
        <w:tc>
          <w:tcPr>
            <w:tcW w:w="1701" w:type="dxa"/>
            <w:vAlign w:val="center"/>
          </w:tcPr>
          <w:p w14:paraId="43BBF25D">
            <w:pPr>
              <w:jc w:val="center"/>
              <w:rPr>
                <w:rFonts w:cs="宋体"/>
                <w:snapToGrid w:val="0"/>
                <w:color w:val="auto"/>
                <w:kern w:val="21"/>
                <w:szCs w:val="21"/>
              </w:rPr>
            </w:pPr>
            <w:r>
              <w:rPr>
                <w:rFonts w:hint="eastAsia"/>
                <w:color w:val="auto"/>
              </w:rPr>
              <w:t>1.66</w:t>
            </w:r>
          </w:p>
        </w:tc>
        <w:tc>
          <w:tcPr>
            <w:tcW w:w="1276" w:type="dxa"/>
            <w:vAlign w:val="center"/>
          </w:tcPr>
          <w:p w14:paraId="168791F5">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5AE50B9C">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20277700">
            <w:pPr>
              <w:pStyle w:val="50"/>
              <w:spacing w:beforeLines="0" w:afterLines="0" w:line="240" w:lineRule="auto"/>
              <w:rPr>
                <w:rFonts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rPr>
              <w:t>0</w:t>
            </w:r>
          </w:p>
        </w:tc>
        <w:tc>
          <w:tcPr>
            <w:tcW w:w="1374" w:type="dxa"/>
            <w:shd w:val="clear" w:color="auto" w:fill="auto"/>
            <w:vAlign w:val="center"/>
          </w:tcPr>
          <w:p w14:paraId="54EDF096">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2B3EBDD2">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1260" w:type="dxa"/>
            <w:shd w:val="clear" w:color="auto" w:fill="auto"/>
            <w:vAlign w:val="center"/>
          </w:tcPr>
          <w:p w14:paraId="62AD1D7E">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79D0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Align w:val="center"/>
          </w:tcPr>
          <w:p w14:paraId="3AE2201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一般工业</w:t>
            </w:r>
          </w:p>
          <w:p w14:paraId="0A4C27A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固体废物</w:t>
            </w:r>
          </w:p>
        </w:tc>
        <w:tc>
          <w:tcPr>
            <w:tcW w:w="1564" w:type="dxa"/>
            <w:vAlign w:val="center"/>
          </w:tcPr>
          <w:p w14:paraId="1ED9A044">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一般工业</w:t>
            </w:r>
          </w:p>
          <w:p w14:paraId="4A02857A">
            <w:pPr>
              <w:jc w:val="center"/>
              <w:rPr>
                <w:rFonts w:cs="宋体"/>
                <w:snapToGrid w:val="0"/>
                <w:color w:val="auto"/>
                <w:kern w:val="21"/>
                <w:szCs w:val="21"/>
              </w:rPr>
            </w:pPr>
            <w:r>
              <w:rPr>
                <w:rFonts w:hint="eastAsia" w:cs="宋体"/>
                <w:snapToGrid w:val="0"/>
                <w:color w:val="auto"/>
                <w:kern w:val="21"/>
                <w:szCs w:val="21"/>
              </w:rPr>
              <w:t>固体废物</w:t>
            </w:r>
          </w:p>
        </w:tc>
        <w:tc>
          <w:tcPr>
            <w:tcW w:w="1701" w:type="dxa"/>
            <w:vAlign w:val="center"/>
          </w:tcPr>
          <w:p w14:paraId="10F9070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1935.736</w:t>
            </w:r>
          </w:p>
        </w:tc>
        <w:tc>
          <w:tcPr>
            <w:tcW w:w="1276" w:type="dxa"/>
            <w:vAlign w:val="center"/>
          </w:tcPr>
          <w:p w14:paraId="57437677">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701" w:type="dxa"/>
            <w:vAlign w:val="center"/>
          </w:tcPr>
          <w:p w14:paraId="415774DD">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655CB0C9">
            <w:pPr>
              <w:jc w:val="center"/>
              <w:rPr>
                <w:rFonts w:hint="default" w:ascii="Times New Roman" w:hAnsi="Times New Roman" w:eastAsia="宋体" w:cs="Times New Roman"/>
                <w:color w:val="auto"/>
                <w:spacing w:val="6"/>
                <w:kern w:val="2"/>
                <w:sz w:val="21"/>
                <w:szCs w:val="21"/>
                <w:lang w:val="en-US" w:eastAsia="zh-CN" w:bidi="ar-SA"/>
              </w:rPr>
            </w:pPr>
            <w:r>
              <w:rPr>
                <w:rFonts w:hint="eastAsia"/>
                <w:color w:val="auto"/>
                <w:spacing w:val="6"/>
                <w:szCs w:val="21"/>
                <w:lang w:val="en-US" w:eastAsia="zh-CN"/>
              </w:rPr>
              <w:t>794.8</w:t>
            </w:r>
          </w:p>
        </w:tc>
        <w:tc>
          <w:tcPr>
            <w:tcW w:w="1374" w:type="dxa"/>
            <w:shd w:val="clear" w:color="auto" w:fill="auto"/>
            <w:vAlign w:val="center"/>
          </w:tcPr>
          <w:p w14:paraId="1FD71FA3">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7E711242">
            <w:pPr>
              <w:keepNext w:val="0"/>
              <w:keepLines w:val="0"/>
              <w:widowControl/>
              <w:suppressLineNumbers w:val="0"/>
              <w:jc w:val="center"/>
              <w:textAlignment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2730.536</w:t>
            </w:r>
          </w:p>
        </w:tc>
        <w:tc>
          <w:tcPr>
            <w:tcW w:w="1260" w:type="dxa"/>
            <w:shd w:val="clear" w:color="auto" w:fill="auto"/>
            <w:vAlign w:val="center"/>
          </w:tcPr>
          <w:p w14:paraId="492A7C3B">
            <w:pPr>
              <w:keepNext w:val="0"/>
              <w:keepLines w:val="0"/>
              <w:widowControl/>
              <w:suppressLineNumbers w:val="0"/>
              <w:jc w:val="center"/>
              <w:textAlignment w:val="center"/>
              <w:rPr>
                <w:rFonts w:ascii="Times New Roman" w:hAnsi="Times New Roman" w:eastAsia="宋体" w:cs="宋体"/>
                <w:snapToGrid w:val="0"/>
                <w:color w:val="auto"/>
                <w:kern w:val="21"/>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794.8</w:t>
            </w:r>
          </w:p>
        </w:tc>
      </w:tr>
      <w:tr w14:paraId="738B8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Align w:val="center"/>
          </w:tcPr>
          <w:p w14:paraId="7594110A">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危险废物</w:t>
            </w:r>
          </w:p>
        </w:tc>
        <w:tc>
          <w:tcPr>
            <w:tcW w:w="1564" w:type="dxa"/>
            <w:vAlign w:val="center"/>
          </w:tcPr>
          <w:p w14:paraId="60B445E4">
            <w:pPr>
              <w:pStyle w:val="63"/>
              <w:rPr>
                <w:color w:val="auto"/>
              </w:rPr>
            </w:pPr>
            <w:r>
              <w:rPr>
                <w:rFonts w:hint="eastAsia" w:cs="宋体"/>
                <w:snapToGrid w:val="0"/>
                <w:color w:val="auto"/>
                <w:kern w:val="21"/>
              </w:rPr>
              <w:t>危险废物</w:t>
            </w:r>
          </w:p>
        </w:tc>
        <w:tc>
          <w:tcPr>
            <w:tcW w:w="1701" w:type="dxa"/>
            <w:vAlign w:val="center"/>
          </w:tcPr>
          <w:p w14:paraId="29C6949E">
            <w:pPr>
              <w:pStyle w:val="50"/>
              <w:spacing w:beforeLines="0" w:afterLines="0" w:line="240" w:lineRule="auto"/>
              <w:rPr>
                <w:rFonts w:ascii="Times New Roman" w:cs="宋体"/>
                <w:snapToGrid w:val="0"/>
                <w:color w:val="auto"/>
                <w:kern w:val="21"/>
                <w:szCs w:val="21"/>
              </w:rPr>
            </w:pPr>
            <w:r>
              <w:rPr>
                <w:rFonts w:ascii="Times New Roman" w:cs="宋体"/>
                <w:snapToGrid w:val="0"/>
                <w:color w:val="auto"/>
                <w:kern w:val="21"/>
                <w:szCs w:val="21"/>
              </w:rPr>
              <w:t>1478.892</w:t>
            </w:r>
          </w:p>
        </w:tc>
        <w:tc>
          <w:tcPr>
            <w:tcW w:w="1276" w:type="dxa"/>
            <w:vAlign w:val="center"/>
          </w:tcPr>
          <w:p w14:paraId="0BBF454E">
            <w:pPr>
              <w:pStyle w:val="50"/>
              <w:spacing w:beforeLines="0" w:afterLines="0" w:line="240" w:lineRule="auto"/>
              <w:rPr>
                <w:rFonts w:hint="eastAsia" w:asci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701" w:type="dxa"/>
            <w:vAlign w:val="center"/>
          </w:tcPr>
          <w:p w14:paraId="3F6B849E">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559" w:type="dxa"/>
            <w:shd w:val="clear" w:color="auto" w:fill="auto"/>
            <w:vAlign w:val="center"/>
          </w:tcPr>
          <w:p w14:paraId="0A8EB68C">
            <w:pPr>
              <w:jc w:val="center"/>
              <w:rPr>
                <w:rFonts w:hint="default" w:ascii="Times New Roman" w:hAnsi="Times New Roman" w:eastAsia="宋体" w:cs="Times New Roman"/>
                <w:color w:val="auto"/>
                <w:spacing w:val="6"/>
                <w:kern w:val="2"/>
                <w:sz w:val="21"/>
                <w:szCs w:val="21"/>
                <w:lang w:val="en-US" w:eastAsia="zh-CN" w:bidi="ar-SA"/>
              </w:rPr>
            </w:pPr>
            <w:r>
              <w:rPr>
                <w:rFonts w:hint="eastAsia"/>
                <w:color w:val="auto"/>
                <w:spacing w:val="6"/>
                <w:szCs w:val="21"/>
                <w:lang w:val="en-US" w:eastAsia="zh-CN"/>
              </w:rPr>
              <w:t>0.4227</w:t>
            </w:r>
          </w:p>
        </w:tc>
        <w:tc>
          <w:tcPr>
            <w:tcW w:w="1374" w:type="dxa"/>
            <w:shd w:val="clear" w:color="auto" w:fill="auto"/>
            <w:vAlign w:val="center"/>
          </w:tcPr>
          <w:p w14:paraId="33AF6D52">
            <w:pPr>
              <w:pStyle w:val="50"/>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0</w:t>
            </w:r>
          </w:p>
        </w:tc>
        <w:tc>
          <w:tcPr>
            <w:tcW w:w="1912" w:type="dxa"/>
            <w:shd w:val="clear" w:color="auto" w:fill="auto"/>
            <w:vAlign w:val="center"/>
          </w:tcPr>
          <w:p w14:paraId="69810865">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eastAsia" w:cs="Times New Roman"/>
                <w:i w:val="0"/>
                <w:iCs w:val="0"/>
                <w:color w:val="auto"/>
                <w:kern w:val="0"/>
                <w:sz w:val="21"/>
                <w:szCs w:val="21"/>
                <w:u w:val="none"/>
                <w:lang w:val="en-US" w:eastAsia="zh-CN" w:bidi="ar"/>
              </w:rPr>
              <w:t>1479.3148</w:t>
            </w:r>
          </w:p>
        </w:tc>
        <w:tc>
          <w:tcPr>
            <w:tcW w:w="1260" w:type="dxa"/>
            <w:shd w:val="clear" w:color="auto" w:fill="auto"/>
            <w:vAlign w:val="center"/>
          </w:tcPr>
          <w:p w14:paraId="074FD437">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eastAsia" w:cs="Times New Roman"/>
                <w:i w:val="0"/>
                <w:iCs w:val="0"/>
                <w:color w:val="auto"/>
                <w:kern w:val="0"/>
                <w:sz w:val="21"/>
                <w:szCs w:val="21"/>
                <w:u w:val="none"/>
                <w:lang w:val="en-US" w:eastAsia="zh-CN" w:bidi="ar"/>
              </w:rPr>
              <w:t>+0.4227</w:t>
            </w:r>
          </w:p>
        </w:tc>
      </w:tr>
    </w:tbl>
    <w:p w14:paraId="012B6A3F">
      <w:pPr>
        <w:pStyle w:val="50"/>
        <w:spacing w:before="192" w:beforeLines="80" w:after="24"/>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int="eastAsia" w:ascii="Times New Roman"/>
          <w:snapToGrid w:val="0"/>
          <w:color w:val="auto"/>
          <w:spacing w:val="-6"/>
          <w:kern w:val="21"/>
          <w:szCs w:val="21"/>
        </w:rPr>
        <w:t>单位t/a</w:t>
      </w:r>
    </w:p>
    <w:p w14:paraId="62663E53">
      <w:pPr>
        <w:rPr>
          <w:color w:val="auto"/>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9DD12E5">
      <w:pPr>
        <w:jc w:val="center"/>
        <w:rPr>
          <w:rFonts w:ascii="Times New Roman" w:hAnsi="Times New Roman" w:eastAsia="宋体"/>
          <w:b/>
          <w:bCs/>
          <w:color w:val="auto"/>
          <w:kern w:val="44"/>
          <w:sz w:val="44"/>
          <w:szCs w:val="44"/>
        </w:rPr>
      </w:pPr>
    </w:p>
    <w:p w14:paraId="3BDA355C">
      <w:pPr>
        <w:jc w:val="center"/>
        <w:rPr>
          <w:rFonts w:ascii="Times New Roman" w:hAnsi="Times New Roman" w:eastAsia="宋体"/>
          <w:b/>
          <w:bCs/>
          <w:color w:val="auto"/>
          <w:kern w:val="44"/>
          <w:sz w:val="44"/>
          <w:szCs w:val="44"/>
        </w:rPr>
      </w:pPr>
    </w:p>
    <w:p w14:paraId="371441C2">
      <w:pPr>
        <w:jc w:val="center"/>
        <w:rPr>
          <w:rFonts w:ascii="Times New Roman" w:hAnsi="Times New Roman" w:eastAsia="宋体"/>
          <w:b/>
          <w:bCs/>
          <w:color w:val="auto"/>
          <w:kern w:val="44"/>
          <w:sz w:val="44"/>
          <w:szCs w:val="44"/>
        </w:rPr>
      </w:pPr>
    </w:p>
    <w:p w14:paraId="5D4B9E1A">
      <w:pPr>
        <w:jc w:val="center"/>
        <w:rPr>
          <w:rFonts w:ascii="Times New Roman" w:hAnsi="Times New Roman" w:eastAsia="宋体"/>
          <w:b/>
          <w:bCs/>
          <w:color w:val="auto"/>
          <w:kern w:val="44"/>
          <w:sz w:val="44"/>
          <w:szCs w:val="44"/>
        </w:rPr>
      </w:pPr>
    </w:p>
    <w:p w14:paraId="7BBA4B3D">
      <w:pPr>
        <w:jc w:val="center"/>
        <w:rPr>
          <w:rFonts w:ascii="Times New Roman" w:hAnsi="Times New Roman" w:eastAsia="宋体"/>
          <w:b/>
          <w:bCs/>
          <w:color w:val="auto"/>
          <w:kern w:val="44"/>
          <w:sz w:val="44"/>
          <w:szCs w:val="44"/>
        </w:rPr>
      </w:pPr>
    </w:p>
    <w:p w14:paraId="09A5402F">
      <w:pPr>
        <w:jc w:val="center"/>
        <w:rPr>
          <w:rFonts w:ascii="Times New Roman" w:hAnsi="Times New Roman" w:eastAsia="宋体"/>
          <w:b/>
          <w:bCs/>
          <w:color w:val="auto"/>
          <w:kern w:val="44"/>
          <w:sz w:val="44"/>
          <w:szCs w:val="44"/>
        </w:rPr>
      </w:pPr>
    </w:p>
    <w:p w14:paraId="22204205">
      <w:pPr>
        <w:jc w:val="center"/>
        <w:rPr>
          <w:rFonts w:ascii="Times New Roman" w:hAnsi="Times New Roman" w:eastAsia="宋体"/>
          <w:b/>
          <w:bCs/>
          <w:color w:val="auto"/>
          <w:kern w:val="44"/>
          <w:sz w:val="44"/>
          <w:szCs w:val="44"/>
        </w:rPr>
      </w:pPr>
    </w:p>
    <w:p w14:paraId="373A1B62">
      <w:pPr>
        <w:jc w:val="center"/>
        <w:rPr>
          <w:rFonts w:ascii="Times New Roman" w:hAnsi="Times New Roman" w:eastAsia="宋体"/>
          <w:b/>
          <w:bCs/>
          <w:color w:val="auto"/>
          <w:kern w:val="44"/>
          <w:sz w:val="44"/>
          <w:szCs w:val="44"/>
        </w:rPr>
      </w:pPr>
    </w:p>
    <w:p w14:paraId="71C3384F">
      <w:pPr>
        <w:jc w:val="center"/>
        <w:rPr>
          <w:rFonts w:ascii="Times New Roman" w:hAnsi="Times New Roman" w:eastAsia="宋体"/>
          <w:b/>
          <w:bCs/>
          <w:color w:val="auto"/>
          <w:kern w:val="44"/>
          <w:sz w:val="44"/>
          <w:szCs w:val="44"/>
        </w:rPr>
      </w:pPr>
    </w:p>
    <w:p w14:paraId="0A7DC1BB">
      <w:pPr>
        <w:jc w:val="center"/>
        <w:outlineLvl w:val="0"/>
        <w:rPr>
          <w:rFonts w:ascii="Times New Roman" w:hAnsi="Times New Roman" w:eastAsia="宋体"/>
          <w:b/>
          <w:bCs/>
          <w:color w:val="auto"/>
          <w:kern w:val="44"/>
          <w:sz w:val="44"/>
          <w:szCs w:val="44"/>
        </w:rPr>
      </w:pPr>
      <w:r>
        <w:rPr>
          <w:rFonts w:hint="eastAsia"/>
          <w:b/>
          <w:bCs/>
          <w:color w:val="auto"/>
          <w:kern w:val="44"/>
          <w:sz w:val="44"/>
          <w:szCs w:val="44"/>
          <w:lang w:val="en-US" w:eastAsia="zh-CN"/>
        </w:rPr>
        <w:t>七、</w:t>
      </w:r>
      <w:r>
        <w:rPr>
          <w:rFonts w:ascii="Times New Roman" w:hAnsi="Times New Roman" w:eastAsia="宋体"/>
          <w:b/>
          <w:bCs/>
          <w:color w:val="auto"/>
          <w:kern w:val="44"/>
          <w:sz w:val="44"/>
          <w:szCs w:val="44"/>
        </w:rPr>
        <w:t>环境风险专项评价</w:t>
      </w:r>
    </w:p>
    <w:p w14:paraId="0F0D6799">
      <w:pPr>
        <w:keepNext/>
        <w:keepLines/>
        <w:pageBreakBefore w:val="0"/>
        <w:widowControl w:val="0"/>
        <w:kinsoku/>
        <w:wordWrap/>
        <w:overflowPunct/>
        <w:topLinePunct w:val="0"/>
        <w:autoSpaceDE/>
        <w:autoSpaceDN/>
        <w:bidi w:val="0"/>
        <w:adjustRightInd/>
        <w:snapToGrid/>
        <w:spacing w:line="360" w:lineRule="auto"/>
        <w:textAlignment w:val="auto"/>
        <w:outlineLvl w:val="0"/>
        <w:rPr>
          <w:rFonts w:eastAsia="楷体"/>
          <w:b/>
          <w:bCs/>
          <w:color w:val="auto"/>
          <w:kern w:val="44"/>
          <w:sz w:val="30"/>
          <w:szCs w:val="30"/>
        </w:rPr>
        <w:sectPr>
          <w:headerReference r:id="rId6" w:type="default"/>
          <w:footerReference r:id="rId7" w:type="default"/>
          <w:pgSz w:w="11907" w:h="16839"/>
          <w:pgMar w:top="1134" w:right="1690" w:bottom="1198" w:left="1678" w:header="863" w:footer="982" w:gutter="0"/>
          <w:pgBorders>
            <w:top w:val="none" w:sz="0" w:space="0"/>
            <w:left w:val="none" w:sz="0" w:space="0"/>
            <w:bottom w:val="none" w:sz="0" w:space="0"/>
            <w:right w:val="none" w:sz="0" w:space="0"/>
          </w:pgBorders>
          <w:pgNumType w:fmt="decimal"/>
          <w:cols w:space="720" w:num="1"/>
        </w:sectPr>
      </w:pPr>
    </w:p>
    <w:p w14:paraId="7FD0953B">
      <w:pPr>
        <w:keepNext/>
        <w:keepLines/>
        <w:pageBreakBefore w:val="0"/>
        <w:widowControl w:val="0"/>
        <w:kinsoku/>
        <w:wordWrap/>
        <w:overflowPunct/>
        <w:topLinePunct w:val="0"/>
        <w:autoSpaceDE/>
        <w:autoSpaceDN/>
        <w:bidi w:val="0"/>
        <w:adjustRightInd/>
        <w:snapToGrid/>
        <w:spacing w:line="360" w:lineRule="auto"/>
        <w:textAlignment w:val="auto"/>
        <w:outlineLvl w:val="0"/>
        <w:rPr>
          <w:rFonts w:eastAsia="楷体"/>
          <w:b/>
          <w:bCs/>
          <w:color w:val="auto"/>
          <w:kern w:val="44"/>
          <w:sz w:val="44"/>
          <w:szCs w:val="44"/>
        </w:rPr>
      </w:pPr>
      <w:r>
        <w:rPr>
          <w:rFonts w:eastAsia="楷体"/>
          <w:b/>
          <w:bCs/>
          <w:color w:val="auto"/>
          <w:kern w:val="44"/>
          <w:sz w:val="30"/>
          <w:szCs w:val="30"/>
        </w:rPr>
        <w:t>7.1环境风险</w:t>
      </w:r>
    </w:p>
    <w:p w14:paraId="246A5A02">
      <w:pPr>
        <w:keepNext/>
        <w:keepLines/>
        <w:pageBreakBefore w:val="0"/>
        <w:widowControl w:val="0"/>
        <w:kinsoku/>
        <w:wordWrap/>
        <w:overflowPunct/>
        <w:topLinePunct w:val="0"/>
        <w:autoSpaceDE/>
        <w:autoSpaceDN/>
        <w:bidi w:val="0"/>
        <w:adjustRightInd/>
        <w:snapToGrid/>
        <w:spacing w:line="360" w:lineRule="auto"/>
        <w:textAlignment w:val="auto"/>
        <w:outlineLvl w:val="1"/>
        <w:rPr>
          <w:rFonts w:eastAsia="楷体"/>
          <w:b/>
          <w:color w:val="auto"/>
          <w:sz w:val="30"/>
          <w:szCs w:val="30"/>
        </w:rPr>
      </w:pPr>
      <w:r>
        <w:rPr>
          <w:rFonts w:eastAsia="楷体"/>
          <w:b/>
          <w:color w:val="auto"/>
          <w:sz w:val="30"/>
          <w:szCs w:val="30"/>
        </w:rPr>
        <w:t>7.1.1评价原则</w:t>
      </w:r>
    </w:p>
    <w:p w14:paraId="425566DC">
      <w:pPr>
        <w:spacing w:line="360" w:lineRule="auto"/>
        <w:ind w:firstLine="480" w:firstLineChars="200"/>
        <w:rPr>
          <w:color w:val="auto"/>
          <w:sz w:val="24"/>
        </w:rPr>
      </w:pPr>
      <w:r>
        <w:rPr>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284F180C">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楷体" w:cs="Times New Roman"/>
          <w:b/>
          <w:color w:val="auto"/>
          <w:sz w:val="30"/>
          <w:szCs w:val="30"/>
        </w:rPr>
      </w:pPr>
      <w:r>
        <w:rPr>
          <w:rFonts w:ascii="Times New Roman" w:hAnsi="Times New Roman" w:eastAsia="楷体" w:cs="Times New Roman"/>
          <w:b/>
          <w:color w:val="auto"/>
          <w:sz w:val="30"/>
          <w:szCs w:val="30"/>
        </w:rPr>
        <w:t>7.1.2评价工作程序</w:t>
      </w:r>
    </w:p>
    <w:p w14:paraId="78E5CF3F">
      <w:pPr>
        <w:jc w:val="both"/>
        <w:rPr>
          <w:color w:val="auto"/>
          <w:sz w:val="24"/>
        </w:rPr>
      </w:pPr>
      <w:r>
        <w:rPr>
          <w:color w:val="auto"/>
          <w:sz w:val="24"/>
        </w:rPr>
        <w:drawing>
          <wp:inline distT="0" distB="0" distL="114300" distR="114300">
            <wp:extent cx="5268595" cy="5420360"/>
            <wp:effectExtent l="0" t="0" r="825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5"/>
                    <a:stretch>
                      <a:fillRect/>
                    </a:stretch>
                  </pic:blipFill>
                  <pic:spPr>
                    <a:xfrm>
                      <a:off x="0" y="0"/>
                      <a:ext cx="5268595" cy="5420360"/>
                    </a:xfrm>
                    <a:prstGeom prst="rect">
                      <a:avLst/>
                    </a:prstGeom>
                    <a:noFill/>
                    <a:ln>
                      <a:noFill/>
                    </a:ln>
                  </pic:spPr>
                </pic:pic>
              </a:graphicData>
            </a:graphic>
          </wp:inline>
        </w:drawing>
      </w:r>
    </w:p>
    <w:p w14:paraId="38025390">
      <w:pPr>
        <w:spacing w:line="360" w:lineRule="auto"/>
        <w:ind w:firstLine="480" w:firstLineChars="200"/>
        <w:rPr>
          <w:color w:val="auto"/>
          <w:sz w:val="24"/>
        </w:rPr>
      </w:pPr>
      <w:r>
        <w:rPr>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36003A75">
      <w:pPr>
        <w:keepNext/>
        <w:keepLines/>
        <w:pageBreakBefore w:val="0"/>
        <w:widowControl w:val="0"/>
        <w:kinsoku/>
        <w:wordWrap/>
        <w:overflowPunct/>
        <w:topLinePunct w:val="0"/>
        <w:autoSpaceDE/>
        <w:autoSpaceDN/>
        <w:bidi w:val="0"/>
        <w:adjustRightInd/>
        <w:snapToGrid/>
        <w:spacing w:line="360" w:lineRule="auto"/>
        <w:textAlignment w:val="auto"/>
        <w:outlineLvl w:val="0"/>
        <w:rPr>
          <w:rFonts w:eastAsia="楷体"/>
          <w:b/>
          <w:bCs/>
          <w:color w:val="auto"/>
          <w:kern w:val="44"/>
          <w:sz w:val="32"/>
          <w:szCs w:val="32"/>
        </w:rPr>
      </w:pPr>
      <w:r>
        <w:rPr>
          <w:rFonts w:eastAsia="楷体"/>
          <w:b/>
          <w:bCs/>
          <w:color w:val="auto"/>
          <w:kern w:val="44"/>
          <w:sz w:val="32"/>
          <w:szCs w:val="32"/>
        </w:rPr>
        <w:t>7.2风险调查</w:t>
      </w:r>
    </w:p>
    <w:p w14:paraId="66606510">
      <w:pPr>
        <w:keepNext/>
        <w:keepLines/>
        <w:pageBreakBefore w:val="0"/>
        <w:widowControl w:val="0"/>
        <w:kinsoku/>
        <w:wordWrap/>
        <w:overflowPunct/>
        <w:topLinePunct w:val="0"/>
        <w:autoSpaceDE/>
        <w:autoSpaceDN/>
        <w:bidi w:val="0"/>
        <w:adjustRightInd/>
        <w:snapToGrid/>
        <w:spacing w:line="360" w:lineRule="auto"/>
        <w:textAlignment w:val="auto"/>
        <w:outlineLvl w:val="1"/>
        <w:rPr>
          <w:rFonts w:eastAsia="楷体"/>
          <w:b/>
          <w:color w:val="auto"/>
          <w:sz w:val="30"/>
          <w:szCs w:val="30"/>
        </w:rPr>
      </w:pPr>
      <w:r>
        <w:rPr>
          <w:rFonts w:eastAsia="楷体"/>
          <w:b/>
          <w:color w:val="auto"/>
          <w:sz w:val="30"/>
          <w:szCs w:val="30"/>
        </w:rPr>
        <w:t>7.2.1风险源调查</w:t>
      </w:r>
    </w:p>
    <w:p w14:paraId="5C6D516F">
      <w:pPr>
        <w:pStyle w:val="42"/>
        <w:jc w:val="center"/>
        <w:rPr>
          <w:rFonts w:hint="eastAsia" w:ascii="Times New Roman" w:hAnsi="Times New Roman"/>
          <w:b/>
          <w:bCs/>
          <w:color w:val="auto"/>
          <w:sz w:val="24"/>
          <w:szCs w:val="24"/>
        </w:rPr>
      </w:pPr>
      <w:r>
        <w:rPr>
          <w:rFonts w:hint="eastAsia" w:ascii="Times New Roman" w:hAnsi="Times New Roman"/>
          <w:b/>
          <w:bCs/>
          <w:color w:val="auto"/>
          <w:sz w:val="24"/>
          <w:szCs w:val="24"/>
        </w:rPr>
        <w:t>表7.2-1建设项目风险源调查一览表</w:t>
      </w:r>
    </w:p>
    <w:tbl>
      <w:tblPr>
        <w:tblStyle w:val="24"/>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76"/>
        <w:gridCol w:w="900"/>
        <w:gridCol w:w="938"/>
        <w:gridCol w:w="1247"/>
        <w:gridCol w:w="965"/>
        <w:gridCol w:w="1022"/>
        <w:gridCol w:w="1041"/>
        <w:gridCol w:w="1073"/>
        <w:gridCol w:w="427"/>
      </w:tblGrid>
      <w:tr w14:paraId="5B71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7" w:type="dxa"/>
            <w:vAlign w:val="center"/>
          </w:tcPr>
          <w:p w14:paraId="09AFE2F3">
            <w:pPr>
              <w:pStyle w:val="50"/>
              <w:spacing w:before="24" w:after="24"/>
              <w:jc w:val="center"/>
              <w:rPr>
                <w:rFonts w:ascii="Times New Roman"/>
                <w:b/>
                <w:color w:val="auto"/>
              </w:rPr>
            </w:pPr>
            <w:r>
              <w:rPr>
                <w:rFonts w:ascii="Times New Roman"/>
                <w:b/>
                <w:color w:val="auto"/>
              </w:rPr>
              <w:t>序号</w:t>
            </w:r>
          </w:p>
        </w:tc>
        <w:tc>
          <w:tcPr>
            <w:tcW w:w="876" w:type="dxa"/>
            <w:vAlign w:val="center"/>
          </w:tcPr>
          <w:p w14:paraId="0C937A6D">
            <w:pPr>
              <w:pStyle w:val="50"/>
              <w:spacing w:before="24" w:after="24"/>
              <w:jc w:val="center"/>
              <w:rPr>
                <w:rFonts w:ascii="Times New Roman"/>
                <w:b/>
                <w:color w:val="auto"/>
              </w:rPr>
            </w:pPr>
            <w:r>
              <w:rPr>
                <w:rFonts w:ascii="Times New Roman"/>
                <w:b/>
                <w:color w:val="auto"/>
              </w:rPr>
              <w:t>危险物质名称</w:t>
            </w:r>
          </w:p>
        </w:tc>
        <w:tc>
          <w:tcPr>
            <w:tcW w:w="900" w:type="dxa"/>
            <w:vAlign w:val="center"/>
          </w:tcPr>
          <w:p w14:paraId="56139DA4">
            <w:pPr>
              <w:pStyle w:val="50"/>
              <w:spacing w:before="24" w:after="24"/>
              <w:jc w:val="center"/>
              <w:rPr>
                <w:rFonts w:ascii="Times New Roman"/>
                <w:b/>
                <w:color w:val="auto"/>
              </w:rPr>
            </w:pPr>
            <w:r>
              <w:rPr>
                <w:rFonts w:ascii="Times New Roman"/>
                <w:b/>
                <w:color w:val="auto"/>
              </w:rPr>
              <w:t>CAS号</w:t>
            </w:r>
          </w:p>
        </w:tc>
        <w:tc>
          <w:tcPr>
            <w:tcW w:w="938" w:type="dxa"/>
            <w:vAlign w:val="center"/>
          </w:tcPr>
          <w:p w14:paraId="725AD1F6">
            <w:pPr>
              <w:pStyle w:val="50"/>
              <w:spacing w:before="24" w:after="24"/>
              <w:jc w:val="center"/>
              <w:rPr>
                <w:rFonts w:ascii="Times New Roman"/>
                <w:b/>
                <w:color w:val="auto"/>
              </w:rPr>
            </w:pPr>
            <w:r>
              <w:rPr>
                <w:rFonts w:hint="eastAsia" w:ascii="Times New Roman"/>
                <w:b/>
                <w:color w:val="auto"/>
                <w:lang w:val="en-US" w:eastAsia="zh-CN"/>
              </w:rPr>
              <w:t>本项目</w:t>
            </w:r>
            <w:r>
              <w:rPr>
                <w:rFonts w:ascii="Times New Roman"/>
                <w:b/>
                <w:color w:val="auto"/>
              </w:rPr>
              <w:t>最大存在总量qi/t</w:t>
            </w:r>
          </w:p>
        </w:tc>
        <w:tc>
          <w:tcPr>
            <w:tcW w:w="1247" w:type="dxa"/>
            <w:vAlign w:val="center"/>
          </w:tcPr>
          <w:p w14:paraId="3C1855BE">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一期项目最大</w:t>
            </w:r>
            <w:r>
              <w:rPr>
                <w:rFonts w:ascii="Times New Roman"/>
                <w:b/>
                <w:color w:val="auto"/>
              </w:rPr>
              <w:t>存在总量</w:t>
            </w:r>
          </w:p>
        </w:tc>
        <w:tc>
          <w:tcPr>
            <w:tcW w:w="965" w:type="dxa"/>
            <w:vAlign w:val="center"/>
          </w:tcPr>
          <w:p w14:paraId="2CB3024E">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全厂最大贮存量</w:t>
            </w:r>
          </w:p>
        </w:tc>
        <w:tc>
          <w:tcPr>
            <w:tcW w:w="1022" w:type="dxa"/>
            <w:vAlign w:val="center"/>
          </w:tcPr>
          <w:p w14:paraId="62AB66A5">
            <w:pPr>
              <w:pStyle w:val="50"/>
              <w:spacing w:before="24" w:after="24"/>
              <w:jc w:val="center"/>
              <w:rPr>
                <w:rFonts w:ascii="Times New Roman"/>
                <w:b/>
                <w:color w:val="auto"/>
              </w:rPr>
            </w:pPr>
            <w:r>
              <w:rPr>
                <w:rFonts w:ascii="Times New Roman"/>
                <w:b/>
                <w:color w:val="auto"/>
              </w:rPr>
              <w:t>临界量Qn/t</w:t>
            </w:r>
          </w:p>
        </w:tc>
        <w:tc>
          <w:tcPr>
            <w:tcW w:w="1041" w:type="dxa"/>
            <w:vAlign w:val="center"/>
          </w:tcPr>
          <w:p w14:paraId="6A012225">
            <w:pPr>
              <w:pStyle w:val="50"/>
              <w:spacing w:before="24" w:after="24"/>
              <w:jc w:val="center"/>
              <w:rPr>
                <w:rFonts w:ascii="Times New Roman"/>
                <w:b/>
                <w:color w:val="auto"/>
              </w:rPr>
            </w:pPr>
            <w:r>
              <w:rPr>
                <w:rFonts w:ascii="Times New Roman"/>
                <w:b/>
                <w:color w:val="auto"/>
              </w:rPr>
              <w:t>该种物质Q值</w:t>
            </w:r>
          </w:p>
        </w:tc>
        <w:tc>
          <w:tcPr>
            <w:tcW w:w="1073" w:type="dxa"/>
            <w:vAlign w:val="center"/>
          </w:tcPr>
          <w:p w14:paraId="59F46536">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是否超过临界量</w:t>
            </w:r>
          </w:p>
        </w:tc>
        <w:tc>
          <w:tcPr>
            <w:tcW w:w="427" w:type="dxa"/>
            <w:vAlign w:val="center"/>
          </w:tcPr>
          <w:p w14:paraId="6A39EE79">
            <w:pPr>
              <w:pStyle w:val="50"/>
              <w:spacing w:before="24" w:after="24"/>
              <w:jc w:val="center"/>
              <w:rPr>
                <w:rFonts w:hint="eastAsia" w:ascii="Times New Roman"/>
                <w:b/>
                <w:color w:val="auto"/>
                <w:lang w:val="en-US" w:eastAsia="zh-CN"/>
              </w:rPr>
            </w:pPr>
            <w:r>
              <w:rPr>
                <w:rFonts w:hint="eastAsia" w:ascii="Times New Roman"/>
                <w:b/>
                <w:color w:val="auto"/>
                <w:lang w:val="en-US" w:eastAsia="zh-CN"/>
              </w:rPr>
              <w:t>分布位置</w:t>
            </w:r>
          </w:p>
        </w:tc>
      </w:tr>
      <w:tr w14:paraId="3B98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81EEE9B">
            <w:pPr>
              <w:pStyle w:val="50"/>
              <w:spacing w:before="24" w:after="24"/>
              <w:jc w:val="center"/>
              <w:rPr>
                <w:rFonts w:ascii="Times New Roman"/>
                <w:color w:val="auto"/>
              </w:rPr>
            </w:pPr>
            <w:r>
              <w:rPr>
                <w:rFonts w:hint="eastAsia" w:ascii="Times New Roman"/>
                <w:color w:val="auto"/>
              </w:rPr>
              <w:t>1</w:t>
            </w:r>
          </w:p>
        </w:tc>
        <w:tc>
          <w:tcPr>
            <w:tcW w:w="876" w:type="dxa"/>
            <w:shd w:val="clear" w:color="auto" w:fill="auto"/>
            <w:vAlign w:val="center"/>
          </w:tcPr>
          <w:p w14:paraId="35633E51">
            <w:pPr>
              <w:jc w:val="center"/>
              <w:rPr>
                <w:bCs/>
                <w:color w:val="auto"/>
                <w:kern w:val="0"/>
              </w:rPr>
            </w:pPr>
            <w:r>
              <w:rPr>
                <w:rFonts w:hint="eastAsia"/>
                <w:bCs/>
                <w:color w:val="auto"/>
                <w:kern w:val="0"/>
              </w:rPr>
              <w:t>油类物质</w:t>
            </w:r>
          </w:p>
        </w:tc>
        <w:tc>
          <w:tcPr>
            <w:tcW w:w="900" w:type="dxa"/>
            <w:shd w:val="clear" w:color="auto" w:fill="auto"/>
            <w:vAlign w:val="center"/>
          </w:tcPr>
          <w:p w14:paraId="49241F5D">
            <w:pPr>
              <w:jc w:val="center"/>
              <w:rPr>
                <w:bCs/>
                <w:color w:val="auto"/>
                <w:kern w:val="0"/>
              </w:rPr>
            </w:pPr>
            <w:r>
              <w:rPr>
                <w:rFonts w:hint="eastAsia"/>
                <w:bCs/>
                <w:color w:val="auto"/>
                <w:kern w:val="0"/>
              </w:rPr>
              <w:t>/</w:t>
            </w:r>
          </w:p>
        </w:tc>
        <w:tc>
          <w:tcPr>
            <w:tcW w:w="938" w:type="dxa"/>
            <w:shd w:val="clear" w:color="auto" w:fill="auto"/>
            <w:vAlign w:val="center"/>
          </w:tcPr>
          <w:p w14:paraId="7F267AC2">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1.8027</w:t>
            </w:r>
          </w:p>
        </w:tc>
        <w:tc>
          <w:tcPr>
            <w:tcW w:w="1247" w:type="dxa"/>
            <w:vAlign w:val="center"/>
          </w:tcPr>
          <w:p w14:paraId="153AF26D">
            <w:pPr>
              <w:pStyle w:val="63"/>
              <w:jc w:val="center"/>
              <w:rPr>
                <w:rFonts w:hint="default" w:eastAsia="宋体"/>
                <w:color w:val="auto"/>
                <w:lang w:val="en-US" w:eastAsia="zh-CN"/>
              </w:rPr>
            </w:pPr>
            <w:r>
              <w:rPr>
                <w:rFonts w:hint="eastAsia"/>
                <w:color w:val="auto"/>
                <w:lang w:val="en-US" w:eastAsia="zh-CN"/>
              </w:rPr>
              <w:t>0.005</w:t>
            </w:r>
          </w:p>
        </w:tc>
        <w:tc>
          <w:tcPr>
            <w:tcW w:w="965" w:type="dxa"/>
            <w:vAlign w:val="center"/>
          </w:tcPr>
          <w:p w14:paraId="6FD49F71">
            <w:pPr>
              <w:jc w:val="center"/>
              <w:rPr>
                <w:rFonts w:hint="eastAsia"/>
                <w:color w:val="auto"/>
              </w:rPr>
            </w:pPr>
            <w:r>
              <w:rPr>
                <w:rFonts w:hint="eastAsia"/>
                <w:color w:val="auto"/>
                <w:lang w:val="en-US" w:eastAsia="zh-CN"/>
              </w:rPr>
              <w:t>1.8077</w:t>
            </w:r>
          </w:p>
        </w:tc>
        <w:tc>
          <w:tcPr>
            <w:tcW w:w="1022" w:type="dxa"/>
            <w:vAlign w:val="center"/>
          </w:tcPr>
          <w:p w14:paraId="1B00D203">
            <w:pPr>
              <w:jc w:val="center"/>
              <w:rPr>
                <w:color w:val="auto"/>
              </w:rPr>
            </w:pPr>
            <w:r>
              <w:rPr>
                <w:rFonts w:hint="default"/>
                <w:color w:val="auto"/>
                <w:lang w:val="en-US" w:eastAsia="zh-CN"/>
              </w:rPr>
              <w:t>2500</w:t>
            </w:r>
          </w:p>
        </w:tc>
        <w:tc>
          <w:tcPr>
            <w:tcW w:w="1041" w:type="dxa"/>
            <w:vAlign w:val="center"/>
          </w:tcPr>
          <w:p w14:paraId="204D0AE7">
            <w:pPr>
              <w:jc w:val="center"/>
              <w:rPr>
                <w:color w:val="auto"/>
              </w:rPr>
            </w:pPr>
            <w:r>
              <w:rPr>
                <w:rFonts w:hint="default"/>
                <w:color w:val="auto"/>
                <w:lang w:val="en-US" w:eastAsia="zh-CN"/>
              </w:rPr>
              <w:t>0.0007</w:t>
            </w:r>
          </w:p>
        </w:tc>
        <w:tc>
          <w:tcPr>
            <w:tcW w:w="1073" w:type="dxa"/>
            <w:vAlign w:val="center"/>
          </w:tcPr>
          <w:p w14:paraId="4D2E7202">
            <w:pPr>
              <w:jc w:val="center"/>
              <w:rPr>
                <w:rFonts w:hint="eastAsia"/>
                <w:color w:val="auto"/>
                <w:lang w:val="en-US" w:eastAsia="zh-CN"/>
              </w:rPr>
            </w:pPr>
            <w:r>
              <w:rPr>
                <w:rFonts w:hint="eastAsia"/>
                <w:color w:val="auto"/>
                <w:lang w:val="en-US" w:eastAsia="zh-CN"/>
              </w:rPr>
              <w:t>否</w:t>
            </w:r>
          </w:p>
        </w:tc>
        <w:tc>
          <w:tcPr>
            <w:tcW w:w="427" w:type="dxa"/>
            <w:vMerge w:val="restart"/>
            <w:vAlign w:val="center"/>
          </w:tcPr>
          <w:p w14:paraId="3CF138C1">
            <w:pPr>
              <w:jc w:val="center"/>
              <w:rPr>
                <w:rFonts w:hint="default"/>
                <w:color w:val="auto"/>
                <w:lang w:val="en-US" w:eastAsia="zh-CN"/>
              </w:rPr>
            </w:pPr>
            <w:r>
              <w:rPr>
                <w:rFonts w:hint="eastAsia"/>
                <w:color w:val="auto"/>
                <w:lang w:val="en-US" w:eastAsia="zh-CN"/>
              </w:rPr>
              <w:t>危废间、1#仓库、2#危化品仓库</w:t>
            </w:r>
          </w:p>
        </w:tc>
      </w:tr>
      <w:tr w14:paraId="0433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8E9FC25">
            <w:pPr>
              <w:pStyle w:val="50"/>
              <w:spacing w:before="24" w:after="24"/>
              <w:jc w:val="center"/>
              <w:rPr>
                <w:rFonts w:ascii="Times New Roman"/>
                <w:color w:val="auto"/>
              </w:rPr>
            </w:pPr>
            <w:r>
              <w:rPr>
                <w:rFonts w:hint="eastAsia" w:ascii="Times New Roman"/>
                <w:color w:val="auto"/>
              </w:rPr>
              <w:t>2</w:t>
            </w:r>
          </w:p>
        </w:tc>
        <w:tc>
          <w:tcPr>
            <w:tcW w:w="876" w:type="dxa"/>
            <w:shd w:val="clear" w:color="auto" w:fill="auto"/>
            <w:vAlign w:val="center"/>
          </w:tcPr>
          <w:p w14:paraId="2C3D9150">
            <w:pPr>
              <w:jc w:val="center"/>
              <w:rPr>
                <w:bCs/>
                <w:color w:val="auto"/>
                <w:kern w:val="0"/>
              </w:rPr>
            </w:pPr>
            <w:r>
              <w:rPr>
                <w:rFonts w:hint="eastAsia"/>
                <w:color w:val="auto"/>
              </w:rPr>
              <w:t>丙酮</w:t>
            </w:r>
          </w:p>
        </w:tc>
        <w:tc>
          <w:tcPr>
            <w:tcW w:w="900" w:type="dxa"/>
            <w:shd w:val="clear" w:color="auto" w:fill="auto"/>
            <w:vAlign w:val="center"/>
          </w:tcPr>
          <w:p w14:paraId="1417BFB2">
            <w:pPr>
              <w:jc w:val="center"/>
              <w:rPr>
                <w:bCs/>
                <w:color w:val="auto"/>
                <w:kern w:val="0"/>
              </w:rPr>
            </w:pPr>
            <w:r>
              <w:rPr>
                <w:rFonts w:hint="eastAsia"/>
                <w:bCs/>
                <w:color w:val="auto"/>
                <w:kern w:val="0"/>
              </w:rPr>
              <w:t>67-64-1</w:t>
            </w:r>
          </w:p>
        </w:tc>
        <w:tc>
          <w:tcPr>
            <w:tcW w:w="938" w:type="dxa"/>
            <w:shd w:val="clear" w:color="auto" w:fill="auto"/>
            <w:vAlign w:val="center"/>
          </w:tcPr>
          <w:p w14:paraId="04F21EC6">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1247" w:type="dxa"/>
            <w:vAlign w:val="center"/>
          </w:tcPr>
          <w:p w14:paraId="5CFE3E47">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0A5AD6FC">
            <w:pPr>
              <w:jc w:val="center"/>
              <w:rPr>
                <w:rFonts w:hint="eastAsia"/>
                <w:color w:val="auto"/>
              </w:rPr>
            </w:pPr>
            <w:r>
              <w:rPr>
                <w:rFonts w:hint="eastAsia"/>
                <w:color w:val="auto"/>
                <w:lang w:val="en-US" w:eastAsia="zh-CN"/>
              </w:rPr>
              <w:t>0.72</w:t>
            </w:r>
          </w:p>
        </w:tc>
        <w:tc>
          <w:tcPr>
            <w:tcW w:w="1022" w:type="dxa"/>
            <w:vAlign w:val="center"/>
          </w:tcPr>
          <w:p w14:paraId="5C270E04">
            <w:pPr>
              <w:jc w:val="center"/>
              <w:rPr>
                <w:color w:val="auto"/>
              </w:rPr>
            </w:pPr>
            <w:r>
              <w:rPr>
                <w:rFonts w:hint="default"/>
                <w:color w:val="auto"/>
                <w:lang w:val="en-US" w:eastAsia="zh-CN"/>
              </w:rPr>
              <w:t>10</w:t>
            </w:r>
          </w:p>
        </w:tc>
        <w:tc>
          <w:tcPr>
            <w:tcW w:w="1041" w:type="dxa"/>
            <w:vAlign w:val="center"/>
          </w:tcPr>
          <w:p w14:paraId="2AB1CCC2">
            <w:pPr>
              <w:jc w:val="center"/>
              <w:rPr>
                <w:color w:val="auto"/>
              </w:rPr>
            </w:pPr>
            <w:r>
              <w:rPr>
                <w:rFonts w:hint="default"/>
                <w:color w:val="auto"/>
                <w:lang w:val="en-US" w:eastAsia="zh-CN"/>
              </w:rPr>
              <w:t>0.0720</w:t>
            </w:r>
          </w:p>
        </w:tc>
        <w:tc>
          <w:tcPr>
            <w:tcW w:w="1073" w:type="dxa"/>
            <w:vAlign w:val="center"/>
          </w:tcPr>
          <w:p w14:paraId="7F66365D">
            <w:pPr>
              <w:jc w:val="center"/>
              <w:rPr>
                <w:rFonts w:hint="eastAsia"/>
                <w:color w:val="auto"/>
              </w:rPr>
            </w:pPr>
            <w:r>
              <w:rPr>
                <w:rFonts w:hint="eastAsia"/>
                <w:color w:val="auto"/>
                <w:lang w:val="en-US" w:eastAsia="zh-CN"/>
              </w:rPr>
              <w:t>否</w:t>
            </w:r>
          </w:p>
        </w:tc>
        <w:tc>
          <w:tcPr>
            <w:tcW w:w="427" w:type="dxa"/>
            <w:vMerge w:val="continue"/>
            <w:vAlign w:val="center"/>
          </w:tcPr>
          <w:p w14:paraId="0C5B6F94">
            <w:pPr>
              <w:jc w:val="center"/>
              <w:rPr>
                <w:rFonts w:hint="eastAsia"/>
                <w:color w:val="auto"/>
                <w:lang w:val="en-US" w:eastAsia="zh-CN"/>
              </w:rPr>
            </w:pPr>
          </w:p>
        </w:tc>
      </w:tr>
      <w:tr w14:paraId="6D85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2976A92">
            <w:pPr>
              <w:pStyle w:val="50"/>
              <w:spacing w:before="24" w:after="24"/>
              <w:jc w:val="center"/>
              <w:rPr>
                <w:rFonts w:ascii="Times New Roman"/>
                <w:color w:val="auto"/>
              </w:rPr>
            </w:pPr>
            <w:r>
              <w:rPr>
                <w:rFonts w:hint="eastAsia" w:ascii="Times New Roman"/>
                <w:color w:val="auto"/>
              </w:rPr>
              <w:t>3</w:t>
            </w:r>
          </w:p>
        </w:tc>
        <w:tc>
          <w:tcPr>
            <w:tcW w:w="876" w:type="dxa"/>
            <w:shd w:val="clear" w:color="auto" w:fill="auto"/>
            <w:vAlign w:val="center"/>
          </w:tcPr>
          <w:p w14:paraId="0561DC7C">
            <w:pPr>
              <w:jc w:val="center"/>
              <w:rPr>
                <w:color w:val="auto"/>
              </w:rPr>
            </w:pPr>
            <w:r>
              <w:rPr>
                <w:rFonts w:hint="eastAsia"/>
                <w:color w:val="auto"/>
              </w:rPr>
              <w:t>无水乙醇、清洁酒精</w:t>
            </w:r>
          </w:p>
        </w:tc>
        <w:tc>
          <w:tcPr>
            <w:tcW w:w="900" w:type="dxa"/>
            <w:shd w:val="clear" w:color="auto" w:fill="auto"/>
            <w:vAlign w:val="center"/>
          </w:tcPr>
          <w:p w14:paraId="3F2D9200">
            <w:pPr>
              <w:jc w:val="center"/>
              <w:rPr>
                <w:bCs/>
                <w:color w:val="auto"/>
                <w:kern w:val="0"/>
              </w:rPr>
            </w:pPr>
            <w:r>
              <w:rPr>
                <w:rFonts w:hint="eastAsia"/>
                <w:bCs/>
                <w:color w:val="auto"/>
                <w:kern w:val="0"/>
              </w:rPr>
              <w:t>/</w:t>
            </w:r>
          </w:p>
        </w:tc>
        <w:tc>
          <w:tcPr>
            <w:tcW w:w="938" w:type="dxa"/>
            <w:shd w:val="clear" w:color="auto" w:fill="auto"/>
            <w:vAlign w:val="center"/>
          </w:tcPr>
          <w:p w14:paraId="06FB6EDD">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247" w:type="dxa"/>
            <w:vAlign w:val="center"/>
          </w:tcPr>
          <w:p w14:paraId="702D24A6">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11800F7C">
            <w:pPr>
              <w:jc w:val="center"/>
              <w:rPr>
                <w:rFonts w:hint="eastAsia"/>
                <w:color w:val="auto"/>
              </w:rPr>
            </w:pPr>
            <w:r>
              <w:rPr>
                <w:rFonts w:hint="eastAsia"/>
                <w:color w:val="auto"/>
                <w:lang w:val="en-US" w:eastAsia="zh-CN"/>
              </w:rPr>
              <w:t>0.28</w:t>
            </w:r>
          </w:p>
        </w:tc>
        <w:tc>
          <w:tcPr>
            <w:tcW w:w="1022" w:type="dxa"/>
            <w:vAlign w:val="center"/>
          </w:tcPr>
          <w:p w14:paraId="3E5A5832">
            <w:pPr>
              <w:jc w:val="center"/>
              <w:rPr>
                <w:color w:val="auto"/>
              </w:rPr>
            </w:pPr>
            <w:r>
              <w:rPr>
                <w:rFonts w:hint="default"/>
                <w:color w:val="auto"/>
                <w:lang w:val="en-US" w:eastAsia="zh-CN"/>
              </w:rPr>
              <w:t>50</w:t>
            </w:r>
          </w:p>
        </w:tc>
        <w:tc>
          <w:tcPr>
            <w:tcW w:w="1041" w:type="dxa"/>
            <w:vAlign w:val="center"/>
          </w:tcPr>
          <w:p w14:paraId="3C41E46E">
            <w:pPr>
              <w:jc w:val="center"/>
              <w:rPr>
                <w:color w:val="auto"/>
              </w:rPr>
            </w:pPr>
            <w:r>
              <w:rPr>
                <w:rFonts w:hint="default"/>
                <w:color w:val="auto"/>
                <w:lang w:val="en-US" w:eastAsia="zh-CN"/>
              </w:rPr>
              <w:t>0.0056</w:t>
            </w:r>
          </w:p>
        </w:tc>
        <w:tc>
          <w:tcPr>
            <w:tcW w:w="1073" w:type="dxa"/>
            <w:vAlign w:val="center"/>
          </w:tcPr>
          <w:p w14:paraId="60294B57">
            <w:pPr>
              <w:jc w:val="center"/>
              <w:rPr>
                <w:rFonts w:hint="eastAsia"/>
                <w:color w:val="auto"/>
              </w:rPr>
            </w:pPr>
            <w:r>
              <w:rPr>
                <w:rFonts w:hint="eastAsia"/>
                <w:color w:val="auto"/>
                <w:lang w:val="en-US" w:eastAsia="zh-CN"/>
              </w:rPr>
              <w:t>否</w:t>
            </w:r>
          </w:p>
        </w:tc>
        <w:tc>
          <w:tcPr>
            <w:tcW w:w="427" w:type="dxa"/>
            <w:vMerge w:val="continue"/>
            <w:vAlign w:val="center"/>
          </w:tcPr>
          <w:p w14:paraId="309BB03B">
            <w:pPr>
              <w:jc w:val="center"/>
              <w:rPr>
                <w:rFonts w:hint="eastAsia"/>
                <w:color w:val="auto"/>
                <w:lang w:val="en-US" w:eastAsia="zh-CN"/>
              </w:rPr>
            </w:pPr>
          </w:p>
        </w:tc>
      </w:tr>
      <w:tr w14:paraId="2F87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27517F7A">
            <w:pPr>
              <w:pStyle w:val="50"/>
              <w:spacing w:before="24" w:after="24"/>
              <w:jc w:val="center"/>
              <w:rPr>
                <w:rFonts w:ascii="Times New Roman"/>
                <w:color w:val="auto"/>
              </w:rPr>
            </w:pPr>
            <w:r>
              <w:rPr>
                <w:rFonts w:hint="eastAsia" w:ascii="Times New Roman"/>
                <w:color w:val="auto"/>
              </w:rPr>
              <w:t>4</w:t>
            </w:r>
          </w:p>
        </w:tc>
        <w:tc>
          <w:tcPr>
            <w:tcW w:w="876" w:type="dxa"/>
            <w:shd w:val="clear" w:color="auto" w:fill="auto"/>
            <w:vAlign w:val="center"/>
          </w:tcPr>
          <w:p w14:paraId="5A660939">
            <w:pPr>
              <w:jc w:val="center"/>
              <w:rPr>
                <w:color w:val="auto"/>
              </w:rPr>
            </w:pPr>
            <w:r>
              <w:rPr>
                <w:rFonts w:hint="eastAsia"/>
                <w:color w:val="auto"/>
              </w:rPr>
              <w:t>硫酸</w:t>
            </w:r>
          </w:p>
        </w:tc>
        <w:tc>
          <w:tcPr>
            <w:tcW w:w="900" w:type="dxa"/>
            <w:shd w:val="clear" w:color="auto" w:fill="auto"/>
            <w:vAlign w:val="center"/>
          </w:tcPr>
          <w:p w14:paraId="5FA3DC5D">
            <w:pPr>
              <w:jc w:val="center"/>
              <w:rPr>
                <w:bCs/>
                <w:color w:val="auto"/>
                <w:kern w:val="0"/>
              </w:rPr>
            </w:pPr>
            <w:r>
              <w:rPr>
                <w:rFonts w:hint="eastAsia"/>
                <w:bCs/>
                <w:color w:val="auto"/>
                <w:kern w:val="0"/>
              </w:rPr>
              <w:t>7664-93-9</w:t>
            </w:r>
          </w:p>
        </w:tc>
        <w:tc>
          <w:tcPr>
            <w:tcW w:w="938" w:type="dxa"/>
            <w:shd w:val="clear" w:color="auto" w:fill="auto"/>
            <w:vAlign w:val="center"/>
          </w:tcPr>
          <w:p w14:paraId="6B4186F1">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0.425</w:t>
            </w:r>
          </w:p>
        </w:tc>
        <w:tc>
          <w:tcPr>
            <w:tcW w:w="1247" w:type="dxa"/>
            <w:vAlign w:val="center"/>
          </w:tcPr>
          <w:p w14:paraId="24623519">
            <w:pPr>
              <w:pStyle w:val="63"/>
              <w:jc w:val="center"/>
              <w:rPr>
                <w:rFonts w:hint="default" w:eastAsia="宋体"/>
                <w:color w:val="auto"/>
                <w:lang w:val="en-US" w:eastAsia="zh-CN"/>
              </w:rPr>
            </w:pPr>
            <w:r>
              <w:rPr>
                <w:rFonts w:hint="eastAsia"/>
                <w:color w:val="auto"/>
                <w:lang w:val="en-US" w:eastAsia="zh-CN"/>
              </w:rPr>
              <w:t>1.575</w:t>
            </w:r>
          </w:p>
        </w:tc>
        <w:tc>
          <w:tcPr>
            <w:tcW w:w="965" w:type="dxa"/>
            <w:vAlign w:val="center"/>
          </w:tcPr>
          <w:p w14:paraId="5052D40E">
            <w:pPr>
              <w:jc w:val="center"/>
              <w:rPr>
                <w:rFonts w:hint="eastAsia"/>
                <w:color w:val="auto"/>
              </w:rPr>
            </w:pPr>
            <w:r>
              <w:rPr>
                <w:rFonts w:hint="eastAsia"/>
                <w:color w:val="auto"/>
                <w:lang w:val="en-US" w:eastAsia="zh-CN"/>
              </w:rPr>
              <w:t>2</w:t>
            </w:r>
          </w:p>
        </w:tc>
        <w:tc>
          <w:tcPr>
            <w:tcW w:w="1022" w:type="dxa"/>
            <w:vAlign w:val="center"/>
          </w:tcPr>
          <w:p w14:paraId="77E4791D">
            <w:pPr>
              <w:jc w:val="center"/>
              <w:rPr>
                <w:color w:val="auto"/>
              </w:rPr>
            </w:pPr>
            <w:r>
              <w:rPr>
                <w:rFonts w:hint="default"/>
                <w:color w:val="auto"/>
                <w:lang w:val="en-US" w:eastAsia="zh-CN"/>
              </w:rPr>
              <w:t>10</w:t>
            </w:r>
          </w:p>
        </w:tc>
        <w:tc>
          <w:tcPr>
            <w:tcW w:w="1041" w:type="dxa"/>
            <w:vAlign w:val="center"/>
          </w:tcPr>
          <w:p w14:paraId="64E8D69B">
            <w:pPr>
              <w:jc w:val="center"/>
              <w:rPr>
                <w:color w:val="auto"/>
              </w:rPr>
            </w:pPr>
            <w:r>
              <w:rPr>
                <w:rFonts w:hint="default"/>
                <w:color w:val="auto"/>
                <w:lang w:val="en-US" w:eastAsia="zh-CN"/>
              </w:rPr>
              <w:t>0.2000</w:t>
            </w:r>
          </w:p>
        </w:tc>
        <w:tc>
          <w:tcPr>
            <w:tcW w:w="1073" w:type="dxa"/>
            <w:shd w:val="clear" w:color="auto" w:fill="auto"/>
            <w:vAlign w:val="center"/>
          </w:tcPr>
          <w:p w14:paraId="5155CA24">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4C563AAE">
            <w:pPr>
              <w:jc w:val="center"/>
              <w:rPr>
                <w:rFonts w:hint="eastAsia"/>
                <w:color w:val="auto"/>
                <w:lang w:val="en-US" w:eastAsia="zh-CN"/>
              </w:rPr>
            </w:pPr>
          </w:p>
        </w:tc>
      </w:tr>
      <w:tr w14:paraId="394B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D0652A1">
            <w:pPr>
              <w:pStyle w:val="50"/>
              <w:spacing w:before="24" w:after="24"/>
              <w:jc w:val="center"/>
              <w:rPr>
                <w:rFonts w:ascii="Times New Roman"/>
                <w:color w:val="auto"/>
              </w:rPr>
            </w:pPr>
            <w:r>
              <w:rPr>
                <w:rFonts w:hint="eastAsia" w:ascii="Times New Roman"/>
                <w:color w:val="auto"/>
              </w:rPr>
              <w:t>5</w:t>
            </w:r>
          </w:p>
        </w:tc>
        <w:tc>
          <w:tcPr>
            <w:tcW w:w="876" w:type="dxa"/>
            <w:shd w:val="clear" w:color="auto" w:fill="auto"/>
            <w:vAlign w:val="center"/>
          </w:tcPr>
          <w:p w14:paraId="39F93179">
            <w:pPr>
              <w:jc w:val="center"/>
              <w:rPr>
                <w:color w:val="auto"/>
              </w:rPr>
            </w:pPr>
            <w:r>
              <w:rPr>
                <w:rFonts w:hint="eastAsia"/>
                <w:color w:val="auto"/>
              </w:rPr>
              <w:t>乙酸</w:t>
            </w:r>
          </w:p>
        </w:tc>
        <w:tc>
          <w:tcPr>
            <w:tcW w:w="900" w:type="dxa"/>
            <w:shd w:val="clear" w:color="auto" w:fill="auto"/>
            <w:vAlign w:val="center"/>
          </w:tcPr>
          <w:p w14:paraId="58B345C2">
            <w:pPr>
              <w:jc w:val="center"/>
              <w:rPr>
                <w:bCs/>
                <w:color w:val="auto"/>
                <w:kern w:val="0"/>
              </w:rPr>
            </w:pPr>
            <w:r>
              <w:rPr>
                <w:rFonts w:hint="eastAsia"/>
                <w:bCs/>
                <w:color w:val="auto"/>
                <w:kern w:val="0"/>
              </w:rPr>
              <w:t>64-19-7</w:t>
            </w:r>
          </w:p>
        </w:tc>
        <w:tc>
          <w:tcPr>
            <w:tcW w:w="938" w:type="dxa"/>
            <w:shd w:val="clear" w:color="auto" w:fill="auto"/>
            <w:vAlign w:val="center"/>
          </w:tcPr>
          <w:p w14:paraId="0E3DE743">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247" w:type="dxa"/>
            <w:vAlign w:val="center"/>
          </w:tcPr>
          <w:p w14:paraId="23C93961">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492E0280">
            <w:pPr>
              <w:jc w:val="center"/>
              <w:rPr>
                <w:rFonts w:hint="eastAsia"/>
                <w:color w:val="auto"/>
              </w:rPr>
            </w:pPr>
            <w:r>
              <w:rPr>
                <w:rFonts w:hint="eastAsia"/>
                <w:color w:val="auto"/>
                <w:lang w:val="en-US" w:eastAsia="zh-CN"/>
              </w:rPr>
              <w:t>0.002</w:t>
            </w:r>
          </w:p>
        </w:tc>
        <w:tc>
          <w:tcPr>
            <w:tcW w:w="1022" w:type="dxa"/>
            <w:vAlign w:val="center"/>
          </w:tcPr>
          <w:p w14:paraId="7012D3BF">
            <w:pPr>
              <w:jc w:val="center"/>
              <w:rPr>
                <w:color w:val="auto"/>
              </w:rPr>
            </w:pPr>
            <w:r>
              <w:rPr>
                <w:rFonts w:hint="default"/>
                <w:color w:val="auto"/>
                <w:lang w:val="en-US" w:eastAsia="zh-CN"/>
              </w:rPr>
              <w:t>10</w:t>
            </w:r>
          </w:p>
        </w:tc>
        <w:tc>
          <w:tcPr>
            <w:tcW w:w="1041" w:type="dxa"/>
            <w:vAlign w:val="center"/>
          </w:tcPr>
          <w:p w14:paraId="06130428">
            <w:pPr>
              <w:jc w:val="center"/>
              <w:rPr>
                <w:color w:val="auto"/>
              </w:rPr>
            </w:pPr>
            <w:r>
              <w:rPr>
                <w:rFonts w:hint="default"/>
                <w:color w:val="auto"/>
                <w:lang w:val="en-US" w:eastAsia="zh-CN"/>
              </w:rPr>
              <w:t>0.0002</w:t>
            </w:r>
          </w:p>
        </w:tc>
        <w:tc>
          <w:tcPr>
            <w:tcW w:w="1073" w:type="dxa"/>
            <w:shd w:val="clear" w:color="auto" w:fill="auto"/>
            <w:vAlign w:val="center"/>
          </w:tcPr>
          <w:p w14:paraId="5622547C">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2366AC21">
            <w:pPr>
              <w:jc w:val="center"/>
              <w:rPr>
                <w:rFonts w:hint="eastAsia"/>
                <w:color w:val="auto"/>
                <w:lang w:val="en-US" w:eastAsia="zh-CN"/>
              </w:rPr>
            </w:pPr>
          </w:p>
        </w:tc>
      </w:tr>
      <w:tr w14:paraId="1B48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0F789DD">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6</w:t>
            </w:r>
          </w:p>
        </w:tc>
        <w:tc>
          <w:tcPr>
            <w:tcW w:w="876" w:type="dxa"/>
            <w:shd w:val="clear" w:color="auto" w:fill="auto"/>
            <w:vAlign w:val="center"/>
          </w:tcPr>
          <w:p w14:paraId="069B5401">
            <w:pPr>
              <w:jc w:val="center"/>
              <w:rPr>
                <w:rFonts w:hint="eastAsia"/>
                <w:color w:val="auto"/>
              </w:rPr>
            </w:pPr>
            <w:r>
              <w:rPr>
                <w:rFonts w:hint="eastAsia"/>
                <w:color w:val="auto"/>
              </w:rPr>
              <w:t>乙二胺</w:t>
            </w:r>
          </w:p>
        </w:tc>
        <w:tc>
          <w:tcPr>
            <w:tcW w:w="900" w:type="dxa"/>
            <w:shd w:val="clear" w:color="auto" w:fill="auto"/>
            <w:vAlign w:val="center"/>
          </w:tcPr>
          <w:p w14:paraId="0F99D9D0">
            <w:pPr>
              <w:jc w:val="center"/>
              <w:rPr>
                <w:rFonts w:hint="default" w:eastAsia="宋体"/>
                <w:bCs/>
                <w:color w:val="auto"/>
                <w:kern w:val="0"/>
                <w:lang w:val="en-US" w:eastAsia="zh-CN"/>
              </w:rPr>
            </w:pPr>
            <w:r>
              <w:rPr>
                <w:rFonts w:hint="eastAsia"/>
                <w:bCs/>
                <w:color w:val="auto"/>
                <w:kern w:val="0"/>
                <w:lang w:val="en-US" w:eastAsia="zh-CN"/>
              </w:rPr>
              <w:t>107-15-3</w:t>
            </w:r>
          </w:p>
        </w:tc>
        <w:tc>
          <w:tcPr>
            <w:tcW w:w="938" w:type="dxa"/>
            <w:shd w:val="clear" w:color="auto" w:fill="auto"/>
            <w:vAlign w:val="center"/>
          </w:tcPr>
          <w:p w14:paraId="51016BB5">
            <w:pPr>
              <w:keepNext w:val="0"/>
              <w:keepLines w:val="0"/>
              <w:widowControl/>
              <w:suppressLineNumbers w:val="0"/>
              <w:jc w:val="center"/>
              <w:textAlignment w:val="center"/>
              <w:rPr>
                <w:rFonts w:hint="default"/>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1247" w:type="dxa"/>
            <w:vAlign w:val="center"/>
          </w:tcPr>
          <w:p w14:paraId="04A1D49C">
            <w:pPr>
              <w:pStyle w:val="63"/>
              <w:jc w:val="center"/>
              <w:rPr>
                <w:rFonts w:hint="default"/>
                <w:color w:val="auto"/>
                <w:lang w:val="en-US" w:eastAsia="zh-CN"/>
              </w:rPr>
            </w:pPr>
            <w:r>
              <w:rPr>
                <w:rFonts w:hint="eastAsia"/>
                <w:color w:val="auto"/>
                <w:lang w:val="en-US" w:eastAsia="zh-CN"/>
              </w:rPr>
              <w:t>0</w:t>
            </w:r>
          </w:p>
        </w:tc>
        <w:tc>
          <w:tcPr>
            <w:tcW w:w="965" w:type="dxa"/>
            <w:vAlign w:val="center"/>
          </w:tcPr>
          <w:p w14:paraId="3EBD8F99">
            <w:pPr>
              <w:jc w:val="center"/>
              <w:rPr>
                <w:rFonts w:hint="eastAsia"/>
                <w:color w:val="auto"/>
                <w:lang w:val="en-US" w:eastAsia="zh-CN"/>
              </w:rPr>
            </w:pPr>
            <w:r>
              <w:rPr>
                <w:rFonts w:hint="eastAsia"/>
                <w:color w:val="auto"/>
                <w:lang w:val="en-US" w:eastAsia="zh-CN"/>
              </w:rPr>
              <w:t>0.11</w:t>
            </w:r>
          </w:p>
        </w:tc>
        <w:tc>
          <w:tcPr>
            <w:tcW w:w="1022" w:type="dxa"/>
            <w:vAlign w:val="center"/>
          </w:tcPr>
          <w:p w14:paraId="0D8E2FE1">
            <w:pPr>
              <w:jc w:val="center"/>
              <w:rPr>
                <w:rFonts w:hint="default"/>
                <w:color w:val="auto"/>
                <w:lang w:val="en-US" w:eastAsia="zh-CN"/>
              </w:rPr>
            </w:pPr>
            <w:r>
              <w:rPr>
                <w:rFonts w:hint="default"/>
                <w:color w:val="auto"/>
                <w:lang w:val="en-US" w:eastAsia="zh-CN"/>
              </w:rPr>
              <w:t>10</w:t>
            </w:r>
          </w:p>
        </w:tc>
        <w:tc>
          <w:tcPr>
            <w:tcW w:w="1041" w:type="dxa"/>
            <w:vAlign w:val="center"/>
          </w:tcPr>
          <w:p w14:paraId="2D3C0B34">
            <w:pPr>
              <w:jc w:val="center"/>
              <w:rPr>
                <w:rFonts w:hint="eastAsia"/>
                <w:color w:val="auto"/>
              </w:rPr>
            </w:pPr>
            <w:r>
              <w:rPr>
                <w:rFonts w:hint="default"/>
                <w:color w:val="auto"/>
                <w:lang w:val="en-US" w:eastAsia="zh-CN"/>
              </w:rPr>
              <w:t>0.0110</w:t>
            </w:r>
          </w:p>
        </w:tc>
        <w:tc>
          <w:tcPr>
            <w:tcW w:w="1073" w:type="dxa"/>
            <w:shd w:val="clear" w:color="auto" w:fill="auto"/>
            <w:vAlign w:val="center"/>
          </w:tcPr>
          <w:p w14:paraId="7D9F946C">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15F17F15">
            <w:pPr>
              <w:jc w:val="center"/>
              <w:rPr>
                <w:rFonts w:hint="eastAsia"/>
                <w:color w:val="auto"/>
                <w:lang w:val="en-US" w:eastAsia="zh-CN"/>
              </w:rPr>
            </w:pPr>
          </w:p>
        </w:tc>
      </w:tr>
      <w:tr w14:paraId="3388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4BCDB99">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7</w:t>
            </w:r>
          </w:p>
        </w:tc>
        <w:tc>
          <w:tcPr>
            <w:tcW w:w="876" w:type="dxa"/>
            <w:shd w:val="clear" w:color="auto" w:fill="auto"/>
            <w:vAlign w:val="center"/>
          </w:tcPr>
          <w:p w14:paraId="557F9F26">
            <w:pPr>
              <w:jc w:val="center"/>
              <w:rPr>
                <w:color w:val="auto"/>
              </w:rPr>
            </w:pPr>
            <w:r>
              <w:rPr>
                <w:rFonts w:hint="eastAsia"/>
                <w:color w:val="auto"/>
              </w:rPr>
              <w:t>硝酸</w:t>
            </w:r>
          </w:p>
        </w:tc>
        <w:tc>
          <w:tcPr>
            <w:tcW w:w="900" w:type="dxa"/>
            <w:shd w:val="clear" w:color="auto" w:fill="auto"/>
            <w:vAlign w:val="center"/>
          </w:tcPr>
          <w:p w14:paraId="32F480AF">
            <w:pPr>
              <w:jc w:val="center"/>
              <w:rPr>
                <w:bCs/>
                <w:color w:val="auto"/>
                <w:kern w:val="0"/>
              </w:rPr>
            </w:pPr>
            <w:r>
              <w:rPr>
                <w:rFonts w:hint="eastAsia"/>
                <w:bCs/>
                <w:color w:val="auto"/>
                <w:kern w:val="0"/>
              </w:rPr>
              <w:t>7697-37-2</w:t>
            </w:r>
          </w:p>
        </w:tc>
        <w:tc>
          <w:tcPr>
            <w:tcW w:w="938" w:type="dxa"/>
            <w:shd w:val="clear" w:color="auto" w:fill="auto"/>
            <w:vAlign w:val="center"/>
          </w:tcPr>
          <w:p w14:paraId="38DC0CDC">
            <w:pPr>
              <w:keepNext w:val="0"/>
              <w:keepLines w:val="0"/>
              <w:widowControl/>
              <w:suppressLineNumbers w:val="0"/>
              <w:jc w:val="center"/>
              <w:textAlignment w:val="center"/>
              <w:rPr>
                <w:rFonts w:hint="default" w:eastAsia="宋体"/>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47" w:type="dxa"/>
            <w:vAlign w:val="center"/>
          </w:tcPr>
          <w:p w14:paraId="1A63FC53">
            <w:pPr>
              <w:pStyle w:val="63"/>
              <w:jc w:val="center"/>
              <w:rPr>
                <w:rFonts w:hint="default" w:eastAsia="宋体"/>
                <w:color w:val="auto"/>
                <w:lang w:val="en-US" w:eastAsia="zh-CN"/>
              </w:rPr>
            </w:pPr>
            <w:r>
              <w:rPr>
                <w:rFonts w:hint="eastAsia"/>
                <w:color w:val="auto"/>
                <w:lang w:val="en-US" w:eastAsia="zh-CN"/>
              </w:rPr>
              <w:t>13.92</w:t>
            </w:r>
          </w:p>
        </w:tc>
        <w:tc>
          <w:tcPr>
            <w:tcW w:w="965" w:type="dxa"/>
            <w:vAlign w:val="center"/>
          </w:tcPr>
          <w:p w14:paraId="4E969BEF">
            <w:pPr>
              <w:jc w:val="center"/>
              <w:rPr>
                <w:rFonts w:hint="eastAsia"/>
                <w:color w:val="auto"/>
              </w:rPr>
            </w:pPr>
            <w:r>
              <w:rPr>
                <w:rFonts w:hint="eastAsia"/>
                <w:color w:val="auto"/>
                <w:lang w:val="en-US" w:eastAsia="zh-CN"/>
              </w:rPr>
              <w:t>15.04</w:t>
            </w:r>
          </w:p>
        </w:tc>
        <w:tc>
          <w:tcPr>
            <w:tcW w:w="1022" w:type="dxa"/>
            <w:vAlign w:val="center"/>
          </w:tcPr>
          <w:p w14:paraId="3433EB77">
            <w:pPr>
              <w:jc w:val="center"/>
              <w:rPr>
                <w:color w:val="auto"/>
              </w:rPr>
            </w:pPr>
            <w:r>
              <w:rPr>
                <w:rFonts w:hint="default"/>
                <w:color w:val="auto"/>
                <w:lang w:val="en-US" w:eastAsia="zh-CN"/>
              </w:rPr>
              <w:t>7.5</w:t>
            </w:r>
          </w:p>
        </w:tc>
        <w:tc>
          <w:tcPr>
            <w:tcW w:w="1041" w:type="dxa"/>
            <w:vAlign w:val="center"/>
          </w:tcPr>
          <w:p w14:paraId="1918A772">
            <w:pPr>
              <w:jc w:val="center"/>
              <w:rPr>
                <w:color w:val="auto"/>
              </w:rPr>
            </w:pPr>
            <w:r>
              <w:rPr>
                <w:rFonts w:hint="default"/>
                <w:color w:val="auto"/>
                <w:lang w:val="en-US" w:eastAsia="zh-CN"/>
              </w:rPr>
              <w:t>2.0053</w:t>
            </w:r>
          </w:p>
        </w:tc>
        <w:tc>
          <w:tcPr>
            <w:tcW w:w="1073" w:type="dxa"/>
            <w:vAlign w:val="center"/>
          </w:tcPr>
          <w:p w14:paraId="69FC8787">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1AA7BD7D">
            <w:pPr>
              <w:jc w:val="center"/>
              <w:rPr>
                <w:rFonts w:hint="eastAsia"/>
                <w:color w:val="auto"/>
                <w:lang w:val="en-US" w:eastAsia="zh-CN"/>
              </w:rPr>
            </w:pPr>
          </w:p>
        </w:tc>
      </w:tr>
      <w:tr w14:paraId="3619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E0C76ED">
            <w:pPr>
              <w:pStyle w:val="50"/>
              <w:spacing w:before="24" w:after="24"/>
              <w:jc w:val="center"/>
              <w:rPr>
                <w:rFonts w:hint="default" w:ascii="Times New Roman"/>
                <w:color w:val="auto"/>
                <w:lang w:val="en-US" w:eastAsia="zh-CN"/>
              </w:rPr>
            </w:pPr>
            <w:r>
              <w:rPr>
                <w:rFonts w:hint="eastAsia" w:ascii="Times New Roman"/>
                <w:color w:val="auto"/>
                <w:lang w:val="en-US" w:eastAsia="zh-CN"/>
              </w:rPr>
              <w:t>8</w:t>
            </w:r>
          </w:p>
        </w:tc>
        <w:tc>
          <w:tcPr>
            <w:tcW w:w="876" w:type="dxa"/>
            <w:shd w:val="clear" w:color="auto" w:fill="auto"/>
            <w:vAlign w:val="center"/>
          </w:tcPr>
          <w:p w14:paraId="434470C9">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环氧氯丙烷</w:t>
            </w:r>
          </w:p>
        </w:tc>
        <w:tc>
          <w:tcPr>
            <w:tcW w:w="900" w:type="dxa"/>
            <w:shd w:val="clear" w:color="auto" w:fill="auto"/>
            <w:vAlign w:val="center"/>
          </w:tcPr>
          <w:p w14:paraId="2BC09E85">
            <w:pPr>
              <w:jc w:val="center"/>
              <w:rPr>
                <w:rFonts w:hint="eastAsia" w:ascii="Times New Roman" w:hAnsi="Times New Roman" w:eastAsia="宋体" w:cs="Times New Roman"/>
                <w:bCs/>
                <w:color w:val="auto"/>
                <w:kern w:val="0"/>
                <w:sz w:val="21"/>
                <w:szCs w:val="24"/>
                <w:lang w:val="en-US" w:eastAsia="zh-CN" w:bidi="ar-SA"/>
              </w:rPr>
            </w:pPr>
            <w:r>
              <w:rPr>
                <w:rFonts w:hint="eastAsia" w:ascii="Times New Roman" w:hAnsi="Times New Roman" w:eastAsia="宋体" w:cs="Times New Roman"/>
                <w:bCs/>
                <w:color w:val="auto"/>
                <w:kern w:val="0"/>
                <w:sz w:val="21"/>
                <w:szCs w:val="24"/>
                <w:lang w:val="en-US" w:eastAsia="zh-CN" w:bidi="ar-SA"/>
              </w:rPr>
              <w:t>106-89-8</w:t>
            </w:r>
          </w:p>
        </w:tc>
        <w:tc>
          <w:tcPr>
            <w:tcW w:w="938" w:type="dxa"/>
            <w:shd w:val="clear" w:color="auto" w:fill="auto"/>
            <w:vAlign w:val="center"/>
          </w:tcPr>
          <w:p w14:paraId="6838C73C">
            <w:pPr>
              <w:keepNext w:val="0"/>
              <w:keepLines w:val="0"/>
              <w:widowControl/>
              <w:suppressLineNumbers w:val="0"/>
              <w:jc w:val="center"/>
              <w:textAlignment w:val="center"/>
              <w:rPr>
                <w:rFonts w:hint="eastAsia"/>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0.00144</w:t>
            </w:r>
          </w:p>
        </w:tc>
        <w:tc>
          <w:tcPr>
            <w:tcW w:w="1247" w:type="dxa"/>
            <w:vAlign w:val="center"/>
          </w:tcPr>
          <w:p w14:paraId="121082BF">
            <w:pPr>
              <w:pStyle w:val="63"/>
              <w:jc w:val="center"/>
              <w:rPr>
                <w:rFonts w:hint="default"/>
                <w:color w:val="auto"/>
                <w:lang w:val="en-US" w:eastAsia="zh-CN"/>
              </w:rPr>
            </w:pPr>
            <w:r>
              <w:rPr>
                <w:rFonts w:hint="eastAsia"/>
                <w:color w:val="auto"/>
                <w:lang w:val="en-US" w:eastAsia="zh-CN"/>
              </w:rPr>
              <w:t>0</w:t>
            </w:r>
          </w:p>
        </w:tc>
        <w:tc>
          <w:tcPr>
            <w:tcW w:w="965" w:type="dxa"/>
            <w:vAlign w:val="center"/>
          </w:tcPr>
          <w:p w14:paraId="40F256E9">
            <w:pPr>
              <w:jc w:val="center"/>
              <w:rPr>
                <w:rFonts w:hint="eastAsia"/>
                <w:color w:val="auto"/>
                <w:lang w:val="en-US" w:eastAsia="zh-CN"/>
              </w:rPr>
            </w:pPr>
            <w:r>
              <w:rPr>
                <w:rFonts w:hint="eastAsia"/>
                <w:color w:val="auto"/>
                <w:lang w:val="en-US" w:eastAsia="zh-CN"/>
              </w:rPr>
              <w:t>0.00144</w:t>
            </w:r>
          </w:p>
        </w:tc>
        <w:tc>
          <w:tcPr>
            <w:tcW w:w="1022" w:type="dxa"/>
            <w:vAlign w:val="center"/>
          </w:tcPr>
          <w:p w14:paraId="26822AA9">
            <w:pPr>
              <w:jc w:val="center"/>
              <w:rPr>
                <w:rFonts w:hint="default"/>
                <w:color w:val="auto"/>
                <w:lang w:val="en-US" w:eastAsia="zh-CN"/>
              </w:rPr>
            </w:pPr>
            <w:r>
              <w:rPr>
                <w:rFonts w:hint="default"/>
                <w:color w:val="auto"/>
                <w:lang w:val="en-US" w:eastAsia="zh-CN"/>
              </w:rPr>
              <w:t>10</w:t>
            </w:r>
          </w:p>
        </w:tc>
        <w:tc>
          <w:tcPr>
            <w:tcW w:w="1041" w:type="dxa"/>
            <w:vAlign w:val="center"/>
          </w:tcPr>
          <w:p w14:paraId="7683F492">
            <w:pPr>
              <w:jc w:val="center"/>
              <w:rPr>
                <w:rFonts w:hint="default"/>
                <w:color w:val="auto"/>
                <w:lang w:val="en-US" w:eastAsia="zh-CN"/>
              </w:rPr>
            </w:pPr>
            <w:r>
              <w:rPr>
                <w:rFonts w:hint="default"/>
                <w:color w:val="auto"/>
                <w:lang w:val="en-US" w:eastAsia="zh-CN"/>
              </w:rPr>
              <w:t>0.0001</w:t>
            </w:r>
          </w:p>
        </w:tc>
        <w:tc>
          <w:tcPr>
            <w:tcW w:w="1073" w:type="dxa"/>
            <w:vAlign w:val="center"/>
          </w:tcPr>
          <w:p w14:paraId="404D7D1B">
            <w:pPr>
              <w:jc w:val="center"/>
              <w:rPr>
                <w:rFonts w:hint="default"/>
                <w:color w:val="auto"/>
                <w:lang w:val="en-US" w:eastAsia="zh-CN"/>
              </w:rPr>
            </w:pPr>
            <w:r>
              <w:rPr>
                <w:rFonts w:hint="eastAsia"/>
                <w:color w:val="auto"/>
                <w:lang w:val="en-US" w:eastAsia="zh-CN"/>
              </w:rPr>
              <w:t>否</w:t>
            </w:r>
          </w:p>
        </w:tc>
        <w:tc>
          <w:tcPr>
            <w:tcW w:w="427" w:type="dxa"/>
            <w:vMerge w:val="continue"/>
            <w:vAlign w:val="center"/>
          </w:tcPr>
          <w:p w14:paraId="484032B4">
            <w:pPr>
              <w:jc w:val="center"/>
              <w:rPr>
                <w:rFonts w:hint="eastAsia"/>
                <w:color w:val="auto"/>
                <w:lang w:val="en-US" w:eastAsia="zh-CN"/>
              </w:rPr>
            </w:pPr>
          </w:p>
        </w:tc>
      </w:tr>
      <w:tr w14:paraId="0336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2CB22A0F">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6" w:type="dxa"/>
            <w:shd w:val="clear" w:color="auto" w:fill="auto"/>
            <w:vAlign w:val="center"/>
          </w:tcPr>
          <w:p w14:paraId="6947C306">
            <w:pPr>
              <w:jc w:val="center"/>
              <w:rPr>
                <w:rFonts w:hint="eastAsia"/>
                <w:color w:val="auto"/>
              </w:rPr>
            </w:pPr>
            <w:r>
              <w:rPr>
                <w:rFonts w:hint="eastAsia"/>
                <w:color w:val="auto"/>
              </w:rPr>
              <w:t>钴及其化合物</w:t>
            </w:r>
          </w:p>
        </w:tc>
        <w:tc>
          <w:tcPr>
            <w:tcW w:w="900" w:type="dxa"/>
            <w:shd w:val="clear" w:color="auto" w:fill="auto"/>
            <w:vAlign w:val="center"/>
          </w:tcPr>
          <w:p w14:paraId="5F7E6938">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938" w:type="dxa"/>
            <w:shd w:val="clear" w:color="auto" w:fill="auto"/>
            <w:vAlign w:val="center"/>
          </w:tcPr>
          <w:p w14:paraId="4319E3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5397EB5">
            <w:pPr>
              <w:jc w:val="center"/>
              <w:rPr>
                <w:rFonts w:hint="eastAsia"/>
                <w:color w:val="auto"/>
                <w:lang w:val="en-US" w:eastAsia="zh-CN"/>
              </w:rPr>
            </w:pPr>
            <w:r>
              <w:rPr>
                <w:color w:val="auto"/>
              </w:rPr>
              <w:t>1.49</w:t>
            </w:r>
          </w:p>
        </w:tc>
        <w:tc>
          <w:tcPr>
            <w:tcW w:w="965" w:type="dxa"/>
            <w:shd w:val="clear" w:color="auto" w:fill="auto"/>
            <w:vAlign w:val="center"/>
          </w:tcPr>
          <w:p w14:paraId="1154024B">
            <w:pPr>
              <w:jc w:val="center"/>
              <w:rPr>
                <w:rFonts w:hint="eastAsia"/>
                <w:color w:val="auto"/>
                <w:lang w:val="en-US" w:eastAsia="zh-CN"/>
              </w:rPr>
            </w:pPr>
            <w:r>
              <w:rPr>
                <w:rFonts w:hint="eastAsia"/>
                <w:color w:val="auto"/>
                <w:lang w:val="en-US" w:eastAsia="zh-CN"/>
              </w:rPr>
              <w:t>1.49</w:t>
            </w:r>
          </w:p>
        </w:tc>
        <w:tc>
          <w:tcPr>
            <w:tcW w:w="1022" w:type="dxa"/>
            <w:vAlign w:val="center"/>
          </w:tcPr>
          <w:p w14:paraId="661B6B8C">
            <w:pPr>
              <w:jc w:val="center"/>
              <w:rPr>
                <w:rFonts w:hint="eastAsia"/>
                <w:color w:val="auto"/>
                <w:lang w:val="en-US" w:eastAsia="zh-CN"/>
              </w:rPr>
            </w:pPr>
            <w:r>
              <w:rPr>
                <w:rFonts w:hint="default"/>
                <w:color w:val="auto"/>
                <w:lang w:val="en-US" w:eastAsia="zh-CN"/>
              </w:rPr>
              <w:t>0.25</w:t>
            </w:r>
          </w:p>
        </w:tc>
        <w:tc>
          <w:tcPr>
            <w:tcW w:w="1041" w:type="dxa"/>
            <w:vAlign w:val="center"/>
          </w:tcPr>
          <w:p w14:paraId="33268E39">
            <w:pPr>
              <w:jc w:val="center"/>
              <w:rPr>
                <w:rFonts w:hint="default"/>
                <w:color w:val="auto"/>
                <w:lang w:val="en-US" w:eastAsia="zh-CN"/>
              </w:rPr>
            </w:pPr>
            <w:r>
              <w:rPr>
                <w:rFonts w:hint="default"/>
                <w:color w:val="auto"/>
                <w:lang w:val="en-US" w:eastAsia="zh-CN"/>
              </w:rPr>
              <w:t>5.9600</w:t>
            </w:r>
          </w:p>
        </w:tc>
        <w:tc>
          <w:tcPr>
            <w:tcW w:w="1073" w:type="dxa"/>
            <w:vAlign w:val="center"/>
          </w:tcPr>
          <w:p w14:paraId="47C1A004">
            <w:pPr>
              <w:jc w:val="center"/>
              <w:rPr>
                <w:rFonts w:hint="eastAsia"/>
                <w:color w:val="auto"/>
                <w:lang w:val="en-US" w:eastAsia="zh-CN"/>
              </w:rPr>
            </w:pPr>
            <w:r>
              <w:rPr>
                <w:rFonts w:hint="eastAsia"/>
                <w:color w:val="auto"/>
                <w:lang w:val="en-US" w:eastAsia="zh-CN"/>
              </w:rPr>
              <w:t>是</w:t>
            </w:r>
          </w:p>
        </w:tc>
        <w:tc>
          <w:tcPr>
            <w:tcW w:w="427" w:type="dxa"/>
            <w:vMerge w:val="restart"/>
            <w:vAlign w:val="center"/>
          </w:tcPr>
          <w:p w14:paraId="3341A70D">
            <w:pPr>
              <w:jc w:val="center"/>
              <w:rPr>
                <w:rFonts w:hint="default"/>
                <w:color w:val="auto"/>
                <w:lang w:val="en-US" w:eastAsia="zh-CN"/>
              </w:rPr>
            </w:pPr>
            <w:r>
              <w:rPr>
                <w:rFonts w:hint="eastAsia"/>
                <w:color w:val="auto"/>
                <w:lang w:val="en-US" w:eastAsia="zh-CN"/>
              </w:rPr>
              <w:t>1#仓库</w:t>
            </w:r>
          </w:p>
        </w:tc>
      </w:tr>
      <w:tr w14:paraId="20AC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FAD9656">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6" w:type="dxa"/>
            <w:shd w:val="clear" w:color="auto" w:fill="auto"/>
            <w:vAlign w:val="center"/>
          </w:tcPr>
          <w:p w14:paraId="0375F025">
            <w:pPr>
              <w:jc w:val="center"/>
              <w:rPr>
                <w:rFonts w:hint="eastAsia"/>
                <w:color w:val="auto"/>
              </w:rPr>
            </w:pPr>
            <w:r>
              <w:rPr>
                <w:rFonts w:hint="eastAsia"/>
                <w:color w:val="auto"/>
              </w:rPr>
              <w:t>镍及其化合物</w:t>
            </w:r>
          </w:p>
        </w:tc>
        <w:tc>
          <w:tcPr>
            <w:tcW w:w="900" w:type="dxa"/>
            <w:shd w:val="clear" w:color="auto" w:fill="auto"/>
            <w:vAlign w:val="center"/>
          </w:tcPr>
          <w:p w14:paraId="5E1D7753">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938" w:type="dxa"/>
            <w:shd w:val="clear" w:color="auto" w:fill="auto"/>
            <w:vAlign w:val="center"/>
          </w:tcPr>
          <w:p w14:paraId="20BB29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vAlign w:val="center"/>
          </w:tcPr>
          <w:p w14:paraId="7F51F9F6">
            <w:pPr>
              <w:pStyle w:val="63"/>
              <w:jc w:val="center"/>
              <w:rPr>
                <w:rFonts w:hint="eastAsia"/>
                <w:color w:val="auto"/>
                <w:lang w:val="en-US" w:eastAsia="zh-CN"/>
              </w:rPr>
            </w:pPr>
            <w:r>
              <w:rPr>
                <w:rFonts w:ascii="Times New Roman" w:hAnsi="Times New Roman" w:eastAsia="Times New Roman" w:cs="Times New Roman"/>
                <w:color w:val="auto"/>
                <w:spacing w:val="-2"/>
                <w:sz w:val="21"/>
                <w:szCs w:val="21"/>
              </w:rPr>
              <w:t>5.15</w:t>
            </w:r>
          </w:p>
        </w:tc>
        <w:tc>
          <w:tcPr>
            <w:tcW w:w="965" w:type="dxa"/>
            <w:vAlign w:val="center"/>
          </w:tcPr>
          <w:p w14:paraId="0EAB2A99">
            <w:pPr>
              <w:jc w:val="center"/>
              <w:rPr>
                <w:rFonts w:hint="eastAsia"/>
                <w:color w:val="auto"/>
                <w:lang w:val="en-US" w:eastAsia="zh-CN"/>
              </w:rPr>
            </w:pPr>
            <w:r>
              <w:rPr>
                <w:rFonts w:hint="eastAsia"/>
                <w:color w:val="auto"/>
                <w:lang w:val="en-US" w:eastAsia="zh-CN"/>
              </w:rPr>
              <w:t>5.15</w:t>
            </w:r>
          </w:p>
        </w:tc>
        <w:tc>
          <w:tcPr>
            <w:tcW w:w="1022" w:type="dxa"/>
            <w:vAlign w:val="center"/>
          </w:tcPr>
          <w:p w14:paraId="0566736B">
            <w:pPr>
              <w:jc w:val="center"/>
              <w:rPr>
                <w:rFonts w:hint="eastAsia"/>
                <w:color w:val="auto"/>
                <w:lang w:val="en-US" w:eastAsia="zh-CN"/>
              </w:rPr>
            </w:pPr>
            <w:r>
              <w:rPr>
                <w:rFonts w:hint="default"/>
                <w:color w:val="auto"/>
                <w:lang w:val="en-US" w:eastAsia="zh-CN"/>
              </w:rPr>
              <w:t>0.25</w:t>
            </w:r>
          </w:p>
        </w:tc>
        <w:tc>
          <w:tcPr>
            <w:tcW w:w="1041" w:type="dxa"/>
            <w:vAlign w:val="center"/>
          </w:tcPr>
          <w:p w14:paraId="05B8AF40">
            <w:pPr>
              <w:jc w:val="center"/>
              <w:rPr>
                <w:rFonts w:hint="default"/>
                <w:color w:val="auto"/>
                <w:lang w:val="en-US" w:eastAsia="zh-CN"/>
              </w:rPr>
            </w:pPr>
            <w:r>
              <w:rPr>
                <w:rFonts w:hint="default"/>
                <w:color w:val="auto"/>
                <w:lang w:val="en-US" w:eastAsia="zh-CN"/>
              </w:rPr>
              <w:t>20.6</w:t>
            </w:r>
          </w:p>
        </w:tc>
        <w:tc>
          <w:tcPr>
            <w:tcW w:w="1073" w:type="dxa"/>
            <w:vAlign w:val="center"/>
          </w:tcPr>
          <w:p w14:paraId="704B7FE2">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7DFB0FF6">
            <w:pPr>
              <w:jc w:val="center"/>
              <w:rPr>
                <w:rFonts w:hint="eastAsia"/>
                <w:color w:val="auto"/>
                <w:lang w:val="en-US" w:eastAsia="zh-CN"/>
              </w:rPr>
            </w:pPr>
          </w:p>
        </w:tc>
      </w:tr>
      <w:tr w14:paraId="72CF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15B04FD5">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76" w:type="dxa"/>
            <w:shd w:val="clear" w:color="auto" w:fill="auto"/>
            <w:vAlign w:val="center"/>
          </w:tcPr>
          <w:p w14:paraId="037AB69D">
            <w:pPr>
              <w:jc w:val="center"/>
              <w:rPr>
                <w:rFonts w:hint="eastAsia"/>
                <w:color w:val="auto"/>
              </w:rPr>
            </w:pPr>
            <w:r>
              <w:rPr>
                <w:rFonts w:hint="eastAsia"/>
                <w:color w:val="auto"/>
              </w:rPr>
              <w:t>硫酸镍</w:t>
            </w:r>
          </w:p>
        </w:tc>
        <w:tc>
          <w:tcPr>
            <w:tcW w:w="900" w:type="dxa"/>
            <w:shd w:val="clear" w:color="auto" w:fill="auto"/>
            <w:vAlign w:val="center"/>
          </w:tcPr>
          <w:p w14:paraId="4CCE8BD0">
            <w:pPr>
              <w:jc w:val="center"/>
              <w:rPr>
                <w:rFonts w:hint="eastAsia" w:ascii="Times New Roman" w:hAnsi="Times New Roman" w:eastAsia="宋体" w:cs="Times New Roman"/>
                <w:bCs/>
                <w:color w:val="auto"/>
                <w:kern w:val="0"/>
                <w:sz w:val="21"/>
                <w:szCs w:val="24"/>
                <w:lang w:val="en-US" w:eastAsia="zh-CN" w:bidi="ar-SA"/>
              </w:rPr>
            </w:pPr>
            <w:r>
              <w:rPr>
                <w:rFonts w:ascii="Times New Roman" w:hAnsi="Times New Roman" w:eastAsia="Times New Roman" w:cs="Times New Roman"/>
                <w:color w:val="auto"/>
                <w:spacing w:val="-1"/>
                <w:sz w:val="21"/>
                <w:szCs w:val="21"/>
              </w:rPr>
              <w:t>7786-81-4</w:t>
            </w:r>
          </w:p>
        </w:tc>
        <w:tc>
          <w:tcPr>
            <w:tcW w:w="938" w:type="dxa"/>
            <w:shd w:val="clear" w:color="auto" w:fill="auto"/>
            <w:vAlign w:val="center"/>
          </w:tcPr>
          <w:p w14:paraId="67D88E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4E534FB7">
            <w:pPr>
              <w:jc w:val="center"/>
              <w:rPr>
                <w:rFonts w:hint="eastAsia"/>
                <w:color w:val="auto"/>
                <w:lang w:val="en-US" w:eastAsia="zh-CN"/>
              </w:rPr>
            </w:pPr>
            <w:r>
              <w:rPr>
                <w:color w:val="auto"/>
              </w:rPr>
              <w:t>3</w:t>
            </w:r>
          </w:p>
        </w:tc>
        <w:tc>
          <w:tcPr>
            <w:tcW w:w="965" w:type="dxa"/>
            <w:shd w:val="clear" w:color="auto" w:fill="auto"/>
            <w:vAlign w:val="center"/>
          </w:tcPr>
          <w:p w14:paraId="71BAF52C">
            <w:pPr>
              <w:jc w:val="center"/>
              <w:rPr>
                <w:rFonts w:hint="eastAsia"/>
                <w:color w:val="auto"/>
                <w:lang w:val="en-US" w:eastAsia="zh-CN"/>
              </w:rPr>
            </w:pPr>
            <w:r>
              <w:rPr>
                <w:rFonts w:hint="eastAsia"/>
                <w:color w:val="auto"/>
                <w:lang w:val="en-US" w:eastAsia="zh-CN"/>
              </w:rPr>
              <w:t>3</w:t>
            </w:r>
          </w:p>
        </w:tc>
        <w:tc>
          <w:tcPr>
            <w:tcW w:w="1022" w:type="dxa"/>
            <w:vAlign w:val="center"/>
          </w:tcPr>
          <w:p w14:paraId="171C7646">
            <w:pPr>
              <w:jc w:val="center"/>
              <w:rPr>
                <w:rFonts w:hint="eastAsia"/>
                <w:color w:val="auto"/>
                <w:lang w:val="en-US" w:eastAsia="zh-CN"/>
              </w:rPr>
            </w:pPr>
            <w:r>
              <w:rPr>
                <w:rFonts w:hint="default"/>
                <w:color w:val="auto"/>
                <w:lang w:val="en-US" w:eastAsia="zh-CN"/>
              </w:rPr>
              <w:t>0.25</w:t>
            </w:r>
          </w:p>
        </w:tc>
        <w:tc>
          <w:tcPr>
            <w:tcW w:w="1041" w:type="dxa"/>
            <w:vAlign w:val="center"/>
          </w:tcPr>
          <w:p w14:paraId="41AE17FE">
            <w:pPr>
              <w:jc w:val="center"/>
              <w:rPr>
                <w:rFonts w:hint="default"/>
                <w:color w:val="auto"/>
                <w:lang w:val="en-US" w:eastAsia="zh-CN"/>
              </w:rPr>
            </w:pPr>
            <w:r>
              <w:rPr>
                <w:rFonts w:hint="default"/>
                <w:color w:val="auto"/>
                <w:lang w:val="en-US" w:eastAsia="zh-CN"/>
              </w:rPr>
              <w:t>12</w:t>
            </w:r>
          </w:p>
        </w:tc>
        <w:tc>
          <w:tcPr>
            <w:tcW w:w="1073" w:type="dxa"/>
            <w:vAlign w:val="center"/>
          </w:tcPr>
          <w:p w14:paraId="38D8A0BB">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5BFB1B9A">
            <w:pPr>
              <w:jc w:val="center"/>
              <w:rPr>
                <w:rFonts w:hint="eastAsia"/>
                <w:color w:val="auto"/>
                <w:lang w:val="en-US" w:eastAsia="zh-CN"/>
              </w:rPr>
            </w:pPr>
          </w:p>
        </w:tc>
      </w:tr>
      <w:tr w14:paraId="27E0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7D9705BC">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6" w:type="dxa"/>
            <w:shd w:val="clear" w:color="auto" w:fill="auto"/>
            <w:vAlign w:val="center"/>
          </w:tcPr>
          <w:p w14:paraId="09CB5C7C">
            <w:pPr>
              <w:jc w:val="center"/>
              <w:rPr>
                <w:rFonts w:hint="eastAsia"/>
                <w:color w:val="auto"/>
                <w:lang w:val="en-US" w:eastAsia="en-US"/>
              </w:rPr>
            </w:pPr>
            <w:r>
              <w:rPr>
                <w:color w:val="auto"/>
              </w:rPr>
              <w:t>氯化镍</w:t>
            </w:r>
          </w:p>
        </w:tc>
        <w:tc>
          <w:tcPr>
            <w:tcW w:w="900" w:type="dxa"/>
            <w:shd w:val="clear" w:color="auto" w:fill="auto"/>
            <w:vAlign w:val="center"/>
          </w:tcPr>
          <w:p w14:paraId="68176A2C">
            <w:pPr>
              <w:jc w:val="center"/>
              <w:rPr>
                <w:color w:val="auto"/>
                <w:lang w:val="en-US" w:eastAsia="zh-CN"/>
              </w:rPr>
            </w:pPr>
            <w:r>
              <w:rPr>
                <w:color w:val="auto"/>
              </w:rPr>
              <w:t>7718-54-9</w:t>
            </w:r>
          </w:p>
        </w:tc>
        <w:tc>
          <w:tcPr>
            <w:tcW w:w="938" w:type="dxa"/>
            <w:shd w:val="clear" w:color="auto" w:fill="auto"/>
            <w:vAlign w:val="center"/>
          </w:tcPr>
          <w:p w14:paraId="23C5CC44">
            <w:pPr>
              <w:jc w:val="center"/>
              <w:rPr>
                <w:rFonts w:hint="default"/>
                <w:color w:val="auto"/>
                <w:lang w:val="en-US" w:eastAsia="zh-CN"/>
              </w:rPr>
            </w:pPr>
            <w:r>
              <w:rPr>
                <w:rFonts w:hint="eastAsia"/>
                <w:color w:val="auto"/>
                <w:lang w:val="en-US" w:eastAsia="zh-CN"/>
              </w:rPr>
              <w:t>0</w:t>
            </w:r>
          </w:p>
        </w:tc>
        <w:tc>
          <w:tcPr>
            <w:tcW w:w="1247" w:type="dxa"/>
            <w:shd w:val="clear" w:color="auto" w:fill="auto"/>
            <w:vAlign w:val="center"/>
          </w:tcPr>
          <w:p w14:paraId="549314EA">
            <w:pPr>
              <w:jc w:val="center"/>
              <w:rPr>
                <w:rFonts w:hint="eastAsia" w:ascii="Times New Roman" w:hAnsi="Times New Roman" w:eastAsia="宋体" w:cs="Times New Roman"/>
                <w:color w:val="auto"/>
                <w:kern w:val="2"/>
                <w:sz w:val="21"/>
                <w:szCs w:val="24"/>
                <w:lang w:val="en-US" w:eastAsia="zh-CN" w:bidi="ar-SA"/>
              </w:rPr>
            </w:pPr>
            <w:r>
              <w:rPr>
                <w:color w:val="auto"/>
              </w:rPr>
              <w:t>2</w:t>
            </w:r>
          </w:p>
        </w:tc>
        <w:tc>
          <w:tcPr>
            <w:tcW w:w="965" w:type="dxa"/>
            <w:shd w:val="clear" w:color="auto" w:fill="auto"/>
            <w:vAlign w:val="center"/>
          </w:tcPr>
          <w:p w14:paraId="043A6824">
            <w:pPr>
              <w:jc w:val="center"/>
              <w:rPr>
                <w:rFonts w:hint="eastAsia"/>
                <w:color w:val="auto"/>
                <w:lang w:val="en-US" w:eastAsia="zh-CN"/>
              </w:rPr>
            </w:pPr>
            <w:r>
              <w:rPr>
                <w:rFonts w:hint="eastAsia"/>
                <w:color w:val="auto"/>
                <w:lang w:val="en-US" w:eastAsia="zh-CN"/>
              </w:rPr>
              <w:t>2</w:t>
            </w:r>
          </w:p>
        </w:tc>
        <w:tc>
          <w:tcPr>
            <w:tcW w:w="1022" w:type="dxa"/>
            <w:shd w:val="clear" w:color="auto" w:fill="auto"/>
            <w:vAlign w:val="center"/>
          </w:tcPr>
          <w:p w14:paraId="31AB9CF1">
            <w:pPr>
              <w:jc w:val="center"/>
              <w:rPr>
                <w:color w:val="auto"/>
                <w:lang w:val="en-US" w:eastAsia="zh-CN"/>
              </w:rPr>
            </w:pPr>
            <w:r>
              <w:rPr>
                <w:rFonts w:hint="default"/>
                <w:color w:val="auto"/>
                <w:lang w:val="en-US" w:eastAsia="zh-CN"/>
              </w:rPr>
              <w:t>0.25</w:t>
            </w:r>
          </w:p>
        </w:tc>
        <w:tc>
          <w:tcPr>
            <w:tcW w:w="1041" w:type="dxa"/>
            <w:vAlign w:val="center"/>
          </w:tcPr>
          <w:p w14:paraId="6631FDFB">
            <w:pPr>
              <w:jc w:val="center"/>
              <w:rPr>
                <w:rFonts w:hint="default"/>
                <w:color w:val="auto"/>
                <w:lang w:val="en-US" w:eastAsia="zh-CN"/>
              </w:rPr>
            </w:pPr>
            <w:r>
              <w:rPr>
                <w:rFonts w:hint="default"/>
                <w:color w:val="auto"/>
                <w:lang w:val="en-US" w:eastAsia="zh-CN"/>
              </w:rPr>
              <w:t>8</w:t>
            </w:r>
          </w:p>
        </w:tc>
        <w:tc>
          <w:tcPr>
            <w:tcW w:w="1073" w:type="dxa"/>
            <w:vAlign w:val="center"/>
          </w:tcPr>
          <w:p w14:paraId="5F339994">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06D9E732">
            <w:pPr>
              <w:jc w:val="center"/>
              <w:rPr>
                <w:rFonts w:hint="eastAsia"/>
                <w:color w:val="auto"/>
                <w:lang w:val="en-US" w:eastAsia="zh-CN"/>
              </w:rPr>
            </w:pPr>
          </w:p>
        </w:tc>
      </w:tr>
      <w:tr w14:paraId="4742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6D609F8">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876" w:type="dxa"/>
            <w:shd w:val="clear" w:color="auto" w:fill="auto"/>
            <w:vAlign w:val="center"/>
          </w:tcPr>
          <w:p w14:paraId="0341D774">
            <w:pPr>
              <w:jc w:val="center"/>
              <w:rPr>
                <w:rFonts w:hint="eastAsia"/>
                <w:color w:val="auto"/>
                <w:lang w:val="en-US" w:eastAsia="en-US"/>
              </w:rPr>
            </w:pPr>
            <w:r>
              <w:rPr>
                <w:color w:val="auto"/>
              </w:rPr>
              <w:t>铜及其化合</w:t>
            </w:r>
            <w:r>
              <w:rPr>
                <w:rFonts w:hint="eastAsia"/>
                <w:color w:val="auto"/>
              </w:rPr>
              <w:t>物</w:t>
            </w:r>
          </w:p>
        </w:tc>
        <w:tc>
          <w:tcPr>
            <w:tcW w:w="900" w:type="dxa"/>
            <w:shd w:val="clear" w:color="auto" w:fill="auto"/>
            <w:vAlign w:val="center"/>
          </w:tcPr>
          <w:p w14:paraId="1FC7E348">
            <w:pPr>
              <w:jc w:val="center"/>
              <w:rPr>
                <w:color w:val="auto"/>
                <w:lang w:val="en-US" w:eastAsia="zh-CN"/>
              </w:rPr>
            </w:pPr>
            <w:r>
              <w:rPr>
                <w:color w:val="auto"/>
              </w:rPr>
              <w:t>/</w:t>
            </w:r>
          </w:p>
        </w:tc>
        <w:tc>
          <w:tcPr>
            <w:tcW w:w="938" w:type="dxa"/>
            <w:shd w:val="clear" w:color="auto" w:fill="auto"/>
            <w:vAlign w:val="center"/>
          </w:tcPr>
          <w:p w14:paraId="0C465977">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014C687A">
            <w:pPr>
              <w:jc w:val="center"/>
              <w:rPr>
                <w:rFonts w:hint="eastAsia" w:ascii="Times New Roman" w:hAnsi="Times New Roman" w:eastAsia="宋体" w:cs="Times New Roman"/>
                <w:color w:val="auto"/>
                <w:kern w:val="2"/>
                <w:sz w:val="21"/>
                <w:szCs w:val="24"/>
                <w:lang w:val="en-US" w:eastAsia="zh-CN" w:bidi="ar-SA"/>
              </w:rPr>
            </w:pPr>
            <w:r>
              <w:rPr>
                <w:color w:val="auto"/>
              </w:rPr>
              <w:t>5.84</w:t>
            </w:r>
          </w:p>
        </w:tc>
        <w:tc>
          <w:tcPr>
            <w:tcW w:w="965" w:type="dxa"/>
            <w:shd w:val="clear" w:color="auto" w:fill="auto"/>
            <w:vAlign w:val="center"/>
          </w:tcPr>
          <w:p w14:paraId="255A26E9">
            <w:pPr>
              <w:jc w:val="center"/>
              <w:rPr>
                <w:rFonts w:hint="eastAsia"/>
                <w:color w:val="auto"/>
                <w:lang w:val="en-US" w:eastAsia="zh-CN"/>
              </w:rPr>
            </w:pPr>
            <w:r>
              <w:rPr>
                <w:rFonts w:hint="eastAsia"/>
                <w:color w:val="auto"/>
                <w:lang w:val="en-US" w:eastAsia="zh-CN"/>
              </w:rPr>
              <w:t>5.84</w:t>
            </w:r>
          </w:p>
        </w:tc>
        <w:tc>
          <w:tcPr>
            <w:tcW w:w="1022" w:type="dxa"/>
            <w:shd w:val="clear" w:color="auto" w:fill="auto"/>
            <w:vAlign w:val="center"/>
          </w:tcPr>
          <w:p w14:paraId="43C271BF">
            <w:pPr>
              <w:jc w:val="center"/>
              <w:rPr>
                <w:color w:val="auto"/>
                <w:lang w:val="en-US" w:eastAsia="zh-CN"/>
              </w:rPr>
            </w:pPr>
            <w:r>
              <w:rPr>
                <w:rFonts w:hint="default"/>
                <w:color w:val="auto"/>
                <w:lang w:val="en-US" w:eastAsia="zh-CN"/>
              </w:rPr>
              <w:t>0.25</w:t>
            </w:r>
          </w:p>
        </w:tc>
        <w:tc>
          <w:tcPr>
            <w:tcW w:w="1041" w:type="dxa"/>
            <w:vAlign w:val="center"/>
          </w:tcPr>
          <w:p w14:paraId="6EC5ABD2">
            <w:pPr>
              <w:jc w:val="center"/>
              <w:rPr>
                <w:rFonts w:hint="default"/>
                <w:color w:val="auto"/>
                <w:lang w:val="en-US" w:eastAsia="zh-CN"/>
              </w:rPr>
            </w:pPr>
            <w:r>
              <w:rPr>
                <w:rFonts w:hint="default"/>
                <w:color w:val="auto"/>
                <w:lang w:val="en-US" w:eastAsia="zh-CN"/>
              </w:rPr>
              <w:t>23.3600</w:t>
            </w:r>
          </w:p>
        </w:tc>
        <w:tc>
          <w:tcPr>
            <w:tcW w:w="1073" w:type="dxa"/>
            <w:vAlign w:val="center"/>
          </w:tcPr>
          <w:p w14:paraId="61815DD4">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174C51D4">
            <w:pPr>
              <w:jc w:val="center"/>
              <w:rPr>
                <w:rFonts w:hint="eastAsia"/>
                <w:color w:val="auto"/>
                <w:lang w:val="en-US" w:eastAsia="zh-CN"/>
              </w:rPr>
            </w:pPr>
          </w:p>
        </w:tc>
      </w:tr>
      <w:tr w14:paraId="4852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D2AB66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76" w:type="dxa"/>
            <w:shd w:val="clear" w:color="auto" w:fill="auto"/>
            <w:vAlign w:val="center"/>
          </w:tcPr>
          <w:p w14:paraId="1DF03962">
            <w:pPr>
              <w:jc w:val="center"/>
              <w:rPr>
                <w:rFonts w:hint="eastAsia"/>
                <w:color w:val="auto"/>
                <w:lang w:val="en-US" w:eastAsia="en-US"/>
              </w:rPr>
            </w:pPr>
            <w:r>
              <w:rPr>
                <w:color w:val="auto"/>
              </w:rPr>
              <w:t>盐酸</w:t>
            </w:r>
          </w:p>
        </w:tc>
        <w:tc>
          <w:tcPr>
            <w:tcW w:w="900" w:type="dxa"/>
            <w:shd w:val="clear" w:color="auto" w:fill="auto"/>
            <w:vAlign w:val="center"/>
          </w:tcPr>
          <w:p w14:paraId="3AAECC71">
            <w:pPr>
              <w:jc w:val="center"/>
              <w:rPr>
                <w:color w:val="auto"/>
                <w:lang w:val="en-US" w:eastAsia="zh-CN"/>
              </w:rPr>
            </w:pPr>
            <w:r>
              <w:rPr>
                <w:color w:val="auto"/>
              </w:rPr>
              <w:t>7647-01-0</w:t>
            </w:r>
          </w:p>
        </w:tc>
        <w:tc>
          <w:tcPr>
            <w:tcW w:w="938" w:type="dxa"/>
            <w:shd w:val="clear" w:color="auto" w:fill="auto"/>
            <w:vAlign w:val="center"/>
          </w:tcPr>
          <w:p w14:paraId="0A7C1351">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360CCC1C">
            <w:pPr>
              <w:jc w:val="center"/>
              <w:rPr>
                <w:rFonts w:hint="eastAsia" w:ascii="Times New Roman" w:hAnsi="Times New Roman" w:eastAsia="宋体" w:cs="Times New Roman"/>
                <w:color w:val="auto"/>
                <w:kern w:val="2"/>
                <w:sz w:val="21"/>
                <w:szCs w:val="24"/>
                <w:lang w:val="en-US" w:eastAsia="zh-CN" w:bidi="ar-SA"/>
              </w:rPr>
            </w:pPr>
            <w:r>
              <w:rPr>
                <w:color w:val="auto"/>
              </w:rPr>
              <w:t>0.1</w:t>
            </w:r>
          </w:p>
        </w:tc>
        <w:tc>
          <w:tcPr>
            <w:tcW w:w="965" w:type="dxa"/>
            <w:shd w:val="clear" w:color="auto" w:fill="auto"/>
            <w:vAlign w:val="center"/>
          </w:tcPr>
          <w:p w14:paraId="375DF59D">
            <w:pPr>
              <w:jc w:val="center"/>
              <w:rPr>
                <w:rFonts w:hint="eastAsia"/>
                <w:color w:val="auto"/>
                <w:lang w:val="en-US" w:eastAsia="zh-CN"/>
              </w:rPr>
            </w:pPr>
            <w:r>
              <w:rPr>
                <w:rFonts w:hint="eastAsia"/>
                <w:color w:val="auto"/>
                <w:lang w:val="en-US" w:eastAsia="zh-CN"/>
              </w:rPr>
              <w:t>0.1</w:t>
            </w:r>
          </w:p>
        </w:tc>
        <w:tc>
          <w:tcPr>
            <w:tcW w:w="1022" w:type="dxa"/>
            <w:shd w:val="clear" w:color="auto" w:fill="auto"/>
            <w:vAlign w:val="center"/>
          </w:tcPr>
          <w:p w14:paraId="00F3BFC5">
            <w:pPr>
              <w:jc w:val="center"/>
              <w:rPr>
                <w:color w:val="auto"/>
                <w:lang w:val="en-US" w:eastAsia="zh-CN"/>
              </w:rPr>
            </w:pPr>
            <w:r>
              <w:rPr>
                <w:rFonts w:hint="default"/>
                <w:color w:val="auto"/>
                <w:lang w:val="en-US" w:eastAsia="zh-CN"/>
              </w:rPr>
              <w:t>7.5</w:t>
            </w:r>
          </w:p>
        </w:tc>
        <w:tc>
          <w:tcPr>
            <w:tcW w:w="1041" w:type="dxa"/>
            <w:vAlign w:val="center"/>
          </w:tcPr>
          <w:p w14:paraId="286A6EC5">
            <w:pPr>
              <w:jc w:val="center"/>
              <w:rPr>
                <w:rFonts w:hint="default"/>
                <w:color w:val="auto"/>
                <w:lang w:val="en-US" w:eastAsia="zh-CN"/>
              </w:rPr>
            </w:pPr>
            <w:r>
              <w:rPr>
                <w:rFonts w:hint="default"/>
                <w:color w:val="auto"/>
                <w:lang w:val="en-US" w:eastAsia="zh-CN"/>
              </w:rPr>
              <w:t>0.0133</w:t>
            </w:r>
          </w:p>
        </w:tc>
        <w:tc>
          <w:tcPr>
            <w:tcW w:w="1073" w:type="dxa"/>
            <w:vAlign w:val="center"/>
          </w:tcPr>
          <w:p w14:paraId="26642A0B">
            <w:pPr>
              <w:jc w:val="center"/>
              <w:rPr>
                <w:rFonts w:hint="eastAsia"/>
                <w:color w:val="auto"/>
                <w:lang w:val="en-US" w:eastAsia="zh-CN"/>
              </w:rPr>
            </w:pPr>
          </w:p>
        </w:tc>
        <w:tc>
          <w:tcPr>
            <w:tcW w:w="427" w:type="dxa"/>
            <w:vMerge w:val="continue"/>
            <w:vAlign w:val="center"/>
          </w:tcPr>
          <w:p w14:paraId="7D6DE34E">
            <w:pPr>
              <w:jc w:val="center"/>
              <w:rPr>
                <w:rFonts w:hint="eastAsia"/>
                <w:color w:val="auto"/>
                <w:lang w:val="en-US" w:eastAsia="zh-CN"/>
              </w:rPr>
            </w:pPr>
          </w:p>
        </w:tc>
      </w:tr>
      <w:tr w14:paraId="6019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D47A80A">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6" w:type="dxa"/>
            <w:shd w:val="clear" w:color="auto" w:fill="auto"/>
            <w:vAlign w:val="center"/>
          </w:tcPr>
          <w:p w14:paraId="56B2C34B">
            <w:pPr>
              <w:jc w:val="center"/>
              <w:rPr>
                <w:color w:val="auto"/>
              </w:rPr>
            </w:pPr>
            <w:r>
              <w:rPr>
                <w:color w:val="auto"/>
              </w:rPr>
              <w:t>铬及其化合物</w:t>
            </w:r>
          </w:p>
        </w:tc>
        <w:tc>
          <w:tcPr>
            <w:tcW w:w="900" w:type="dxa"/>
            <w:shd w:val="clear" w:color="auto" w:fill="auto"/>
            <w:vAlign w:val="center"/>
          </w:tcPr>
          <w:p w14:paraId="13524C61">
            <w:pPr>
              <w:jc w:val="center"/>
              <w:rPr>
                <w:color w:val="auto"/>
              </w:rPr>
            </w:pPr>
            <w:r>
              <w:rPr>
                <w:color w:val="auto"/>
              </w:rPr>
              <w:t>/</w:t>
            </w:r>
          </w:p>
        </w:tc>
        <w:tc>
          <w:tcPr>
            <w:tcW w:w="938" w:type="dxa"/>
            <w:shd w:val="clear" w:color="auto" w:fill="auto"/>
            <w:vAlign w:val="center"/>
          </w:tcPr>
          <w:p w14:paraId="623B23BC">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7B343F34">
            <w:pPr>
              <w:jc w:val="center"/>
              <w:rPr>
                <w:rFonts w:hint="eastAsia" w:ascii="Times New Roman" w:hAnsi="Times New Roman" w:eastAsia="宋体" w:cs="Times New Roman"/>
                <w:color w:val="auto"/>
                <w:kern w:val="2"/>
                <w:sz w:val="21"/>
                <w:szCs w:val="24"/>
                <w:lang w:val="en-US" w:eastAsia="zh-CN" w:bidi="ar-SA"/>
              </w:rPr>
            </w:pPr>
            <w:r>
              <w:rPr>
                <w:color w:val="auto"/>
              </w:rPr>
              <w:t>0.12</w:t>
            </w:r>
          </w:p>
        </w:tc>
        <w:tc>
          <w:tcPr>
            <w:tcW w:w="965" w:type="dxa"/>
            <w:shd w:val="clear" w:color="auto" w:fill="auto"/>
            <w:vAlign w:val="center"/>
          </w:tcPr>
          <w:p w14:paraId="0FB5078F">
            <w:pPr>
              <w:jc w:val="center"/>
              <w:rPr>
                <w:rFonts w:hint="eastAsia"/>
                <w:color w:val="auto"/>
                <w:lang w:val="en-US" w:eastAsia="zh-CN"/>
              </w:rPr>
            </w:pPr>
            <w:r>
              <w:rPr>
                <w:rFonts w:hint="eastAsia"/>
                <w:color w:val="auto"/>
                <w:lang w:val="en-US" w:eastAsia="zh-CN"/>
              </w:rPr>
              <w:t>0.12</w:t>
            </w:r>
          </w:p>
        </w:tc>
        <w:tc>
          <w:tcPr>
            <w:tcW w:w="1022" w:type="dxa"/>
            <w:shd w:val="clear" w:color="auto" w:fill="auto"/>
            <w:vAlign w:val="center"/>
          </w:tcPr>
          <w:p w14:paraId="60AA21D0">
            <w:pPr>
              <w:jc w:val="center"/>
              <w:rPr>
                <w:color w:val="auto"/>
                <w:lang w:val="en-US" w:eastAsia="zh-CN"/>
              </w:rPr>
            </w:pPr>
            <w:r>
              <w:rPr>
                <w:rFonts w:hint="default"/>
                <w:color w:val="auto"/>
                <w:lang w:val="en-US" w:eastAsia="zh-CN"/>
              </w:rPr>
              <w:t>0.25</w:t>
            </w:r>
          </w:p>
        </w:tc>
        <w:tc>
          <w:tcPr>
            <w:tcW w:w="1041" w:type="dxa"/>
            <w:vAlign w:val="center"/>
          </w:tcPr>
          <w:p w14:paraId="7EE51802">
            <w:pPr>
              <w:jc w:val="center"/>
              <w:rPr>
                <w:rFonts w:hint="default"/>
                <w:color w:val="auto"/>
                <w:lang w:val="en-US" w:eastAsia="zh-CN"/>
              </w:rPr>
            </w:pPr>
            <w:r>
              <w:rPr>
                <w:rFonts w:hint="default"/>
                <w:color w:val="auto"/>
                <w:lang w:val="en-US" w:eastAsia="zh-CN"/>
              </w:rPr>
              <w:t>0.48</w:t>
            </w:r>
          </w:p>
        </w:tc>
        <w:tc>
          <w:tcPr>
            <w:tcW w:w="1073" w:type="dxa"/>
            <w:vAlign w:val="center"/>
          </w:tcPr>
          <w:p w14:paraId="2C3AFEDE">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312E2F27">
            <w:pPr>
              <w:jc w:val="center"/>
              <w:rPr>
                <w:rFonts w:hint="eastAsia"/>
                <w:color w:val="auto"/>
                <w:lang w:val="en-US" w:eastAsia="zh-CN"/>
              </w:rPr>
            </w:pPr>
          </w:p>
        </w:tc>
      </w:tr>
      <w:tr w14:paraId="0F31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0F925EA">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76" w:type="dxa"/>
            <w:shd w:val="clear" w:color="auto" w:fill="auto"/>
            <w:vAlign w:val="center"/>
          </w:tcPr>
          <w:p w14:paraId="2531740F">
            <w:pPr>
              <w:jc w:val="center"/>
              <w:rPr>
                <w:color w:val="auto"/>
              </w:rPr>
            </w:pPr>
            <w:r>
              <w:rPr>
                <w:color w:val="auto"/>
              </w:rPr>
              <w:t>磷酸</w:t>
            </w:r>
          </w:p>
        </w:tc>
        <w:tc>
          <w:tcPr>
            <w:tcW w:w="900" w:type="dxa"/>
            <w:shd w:val="clear" w:color="auto" w:fill="auto"/>
            <w:vAlign w:val="center"/>
          </w:tcPr>
          <w:p w14:paraId="1A822983">
            <w:pPr>
              <w:jc w:val="center"/>
              <w:rPr>
                <w:color w:val="auto"/>
              </w:rPr>
            </w:pPr>
            <w:r>
              <w:rPr>
                <w:color w:val="auto"/>
              </w:rPr>
              <w:t>7664-38-2</w:t>
            </w:r>
          </w:p>
        </w:tc>
        <w:tc>
          <w:tcPr>
            <w:tcW w:w="938" w:type="dxa"/>
            <w:shd w:val="clear" w:color="auto" w:fill="auto"/>
            <w:vAlign w:val="center"/>
          </w:tcPr>
          <w:p w14:paraId="77BD0612">
            <w:pPr>
              <w:jc w:val="center"/>
              <w:rPr>
                <w:color w:val="auto"/>
              </w:rPr>
            </w:pPr>
            <w:r>
              <w:rPr>
                <w:rFonts w:hint="eastAsia"/>
                <w:color w:val="auto"/>
                <w:lang w:val="en-US" w:eastAsia="zh-CN"/>
              </w:rPr>
              <w:t>0</w:t>
            </w:r>
          </w:p>
        </w:tc>
        <w:tc>
          <w:tcPr>
            <w:tcW w:w="1247" w:type="dxa"/>
            <w:shd w:val="clear" w:color="auto" w:fill="auto"/>
            <w:vAlign w:val="center"/>
          </w:tcPr>
          <w:p w14:paraId="457EB3B1">
            <w:pPr>
              <w:jc w:val="center"/>
              <w:rPr>
                <w:rFonts w:hint="eastAsia" w:ascii="Times New Roman" w:hAnsi="Times New Roman" w:eastAsia="宋体" w:cs="Times New Roman"/>
                <w:color w:val="auto"/>
                <w:kern w:val="2"/>
                <w:sz w:val="21"/>
                <w:szCs w:val="24"/>
                <w:lang w:val="en-US" w:eastAsia="zh-CN" w:bidi="ar-SA"/>
              </w:rPr>
            </w:pPr>
            <w:r>
              <w:rPr>
                <w:color w:val="auto"/>
              </w:rPr>
              <w:t>0.8</w:t>
            </w:r>
          </w:p>
        </w:tc>
        <w:tc>
          <w:tcPr>
            <w:tcW w:w="965" w:type="dxa"/>
            <w:shd w:val="clear" w:color="auto" w:fill="auto"/>
            <w:vAlign w:val="center"/>
          </w:tcPr>
          <w:p w14:paraId="380141AB">
            <w:pPr>
              <w:jc w:val="center"/>
              <w:rPr>
                <w:rFonts w:hint="eastAsia"/>
                <w:color w:val="auto"/>
                <w:lang w:val="en-US" w:eastAsia="zh-CN"/>
              </w:rPr>
            </w:pPr>
            <w:r>
              <w:rPr>
                <w:rFonts w:hint="eastAsia"/>
                <w:color w:val="auto"/>
                <w:lang w:val="en-US" w:eastAsia="zh-CN"/>
              </w:rPr>
              <w:t>0.8</w:t>
            </w:r>
          </w:p>
        </w:tc>
        <w:tc>
          <w:tcPr>
            <w:tcW w:w="1022" w:type="dxa"/>
            <w:shd w:val="clear" w:color="auto" w:fill="auto"/>
            <w:vAlign w:val="center"/>
          </w:tcPr>
          <w:p w14:paraId="204BFACC">
            <w:pPr>
              <w:jc w:val="center"/>
              <w:rPr>
                <w:color w:val="auto"/>
                <w:lang w:val="en-US" w:eastAsia="zh-CN"/>
              </w:rPr>
            </w:pPr>
            <w:r>
              <w:rPr>
                <w:rFonts w:hint="default"/>
                <w:color w:val="auto"/>
                <w:lang w:val="en-US" w:eastAsia="zh-CN"/>
              </w:rPr>
              <w:t>10</w:t>
            </w:r>
          </w:p>
        </w:tc>
        <w:tc>
          <w:tcPr>
            <w:tcW w:w="1041" w:type="dxa"/>
            <w:vAlign w:val="center"/>
          </w:tcPr>
          <w:p w14:paraId="08A5D13D">
            <w:pPr>
              <w:jc w:val="center"/>
              <w:rPr>
                <w:rFonts w:hint="default"/>
                <w:color w:val="auto"/>
                <w:lang w:val="en-US" w:eastAsia="zh-CN"/>
              </w:rPr>
            </w:pPr>
            <w:r>
              <w:rPr>
                <w:rFonts w:hint="default"/>
                <w:color w:val="auto"/>
                <w:lang w:val="en-US" w:eastAsia="zh-CN"/>
              </w:rPr>
              <w:t>0.08</w:t>
            </w:r>
          </w:p>
        </w:tc>
        <w:tc>
          <w:tcPr>
            <w:tcW w:w="1073" w:type="dxa"/>
            <w:vAlign w:val="center"/>
          </w:tcPr>
          <w:p w14:paraId="4981551A">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37D8E54D">
            <w:pPr>
              <w:jc w:val="center"/>
              <w:rPr>
                <w:rFonts w:hint="eastAsia"/>
                <w:color w:val="auto"/>
                <w:lang w:val="en-US" w:eastAsia="zh-CN"/>
              </w:rPr>
            </w:pPr>
          </w:p>
        </w:tc>
      </w:tr>
      <w:tr w14:paraId="0AE0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40EF680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876" w:type="dxa"/>
            <w:shd w:val="clear" w:color="auto" w:fill="auto"/>
            <w:vAlign w:val="center"/>
          </w:tcPr>
          <w:p w14:paraId="0D344264">
            <w:pPr>
              <w:jc w:val="center"/>
              <w:rPr>
                <w:color w:val="auto"/>
              </w:rPr>
            </w:pPr>
            <w:r>
              <w:rPr>
                <w:color w:val="auto"/>
              </w:rPr>
              <w:t>异丙醇</w:t>
            </w:r>
          </w:p>
        </w:tc>
        <w:tc>
          <w:tcPr>
            <w:tcW w:w="900" w:type="dxa"/>
            <w:shd w:val="clear" w:color="auto" w:fill="auto"/>
            <w:vAlign w:val="center"/>
          </w:tcPr>
          <w:p w14:paraId="26C7BD53">
            <w:pPr>
              <w:jc w:val="center"/>
              <w:rPr>
                <w:color w:val="auto"/>
              </w:rPr>
            </w:pPr>
            <w:r>
              <w:rPr>
                <w:color w:val="auto"/>
              </w:rPr>
              <w:t>67-63-0</w:t>
            </w:r>
          </w:p>
        </w:tc>
        <w:tc>
          <w:tcPr>
            <w:tcW w:w="938" w:type="dxa"/>
            <w:shd w:val="clear" w:color="auto" w:fill="auto"/>
            <w:vAlign w:val="center"/>
          </w:tcPr>
          <w:p w14:paraId="1997C101">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79FBDB1F">
            <w:pPr>
              <w:jc w:val="center"/>
              <w:rPr>
                <w:rFonts w:hint="eastAsia" w:ascii="Times New Roman" w:hAnsi="Times New Roman" w:eastAsia="宋体" w:cs="Times New Roman"/>
                <w:color w:val="auto"/>
                <w:kern w:val="2"/>
                <w:sz w:val="21"/>
                <w:szCs w:val="24"/>
                <w:lang w:val="en-US" w:eastAsia="zh-CN" w:bidi="ar-SA"/>
              </w:rPr>
            </w:pPr>
            <w:r>
              <w:rPr>
                <w:color w:val="auto"/>
              </w:rPr>
              <w:t>0.065</w:t>
            </w:r>
          </w:p>
        </w:tc>
        <w:tc>
          <w:tcPr>
            <w:tcW w:w="965" w:type="dxa"/>
            <w:shd w:val="clear" w:color="auto" w:fill="auto"/>
            <w:vAlign w:val="center"/>
          </w:tcPr>
          <w:p w14:paraId="733F3873">
            <w:pPr>
              <w:jc w:val="center"/>
              <w:rPr>
                <w:rFonts w:hint="eastAsia"/>
                <w:color w:val="auto"/>
                <w:lang w:val="en-US" w:eastAsia="zh-CN"/>
              </w:rPr>
            </w:pPr>
            <w:r>
              <w:rPr>
                <w:rFonts w:hint="eastAsia"/>
                <w:color w:val="auto"/>
                <w:lang w:val="en-US" w:eastAsia="zh-CN"/>
              </w:rPr>
              <w:t>0.065</w:t>
            </w:r>
          </w:p>
        </w:tc>
        <w:tc>
          <w:tcPr>
            <w:tcW w:w="1022" w:type="dxa"/>
            <w:shd w:val="clear" w:color="auto" w:fill="auto"/>
            <w:vAlign w:val="center"/>
          </w:tcPr>
          <w:p w14:paraId="06ABE05E">
            <w:pPr>
              <w:jc w:val="center"/>
              <w:rPr>
                <w:color w:val="auto"/>
                <w:lang w:val="en-US" w:eastAsia="zh-CN"/>
              </w:rPr>
            </w:pPr>
            <w:r>
              <w:rPr>
                <w:rFonts w:hint="default"/>
                <w:color w:val="auto"/>
                <w:lang w:val="en-US" w:eastAsia="zh-CN"/>
              </w:rPr>
              <w:t>10</w:t>
            </w:r>
          </w:p>
        </w:tc>
        <w:tc>
          <w:tcPr>
            <w:tcW w:w="1041" w:type="dxa"/>
            <w:vAlign w:val="center"/>
          </w:tcPr>
          <w:p w14:paraId="08FC8253">
            <w:pPr>
              <w:jc w:val="center"/>
              <w:rPr>
                <w:rFonts w:hint="default"/>
                <w:color w:val="auto"/>
                <w:lang w:val="en-US" w:eastAsia="zh-CN"/>
              </w:rPr>
            </w:pPr>
            <w:r>
              <w:rPr>
                <w:rFonts w:hint="default"/>
                <w:color w:val="auto"/>
                <w:lang w:val="en-US" w:eastAsia="zh-CN"/>
              </w:rPr>
              <w:t>0.0065</w:t>
            </w:r>
          </w:p>
        </w:tc>
        <w:tc>
          <w:tcPr>
            <w:tcW w:w="1073" w:type="dxa"/>
            <w:vAlign w:val="center"/>
          </w:tcPr>
          <w:p w14:paraId="477FC668">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02796019">
            <w:pPr>
              <w:jc w:val="center"/>
              <w:rPr>
                <w:rFonts w:hint="eastAsia"/>
                <w:color w:val="auto"/>
                <w:lang w:val="en-US" w:eastAsia="zh-CN"/>
              </w:rPr>
            </w:pPr>
          </w:p>
        </w:tc>
      </w:tr>
      <w:tr w14:paraId="7F17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77A44DB">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76" w:type="dxa"/>
            <w:shd w:val="clear" w:color="auto" w:fill="auto"/>
            <w:vAlign w:val="center"/>
          </w:tcPr>
          <w:p w14:paraId="7BDA933E">
            <w:pPr>
              <w:jc w:val="center"/>
              <w:rPr>
                <w:color w:val="auto"/>
              </w:rPr>
            </w:pPr>
            <w:r>
              <w:rPr>
                <w:color w:val="auto"/>
              </w:rPr>
              <w:t>二甲苯</w:t>
            </w:r>
          </w:p>
        </w:tc>
        <w:tc>
          <w:tcPr>
            <w:tcW w:w="900" w:type="dxa"/>
            <w:shd w:val="clear" w:color="auto" w:fill="auto"/>
            <w:vAlign w:val="center"/>
          </w:tcPr>
          <w:p w14:paraId="5337D5BC">
            <w:pPr>
              <w:jc w:val="center"/>
              <w:rPr>
                <w:color w:val="auto"/>
              </w:rPr>
            </w:pPr>
            <w:r>
              <w:rPr>
                <w:color w:val="auto"/>
              </w:rPr>
              <w:t>1330-20-7</w:t>
            </w:r>
          </w:p>
        </w:tc>
        <w:tc>
          <w:tcPr>
            <w:tcW w:w="938" w:type="dxa"/>
            <w:shd w:val="clear" w:color="auto" w:fill="auto"/>
            <w:vAlign w:val="center"/>
          </w:tcPr>
          <w:p w14:paraId="47C816C1">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6B0F0CB1">
            <w:pPr>
              <w:jc w:val="center"/>
              <w:rPr>
                <w:rFonts w:hint="eastAsia" w:ascii="Times New Roman" w:hAnsi="Times New Roman" w:eastAsia="宋体" w:cs="Times New Roman"/>
                <w:color w:val="auto"/>
                <w:kern w:val="2"/>
                <w:sz w:val="21"/>
                <w:szCs w:val="24"/>
                <w:lang w:val="en-US" w:eastAsia="zh-CN" w:bidi="ar-SA"/>
              </w:rPr>
            </w:pPr>
            <w:r>
              <w:rPr>
                <w:color w:val="auto"/>
              </w:rPr>
              <w:t>0.103</w:t>
            </w:r>
          </w:p>
        </w:tc>
        <w:tc>
          <w:tcPr>
            <w:tcW w:w="965" w:type="dxa"/>
            <w:shd w:val="clear" w:color="auto" w:fill="auto"/>
            <w:vAlign w:val="center"/>
          </w:tcPr>
          <w:p w14:paraId="6FF238A3">
            <w:pPr>
              <w:jc w:val="center"/>
              <w:rPr>
                <w:rFonts w:hint="eastAsia"/>
                <w:color w:val="auto"/>
                <w:lang w:val="en-US" w:eastAsia="zh-CN"/>
              </w:rPr>
            </w:pPr>
            <w:r>
              <w:rPr>
                <w:rFonts w:hint="eastAsia"/>
                <w:color w:val="auto"/>
                <w:lang w:val="en-US" w:eastAsia="zh-CN"/>
              </w:rPr>
              <w:t>0.103</w:t>
            </w:r>
          </w:p>
        </w:tc>
        <w:tc>
          <w:tcPr>
            <w:tcW w:w="1022" w:type="dxa"/>
            <w:shd w:val="clear" w:color="auto" w:fill="auto"/>
            <w:vAlign w:val="center"/>
          </w:tcPr>
          <w:p w14:paraId="711DEC9C">
            <w:pPr>
              <w:jc w:val="center"/>
              <w:rPr>
                <w:color w:val="auto"/>
                <w:lang w:val="en-US" w:eastAsia="zh-CN"/>
              </w:rPr>
            </w:pPr>
            <w:r>
              <w:rPr>
                <w:rFonts w:hint="default"/>
                <w:color w:val="auto"/>
                <w:lang w:val="en-US" w:eastAsia="zh-CN"/>
              </w:rPr>
              <w:t>10</w:t>
            </w:r>
          </w:p>
        </w:tc>
        <w:tc>
          <w:tcPr>
            <w:tcW w:w="1041" w:type="dxa"/>
            <w:vAlign w:val="center"/>
          </w:tcPr>
          <w:p w14:paraId="38B018E1">
            <w:pPr>
              <w:jc w:val="center"/>
              <w:rPr>
                <w:rFonts w:hint="default"/>
                <w:color w:val="auto"/>
                <w:lang w:val="en-US" w:eastAsia="zh-CN"/>
              </w:rPr>
            </w:pPr>
            <w:r>
              <w:rPr>
                <w:rFonts w:hint="default"/>
                <w:color w:val="auto"/>
                <w:lang w:val="en-US" w:eastAsia="zh-CN"/>
              </w:rPr>
              <w:t>0.0103</w:t>
            </w:r>
          </w:p>
        </w:tc>
        <w:tc>
          <w:tcPr>
            <w:tcW w:w="1073" w:type="dxa"/>
            <w:vAlign w:val="center"/>
          </w:tcPr>
          <w:p w14:paraId="5AD87E04">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00CEEF68">
            <w:pPr>
              <w:jc w:val="center"/>
              <w:rPr>
                <w:rFonts w:hint="eastAsia"/>
                <w:color w:val="auto"/>
                <w:lang w:val="en-US" w:eastAsia="zh-CN"/>
              </w:rPr>
            </w:pPr>
          </w:p>
        </w:tc>
      </w:tr>
      <w:tr w14:paraId="2A62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BD8ACDF">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876" w:type="dxa"/>
            <w:shd w:val="clear" w:color="auto" w:fill="auto"/>
            <w:vAlign w:val="center"/>
          </w:tcPr>
          <w:p w14:paraId="0F78473B">
            <w:pPr>
              <w:jc w:val="center"/>
              <w:rPr>
                <w:color w:val="auto"/>
              </w:rPr>
            </w:pPr>
            <w:r>
              <w:rPr>
                <w:color w:val="auto"/>
              </w:rPr>
              <w:t>丁醇</w:t>
            </w:r>
          </w:p>
        </w:tc>
        <w:tc>
          <w:tcPr>
            <w:tcW w:w="900" w:type="dxa"/>
            <w:shd w:val="clear" w:color="auto" w:fill="auto"/>
            <w:vAlign w:val="center"/>
          </w:tcPr>
          <w:p w14:paraId="1771717C">
            <w:pPr>
              <w:jc w:val="center"/>
              <w:rPr>
                <w:color w:val="auto"/>
              </w:rPr>
            </w:pPr>
            <w:r>
              <w:rPr>
                <w:color w:val="auto"/>
              </w:rPr>
              <w:t>71-36-3</w:t>
            </w:r>
          </w:p>
        </w:tc>
        <w:tc>
          <w:tcPr>
            <w:tcW w:w="938" w:type="dxa"/>
            <w:shd w:val="clear" w:color="auto" w:fill="auto"/>
            <w:vAlign w:val="center"/>
          </w:tcPr>
          <w:p w14:paraId="612CB9B4">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4ABC4219">
            <w:pPr>
              <w:jc w:val="center"/>
              <w:rPr>
                <w:rFonts w:hint="eastAsia" w:ascii="Times New Roman" w:hAnsi="Times New Roman" w:eastAsia="宋体" w:cs="Times New Roman"/>
                <w:color w:val="auto"/>
                <w:kern w:val="2"/>
                <w:sz w:val="21"/>
                <w:szCs w:val="24"/>
                <w:lang w:val="en-US" w:eastAsia="zh-CN" w:bidi="ar-SA"/>
              </w:rPr>
            </w:pPr>
            <w:r>
              <w:rPr>
                <w:color w:val="auto"/>
              </w:rPr>
              <w:t>0.053</w:t>
            </w:r>
          </w:p>
        </w:tc>
        <w:tc>
          <w:tcPr>
            <w:tcW w:w="965" w:type="dxa"/>
            <w:shd w:val="clear" w:color="auto" w:fill="auto"/>
            <w:vAlign w:val="center"/>
          </w:tcPr>
          <w:p w14:paraId="6D1DA9CA">
            <w:pPr>
              <w:jc w:val="center"/>
              <w:rPr>
                <w:rFonts w:hint="eastAsia"/>
                <w:color w:val="auto"/>
                <w:lang w:val="en-US" w:eastAsia="zh-CN"/>
              </w:rPr>
            </w:pPr>
            <w:r>
              <w:rPr>
                <w:rFonts w:hint="eastAsia"/>
                <w:color w:val="auto"/>
                <w:lang w:val="en-US" w:eastAsia="zh-CN"/>
              </w:rPr>
              <w:t>0.053</w:t>
            </w:r>
          </w:p>
        </w:tc>
        <w:tc>
          <w:tcPr>
            <w:tcW w:w="1022" w:type="dxa"/>
            <w:shd w:val="clear" w:color="auto" w:fill="auto"/>
            <w:vAlign w:val="center"/>
          </w:tcPr>
          <w:p w14:paraId="17A45AFB">
            <w:pPr>
              <w:jc w:val="center"/>
              <w:rPr>
                <w:color w:val="auto"/>
                <w:lang w:val="en-US" w:eastAsia="zh-CN"/>
              </w:rPr>
            </w:pPr>
            <w:r>
              <w:rPr>
                <w:rFonts w:hint="default"/>
                <w:color w:val="auto"/>
                <w:lang w:val="en-US" w:eastAsia="zh-CN"/>
              </w:rPr>
              <w:t>10</w:t>
            </w:r>
          </w:p>
        </w:tc>
        <w:tc>
          <w:tcPr>
            <w:tcW w:w="1041" w:type="dxa"/>
            <w:vAlign w:val="center"/>
          </w:tcPr>
          <w:p w14:paraId="736C2216">
            <w:pPr>
              <w:jc w:val="center"/>
              <w:rPr>
                <w:rFonts w:hint="default"/>
                <w:color w:val="auto"/>
                <w:lang w:val="en-US" w:eastAsia="zh-CN"/>
              </w:rPr>
            </w:pPr>
            <w:r>
              <w:rPr>
                <w:rFonts w:hint="default"/>
                <w:color w:val="auto"/>
                <w:lang w:val="en-US" w:eastAsia="zh-CN"/>
              </w:rPr>
              <w:t>0.0053</w:t>
            </w:r>
          </w:p>
        </w:tc>
        <w:tc>
          <w:tcPr>
            <w:tcW w:w="1073" w:type="dxa"/>
            <w:vAlign w:val="center"/>
          </w:tcPr>
          <w:p w14:paraId="1D0E9361">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16FB26A4">
            <w:pPr>
              <w:jc w:val="center"/>
              <w:rPr>
                <w:rFonts w:hint="eastAsia"/>
                <w:color w:val="auto"/>
                <w:lang w:val="en-US" w:eastAsia="zh-CN"/>
              </w:rPr>
            </w:pPr>
          </w:p>
        </w:tc>
      </w:tr>
      <w:tr w14:paraId="45B0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F55CCE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6" w:type="dxa"/>
            <w:shd w:val="clear" w:color="auto" w:fill="auto"/>
            <w:vAlign w:val="center"/>
          </w:tcPr>
          <w:p w14:paraId="73E9CFA8">
            <w:pPr>
              <w:jc w:val="center"/>
              <w:rPr>
                <w:color w:val="auto"/>
              </w:rPr>
            </w:pPr>
            <w:r>
              <w:rPr>
                <w:color w:val="auto"/>
              </w:rPr>
              <w:t>甲醛</w:t>
            </w:r>
          </w:p>
        </w:tc>
        <w:tc>
          <w:tcPr>
            <w:tcW w:w="900" w:type="dxa"/>
            <w:shd w:val="clear" w:color="auto" w:fill="auto"/>
            <w:vAlign w:val="center"/>
          </w:tcPr>
          <w:p w14:paraId="4FE93706">
            <w:pPr>
              <w:jc w:val="center"/>
              <w:rPr>
                <w:color w:val="auto"/>
              </w:rPr>
            </w:pPr>
            <w:r>
              <w:rPr>
                <w:color w:val="auto"/>
              </w:rPr>
              <w:t>50-00-0</w:t>
            </w:r>
          </w:p>
        </w:tc>
        <w:tc>
          <w:tcPr>
            <w:tcW w:w="938" w:type="dxa"/>
            <w:shd w:val="clear" w:color="auto" w:fill="auto"/>
            <w:vAlign w:val="center"/>
          </w:tcPr>
          <w:p w14:paraId="519F4DB4">
            <w:pPr>
              <w:jc w:val="center"/>
              <w:rPr>
                <w:color w:val="auto"/>
              </w:rPr>
            </w:pPr>
            <w:r>
              <w:rPr>
                <w:rFonts w:hint="eastAsia"/>
                <w:color w:val="auto"/>
                <w:lang w:val="en-US" w:eastAsia="zh-CN"/>
              </w:rPr>
              <w:t>0</w:t>
            </w:r>
          </w:p>
        </w:tc>
        <w:tc>
          <w:tcPr>
            <w:tcW w:w="1247" w:type="dxa"/>
            <w:shd w:val="clear" w:color="auto" w:fill="auto"/>
            <w:vAlign w:val="center"/>
          </w:tcPr>
          <w:p w14:paraId="2ABD84A4">
            <w:pPr>
              <w:jc w:val="center"/>
              <w:rPr>
                <w:rFonts w:hint="eastAsia" w:ascii="Times New Roman" w:hAnsi="Times New Roman" w:eastAsia="宋体" w:cs="Times New Roman"/>
                <w:color w:val="auto"/>
                <w:kern w:val="2"/>
                <w:sz w:val="21"/>
                <w:szCs w:val="24"/>
                <w:lang w:val="en-US" w:eastAsia="zh-CN" w:bidi="ar-SA"/>
              </w:rPr>
            </w:pPr>
            <w:r>
              <w:rPr>
                <w:color w:val="auto"/>
              </w:rPr>
              <w:t>0.002</w:t>
            </w:r>
          </w:p>
        </w:tc>
        <w:tc>
          <w:tcPr>
            <w:tcW w:w="965" w:type="dxa"/>
            <w:shd w:val="clear" w:color="auto" w:fill="auto"/>
            <w:vAlign w:val="center"/>
          </w:tcPr>
          <w:p w14:paraId="3040BDEC">
            <w:pPr>
              <w:jc w:val="center"/>
              <w:rPr>
                <w:rFonts w:hint="eastAsia"/>
                <w:color w:val="auto"/>
                <w:lang w:val="en-US" w:eastAsia="zh-CN"/>
              </w:rPr>
            </w:pPr>
            <w:r>
              <w:rPr>
                <w:rFonts w:hint="eastAsia"/>
                <w:color w:val="auto"/>
                <w:lang w:val="en-US" w:eastAsia="zh-CN"/>
              </w:rPr>
              <w:t>0.002</w:t>
            </w:r>
          </w:p>
        </w:tc>
        <w:tc>
          <w:tcPr>
            <w:tcW w:w="1022" w:type="dxa"/>
            <w:shd w:val="clear" w:color="auto" w:fill="auto"/>
            <w:vAlign w:val="center"/>
          </w:tcPr>
          <w:p w14:paraId="3DA41398">
            <w:pPr>
              <w:jc w:val="center"/>
              <w:rPr>
                <w:color w:val="auto"/>
                <w:lang w:val="en-US" w:eastAsia="zh-CN"/>
              </w:rPr>
            </w:pPr>
            <w:r>
              <w:rPr>
                <w:rFonts w:hint="default"/>
                <w:color w:val="auto"/>
                <w:lang w:val="en-US" w:eastAsia="zh-CN"/>
              </w:rPr>
              <w:t>0.5</w:t>
            </w:r>
          </w:p>
        </w:tc>
        <w:tc>
          <w:tcPr>
            <w:tcW w:w="1041" w:type="dxa"/>
            <w:vAlign w:val="center"/>
          </w:tcPr>
          <w:p w14:paraId="0BD8B798">
            <w:pPr>
              <w:jc w:val="center"/>
              <w:rPr>
                <w:rFonts w:hint="default"/>
                <w:color w:val="auto"/>
                <w:lang w:val="en-US" w:eastAsia="zh-CN"/>
              </w:rPr>
            </w:pPr>
            <w:r>
              <w:rPr>
                <w:rFonts w:hint="default"/>
                <w:color w:val="auto"/>
                <w:lang w:val="en-US" w:eastAsia="zh-CN"/>
              </w:rPr>
              <w:t>0.0040</w:t>
            </w:r>
          </w:p>
        </w:tc>
        <w:tc>
          <w:tcPr>
            <w:tcW w:w="1073" w:type="dxa"/>
            <w:vAlign w:val="center"/>
          </w:tcPr>
          <w:p w14:paraId="22536F7F">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184FE5A7">
            <w:pPr>
              <w:jc w:val="center"/>
              <w:rPr>
                <w:rFonts w:hint="eastAsia"/>
                <w:color w:val="auto"/>
                <w:lang w:val="en-US" w:eastAsia="zh-CN"/>
              </w:rPr>
            </w:pPr>
          </w:p>
        </w:tc>
      </w:tr>
      <w:tr w14:paraId="1C4E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49A2CB1">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876" w:type="dxa"/>
            <w:shd w:val="clear" w:color="auto" w:fill="auto"/>
            <w:vAlign w:val="center"/>
          </w:tcPr>
          <w:p w14:paraId="3AA85218">
            <w:pPr>
              <w:jc w:val="center"/>
              <w:rPr>
                <w:color w:val="auto"/>
              </w:rPr>
            </w:pPr>
            <w:r>
              <w:rPr>
                <w:color w:val="auto"/>
              </w:rPr>
              <w:t>甲苯</w:t>
            </w:r>
          </w:p>
        </w:tc>
        <w:tc>
          <w:tcPr>
            <w:tcW w:w="900" w:type="dxa"/>
            <w:shd w:val="clear" w:color="auto" w:fill="auto"/>
            <w:vAlign w:val="center"/>
          </w:tcPr>
          <w:p w14:paraId="5B982A68">
            <w:pPr>
              <w:jc w:val="center"/>
              <w:rPr>
                <w:color w:val="auto"/>
              </w:rPr>
            </w:pPr>
            <w:r>
              <w:rPr>
                <w:color w:val="auto"/>
              </w:rPr>
              <w:t>108-88-3</w:t>
            </w:r>
          </w:p>
        </w:tc>
        <w:tc>
          <w:tcPr>
            <w:tcW w:w="938" w:type="dxa"/>
            <w:shd w:val="clear" w:color="auto" w:fill="auto"/>
            <w:vAlign w:val="center"/>
          </w:tcPr>
          <w:p w14:paraId="5EDCFAA6">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7B50998E">
            <w:pPr>
              <w:jc w:val="center"/>
              <w:rPr>
                <w:rFonts w:hint="eastAsia" w:ascii="Times New Roman" w:hAnsi="Times New Roman" w:eastAsia="宋体" w:cs="Times New Roman"/>
                <w:color w:val="auto"/>
                <w:kern w:val="2"/>
                <w:sz w:val="21"/>
                <w:szCs w:val="24"/>
                <w:lang w:val="en-US" w:eastAsia="zh-CN" w:bidi="ar-SA"/>
              </w:rPr>
            </w:pPr>
            <w:r>
              <w:rPr>
                <w:color w:val="auto"/>
              </w:rPr>
              <w:t>0.039</w:t>
            </w:r>
          </w:p>
        </w:tc>
        <w:tc>
          <w:tcPr>
            <w:tcW w:w="965" w:type="dxa"/>
            <w:shd w:val="clear" w:color="auto" w:fill="auto"/>
            <w:vAlign w:val="center"/>
          </w:tcPr>
          <w:p w14:paraId="11441B7C">
            <w:pPr>
              <w:jc w:val="center"/>
              <w:rPr>
                <w:rFonts w:hint="eastAsia"/>
                <w:color w:val="auto"/>
                <w:lang w:val="en-US" w:eastAsia="zh-CN"/>
              </w:rPr>
            </w:pPr>
            <w:r>
              <w:rPr>
                <w:rFonts w:hint="eastAsia"/>
                <w:color w:val="auto"/>
                <w:lang w:val="en-US" w:eastAsia="zh-CN"/>
              </w:rPr>
              <w:t>0.039</w:t>
            </w:r>
          </w:p>
        </w:tc>
        <w:tc>
          <w:tcPr>
            <w:tcW w:w="1022" w:type="dxa"/>
            <w:shd w:val="clear" w:color="auto" w:fill="auto"/>
            <w:vAlign w:val="center"/>
          </w:tcPr>
          <w:p w14:paraId="53A9F7AA">
            <w:pPr>
              <w:jc w:val="center"/>
              <w:rPr>
                <w:color w:val="auto"/>
                <w:lang w:val="en-US" w:eastAsia="zh-CN"/>
              </w:rPr>
            </w:pPr>
            <w:r>
              <w:rPr>
                <w:rFonts w:hint="default"/>
                <w:color w:val="auto"/>
                <w:lang w:val="en-US" w:eastAsia="zh-CN"/>
              </w:rPr>
              <w:t>10</w:t>
            </w:r>
          </w:p>
        </w:tc>
        <w:tc>
          <w:tcPr>
            <w:tcW w:w="1041" w:type="dxa"/>
            <w:vAlign w:val="center"/>
          </w:tcPr>
          <w:p w14:paraId="00DFA81C">
            <w:pPr>
              <w:jc w:val="center"/>
              <w:rPr>
                <w:rFonts w:hint="default"/>
                <w:color w:val="auto"/>
                <w:lang w:val="en-US" w:eastAsia="zh-CN"/>
              </w:rPr>
            </w:pPr>
            <w:r>
              <w:rPr>
                <w:rFonts w:hint="default"/>
                <w:color w:val="auto"/>
                <w:lang w:val="en-US" w:eastAsia="zh-CN"/>
              </w:rPr>
              <w:t>0.0039</w:t>
            </w:r>
          </w:p>
        </w:tc>
        <w:tc>
          <w:tcPr>
            <w:tcW w:w="1073" w:type="dxa"/>
            <w:vAlign w:val="center"/>
          </w:tcPr>
          <w:p w14:paraId="0CF3B65F">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1E103F93">
            <w:pPr>
              <w:jc w:val="center"/>
              <w:rPr>
                <w:rFonts w:hint="eastAsia"/>
                <w:color w:val="auto"/>
                <w:lang w:val="en-US" w:eastAsia="zh-CN"/>
              </w:rPr>
            </w:pPr>
          </w:p>
        </w:tc>
      </w:tr>
      <w:tr w14:paraId="7C33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EEBBB00">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76" w:type="dxa"/>
            <w:shd w:val="clear" w:color="auto" w:fill="auto"/>
            <w:vAlign w:val="center"/>
          </w:tcPr>
          <w:p w14:paraId="3FEB5A95">
            <w:pPr>
              <w:jc w:val="center"/>
              <w:rPr>
                <w:color w:val="auto"/>
              </w:rPr>
            </w:pPr>
            <w:r>
              <w:rPr>
                <w:color w:val="auto"/>
              </w:rPr>
              <w:t>乙苯</w:t>
            </w:r>
          </w:p>
        </w:tc>
        <w:tc>
          <w:tcPr>
            <w:tcW w:w="900" w:type="dxa"/>
            <w:shd w:val="clear" w:color="auto" w:fill="auto"/>
            <w:vAlign w:val="center"/>
          </w:tcPr>
          <w:p w14:paraId="6111CE79">
            <w:pPr>
              <w:jc w:val="center"/>
              <w:rPr>
                <w:color w:val="auto"/>
              </w:rPr>
            </w:pPr>
            <w:r>
              <w:rPr>
                <w:color w:val="auto"/>
              </w:rPr>
              <w:t>100-41-4</w:t>
            </w:r>
          </w:p>
        </w:tc>
        <w:tc>
          <w:tcPr>
            <w:tcW w:w="938" w:type="dxa"/>
            <w:shd w:val="clear" w:color="auto" w:fill="auto"/>
            <w:vAlign w:val="center"/>
          </w:tcPr>
          <w:p w14:paraId="2481FDFD">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6118C44">
            <w:pPr>
              <w:jc w:val="center"/>
              <w:rPr>
                <w:rFonts w:hint="eastAsia" w:ascii="Times New Roman" w:hAnsi="Times New Roman" w:eastAsia="宋体" w:cs="Times New Roman"/>
                <w:color w:val="auto"/>
                <w:kern w:val="2"/>
                <w:sz w:val="21"/>
                <w:szCs w:val="24"/>
                <w:lang w:val="en-US" w:eastAsia="zh-CN" w:bidi="ar-SA"/>
              </w:rPr>
            </w:pPr>
            <w:r>
              <w:rPr>
                <w:color w:val="auto"/>
              </w:rPr>
              <w:t>0.01</w:t>
            </w:r>
          </w:p>
        </w:tc>
        <w:tc>
          <w:tcPr>
            <w:tcW w:w="965" w:type="dxa"/>
            <w:shd w:val="clear" w:color="auto" w:fill="auto"/>
            <w:vAlign w:val="center"/>
          </w:tcPr>
          <w:p w14:paraId="4A311AA1">
            <w:pPr>
              <w:jc w:val="center"/>
              <w:rPr>
                <w:rFonts w:hint="eastAsia"/>
                <w:color w:val="auto"/>
                <w:lang w:val="en-US" w:eastAsia="zh-CN"/>
              </w:rPr>
            </w:pPr>
            <w:r>
              <w:rPr>
                <w:rFonts w:hint="eastAsia"/>
                <w:color w:val="auto"/>
                <w:lang w:val="en-US" w:eastAsia="zh-CN"/>
              </w:rPr>
              <w:t>0.01</w:t>
            </w:r>
          </w:p>
        </w:tc>
        <w:tc>
          <w:tcPr>
            <w:tcW w:w="1022" w:type="dxa"/>
            <w:shd w:val="clear" w:color="auto" w:fill="auto"/>
            <w:vAlign w:val="center"/>
          </w:tcPr>
          <w:p w14:paraId="2301C69D">
            <w:pPr>
              <w:jc w:val="center"/>
              <w:rPr>
                <w:color w:val="auto"/>
                <w:lang w:val="en-US" w:eastAsia="zh-CN"/>
              </w:rPr>
            </w:pPr>
            <w:r>
              <w:rPr>
                <w:rFonts w:hint="default"/>
                <w:color w:val="auto"/>
                <w:lang w:val="en-US" w:eastAsia="zh-CN"/>
              </w:rPr>
              <w:t>10</w:t>
            </w:r>
          </w:p>
        </w:tc>
        <w:tc>
          <w:tcPr>
            <w:tcW w:w="1041" w:type="dxa"/>
            <w:vAlign w:val="center"/>
          </w:tcPr>
          <w:p w14:paraId="55059521">
            <w:pPr>
              <w:jc w:val="center"/>
              <w:rPr>
                <w:rFonts w:hint="default"/>
                <w:color w:val="auto"/>
                <w:lang w:val="en-US" w:eastAsia="zh-CN"/>
              </w:rPr>
            </w:pPr>
            <w:r>
              <w:rPr>
                <w:rFonts w:hint="default"/>
                <w:color w:val="auto"/>
                <w:lang w:val="en-US" w:eastAsia="zh-CN"/>
              </w:rPr>
              <w:t>0.0010</w:t>
            </w:r>
          </w:p>
        </w:tc>
        <w:tc>
          <w:tcPr>
            <w:tcW w:w="1073" w:type="dxa"/>
            <w:vAlign w:val="center"/>
          </w:tcPr>
          <w:p w14:paraId="18B0EB6B">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60CB16A9">
            <w:pPr>
              <w:jc w:val="center"/>
              <w:rPr>
                <w:rFonts w:hint="eastAsia"/>
                <w:color w:val="auto"/>
                <w:lang w:val="en-US" w:eastAsia="zh-CN"/>
              </w:rPr>
            </w:pPr>
          </w:p>
        </w:tc>
      </w:tr>
      <w:tr w14:paraId="0C6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6A44FA9B">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76" w:type="dxa"/>
            <w:shd w:val="clear" w:color="auto" w:fill="auto"/>
            <w:vAlign w:val="center"/>
          </w:tcPr>
          <w:p w14:paraId="7C4642FF">
            <w:pPr>
              <w:jc w:val="center"/>
              <w:rPr>
                <w:color w:val="auto"/>
              </w:rPr>
            </w:pPr>
            <w:r>
              <w:rPr>
                <w:color w:val="auto"/>
              </w:rPr>
              <w:t>环己酮</w:t>
            </w:r>
          </w:p>
        </w:tc>
        <w:tc>
          <w:tcPr>
            <w:tcW w:w="900" w:type="dxa"/>
            <w:shd w:val="clear" w:color="auto" w:fill="auto"/>
            <w:vAlign w:val="center"/>
          </w:tcPr>
          <w:p w14:paraId="0D3E69FC">
            <w:pPr>
              <w:jc w:val="center"/>
              <w:rPr>
                <w:color w:val="auto"/>
              </w:rPr>
            </w:pPr>
            <w:r>
              <w:rPr>
                <w:color w:val="auto"/>
              </w:rPr>
              <w:t>108-94-1</w:t>
            </w:r>
          </w:p>
        </w:tc>
        <w:tc>
          <w:tcPr>
            <w:tcW w:w="938" w:type="dxa"/>
            <w:shd w:val="clear" w:color="auto" w:fill="auto"/>
            <w:vAlign w:val="center"/>
          </w:tcPr>
          <w:p w14:paraId="794A96F1">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0B36E13">
            <w:pPr>
              <w:jc w:val="center"/>
              <w:rPr>
                <w:rFonts w:hint="eastAsia" w:ascii="Times New Roman" w:hAnsi="Times New Roman" w:eastAsia="宋体" w:cs="Times New Roman"/>
                <w:color w:val="auto"/>
                <w:kern w:val="2"/>
                <w:sz w:val="21"/>
                <w:szCs w:val="24"/>
                <w:lang w:val="en-US" w:eastAsia="zh-CN" w:bidi="ar-SA"/>
              </w:rPr>
            </w:pPr>
            <w:r>
              <w:rPr>
                <w:color w:val="auto"/>
              </w:rPr>
              <w:t>0.006</w:t>
            </w:r>
          </w:p>
        </w:tc>
        <w:tc>
          <w:tcPr>
            <w:tcW w:w="965" w:type="dxa"/>
            <w:shd w:val="clear" w:color="auto" w:fill="auto"/>
            <w:vAlign w:val="center"/>
          </w:tcPr>
          <w:p w14:paraId="37D07C36">
            <w:pPr>
              <w:jc w:val="center"/>
              <w:rPr>
                <w:rFonts w:hint="eastAsia"/>
                <w:color w:val="auto"/>
                <w:lang w:val="en-US" w:eastAsia="zh-CN"/>
              </w:rPr>
            </w:pPr>
            <w:r>
              <w:rPr>
                <w:rFonts w:hint="eastAsia"/>
                <w:color w:val="auto"/>
                <w:lang w:val="en-US" w:eastAsia="zh-CN"/>
              </w:rPr>
              <w:t>0.006</w:t>
            </w:r>
          </w:p>
        </w:tc>
        <w:tc>
          <w:tcPr>
            <w:tcW w:w="1022" w:type="dxa"/>
            <w:shd w:val="clear" w:color="auto" w:fill="auto"/>
            <w:vAlign w:val="center"/>
          </w:tcPr>
          <w:p w14:paraId="3A08CE49">
            <w:pPr>
              <w:jc w:val="center"/>
              <w:rPr>
                <w:color w:val="auto"/>
                <w:lang w:val="en-US" w:eastAsia="zh-CN"/>
              </w:rPr>
            </w:pPr>
            <w:r>
              <w:rPr>
                <w:rFonts w:hint="default"/>
                <w:color w:val="auto"/>
                <w:lang w:val="en-US" w:eastAsia="zh-CN"/>
              </w:rPr>
              <w:t>10</w:t>
            </w:r>
          </w:p>
        </w:tc>
        <w:tc>
          <w:tcPr>
            <w:tcW w:w="1041" w:type="dxa"/>
            <w:vAlign w:val="center"/>
          </w:tcPr>
          <w:p w14:paraId="7371A1F1">
            <w:pPr>
              <w:jc w:val="center"/>
              <w:rPr>
                <w:rFonts w:hint="default"/>
                <w:color w:val="auto"/>
                <w:lang w:val="en-US" w:eastAsia="zh-CN"/>
              </w:rPr>
            </w:pPr>
            <w:r>
              <w:rPr>
                <w:rFonts w:hint="default"/>
                <w:color w:val="auto"/>
                <w:lang w:val="en-US" w:eastAsia="zh-CN"/>
              </w:rPr>
              <w:t>0.0006</w:t>
            </w:r>
          </w:p>
        </w:tc>
        <w:tc>
          <w:tcPr>
            <w:tcW w:w="1073" w:type="dxa"/>
            <w:vAlign w:val="center"/>
          </w:tcPr>
          <w:p w14:paraId="69763A7B">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7929270C">
            <w:pPr>
              <w:jc w:val="center"/>
              <w:rPr>
                <w:rFonts w:hint="eastAsia"/>
                <w:color w:val="auto"/>
                <w:lang w:val="en-US" w:eastAsia="zh-CN"/>
              </w:rPr>
            </w:pPr>
          </w:p>
        </w:tc>
      </w:tr>
      <w:tr w14:paraId="1ABB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6B82E5D5">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76" w:type="dxa"/>
            <w:shd w:val="clear" w:color="auto" w:fill="auto"/>
            <w:vAlign w:val="center"/>
          </w:tcPr>
          <w:p w14:paraId="700FB4EC">
            <w:pPr>
              <w:jc w:val="center"/>
              <w:rPr>
                <w:color w:val="auto"/>
              </w:rPr>
            </w:pPr>
            <w:r>
              <w:rPr>
                <w:color w:val="auto"/>
              </w:rPr>
              <w:t>天然气</w:t>
            </w:r>
          </w:p>
        </w:tc>
        <w:tc>
          <w:tcPr>
            <w:tcW w:w="900" w:type="dxa"/>
            <w:shd w:val="clear" w:color="auto" w:fill="auto"/>
            <w:vAlign w:val="center"/>
          </w:tcPr>
          <w:p w14:paraId="6197682E">
            <w:pPr>
              <w:jc w:val="center"/>
              <w:rPr>
                <w:color w:val="auto"/>
              </w:rPr>
            </w:pPr>
            <w:r>
              <w:rPr>
                <w:color w:val="auto"/>
              </w:rPr>
              <w:t>74-82-8</w:t>
            </w:r>
          </w:p>
        </w:tc>
        <w:tc>
          <w:tcPr>
            <w:tcW w:w="938" w:type="dxa"/>
            <w:shd w:val="clear" w:color="auto" w:fill="auto"/>
            <w:vAlign w:val="center"/>
          </w:tcPr>
          <w:p w14:paraId="26C81475">
            <w:pPr>
              <w:jc w:val="center"/>
              <w:rPr>
                <w:color w:val="auto"/>
              </w:rPr>
            </w:pPr>
            <w:r>
              <w:rPr>
                <w:rFonts w:hint="eastAsia"/>
                <w:color w:val="auto"/>
                <w:lang w:val="en-US" w:eastAsia="zh-CN"/>
              </w:rPr>
              <w:t>0</w:t>
            </w:r>
          </w:p>
        </w:tc>
        <w:tc>
          <w:tcPr>
            <w:tcW w:w="1247" w:type="dxa"/>
            <w:shd w:val="clear" w:color="auto" w:fill="auto"/>
            <w:vAlign w:val="center"/>
          </w:tcPr>
          <w:p w14:paraId="384D8131">
            <w:pPr>
              <w:jc w:val="center"/>
              <w:rPr>
                <w:rFonts w:hint="eastAsia" w:ascii="Times New Roman" w:hAnsi="Times New Roman" w:eastAsia="宋体" w:cs="Times New Roman"/>
                <w:color w:val="auto"/>
                <w:kern w:val="2"/>
                <w:sz w:val="21"/>
                <w:szCs w:val="24"/>
                <w:lang w:val="en-US" w:eastAsia="zh-CN" w:bidi="ar-SA"/>
              </w:rPr>
            </w:pPr>
            <w:r>
              <w:rPr>
                <w:color w:val="auto"/>
              </w:rPr>
              <w:t>1.5</w:t>
            </w:r>
          </w:p>
        </w:tc>
        <w:tc>
          <w:tcPr>
            <w:tcW w:w="965" w:type="dxa"/>
            <w:shd w:val="clear" w:color="auto" w:fill="auto"/>
            <w:vAlign w:val="center"/>
          </w:tcPr>
          <w:p w14:paraId="1843B2DE">
            <w:pPr>
              <w:jc w:val="center"/>
              <w:rPr>
                <w:rFonts w:hint="eastAsia"/>
                <w:color w:val="auto"/>
                <w:lang w:val="en-US" w:eastAsia="zh-CN"/>
              </w:rPr>
            </w:pPr>
            <w:r>
              <w:rPr>
                <w:rFonts w:hint="eastAsia"/>
                <w:color w:val="auto"/>
                <w:lang w:val="en-US" w:eastAsia="zh-CN"/>
              </w:rPr>
              <w:t>1.5</w:t>
            </w:r>
          </w:p>
        </w:tc>
        <w:tc>
          <w:tcPr>
            <w:tcW w:w="1022" w:type="dxa"/>
            <w:shd w:val="clear" w:color="auto" w:fill="auto"/>
            <w:vAlign w:val="center"/>
          </w:tcPr>
          <w:p w14:paraId="6FDF9E13">
            <w:pPr>
              <w:jc w:val="center"/>
              <w:rPr>
                <w:color w:val="auto"/>
                <w:lang w:val="en-US" w:eastAsia="zh-CN"/>
              </w:rPr>
            </w:pPr>
            <w:r>
              <w:rPr>
                <w:rFonts w:hint="default"/>
                <w:color w:val="auto"/>
                <w:lang w:val="en-US" w:eastAsia="zh-CN"/>
              </w:rPr>
              <w:t>10</w:t>
            </w:r>
          </w:p>
        </w:tc>
        <w:tc>
          <w:tcPr>
            <w:tcW w:w="1041" w:type="dxa"/>
            <w:vAlign w:val="center"/>
          </w:tcPr>
          <w:p w14:paraId="47A02AC5">
            <w:pPr>
              <w:jc w:val="center"/>
              <w:rPr>
                <w:rFonts w:hint="default"/>
                <w:color w:val="auto"/>
                <w:lang w:val="en-US" w:eastAsia="zh-CN"/>
              </w:rPr>
            </w:pPr>
            <w:r>
              <w:rPr>
                <w:rFonts w:hint="default"/>
                <w:color w:val="auto"/>
                <w:lang w:val="en-US" w:eastAsia="zh-CN"/>
              </w:rPr>
              <w:t>0.1500</w:t>
            </w:r>
          </w:p>
        </w:tc>
        <w:tc>
          <w:tcPr>
            <w:tcW w:w="1073" w:type="dxa"/>
            <w:vAlign w:val="center"/>
          </w:tcPr>
          <w:p w14:paraId="6139AC4D">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54E110BE">
            <w:pPr>
              <w:jc w:val="center"/>
              <w:rPr>
                <w:rFonts w:hint="eastAsia"/>
                <w:color w:val="auto"/>
                <w:lang w:val="en-US" w:eastAsia="zh-CN"/>
              </w:rPr>
            </w:pPr>
          </w:p>
        </w:tc>
      </w:tr>
      <w:tr w14:paraId="73ED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75" w:type="dxa"/>
            <w:gridSpan w:val="7"/>
            <w:vAlign w:val="center"/>
          </w:tcPr>
          <w:p w14:paraId="33C91A2D">
            <w:pPr>
              <w:pStyle w:val="63"/>
              <w:jc w:val="center"/>
              <w:rPr>
                <w:color w:val="auto"/>
              </w:rPr>
            </w:pPr>
            <w:r>
              <w:rPr>
                <w:rFonts w:hint="eastAsia"/>
                <w:color w:val="auto"/>
              </w:rPr>
              <w:t>总计</w:t>
            </w:r>
          </w:p>
        </w:tc>
        <w:tc>
          <w:tcPr>
            <w:tcW w:w="1041" w:type="dxa"/>
            <w:shd w:val="clear" w:color="auto" w:fill="auto"/>
            <w:vAlign w:val="center"/>
          </w:tcPr>
          <w:p w14:paraId="05B31801">
            <w:pPr>
              <w:jc w:val="center"/>
              <w:rPr>
                <w:rFonts w:hint="default"/>
                <w:color w:val="auto"/>
                <w:lang w:val="en-US" w:eastAsia="zh-CN"/>
              </w:rPr>
            </w:pPr>
            <w:r>
              <w:rPr>
                <w:rFonts w:hint="eastAsia"/>
                <w:color w:val="auto"/>
                <w:lang w:val="en-US" w:eastAsia="zh-CN"/>
              </w:rPr>
              <w:t>72.9699</w:t>
            </w:r>
          </w:p>
        </w:tc>
        <w:tc>
          <w:tcPr>
            <w:tcW w:w="1073" w:type="dxa"/>
            <w:shd w:val="clear" w:color="auto" w:fill="auto"/>
            <w:vAlign w:val="center"/>
          </w:tcPr>
          <w:p w14:paraId="36AAE2D0">
            <w:pPr>
              <w:jc w:val="center"/>
              <w:rPr>
                <w:rFonts w:hint="default"/>
                <w:color w:val="auto"/>
                <w:lang w:val="en-US" w:eastAsia="zh-CN"/>
              </w:rPr>
            </w:pPr>
            <w:r>
              <w:rPr>
                <w:rFonts w:hint="eastAsia"/>
                <w:color w:val="auto"/>
                <w:lang w:val="en-US" w:eastAsia="zh-CN"/>
              </w:rPr>
              <w:t>/</w:t>
            </w:r>
          </w:p>
        </w:tc>
        <w:tc>
          <w:tcPr>
            <w:tcW w:w="427" w:type="dxa"/>
            <w:vMerge w:val="continue"/>
            <w:shd w:val="clear" w:color="auto" w:fill="auto"/>
            <w:vAlign w:val="center"/>
          </w:tcPr>
          <w:p w14:paraId="48449C38">
            <w:pPr>
              <w:jc w:val="center"/>
              <w:rPr>
                <w:rFonts w:hint="eastAsia"/>
                <w:color w:val="auto"/>
                <w:lang w:val="en-US" w:eastAsia="zh-CN"/>
              </w:rPr>
            </w:pPr>
          </w:p>
        </w:tc>
      </w:tr>
      <w:tr w14:paraId="77CC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916" w:type="dxa"/>
            <w:gridSpan w:val="10"/>
            <w:vAlign w:val="center"/>
          </w:tcPr>
          <w:p w14:paraId="7D4D30E4">
            <w:pPr>
              <w:jc w:val="both"/>
              <w:rPr>
                <w:rFonts w:hint="eastAsia" w:ascii="Times New Roman" w:hAnsi="Times New Roman"/>
                <w:color w:val="auto"/>
                <w:sz w:val="21"/>
              </w:rPr>
            </w:pPr>
            <w:r>
              <w:rPr>
                <w:rFonts w:hint="eastAsia" w:ascii="Times New Roman" w:hAnsi="Times New Roman"/>
                <w:color w:val="auto"/>
                <w:sz w:val="21"/>
              </w:rPr>
              <w:t>注：</w:t>
            </w:r>
            <w:r>
              <w:rPr>
                <w:rFonts w:hint="eastAsia" w:ascii="Times New Roman" w:hAnsi="Times New Roman"/>
                <w:color w:val="auto"/>
                <w:sz w:val="21"/>
                <w:lang w:val="en-US" w:eastAsia="zh-CN"/>
              </w:rPr>
              <w:t>1、</w:t>
            </w:r>
            <w:r>
              <w:rPr>
                <w:rFonts w:hint="eastAsia" w:ascii="Times New Roman" w:hAnsi="Times New Roman"/>
                <w:color w:val="auto"/>
                <w:sz w:val="21"/>
              </w:rPr>
              <w:t>乙醇、酒精按照健康危险急性毒性物质(类别2，类别3)分析。</w:t>
            </w:r>
          </w:p>
          <w:p w14:paraId="3446DEC3">
            <w:pPr>
              <w:pStyle w:val="42"/>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2、</w:t>
            </w:r>
            <w:r>
              <w:rPr>
                <w:rFonts w:ascii="Times New Roman" w:hAnsi="Times New Roman" w:eastAsia="宋体" w:cs="宋体"/>
                <w:color w:val="auto"/>
                <w:spacing w:val="-2"/>
                <w:sz w:val="21"/>
                <w:szCs w:val="21"/>
              </w:rPr>
              <w:t>钴及其化合物以磁粉、三价铬五彩钝化</w:t>
            </w:r>
            <w:r>
              <w:rPr>
                <w:rFonts w:ascii="Times New Roman" w:hAnsi="Times New Roman" w:eastAsia="宋体" w:cs="宋体"/>
                <w:color w:val="auto"/>
                <w:spacing w:val="-3"/>
                <w:sz w:val="21"/>
                <w:szCs w:val="21"/>
              </w:rPr>
              <w:t>液、锌镍蓝白钝化剂中钴含量折算，硝酸以硝</w:t>
            </w:r>
            <w:r>
              <w:rPr>
                <w:rFonts w:ascii="Times New Roman" w:hAnsi="Times New Roman" w:eastAsia="宋体" w:cs="宋体"/>
                <w:color w:val="auto"/>
                <w:spacing w:val="-1"/>
                <w:sz w:val="21"/>
                <w:szCs w:val="21"/>
              </w:rPr>
              <w:t>酸、三价铬蓝白钝化液、锌镍蓝白钝化剂、剥离液中硝酸含量折算，镍及其化合物以镍板、</w:t>
            </w:r>
            <w:r>
              <w:rPr>
                <w:rFonts w:ascii="Times New Roman" w:hAnsi="Times New Roman" w:eastAsia="宋体" w:cs="宋体"/>
                <w:color w:val="auto"/>
                <w:spacing w:val="-2"/>
                <w:sz w:val="21"/>
                <w:szCs w:val="21"/>
              </w:rPr>
              <w:t>硫酸镍、氯化镍中镍含量折算，铜及其化合物以铜板</w:t>
            </w:r>
            <w:r>
              <w:rPr>
                <w:rFonts w:ascii="Times New Roman" w:hAnsi="Times New Roman" w:eastAsia="宋体" w:cs="宋体"/>
                <w:color w:val="auto"/>
                <w:spacing w:val="-3"/>
                <w:sz w:val="21"/>
                <w:szCs w:val="21"/>
              </w:rPr>
              <w:t>、焦磷酸铜中铜含量折算，铬及其化合</w:t>
            </w:r>
            <w:r>
              <w:rPr>
                <w:rFonts w:ascii="Times New Roman" w:hAnsi="Times New Roman" w:eastAsia="宋体" w:cs="宋体"/>
                <w:color w:val="auto"/>
                <w:spacing w:val="-2"/>
                <w:sz w:val="21"/>
                <w:szCs w:val="21"/>
              </w:rPr>
              <w:t>物以三价铬蓝白钝化液、三价铬五彩钝化液、锌镍蓝白</w:t>
            </w:r>
            <w:r>
              <w:rPr>
                <w:rFonts w:ascii="Times New Roman" w:hAnsi="Times New Roman" w:eastAsia="宋体" w:cs="宋体"/>
                <w:color w:val="auto"/>
                <w:spacing w:val="-3"/>
                <w:sz w:val="21"/>
                <w:szCs w:val="21"/>
              </w:rPr>
              <w:t>钝化剂中铬含量折算，磷酸以磷化液</w:t>
            </w:r>
            <w:r>
              <w:rPr>
                <w:rFonts w:ascii="Times New Roman" w:hAnsi="Times New Roman" w:eastAsia="宋体" w:cs="宋体"/>
                <w:color w:val="auto"/>
                <w:spacing w:val="-2"/>
                <w:sz w:val="21"/>
                <w:szCs w:val="21"/>
              </w:rPr>
              <w:t>中磷酸含量折算，乙二胺以剥离液中乙二胺含量折算</w:t>
            </w:r>
            <w:r>
              <w:rPr>
                <w:rFonts w:ascii="Times New Roman" w:hAnsi="Times New Roman" w:eastAsia="宋体" w:cs="宋体"/>
                <w:color w:val="auto"/>
                <w:spacing w:val="-3"/>
                <w:sz w:val="21"/>
                <w:szCs w:val="21"/>
              </w:rPr>
              <w:t>，异丙醇以水性涂料、翡翠稀释剂中异</w:t>
            </w:r>
            <w:r>
              <w:rPr>
                <w:rFonts w:ascii="Times New Roman" w:hAnsi="Times New Roman" w:eastAsia="宋体" w:cs="宋体"/>
                <w:color w:val="auto"/>
                <w:spacing w:val="-1"/>
                <w:sz w:val="21"/>
                <w:szCs w:val="21"/>
              </w:rPr>
              <w:t>丙醇含量折算，二甲苯以磁材漆、标准稀释剂、翡翠底漆、翡翠稀释剂中二甲苯含量折算，</w:t>
            </w:r>
            <w:r>
              <w:rPr>
                <w:rFonts w:ascii="Times New Roman" w:hAnsi="Times New Roman" w:eastAsia="宋体" w:cs="宋体"/>
                <w:color w:val="auto"/>
                <w:spacing w:val="-2"/>
                <w:sz w:val="21"/>
                <w:szCs w:val="21"/>
              </w:rPr>
              <w:t>丁醇以磁材漆、标准稀释剂、翡翠底漆中丁醇含量折算</w:t>
            </w:r>
            <w:r>
              <w:rPr>
                <w:rFonts w:ascii="Times New Roman" w:hAnsi="Times New Roman" w:eastAsia="宋体" w:cs="宋体"/>
                <w:color w:val="auto"/>
                <w:spacing w:val="-3"/>
                <w:sz w:val="21"/>
                <w:szCs w:val="21"/>
              </w:rPr>
              <w:t>，甲醛以磁材漆、翡翠底漆中甲醛含</w:t>
            </w:r>
            <w:r>
              <w:rPr>
                <w:rFonts w:ascii="Times New Roman" w:hAnsi="Times New Roman" w:eastAsia="宋体" w:cs="宋体"/>
                <w:color w:val="auto"/>
                <w:spacing w:val="-2"/>
                <w:sz w:val="21"/>
                <w:szCs w:val="21"/>
              </w:rPr>
              <w:t>量折算，甲苯以标准稀释剂、翡翠底漆中甲苯含量折算</w:t>
            </w:r>
            <w:r>
              <w:rPr>
                <w:rFonts w:ascii="Times New Roman" w:hAnsi="Times New Roman" w:eastAsia="宋体" w:cs="宋体"/>
                <w:color w:val="auto"/>
                <w:spacing w:val="-3"/>
                <w:sz w:val="21"/>
                <w:szCs w:val="21"/>
              </w:rPr>
              <w:t>，油类物质以标准稀释剂中石脑油含</w:t>
            </w:r>
            <w:r>
              <w:rPr>
                <w:rFonts w:ascii="Times New Roman" w:hAnsi="Times New Roman" w:eastAsia="宋体" w:cs="宋体"/>
                <w:color w:val="auto"/>
                <w:spacing w:val="-2"/>
                <w:sz w:val="21"/>
                <w:szCs w:val="21"/>
              </w:rPr>
              <w:t>量折算，乙苯以翡翠底漆、翡翠稀释剂中乙苯含量折算</w:t>
            </w:r>
            <w:r>
              <w:rPr>
                <w:rFonts w:ascii="Times New Roman" w:hAnsi="Times New Roman" w:eastAsia="宋体" w:cs="宋体"/>
                <w:color w:val="auto"/>
                <w:spacing w:val="-3"/>
                <w:sz w:val="21"/>
                <w:szCs w:val="21"/>
              </w:rPr>
              <w:t>，环己酮以翡翠底漆、翡翠稀释剂中</w:t>
            </w:r>
            <w:r>
              <w:rPr>
                <w:rFonts w:ascii="Times New Roman" w:hAnsi="Times New Roman" w:eastAsia="宋体" w:cs="宋体"/>
                <w:color w:val="auto"/>
                <w:spacing w:val="-1"/>
                <w:sz w:val="21"/>
                <w:szCs w:val="21"/>
              </w:rPr>
              <w:t>环己酮含量折算，天然气以小时在线量计。</w:t>
            </w:r>
          </w:p>
        </w:tc>
      </w:tr>
    </w:tbl>
    <w:p w14:paraId="2EB24A49">
      <w:pPr>
        <w:spacing w:before="120" w:beforeLines="50" w:line="360" w:lineRule="auto"/>
        <w:ind w:firstLine="482" w:firstLineChars="200"/>
        <w:rPr>
          <w:b/>
          <w:bCs w:val="0"/>
          <w:color w:val="auto"/>
          <w:sz w:val="24"/>
          <w:szCs w:val="24"/>
        </w:rPr>
      </w:pPr>
      <w:r>
        <w:rPr>
          <w:rFonts w:hint="eastAsia"/>
          <w:b/>
          <w:bCs w:val="0"/>
          <w:color w:val="auto"/>
          <w:sz w:val="24"/>
          <w:szCs w:val="24"/>
          <w:lang w:val="en-US" w:eastAsia="zh-CN"/>
        </w:rPr>
        <w:t>理化性质</w:t>
      </w:r>
      <w:r>
        <w:rPr>
          <w:b/>
          <w:bCs w:val="0"/>
          <w:color w:val="auto"/>
          <w:sz w:val="24"/>
          <w:szCs w:val="24"/>
        </w:rPr>
        <w:t>：</w:t>
      </w:r>
    </w:p>
    <w:p w14:paraId="2E0AB2FE">
      <w:pPr>
        <w:pStyle w:val="23"/>
        <w:tabs>
          <w:tab w:val="left" w:pos="614"/>
        </w:tabs>
        <w:spacing w:after="0" w:line="360" w:lineRule="auto"/>
        <w:ind w:left="0" w:leftChars="0" w:firstLine="480"/>
        <w:rPr>
          <w:rFonts w:hint="default" w:eastAsia="宋体"/>
          <w:b w:val="0"/>
          <w:bCs w:val="0"/>
          <w:color w:val="auto"/>
          <w:sz w:val="24"/>
          <w:lang w:val="en-US" w:eastAsia="zh-CN"/>
        </w:rPr>
      </w:pPr>
      <w:r>
        <w:rPr>
          <w:rFonts w:hint="eastAsia"/>
          <w:b w:val="0"/>
          <w:bCs w:val="0"/>
          <w:color w:val="auto"/>
          <w:sz w:val="24"/>
          <w:lang w:val="en-US" w:eastAsia="zh-CN"/>
        </w:rPr>
        <w:t>本项目原辅材料：</w:t>
      </w:r>
    </w:p>
    <w:p w14:paraId="093F91CE">
      <w:pPr>
        <w:pStyle w:val="23"/>
        <w:tabs>
          <w:tab w:val="left" w:pos="614"/>
        </w:tabs>
        <w:spacing w:after="0" w:line="360" w:lineRule="auto"/>
        <w:ind w:left="0" w:leftChars="0" w:firstLine="480"/>
        <w:rPr>
          <w:color w:val="auto"/>
          <w:sz w:val="24"/>
        </w:rPr>
      </w:pPr>
      <w:r>
        <w:rPr>
          <w:rFonts w:hint="eastAsia"/>
          <w:color w:val="auto"/>
          <w:sz w:val="24"/>
        </w:rPr>
        <w:t>（1）清洗剂</w:t>
      </w:r>
    </w:p>
    <w:p w14:paraId="3A5186C1">
      <w:pPr>
        <w:pStyle w:val="23"/>
        <w:tabs>
          <w:tab w:val="left" w:pos="614"/>
        </w:tabs>
        <w:spacing w:after="0" w:line="360" w:lineRule="auto"/>
        <w:ind w:left="0" w:leftChars="0" w:firstLine="480"/>
        <w:rPr>
          <w:color w:val="auto"/>
          <w:sz w:val="24"/>
        </w:rPr>
      </w:pPr>
      <w:r>
        <w:rPr>
          <w:rFonts w:hint="eastAsia"/>
          <w:color w:val="auto"/>
          <w:sz w:val="24"/>
        </w:rPr>
        <w:t>主要由柠檬酸钠、硅酸钠、碳酸钠、葡萄糖酸钠、非离子活性剂组成，为</w:t>
      </w:r>
      <w:r>
        <w:rPr>
          <w:color w:val="auto"/>
          <w:sz w:val="24"/>
        </w:rPr>
        <w:t>白色粉末</w:t>
      </w:r>
      <w:r>
        <w:rPr>
          <w:rFonts w:hint="eastAsia"/>
          <w:color w:val="auto"/>
          <w:sz w:val="24"/>
        </w:rPr>
        <w:t>、无特殊气味、不易燃、完全溶于水。</w:t>
      </w:r>
    </w:p>
    <w:p w14:paraId="1788E3E1">
      <w:pPr>
        <w:pStyle w:val="23"/>
        <w:tabs>
          <w:tab w:val="left" w:pos="614"/>
        </w:tabs>
        <w:spacing w:after="0" w:line="360" w:lineRule="auto"/>
        <w:ind w:left="0" w:leftChars="0" w:firstLine="480"/>
        <w:rPr>
          <w:rFonts w:hint="eastAsia"/>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片碱</w:t>
      </w:r>
    </w:p>
    <w:p w14:paraId="5EED0089">
      <w:pPr>
        <w:pStyle w:val="23"/>
        <w:tabs>
          <w:tab w:val="left" w:pos="614"/>
        </w:tabs>
        <w:spacing w:after="0" w:line="360" w:lineRule="auto"/>
        <w:ind w:left="0" w:leftChars="0" w:firstLine="480"/>
        <w:rPr>
          <w:rFonts w:hint="default"/>
          <w:color w:val="auto"/>
          <w:sz w:val="24"/>
          <w:lang w:val="en-US" w:eastAsia="zh-CN"/>
        </w:rPr>
      </w:pPr>
      <w:r>
        <w:rPr>
          <w:rFonts w:hint="eastAsia"/>
          <w:color w:val="auto"/>
          <w:sz w:val="24"/>
        </w:rPr>
        <w:t>无色透明晶体，熔点：318.4℃</w:t>
      </w:r>
      <w:r>
        <w:rPr>
          <w:rFonts w:hint="eastAsia"/>
          <w:color w:val="auto"/>
          <w:sz w:val="24"/>
          <w:lang w:eastAsia="zh-CN"/>
        </w:rPr>
        <w:t>，</w:t>
      </w:r>
      <w:r>
        <w:rPr>
          <w:rFonts w:hint="eastAsia"/>
          <w:color w:val="auto"/>
          <w:sz w:val="24"/>
        </w:rPr>
        <w:t>沸点：1390℃</w:t>
      </w:r>
      <w:r>
        <w:rPr>
          <w:rFonts w:hint="eastAsia"/>
          <w:color w:val="auto"/>
          <w:sz w:val="24"/>
          <w:lang w:eastAsia="zh-CN"/>
        </w:rPr>
        <w:t>，</w:t>
      </w:r>
      <w:r>
        <w:rPr>
          <w:rFonts w:hint="eastAsia"/>
          <w:color w:val="auto"/>
          <w:sz w:val="24"/>
        </w:rPr>
        <w:t>密度2.13g/cm</w:t>
      </w:r>
      <w:r>
        <w:rPr>
          <w:rFonts w:hint="eastAsia"/>
          <w:color w:val="auto"/>
          <w:sz w:val="24"/>
          <w:vertAlign w:val="superscript"/>
        </w:rPr>
        <w:t>3</w:t>
      </w:r>
      <w:r>
        <w:rPr>
          <w:rFonts w:hint="eastAsia"/>
          <w:color w:val="auto"/>
          <w:sz w:val="24"/>
        </w:rPr>
        <w:t>，具有强碱性，腐蚀性极强，可作酸中和剂、配合掩蔽剂、沉淀剂、沉淀掩蔽剂、显色剂、皂化剂、去皮剂、洗涤剂等，用途非常广泛。</w:t>
      </w:r>
    </w:p>
    <w:p w14:paraId="0F9D0B97">
      <w:pPr>
        <w:pStyle w:val="23"/>
        <w:tabs>
          <w:tab w:val="left" w:pos="614"/>
        </w:tabs>
        <w:spacing w:after="0" w:line="360" w:lineRule="auto"/>
        <w:ind w:left="0" w:leftChars="0" w:firstLine="480"/>
        <w:rPr>
          <w:b/>
          <w:bCs/>
          <w:color w:val="auto"/>
          <w:sz w:val="24"/>
        </w:rPr>
      </w:pPr>
      <w:r>
        <w:rPr>
          <w:color w:val="auto"/>
          <w:sz w:val="24"/>
        </w:rPr>
        <w:t>（</w:t>
      </w:r>
      <w:r>
        <w:rPr>
          <w:rFonts w:hint="eastAsia"/>
          <w:color w:val="auto"/>
          <w:sz w:val="24"/>
          <w:lang w:val="en-US" w:eastAsia="zh-CN"/>
        </w:rPr>
        <w:t>3</w:t>
      </w:r>
      <w:r>
        <w:rPr>
          <w:color w:val="auto"/>
          <w:sz w:val="24"/>
        </w:rPr>
        <w:t>）</w:t>
      </w:r>
      <w:r>
        <w:rPr>
          <w:rFonts w:hint="eastAsia" w:cs="仿宋"/>
          <w:color w:val="auto"/>
          <w:sz w:val="24"/>
        </w:rPr>
        <w:t>磁材胶</w:t>
      </w:r>
    </w:p>
    <w:p w14:paraId="5D04EDC3">
      <w:pPr>
        <w:pStyle w:val="23"/>
        <w:spacing w:after="0" w:line="360" w:lineRule="auto"/>
        <w:ind w:left="0" w:leftChars="0" w:firstLine="480"/>
        <w:rPr>
          <w:color w:val="auto"/>
          <w:sz w:val="24"/>
        </w:rPr>
      </w:pPr>
      <w:r>
        <w:rPr>
          <w:rFonts w:hint="eastAsia"/>
          <w:color w:val="auto"/>
          <w:sz w:val="24"/>
        </w:rPr>
        <w:t>主要成为</w:t>
      </w:r>
      <w:r>
        <w:rPr>
          <w:color w:val="auto"/>
          <w:sz w:val="24"/>
        </w:rPr>
        <w:t>α-氰基丙烯酸乙酯≥95%</w:t>
      </w:r>
      <w:r>
        <w:rPr>
          <w:rFonts w:hint="eastAsia"/>
          <w:color w:val="auto"/>
          <w:sz w:val="24"/>
        </w:rPr>
        <w:t>，透明液体，有刺激性气味，比重(水=1):0.9，沸点/溶点范围：60℃，蒸气密度(空气压=1)：3gm</w:t>
      </w:r>
      <w:r>
        <w:rPr>
          <w:rFonts w:hint="eastAsia"/>
          <w:color w:val="auto"/>
          <w:sz w:val="24"/>
          <w:vertAlign w:val="superscript"/>
        </w:rPr>
        <w:t>3</w:t>
      </w:r>
      <w:r>
        <w:rPr>
          <w:rFonts w:hint="eastAsia"/>
          <w:color w:val="auto"/>
          <w:sz w:val="24"/>
        </w:rPr>
        <w:t>，根据建设单位提供的挥发性有机物检测报告，</w:t>
      </w:r>
      <w:r>
        <w:rPr>
          <w:rFonts w:hint="eastAsia" w:cs="仿宋"/>
          <w:color w:val="auto"/>
          <w:sz w:val="24"/>
        </w:rPr>
        <w:t>磁材胶挥发性有机物为未检出（详见附件</w:t>
      </w:r>
      <w:r>
        <w:rPr>
          <w:rFonts w:hint="eastAsia" w:cs="仿宋"/>
          <w:color w:val="auto"/>
          <w:sz w:val="24"/>
          <w:lang w:val="en-US" w:eastAsia="zh-CN"/>
        </w:rPr>
        <w:t>10(1)</w:t>
      </w:r>
      <w:r>
        <w:rPr>
          <w:rFonts w:hint="eastAsia" w:cs="仿宋"/>
          <w:color w:val="auto"/>
          <w:sz w:val="24"/>
        </w:rPr>
        <w:t>）。</w:t>
      </w:r>
    </w:p>
    <w:p w14:paraId="717A0159">
      <w:pPr>
        <w:pStyle w:val="42"/>
        <w:spacing w:line="360" w:lineRule="auto"/>
        <w:ind w:firstLine="480" w:firstLineChars="200"/>
        <w:rPr>
          <w:rFonts w:hint="default" w:ascii="Times New Roman" w:hAnsi="Times New Roman"/>
          <w:b/>
          <w:color w:val="auto"/>
          <w:kern w:val="2"/>
          <w:sz w:val="24"/>
        </w:rPr>
      </w:pPr>
      <w:r>
        <w:rPr>
          <w:rFonts w:ascii="Times New Roman" w:hAnsi="Times New Roman" w:cs="宋体"/>
          <w:bCs/>
          <w:color w:val="auto"/>
          <w:kern w:val="2"/>
          <w:sz w:val="24"/>
        </w:rPr>
        <w:t>（3）M型单组份环氧胶粘剂</w:t>
      </w:r>
    </w:p>
    <w:p w14:paraId="16A66FCF">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主要由双酚F环氧氯丙烷聚合物（30-40%）、环氧增韧剂（15-25%）、碳酸钙（35-45%）、二氢二胺（5-10%）、改性胺（2-5%）、气相二氧化硅组成（1-5%）。</w:t>
      </w:r>
    </w:p>
    <w:p w14:paraId="29A24BC6">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（4）切削液</w:t>
      </w:r>
    </w:p>
    <w:p w14:paraId="35D4996E">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黄棕色透明液体；pH9.5±0.5，由三乙醇胺、水性防锈剂、防腐剂、极压剂组成。无刺激性气味；密度0.95kg/cm</w:t>
      </w:r>
      <w:r>
        <w:rPr>
          <w:rFonts w:ascii="Times New Roman" w:hAnsi="Times New Roman" w:cs="宋体"/>
          <w:bCs/>
          <w:color w:val="auto"/>
          <w:kern w:val="2"/>
          <w:sz w:val="24"/>
          <w:vertAlign w:val="superscript"/>
        </w:rPr>
        <w:t>3</w:t>
      </w:r>
      <w:r>
        <w:rPr>
          <w:rFonts w:ascii="Times New Roman" w:hAnsi="Times New Roman" w:cs="宋体"/>
          <w:bCs/>
          <w:color w:val="auto"/>
          <w:kern w:val="2"/>
          <w:sz w:val="24"/>
        </w:rPr>
        <w:t>。溶于水。蒸气密度：&gt;1.0(空气=1)。常温下非常稳定。</w:t>
      </w:r>
    </w:p>
    <w:p w14:paraId="5C544B27">
      <w:pPr>
        <w:pStyle w:val="42"/>
        <w:spacing w:line="360" w:lineRule="auto"/>
        <w:ind w:firstLine="480" w:firstLineChars="200"/>
        <w:rPr>
          <w:rFonts w:hint="default" w:ascii="Times New Roman" w:hAnsi="Times New Roman"/>
          <w:bCs/>
          <w:color w:val="auto"/>
          <w:kern w:val="2"/>
          <w:sz w:val="24"/>
        </w:rPr>
      </w:pPr>
      <w:r>
        <w:rPr>
          <w:rFonts w:ascii="Times New Roman" w:hAnsi="Times New Roman" w:cs="宋体"/>
          <w:bCs/>
          <w:color w:val="auto"/>
          <w:kern w:val="2"/>
          <w:sz w:val="24"/>
        </w:rPr>
        <w:t>（5）防锈液</w:t>
      </w:r>
    </w:p>
    <w:p w14:paraId="228C9A04">
      <w:pPr>
        <w:pStyle w:val="42"/>
        <w:spacing w:line="360" w:lineRule="auto"/>
        <w:ind w:firstLine="480" w:firstLineChars="200"/>
        <w:rPr>
          <w:rFonts w:hint="default" w:ascii="Times New Roman" w:hAnsi="Times New Roman" w:cs="宋体"/>
          <w:bCs/>
          <w:color w:val="auto"/>
          <w:kern w:val="2"/>
          <w:sz w:val="24"/>
        </w:rPr>
      </w:pPr>
      <w:r>
        <w:rPr>
          <w:rFonts w:ascii="Times New Roman" w:hAnsi="Times New Roman" w:cs="宋体"/>
          <w:bCs/>
          <w:color w:val="auto"/>
          <w:kern w:val="2"/>
          <w:sz w:val="24"/>
        </w:rPr>
        <w:t>主要成分为</w:t>
      </w:r>
      <w:r>
        <w:rPr>
          <w:rFonts w:hint="default" w:ascii="Times New Roman" w:hAnsi="Times New Roman" w:cs="宋体"/>
          <w:bCs/>
          <w:color w:val="auto"/>
          <w:kern w:val="2"/>
          <w:sz w:val="24"/>
        </w:rPr>
        <w:t>硼砂、丙三醇、苹果酸、丁二酸、磷酸三钠、氢氧化钠、苯甲酸钠</w:t>
      </w:r>
      <w:r>
        <w:rPr>
          <w:rFonts w:ascii="Times New Roman" w:hAnsi="Times New Roman" w:cs="宋体"/>
          <w:bCs/>
          <w:color w:val="auto"/>
          <w:kern w:val="2"/>
          <w:sz w:val="24"/>
        </w:rPr>
        <w:t>、</w:t>
      </w:r>
      <w:r>
        <w:rPr>
          <w:rFonts w:hint="default" w:ascii="Times New Roman" w:hAnsi="Times New Roman" w:cs="宋体"/>
          <w:bCs/>
          <w:color w:val="auto"/>
          <w:kern w:val="2"/>
          <w:sz w:val="24"/>
        </w:rPr>
        <w:t>氨基三乙醇/TEA</w:t>
      </w:r>
      <w:r>
        <w:rPr>
          <w:rFonts w:ascii="Times New Roman" w:hAnsi="Times New Roman" w:cs="宋体"/>
          <w:bCs/>
          <w:color w:val="auto"/>
          <w:kern w:val="2"/>
          <w:sz w:val="24"/>
        </w:rPr>
        <w:t>等。</w:t>
      </w:r>
    </w:p>
    <w:p w14:paraId="12B01390">
      <w:pPr>
        <w:pStyle w:val="42"/>
        <w:spacing w:line="360" w:lineRule="auto"/>
        <w:ind w:firstLine="480" w:firstLineChars="200"/>
        <w:rPr>
          <w:rFonts w:hint="default" w:ascii="Times New Roman" w:hAnsi="Times New Roman" w:cs="宋体"/>
          <w:bCs/>
          <w:color w:val="auto"/>
          <w:kern w:val="2"/>
          <w:sz w:val="24"/>
        </w:rPr>
      </w:pPr>
      <w:r>
        <w:rPr>
          <w:rFonts w:ascii="Times New Roman" w:hAnsi="Times New Roman" w:cs="宋体"/>
          <w:bCs/>
          <w:color w:val="auto"/>
          <w:kern w:val="2"/>
          <w:sz w:val="24"/>
        </w:rPr>
        <w:t>（6）水基切割液</w:t>
      </w:r>
    </w:p>
    <w:p w14:paraId="2505F915">
      <w:pPr>
        <w:pStyle w:val="42"/>
        <w:spacing w:line="360" w:lineRule="auto"/>
        <w:ind w:firstLine="480" w:firstLineChars="200"/>
        <w:rPr>
          <w:rFonts w:ascii="Times New Roman" w:hAnsi="Times New Roman" w:cs="宋体"/>
          <w:color w:val="auto"/>
          <w:sz w:val="24"/>
        </w:rPr>
      </w:pPr>
      <w:r>
        <w:rPr>
          <w:rFonts w:ascii="Times New Roman" w:hAnsi="Times New Roman" w:cs="宋体"/>
          <w:bCs/>
          <w:color w:val="auto"/>
          <w:kern w:val="2"/>
          <w:sz w:val="24"/>
        </w:rPr>
        <w:t>水基切割液由母公司江西金力永磁科技</w:t>
      </w:r>
      <w:r>
        <w:rPr>
          <w:rFonts w:ascii="Times New Roman" w:hAnsi="Times New Roman" w:cs="宋体"/>
          <w:color w:val="auto"/>
          <w:sz w:val="24"/>
        </w:rPr>
        <w:t>股份有限公司进行自主制供给，主要成分为有机酸5-15%、有机胺10-30%、表面活性剂10-30%、其余为水。</w:t>
      </w:r>
    </w:p>
    <w:p w14:paraId="6472C2C1">
      <w:pPr>
        <w:pStyle w:val="42"/>
        <w:numPr>
          <w:ilvl w:val="0"/>
          <w:numId w:val="0"/>
        </w:numPr>
        <w:spacing w:line="360" w:lineRule="auto"/>
        <w:ind w:firstLine="480" w:firstLineChars="200"/>
        <w:rPr>
          <w:rFonts w:hint="default" w:ascii="Times New Roman" w:hAnsi="Times New Roman" w:eastAsia="宋体" w:cs="宋体"/>
          <w:b w:val="0"/>
          <w:bCs/>
          <w:color w:val="auto"/>
          <w:kern w:val="2"/>
          <w:sz w:val="24"/>
          <w:szCs w:val="24"/>
          <w:lang w:val="en-US" w:eastAsia="zh-CN" w:bidi="ar-SA"/>
        </w:rPr>
      </w:pPr>
      <w:r>
        <w:rPr>
          <w:rFonts w:hint="eastAsia" w:ascii="Times New Roman" w:hAnsi="Times New Roman" w:cs="宋体"/>
          <w:b w:val="0"/>
          <w:bCs/>
          <w:color w:val="auto"/>
          <w:kern w:val="2"/>
          <w:sz w:val="24"/>
          <w:szCs w:val="24"/>
          <w:lang w:val="en-US" w:eastAsia="zh-CN" w:bidi="ar-SA"/>
        </w:rPr>
        <w:t>2#危化品仓库贮存：</w:t>
      </w:r>
    </w:p>
    <w:p w14:paraId="55BB1A19">
      <w:pPr>
        <w:pStyle w:val="42"/>
        <w:spacing w:line="360" w:lineRule="auto"/>
        <w:ind w:firstLine="480" w:firstLineChars="200"/>
        <w:rPr>
          <w:rFonts w:hint="eastAsia" w:ascii="Times New Roman" w:hAnsi="Times New Roman" w:eastAsia="宋体" w:cs="宋体"/>
          <w:bCs/>
          <w:color w:val="auto"/>
          <w:kern w:val="2"/>
          <w:sz w:val="24"/>
          <w:lang w:eastAsia="zh-CN"/>
        </w:rPr>
      </w:pPr>
      <w:r>
        <w:rPr>
          <w:rFonts w:hint="eastAsia" w:ascii="Times New Roman" w:hAnsi="Times New Roman" w:eastAsia="宋体" w:cs="宋体"/>
          <w:bCs/>
          <w:color w:val="auto"/>
          <w:kern w:val="2"/>
          <w:sz w:val="24"/>
          <w:lang w:val="en-US" w:eastAsia="zh-CN"/>
        </w:rPr>
        <w:t>（1）</w:t>
      </w:r>
      <w:r>
        <w:rPr>
          <w:rFonts w:hint="eastAsia" w:ascii="Times New Roman" w:hAnsi="Times New Roman" w:eastAsia="宋体" w:cs="宋体"/>
          <w:bCs/>
          <w:color w:val="auto"/>
          <w:kern w:val="2"/>
          <w:sz w:val="24"/>
          <w:lang w:eastAsia="zh-CN"/>
        </w:rPr>
        <w:t>环氧树脂EED-060</w:t>
      </w:r>
    </w:p>
    <w:p w14:paraId="0807ECC0">
      <w:pPr>
        <w:pStyle w:val="42"/>
        <w:spacing w:line="360" w:lineRule="auto"/>
        <w:ind w:firstLine="480" w:firstLineChars="200"/>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eastAsia="zh-CN"/>
        </w:rPr>
        <w:t>液态，主要成分为糊状环氧树脂35%、乙二醇单丁醚8%、纯水57%。乳白色液体pH6.4～6.8，相对密度（水=1）：1.05，完全溶于水，</w:t>
      </w:r>
      <w:r>
        <w:rPr>
          <w:rFonts w:hint="eastAsia" w:ascii="Times New Roman" w:hAnsi="Times New Roman" w:eastAsia="宋体" w:cs="宋体"/>
          <w:bCs/>
          <w:color w:val="auto"/>
          <w:kern w:val="2"/>
          <w:sz w:val="24"/>
          <w:lang w:val="en-US" w:eastAsia="zh-CN"/>
        </w:rPr>
        <w:t>有毒。</w:t>
      </w:r>
    </w:p>
    <w:p w14:paraId="25105A04">
      <w:pPr>
        <w:pStyle w:val="42"/>
        <w:numPr>
          <w:ilvl w:val="0"/>
          <w:numId w:val="0"/>
        </w:numPr>
        <w:spacing w:line="360" w:lineRule="auto"/>
        <w:ind w:firstLine="480" w:firstLineChars="200"/>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cs="宋体"/>
          <w:bCs/>
          <w:color w:val="auto"/>
          <w:kern w:val="2"/>
          <w:sz w:val="24"/>
          <w:szCs w:val="24"/>
          <w:lang w:val="en-US" w:eastAsia="zh-CN" w:bidi="ar-SA"/>
        </w:rPr>
        <w:t>2</w:t>
      </w: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eastAsia="宋体" w:cs="宋体"/>
          <w:bCs/>
          <w:color w:val="auto"/>
          <w:kern w:val="2"/>
          <w:sz w:val="24"/>
          <w:lang w:val="en-US" w:eastAsia="zh-CN"/>
        </w:rPr>
        <w:t>环氧氨基涂料剥离剂</w:t>
      </w:r>
    </w:p>
    <w:p w14:paraId="27860B31">
      <w:pPr>
        <w:pStyle w:val="42"/>
        <w:numPr>
          <w:ilvl w:val="0"/>
          <w:numId w:val="0"/>
        </w:numPr>
        <w:spacing w:line="360" w:lineRule="auto"/>
        <w:ind w:firstLine="480" w:firstLineChars="200"/>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无色或微黄色黏稠液体，有类似氨的气味。pH11~12（25℃)，熔点350℃（分解）。溶于水、乙醇，不溶于苯、微溶于乙醚。主要成分为芳香系有机物85%、无机碱盐10%、水5%。</w:t>
      </w:r>
    </w:p>
    <w:p w14:paraId="179201A7">
      <w:pPr>
        <w:pStyle w:val="42"/>
        <w:numPr>
          <w:ilvl w:val="0"/>
          <w:numId w:val="0"/>
        </w:numPr>
        <w:spacing w:line="360" w:lineRule="auto"/>
        <w:ind w:firstLine="480" w:firstLineChars="200"/>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cs="宋体"/>
          <w:bCs/>
          <w:color w:val="auto"/>
          <w:kern w:val="2"/>
          <w:sz w:val="24"/>
          <w:szCs w:val="24"/>
          <w:lang w:val="en-US" w:eastAsia="zh-CN" w:bidi="ar-SA"/>
        </w:rPr>
        <w:t>3</w:t>
      </w: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eastAsia="宋体" w:cs="宋体"/>
          <w:bCs/>
          <w:color w:val="auto"/>
          <w:kern w:val="2"/>
          <w:sz w:val="24"/>
          <w:lang w:val="en-US" w:eastAsia="zh-CN"/>
        </w:rPr>
        <w:t>环氧树脂剥离液</w:t>
      </w:r>
    </w:p>
    <w:p w14:paraId="5885E93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无色或微黄色黏稠液体，有类似氨的气味。pH11（25℃)，熔点350℃（分解）。溶于水、乙醇，不溶于苯、微溶于乙醚。主要成分为乙二胺27.8%、硝酸5%、水67.2%。</w:t>
      </w:r>
    </w:p>
    <w:p w14:paraId="074D5CE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（4）丙酮</w:t>
      </w:r>
    </w:p>
    <w:p w14:paraId="2663463C">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无色透明易流动液体，有芳香气味，极易挥发。熔点-94.6℃,沸点56.5℃,相对密度（水=1）：0.80，相对蒸汽密度（空气=1）:2.00，饱和蒸气压（kPa）：53.32（39.5℃),闪点-20℃,引燃温度465℃,爆炸上限13.0%，爆炸下限2.5%。与水混溶，可混溶于乙醇、乙醚、氯仿、油类、烃类等多数有机溶剂。</w:t>
      </w:r>
    </w:p>
    <w:p w14:paraId="4644865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（5）无水乙醇</w:t>
      </w:r>
    </w:p>
    <w:p w14:paraId="768A600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无水乙醇（Ethanolabsolute）是一种纯度高达99.5%的乙醇溶液，外观为无色透明液体，具有特殊芳香味。‌其物理性质包括：熔点为-114.1℃，沸点为78.5℃，相对密度（水=1）为0.79，闪点为13℃，爆炸极限为3.5%～18.0%（体积）。</w:t>
      </w:r>
    </w:p>
    <w:p w14:paraId="408A1F3F">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（6）清洁酒精</w:t>
      </w:r>
    </w:p>
    <w:p w14:paraId="1671484C">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default" w:ascii="Times New Roman" w:hAnsi="Times New Roman" w:eastAsia="宋体" w:cs="宋体"/>
          <w:bCs/>
          <w:color w:val="auto"/>
          <w:kern w:val="2"/>
          <w:sz w:val="24"/>
          <w:lang w:val="en-US" w:eastAsia="zh-CN"/>
        </w:rPr>
        <w:t>酒精是一种无色、透明的液体，具有特殊的气味，易挥发</w:t>
      </w:r>
      <w:r>
        <w:rPr>
          <w:rFonts w:hint="eastAsia" w:ascii="Times New Roman" w:hAnsi="Times New Roman" w:eastAsia="宋体" w:cs="宋体"/>
          <w:bCs/>
          <w:color w:val="auto"/>
          <w:kern w:val="2"/>
          <w:sz w:val="24"/>
          <w:lang w:val="en-US" w:eastAsia="zh-CN"/>
        </w:rPr>
        <w:t>，酒精具有可燃性。酒精的密度为0.79，相对密度（水=1）为0.79，相对密度（空气=1）为1.59。其沸点为78.3摄氏度‌。</w:t>
      </w:r>
    </w:p>
    <w:p w14:paraId="520C3F83">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（7）硫酸</w:t>
      </w:r>
    </w:p>
    <w:p w14:paraId="31CFEB6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油状液体，无臭。熔点：10.5℃,沸点：330.0℃。相对密度（水=1）1.83；相对密度（空气=1）3.4。与水混溶。蒸汽压0.13kPa（145.8℃)。用于生产化学肥料，在化工、医药、塑料、染料、石油提炼等工业也有广泛的应用。</w:t>
      </w:r>
    </w:p>
    <w:p w14:paraId="4A34E355">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（8）冰乙酸</w:t>
      </w:r>
    </w:p>
    <w:p w14:paraId="13EE83F1">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冰乙酸是一种无色透明液体，具有强烈的刺激性气味。它的熔点为16.6℃，沸点为117.9℃，密度为1.05g/cm³，闪点为39℃。冰乙酸在低于熔点时会冻结成冰状晶体，因此也被称为</w:t>
      </w:r>
      <w:r>
        <w:rPr>
          <w:rFonts w:hint="default" w:ascii="Times New Roman" w:hAnsi="Times New Roman" w:eastAsia="宋体" w:cs="宋体"/>
          <w:bCs/>
          <w:color w:val="auto"/>
          <w:kern w:val="2"/>
          <w:sz w:val="24"/>
          <w:lang w:val="en-US" w:eastAsia="zh-CN"/>
        </w:rPr>
        <w:fldChar w:fldCharType="begin"/>
      </w:r>
      <w:r>
        <w:rPr>
          <w:rFonts w:hint="default" w:ascii="Times New Roman" w:hAnsi="Times New Roman" w:eastAsia="宋体" w:cs="宋体"/>
          <w:bCs/>
          <w:color w:val="auto"/>
          <w:kern w:val="2"/>
          <w:sz w:val="24"/>
          <w:lang w:val="en-US" w:eastAsia="zh-CN"/>
        </w:rPr>
        <w:instrText xml:space="preserve"> HYPERLINK "https://www.baidu.com/s?rsv_idx=1&amp;wd=%E5%86%B0%E9%86%8B%E9%85%B8&amp;fenlei=256&amp;usm=3&amp;ie=utf-8&amp;rsv_pq=d93f107300a5aa53&amp;oq=%E5%86%B0%E4%B9%99%E9%85%B8%E7%90%86%E5%8C%96%E6%80%A7%E8%B4%A8&amp;rsv_t=a809hqMvey5vvw2uM9msS+QqFrfOrF0s13+Ieo+XLRt1pHFZlKXa5ni/9x4&amp;rsv_dl=re_dqa_generate&amp;sa=re_dqa_generate" \t "https://www.baidu.com/_self" </w:instrText>
      </w:r>
      <w:r>
        <w:rPr>
          <w:rFonts w:hint="default" w:ascii="Times New Roman" w:hAnsi="Times New Roman" w:eastAsia="宋体" w:cs="宋体"/>
          <w:bCs/>
          <w:color w:val="auto"/>
          <w:kern w:val="2"/>
          <w:sz w:val="24"/>
          <w:lang w:val="en-US" w:eastAsia="zh-CN"/>
        </w:rPr>
        <w:fldChar w:fldCharType="separate"/>
      </w:r>
      <w:r>
        <w:rPr>
          <w:rFonts w:hint="default" w:ascii="Times New Roman" w:hAnsi="Times New Roman" w:eastAsia="宋体" w:cs="宋体"/>
          <w:bCs/>
          <w:color w:val="auto"/>
          <w:kern w:val="2"/>
          <w:sz w:val="24"/>
          <w:lang w:val="en-US" w:eastAsia="zh-CN"/>
        </w:rPr>
        <w:t>冰醋酸</w:t>
      </w:r>
      <w:r>
        <w:rPr>
          <w:rFonts w:hint="default" w:ascii="Times New Roman" w:hAnsi="Times New Roman" w:eastAsia="宋体" w:cs="宋体"/>
          <w:bCs/>
          <w:color w:val="auto"/>
          <w:kern w:val="2"/>
          <w:sz w:val="24"/>
          <w:lang w:val="en-US" w:eastAsia="zh-CN"/>
        </w:rPr>
        <w:fldChar w:fldCharType="end"/>
      </w:r>
      <w:r>
        <w:rPr>
          <w:rFonts w:hint="default" w:ascii="Times New Roman" w:hAnsi="Times New Roman" w:eastAsia="宋体" w:cs="宋体"/>
          <w:bCs/>
          <w:color w:val="auto"/>
          <w:kern w:val="2"/>
          <w:sz w:val="24"/>
          <w:lang w:val="en-US" w:eastAsia="zh-CN"/>
        </w:rPr>
        <w:t>。冰乙酸在低温时凝固成冰状，凝固时体积膨胀可能导致容器破裂。</w:t>
      </w:r>
    </w:p>
    <w:p w14:paraId="7EB3A010">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（9）</w:t>
      </w:r>
      <w:r>
        <w:rPr>
          <w:rFonts w:hint="eastAsia" w:ascii="Times New Roman" w:hAnsi="Times New Roman" w:cs="宋体"/>
          <w:bCs/>
          <w:color w:val="auto"/>
          <w:kern w:val="2"/>
          <w:sz w:val="24"/>
          <w:lang w:val="en-US" w:eastAsia="zh-CN"/>
        </w:rPr>
        <w:t>活性炭</w:t>
      </w:r>
      <w:r>
        <w:rPr>
          <w:rFonts w:hint="eastAsia" w:ascii="Times New Roman" w:hAnsi="Times New Roman" w:eastAsia="宋体" w:cs="宋体"/>
          <w:bCs/>
          <w:color w:val="auto"/>
          <w:kern w:val="2"/>
          <w:sz w:val="24"/>
          <w:lang w:val="en-US" w:eastAsia="zh-CN"/>
        </w:rPr>
        <w:t>素</w:t>
      </w:r>
    </w:p>
    <w:p w14:paraId="7893423B">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活性炭素‌是一种多孔性的炭素材料，具有极大的比表面积和强大的吸附能力。其主要成分是碳，通过碳化、活化等工艺制得。活性炭素的制作原料包括木炭、煤炭、果壳等，通过物理或化学方法使其孔隙开放和扩张，从而增加其比表面积，提高吸附性能‌。</w:t>
      </w:r>
    </w:p>
    <w:p w14:paraId="46C759DD">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（10）硝酸（工业硝酸、硝酸分析纯）</w:t>
      </w:r>
    </w:p>
    <w:p w14:paraId="1C50BE9C">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发烟液体，有酸味。熔点：-42℃/无水，沸点：86℃/无水，相对密度（水=1）1.50（无水），相对密度（空气=1）2.17。与水混溶，蒸汽压4.4kPa（20℃)。用途极广，主要用于化肥、染料、国防、炸药、冶金、医药等工业。</w:t>
      </w:r>
    </w:p>
    <w:p w14:paraId="2F59CA13">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（11）硫酸分析纯</w:t>
      </w:r>
    </w:p>
    <w:p w14:paraId="0E1EFEE6">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纯品为无色透明油状液体，无臭。熔点：10.5℃,沸点：330.0℃。相对密度（水=1）1.83；相对密度（空气=1）3.4。与水混溶。蒸汽压0.13kPa（145.8℃)。用于生产化学肥料，在化工、医药、塑料、染料、石油提炼等工业也有广泛的应用。</w:t>
      </w:r>
    </w:p>
    <w:p w14:paraId="50DFF9BE">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（12）氯化钾</w:t>
      </w:r>
    </w:p>
    <w:p w14:paraId="26EC4281">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白色结晶小颗粒粉末，熔点770℃,沸点1420℃,密度1.98g/cm³,外观如同食盐，无臭、味咸。易溶于水、醚、甘油及碱类，微溶于乙醇，但不溶于无水乙醇。</w:t>
      </w:r>
    </w:p>
    <w:p w14:paraId="019976E4">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（13）硫酸锌</w:t>
      </w:r>
    </w:p>
    <w:p w14:paraId="273B8910">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无色斜方晶体、颗粒或粉末，无气味，味涩。熔点为100℃,沸点&gt;500℃（分解），相对密度（水=1）：3.35。易溶于水，水溶液呈酸性，微溶于乙醇和甘油。</w:t>
      </w:r>
    </w:p>
    <w:p w14:paraId="4D1D3A97">
      <w:pPr>
        <w:pStyle w:val="23"/>
        <w:rPr>
          <w:rFonts w:hint="eastAsia" w:cs="宋体"/>
          <w:bCs/>
          <w:color w:val="auto"/>
          <w:kern w:val="2"/>
          <w:sz w:val="24"/>
          <w:lang w:val="en-US" w:eastAsia="zh-CN"/>
        </w:rPr>
      </w:pPr>
      <w:r>
        <w:rPr>
          <w:rFonts w:hint="eastAsia" w:cs="宋体"/>
          <w:bCs/>
          <w:color w:val="auto"/>
          <w:kern w:val="2"/>
          <w:sz w:val="24"/>
          <w:lang w:val="en-US" w:eastAsia="zh-CN"/>
        </w:rPr>
        <w:t>1#仓库（一期工程）：</w:t>
      </w:r>
    </w:p>
    <w:p w14:paraId="16B5C4F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（1）磁粉、三价铬五彩钝化液、锌镍蓝白钝化剂（钴及其化合物</w:t>
      </w:r>
      <w:r>
        <w:rPr>
          <w:rFonts w:hint="eastAsia" w:cs="宋体"/>
          <w:bCs/>
          <w:color w:val="auto"/>
          <w:kern w:val="2"/>
          <w:sz w:val="24"/>
          <w:szCs w:val="24"/>
          <w:lang w:val="en-US" w:eastAsia="zh-CN" w:bidi="ar-SA"/>
        </w:rPr>
        <w:t>、铬及其化合物</w:t>
      </w:r>
      <w:r>
        <w:rPr>
          <w:rFonts w:hint="eastAsia" w:ascii="Times New Roman" w:hAnsi="Times New Roman" w:eastAsia="宋体" w:cs="宋体"/>
          <w:bCs/>
          <w:color w:val="auto"/>
          <w:kern w:val="2"/>
          <w:sz w:val="24"/>
          <w:szCs w:val="24"/>
          <w:lang w:val="en-US" w:eastAsia="zh-CN" w:bidi="ar-SA"/>
        </w:rPr>
        <w:t>）</w:t>
      </w:r>
    </w:p>
    <w:p w14:paraId="503EED68">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①磁粉：</w:t>
      </w:r>
    </w:p>
    <w:p w14:paraId="0A54BE15">
      <w:pPr>
        <w:pStyle w:val="4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宋体"/>
          <w:bCs/>
          <w:color w:val="auto"/>
          <w:kern w:val="2"/>
          <w:sz w:val="24"/>
          <w:lang w:val="en-US" w:eastAsia="zh-CN"/>
        </w:rPr>
      </w:pPr>
      <w:r>
        <w:rPr>
          <w:rFonts w:hint="eastAsia" w:ascii="Times New Roman" w:hAnsi="Times New Roman" w:eastAsia="宋体" w:cs="宋体"/>
          <w:bCs/>
          <w:color w:val="auto"/>
          <w:kern w:val="2"/>
          <w:sz w:val="24"/>
          <w:lang w:val="en-US" w:eastAsia="zh-CN"/>
        </w:rPr>
        <w:t>银灰黑色粉末，密度</w:t>
      </w:r>
      <w:r>
        <w:rPr>
          <w:rFonts w:hint="default" w:ascii="Times New Roman" w:hAnsi="Times New Roman" w:eastAsia="宋体" w:cs="宋体"/>
          <w:bCs/>
          <w:color w:val="auto"/>
          <w:kern w:val="2"/>
          <w:sz w:val="24"/>
          <w:lang w:val="en-US" w:eastAsia="zh-CN"/>
        </w:rPr>
        <w:t>7.63±0.20g/cm</w:t>
      </w:r>
      <w:r>
        <w:rPr>
          <w:rFonts w:hint="default" w:ascii="Times New Roman" w:hAnsi="Times New Roman" w:eastAsia="宋体" w:cs="宋体"/>
          <w:bCs/>
          <w:color w:val="auto"/>
          <w:kern w:val="2"/>
          <w:sz w:val="24"/>
          <w:vertAlign w:val="superscript"/>
          <w:lang w:val="en-US" w:eastAsia="zh-CN"/>
        </w:rPr>
        <w:t>3</w:t>
      </w:r>
      <w:r>
        <w:rPr>
          <w:rFonts w:hint="default" w:ascii="Times New Roman" w:hAnsi="Times New Roman" w:eastAsia="宋体" w:cs="宋体"/>
          <w:bCs/>
          <w:color w:val="auto"/>
          <w:kern w:val="2"/>
          <w:sz w:val="24"/>
          <w:lang w:val="en-US" w:eastAsia="zh-CN"/>
        </w:rPr>
        <w:t>，熔点3000℃，本品为合金粉末，主要成分为钕26.1%、硼1.0%、钴1.8%、环氧树脂1.7%、铁69.4%。</w:t>
      </w:r>
    </w:p>
    <w:p w14:paraId="22110D7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②</w:t>
      </w:r>
      <w:r>
        <w:rPr>
          <w:rFonts w:hint="eastAsia" w:ascii="Times New Roman" w:hAnsi="Times New Roman" w:eastAsia="宋体" w:cs="宋体"/>
          <w:bCs/>
          <w:color w:val="auto"/>
          <w:kern w:val="2"/>
          <w:sz w:val="24"/>
          <w:szCs w:val="24"/>
          <w:lang w:val="en-US" w:eastAsia="zh-CN" w:bidi="ar-SA"/>
        </w:rPr>
        <w:t>三价铬五彩钝化液</w:t>
      </w:r>
    </w:p>
    <w:p w14:paraId="0E42642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墨绿色液体，相对密度(水=1)：1.22~1.28，主要成分硝酸铬20%、硝酸钴10%、草酸钠30%、水40%。</w:t>
      </w:r>
    </w:p>
    <w:p w14:paraId="232C6A2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③</w:t>
      </w:r>
      <w:r>
        <w:rPr>
          <w:rFonts w:hint="eastAsia" w:ascii="Times New Roman" w:hAnsi="Times New Roman" w:eastAsia="宋体" w:cs="宋体"/>
          <w:bCs/>
          <w:color w:val="auto"/>
          <w:kern w:val="2"/>
          <w:sz w:val="24"/>
          <w:szCs w:val="24"/>
          <w:lang w:val="en-US" w:eastAsia="zh-CN" w:bidi="ar-SA"/>
        </w:rPr>
        <w:t>锌镍蓝白钝化剂</w:t>
      </w:r>
    </w:p>
    <w:p w14:paraId="0A624A9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暗绿色液体，相对密度(水=1)：1.05~1.20，极易溶于水(25℃)，主要成分硝酸铬5%、硝酸钴5%、硝酸5%、水85%。</w:t>
      </w:r>
    </w:p>
    <w:p w14:paraId="605036D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（2）硫酸镍、氯化镍（含镍及其化合物）</w:t>
      </w:r>
    </w:p>
    <w:p w14:paraId="3F522D0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Times New Roman" w:hAnsi="Times New Roman" w:eastAsia="宋体" w:cs="宋体"/>
          <w:bCs/>
          <w:color w:val="auto"/>
          <w:kern w:val="2"/>
          <w:sz w:val="24"/>
          <w:lang w:val="en-US" w:eastAsia="zh-CN"/>
        </w:rPr>
        <w:t>①</w:t>
      </w:r>
      <w:r>
        <w:rPr>
          <w:rFonts w:hint="eastAsia" w:cs="宋体"/>
          <w:bCs/>
          <w:color w:val="auto"/>
          <w:kern w:val="2"/>
          <w:sz w:val="24"/>
          <w:szCs w:val="24"/>
          <w:lang w:val="en-US" w:eastAsia="zh-CN" w:bidi="ar-SA"/>
        </w:rPr>
        <w:t>硫酸镍</w:t>
      </w:r>
    </w:p>
    <w:p w14:paraId="5E1B75F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绿色颗粒状晶体，沸点840℃（无水），相对密度(水=1)2.07，易溶于水，微溶于酸、氨水。</w:t>
      </w:r>
    </w:p>
    <w:p w14:paraId="3225115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②</w:t>
      </w:r>
      <w:r>
        <w:rPr>
          <w:rFonts w:hint="eastAsia" w:cs="宋体"/>
          <w:bCs/>
          <w:color w:val="auto"/>
          <w:kern w:val="2"/>
          <w:sz w:val="24"/>
          <w:szCs w:val="24"/>
          <w:lang w:val="en-US" w:eastAsia="zh-CN" w:bidi="ar-SA"/>
        </w:rPr>
        <w:t>氯化镍</w:t>
      </w:r>
    </w:p>
    <w:p w14:paraId="36E75E8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绿色片状结晶，有潮解性，相对密度1.921gm</w:t>
      </w:r>
      <w:r>
        <w:rPr>
          <w:rFonts w:hint="default" w:cs="宋体"/>
          <w:bCs/>
          <w:color w:val="auto"/>
          <w:kern w:val="2"/>
          <w:sz w:val="24"/>
          <w:szCs w:val="24"/>
          <w:vertAlign w:val="superscript"/>
          <w:lang w:val="en-US" w:eastAsia="zh-CN" w:bidi="ar-SA"/>
        </w:rPr>
        <w:t>3</w:t>
      </w:r>
      <w:r>
        <w:rPr>
          <w:rFonts w:hint="default" w:cs="宋体"/>
          <w:bCs/>
          <w:color w:val="auto"/>
          <w:kern w:val="2"/>
          <w:sz w:val="24"/>
          <w:szCs w:val="24"/>
          <w:lang w:val="en-US" w:eastAsia="zh-CN" w:bidi="ar-SA"/>
        </w:rPr>
        <w:t>,易溶于水、醇，用于镀镍和作氨吸收剂、催化剂等。</w:t>
      </w:r>
    </w:p>
    <w:p w14:paraId="0DA6353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（3）</w:t>
      </w:r>
      <w:r>
        <w:rPr>
          <w:rFonts w:hint="default" w:cs="宋体"/>
          <w:bCs/>
          <w:color w:val="auto"/>
          <w:kern w:val="2"/>
          <w:sz w:val="24"/>
          <w:szCs w:val="24"/>
          <w:lang w:val="en-US" w:eastAsia="zh-CN" w:bidi="ar-SA"/>
        </w:rPr>
        <w:t>焦磷酸铜</w:t>
      </w:r>
      <w:r>
        <w:rPr>
          <w:rFonts w:hint="eastAsia" w:cs="宋体"/>
          <w:bCs/>
          <w:color w:val="auto"/>
          <w:kern w:val="2"/>
          <w:sz w:val="24"/>
          <w:szCs w:val="24"/>
          <w:lang w:val="en-US" w:eastAsia="zh-CN" w:bidi="ar-SA"/>
        </w:rPr>
        <w:t>（铜及其化合物）</w:t>
      </w:r>
    </w:p>
    <w:p w14:paraId="0E24CF3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淡蓝色粉末，无味，不溶于水，溶于酸。</w:t>
      </w:r>
    </w:p>
    <w:p w14:paraId="7684A9A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（4）盐酸</w:t>
      </w:r>
    </w:p>
    <w:p w14:paraId="5399FAB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无色或微黄色发烟液体，有刺鼻的酸味。熔点：-114.8℃/纯，沸点：108.6℃/20%。相对密度（水=1)1.20:相对密度(空气=1)1.26。与水混溶，溶于碱液。蒸汽压30.66kPa(21℃)。重要的无机化工原料，广泛用于染料、医药、食品、印染、皮革、治金等行业。</w:t>
      </w:r>
    </w:p>
    <w:p w14:paraId="3520E73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（5）三价铬蓝白钝化液（</w:t>
      </w:r>
      <w:r>
        <w:rPr>
          <w:rFonts w:ascii="宋体" w:hAnsi="宋体" w:eastAsia="宋体" w:cs="宋体"/>
          <w:color w:val="auto"/>
          <w:spacing w:val="-3"/>
          <w:sz w:val="21"/>
          <w:szCs w:val="21"/>
        </w:rPr>
        <w:t>铬及其化合</w:t>
      </w:r>
      <w:r>
        <w:rPr>
          <w:rFonts w:ascii="宋体" w:hAnsi="宋体" w:eastAsia="宋体" w:cs="宋体"/>
          <w:color w:val="auto"/>
          <w:spacing w:val="-2"/>
          <w:sz w:val="21"/>
          <w:szCs w:val="21"/>
        </w:rPr>
        <w:t>物</w:t>
      </w:r>
      <w:r>
        <w:rPr>
          <w:rFonts w:hint="eastAsia" w:cs="宋体"/>
          <w:bCs/>
          <w:color w:val="auto"/>
          <w:kern w:val="2"/>
          <w:sz w:val="24"/>
          <w:szCs w:val="24"/>
          <w:lang w:val="en-US" w:eastAsia="zh-CN" w:bidi="ar-SA"/>
        </w:rPr>
        <w:t>）</w:t>
      </w:r>
    </w:p>
    <w:p w14:paraId="29199C4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紫红色液体，相对密度(水=1)：1.21~1.23，主要成分硝酸铬35%、促进剂10%、添加剂4%，硝酸1%、水50%。</w:t>
      </w:r>
    </w:p>
    <w:p w14:paraId="7DA5FFA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（6）磷化液（磷酸）</w:t>
      </w:r>
    </w:p>
    <w:p w14:paraId="0CEA63E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淡黄色液体，pH1~1.5,相对密度(水=1)：1~1.32,沸点&gt;115℃。易溶于水、乙醇、甘油，丙酮，不溶于苯、汽油、热乙醇、氯仿、二硫化碳。本品为混合物，主要成分为磷酸40%、硝酸锌18%、氧化锌10%、络合剂5%，其余为水。</w:t>
      </w:r>
    </w:p>
    <w:p w14:paraId="7B7B945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（7）水性涂料、翡翠稀释剂（异丙醇、二甲苯、、环己酮）</w:t>
      </w:r>
    </w:p>
    <w:p w14:paraId="3E63623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①</w:t>
      </w:r>
      <w:r>
        <w:rPr>
          <w:rFonts w:hint="eastAsia" w:cs="宋体"/>
          <w:bCs/>
          <w:color w:val="auto"/>
          <w:kern w:val="2"/>
          <w:sz w:val="24"/>
          <w:szCs w:val="24"/>
          <w:lang w:val="en-US" w:eastAsia="zh-CN" w:bidi="ar-SA"/>
        </w:rPr>
        <w:t>水性涂料</w:t>
      </w:r>
    </w:p>
    <w:p w14:paraId="55F518B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黑色液体，有轻微溶剂味，密度1.15g/cm3,沸点约100℃，熔点&lt;0℃，本品主要成分为水性丙烯酸树脂37%、水性氨基树脂13%、异丙醇6%、乙二醇单丁醚3%、N,N-二甲基乙醇胺1%、纯水40%。</w:t>
      </w:r>
    </w:p>
    <w:p w14:paraId="6939690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②</w:t>
      </w:r>
      <w:r>
        <w:rPr>
          <w:rFonts w:hint="eastAsia" w:cs="宋体"/>
          <w:bCs/>
          <w:color w:val="auto"/>
          <w:kern w:val="2"/>
          <w:sz w:val="24"/>
          <w:szCs w:val="24"/>
          <w:lang w:val="en-US" w:eastAsia="zh-CN" w:bidi="ar-SA"/>
        </w:rPr>
        <w:t>翡翠稀释剂</w:t>
      </w:r>
    </w:p>
    <w:p w14:paraId="27C16BC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无色透明液体，有溶剂气味，密度0.88gcm3,初沸点82℃，闪点12℃，本品主要成分为乙二醇单丁基谜25%、低沸点芳族石脑油12%、二甲苯10%、乙苯10%、异丙醇10%、环己酮7%、1,3,5-三甲基苯3%、1,2,4-三甲基苯8%、丙二醇单甲醚乙酸酯15%。</w:t>
      </w:r>
    </w:p>
    <w:p w14:paraId="2A1BFBE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cs="宋体"/>
          <w:bCs/>
          <w:color w:val="auto"/>
          <w:kern w:val="2"/>
          <w:sz w:val="24"/>
          <w:szCs w:val="24"/>
          <w:lang w:val="en-US" w:eastAsia="zh-CN" w:bidi="ar-SA"/>
        </w:rPr>
        <w:t>8、磁材漆、标准稀释剂、翡翠底漆（二甲苯、丁醇、甲醛、甲苯、乙苯、环己酮）</w:t>
      </w:r>
    </w:p>
    <w:p w14:paraId="3060724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①</w:t>
      </w:r>
      <w:r>
        <w:rPr>
          <w:rFonts w:hint="eastAsia" w:cs="宋体"/>
          <w:bCs/>
          <w:color w:val="auto"/>
          <w:kern w:val="2"/>
          <w:sz w:val="24"/>
          <w:szCs w:val="24"/>
          <w:lang w:val="en-US" w:eastAsia="zh-CN" w:bidi="ar-SA"/>
        </w:rPr>
        <w:t>磁材漆</w:t>
      </w:r>
    </w:p>
    <w:p w14:paraId="566025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有色液体，有轻微溶剂味，密度0.94g/cm3,闪点24.5℃，本品主要成分为环氧树脂45.6%、邻二甲苯28%、正丁醇15%、乙酸-1-甲氧基-2-丙基酯5%、4-甲基-2-戊酮6%、萘0.2%、甲醛0.2%。</w:t>
      </w:r>
    </w:p>
    <w:p w14:paraId="4C3F12A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②</w:t>
      </w:r>
      <w:r>
        <w:rPr>
          <w:rFonts w:hint="eastAsia" w:cs="宋体"/>
          <w:bCs/>
          <w:color w:val="auto"/>
          <w:kern w:val="2"/>
          <w:sz w:val="24"/>
          <w:szCs w:val="24"/>
          <w:lang w:val="en-US" w:eastAsia="zh-CN" w:bidi="ar-SA"/>
        </w:rPr>
        <w:t>标准稀释剂</w:t>
      </w:r>
    </w:p>
    <w:p w14:paraId="6338F94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透明液体，有溶剂味，密度0.9g/cm3,闪点16℃，本品主要成分为二甲苯25%、甲苯25%、正丁醇15%、乙酸-1-甲氧基-2-丙基酯15%、1-甲氧基-2-丙醇10%、异丁醇6%、轻芳烃溶剂石脑油（石油）4%。</w:t>
      </w:r>
    </w:p>
    <w:p w14:paraId="4D61DEA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③</w:t>
      </w:r>
      <w:r>
        <w:rPr>
          <w:rFonts w:hint="eastAsia" w:cs="宋体"/>
          <w:bCs/>
          <w:color w:val="auto"/>
          <w:kern w:val="2"/>
          <w:sz w:val="24"/>
          <w:szCs w:val="24"/>
          <w:lang w:val="en-US" w:eastAsia="zh-CN" w:bidi="ar-SA"/>
        </w:rPr>
        <w:t>翡翠底漆</w:t>
      </w:r>
    </w:p>
    <w:p w14:paraId="3E17F0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t>黑色液体，有溶剂气味，密度1.15gcm3,初沸点80℃，闪点-6℃，本品主要成分为甲基乙基酮25%、甲苯8%、二甲苯7%、乙苯5%、环己酮2%、正丁醇3%、乙二醇单丁基醚1%、丙二醇单甲基醚4%、炭黑5%、甲醛2%、丙二醇单甲醚乙酸酯3%、特殊合成树脂35%。</w:t>
      </w:r>
    </w:p>
    <w:p w14:paraId="44698260">
      <w:pPr>
        <w:rPr>
          <w:rFonts w:hint="default" w:cs="宋体"/>
          <w:bCs/>
          <w:color w:val="auto"/>
          <w:kern w:val="2"/>
          <w:sz w:val="24"/>
          <w:szCs w:val="24"/>
          <w:lang w:val="en-US" w:eastAsia="zh-CN" w:bidi="ar-SA"/>
        </w:rPr>
      </w:pPr>
      <w:r>
        <w:rPr>
          <w:rFonts w:hint="default" w:cs="宋体"/>
          <w:bCs/>
          <w:color w:val="auto"/>
          <w:kern w:val="2"/>
          <w:sz w:val="24"/>
          <w:szCs w:val="24"/>
          <w:lang w:val="en-US" w:eastAsia="zh-CN" w:bidi="ar-SA"/>
        </w:rPr>
        <w:br w:type="page"/>
      </w:r>
    </w:p>
    <w:p w14:paraId="2E266DCE">
      <w:pPr>
        <w:keepNext/>
        <w:keepLines/>
        <w:pageBreakBefore w:val="0"/>
        <w:widowControl w:val="0"/>
        <w:kinsoku/>
        <w:wordWrap/>
        <w:overflowPunct/>
        <w:topLinePunct w:val="0"/>
        <w:autoSpaceDE/>
        <w:autoSpaceDN/>
        <w:bidi w:val="0"/>
        <w:adjustRightInd/>
        <w:snapToGrid/>
        <w:spacing w:line="360" w:lineRule="auto"/>
        <w:textAlignment w:val="auto"/>
        <w:outlineLvl w:val="0"/>
        <w:rPr>
          <w:rFonts w:eastAsia="楷体"/>
          <w:b/>
          <w:bCs/>
          <w:color w:val="auto"/>
          <w:kern w:val="44"/>
          <w:sz w:val="44"/>
          <w:szCs w:val="44"/>
        </w:rPr>
      </w:pPr>
      <w:r>
        <w:rPr>
          <w:rFonts w:eastAsia="楷体"/>
          <w:b/>
          <w:bCs/>
          <w:color w:val="auto"/>
          <w:kern w:val="44"/>
          <w:sz w:val="32"/>
          <w:szCs w:val="32"/>
        </w:rPr>
        <w:t>7.3环境风险潜势</w:t>
      </w:r>
    </w:p>
    <w:p w14:paraId="7F998A86">
      <w:pPr>
        <w:keepNext/>
        <w:keepLines/>
        <w:pageBreakBefore w:val="0"/>
        <w:widowControl w:val="0"/>
        <w:kinsoku/>
        <w:wordWrap/>
        <w:overflowPunct/>
        <w:topLinePunct w:val="0"/>
        <w:autoSpaceDE/>
        <w:autoSpaceDN/>
        <w:bidi w:val="0"/>
        <w:adjustRightInd/>
        <w:snapToGrid/>
        <w:spacing w:line="360" w:lineRule="auto"/>
        <w:textAlignment w:val="auto"/>
        <w:outlineLvl w:val="1"/>
        <w:rPr>
          <w:rFonts w:eastAsia="楷体"/>
          <w:b/>
          <w:color w:val="auto"/>
          <w:sz w:val="30"/>
          <w:szCs w:val="30"/>
        </w:rPr>
      </w:pPr>
      <w:r>
        <w:rPr>
          <w:rFonts w:eastAsia="楷体"/>
          <w:b/>
          <w:color w:val="auto"/>
          <w:sz w:val="30"/>
          <w:szCs w:val="30"/>
        </w:rPr>
        <w:t>7.3.1风险潜势划分依据</w:t>
      </w:r>
    </w:p>
    <w:p w14:paraId="5F738FCD">
      <w:pPr>
        <w:spacing w:line="360" w:lineRule="auto"/>
        <w:ind w:firstLine="480" w:firstLineChars="200"/>
        <w:rPr>
          <w:color w:val="auto"/>
          <w:sz w:val="24"/>
        </w:rPr>
      </w:pPr>
      <w:r>
        <w:rPr>
          <w:color w:val="auto"/>
          <w:sz w:val="24"/>
        </w:rPr>
        <w:t>根据《建设项目环境风险评价技术导则》(</w:t>
      </w:r>
      <w:r>
        <w:rPr>
          <w:rFonts w:hint="eastAsia"/>
          <w:color w:val="auto"/>
          <w:sz w:val="24"/>
          <w:lang w:eastAsia="zh-CN"/>
        </w:rPr>
        <w:t>HJ169-2018</w:t>
      </w:r>
      <w:r>
        <w:rPr>
          <w:color w:val="auto"/>
          <w:sz w:val="24"/>
        </w:rPr>
        <w:t>)，建设项目环境风险潜势划分为I、Ⅱ、Ⅲ、Ⅳ/Ⅳ</w:t>
      </w:r>
      <w:r>
        <w:rPr>
          <w:color w:val="auto"/>
          <w:sz w:val="24"/>
          <w:vertAlign w:val="superscript"/>
        </w:rPr>
        <w:t>+</w:t>
      </w:r>
      <w:r>
        <w:rPr>
          <w:color w:val="auto"/>
          <w:sz w:val="24"/>
        </w:rPr>
        <w:t>级。根据建设项目涉及的物质和工艺系统的危险性及其所在地的环境敏感程度，结合事故情形下环境影响途径，对建设项目潜在环境危害程度进行概化分析，按表7.3-1确定环境风险潜势。</w:t>
      </w:r>
    </w:p>
    <w:p w14:paraId="1DE604BD">
      <w:pPr>
        <w:keepNext/>
        <w:keepLines/>
        <w:jc w:val="center"/>
        <w:rPr>
          <w:b/>
          <w:color w:val="auto"/>
          <w:sz w:val="24"/>
        </w:rPr>
      </w:pPr>
      <w:r>
        <w:rPr>
          <w:b/>
          <w:color w:val="auto"/>
          <w:sz w:val="24"/>
        </w:rPr>
        <w:t>表7.3-1建设项目环境风险潜势划分</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749"/>
        <w:gridCol w:w="1749"/>
        <w:gridCol w:w="1751"/>
        <w:gridCol w:w="1756"/>
      </w:tblGrid>
      <w:tr w14:paraId="60FD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vMerge w:val="restart"/>
            <w:noWrap w:val="0"/>
            <w:vAlign w:val="center"/>
          </w:tcPr>
          <w:p w14:paraId="273D5534">
            <w:pPr>
              <w:keepNext/>
              <w:keepLines/>
              <w:jc w:val="center"/>
              <w:rPr>
                <w:b/>
                <w:color w:val="auto"/>
                <w:szCs w:val="44"/>
              </w:rPr>
            </w:pPr>
            <w:r>
              <w:rPr>
                <w:b/>
                <w:color w:val="auto"/>
                <w:szCs w:val="44"/>
              </w:rPr>
              <w:t>环境敏感程度（E）</w:t>
            </w:r>
          </w:p>
        </w:tc>
        <w:tc>
          <w:tcPr>
            <w:tcW w:w="4000" w:type="pct"/>
            <w:gridSpan w:val="4"/>
            <w:noWrap w:val="0"/>
            <w:vAlign w:val="center"/>
          </w:tcPr>
          <w:p w14:paraId="0B34982D">
            <w:pPr>
              <w:keepNext/>
              <w:keepLines/>
              <w:jc w:val="center"/>
              <w:rPr>
                <w:b/>
                <w:color w:val="auto"/>
                <w:szCs w:val="44"/>
              </w:rPr>
            </w:pPr>
            <w:r>
              <w:rPr>
                <w:b/>
                <w:color w:val="auto"/>
                <w:szCs w:val="44"/>
              </w:rPr>
              <w:t>危险物质及工艺系统危险性（P）</w:t>
            </w:r>
          </w:p>
        </w:tc>
      </w:tr>
      <w:tr w14:paraId="79FC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vMerge w:val="continue"/>
            <w:noWrap w:val="0"/>
            <w:vAlign w:val="center"/>
          </w:tcPr>
          <w:p w14:paraId="7D86A58E">
            <w:pPr>
              <w:keepNext/>
              <w:keepLines/>
              <w:jc w:val="center"/>
              <w:rPr>
                <w:b/>
                <w:color w:val="auto"/>
                <w:szCs w:val="44"/>
              </w:rPr>
            </w:pPr>
          </w:p>
        </w:tc>
        <w:tc>
          <w:tcPr>
            <w:tcW w:w="999" w:type="pct"/>
            <w:noWrap w:val="0"/>
            <w:vAlign w:val="center"/>
          </w:tcPr>
          <w:p w14:paraId="0B740765">
            <w:pPr>
              <w:keepNext/>
              <w:keepLines/>
              <w:jc w:val="center"/>
              <w:rPr>
                <w:b/>
                <w:color w:val="auto"/>
                <w:szCs w:val="44"/>
              </w:rPr>
            </w:pPr>
            <w:r>
              <w:rPr>
                <w:b/>
                <w:color w:val="auto"/>
                <w:szCs w:val="44"/>
              </w:rPr>
              <w:t>极高危害（P1）</w:t>
            </w:r>
          </w:p>
        </w:tc>
        <w:tc>
          <w:tcPr>
            <w:tcW w:w="999" w:type="pct"/>
            <w:noWrap w:val="0"/>
            <w:vAlign w:val="center"/>
          </w:tcPr>
          <w:p w14:paraId="51EF1A61">
            <w:pPr>
              <w:keepNext/>
              <w:keepLines/>
              <w:jc w:val="center"/>
              <w:rPr>
                <w:b/>
                <w:color w:val="auto"/>
                <w:szCs w:val="44"/>
              </w:rPr>
            </w:pPr>
            <w:r>
              <w:rPr>
                <w:b/>
                <w:color w:val="auto"/>
                <w:szCs w:val="44"/>
              </w:rPr>
              <w:t>高度危害（P2）</w:t>
            </w:r>
          </w:p>
        </w:tc>
        <w:tc>
          <w:tcPr>
            <w:tcW w:w="1000" w:type="pct"/>
            <w:noWrap w:val="0"/>
            <w:vAlign w:val="center"/>
          </w:tcPr>
          <w:p w14:paraId="2CB8214D">
            <w:pPr>
              <w:keepNext/>
              <w:keepLines/>
              <w:jc w:val="center"/>
              <w:rPr>
                <w:b/>
                <w:color w:val="auto"/>
                <w:szCs w:val="44"/>
              </w:rPr>
            </w:pPr>
            <w:r>
              <w:rPr>
                <w:b/>
                <w:color w:val="auto"/>
                <w:szCs w:val="44"/>
              </w:rPr>
              <w:t>中度危害（P3）</w:t>
            </w:r>
          </w:p>
        </w:tc>
        <w:tc>
          <w:tcPr>
            <w:tcW w:w="1001" w:type="pct"/>
            <w:noWrap w:val="0"/>
            <w:vAlign w:val="center"/>
          </w:tcPr>
          <w:p w14:paraId="2085376F">
            <w:pPr>
              <w:keepNext/>
              <w:keepLines/>
              <w:jc w:val="center"/>
              <w:rPr>
                <w:b/>
                <w:color w:val="auto"/>
                <w:szCs w:val="44"/>
              </w:rPr>
            </w:pPr>
            <w:r>
              <w:rPr>
                <w:b/>
                <w:color w:val="auto"/>
                <w:szCs w:val="44"/>
              </w:rPr>
              <w:t>轻度危害（P4）</w:t>
            </w:r>
          </w:p>
        </w:tc>
      </w:tr>
      <w:tr w14:paraId="3C92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noWrap w:val="0"/>
            <w:vAlign w:val="center"/>
          </w:tcPr>
          <w:p w14:paraId="04B1F286">
            <w:pPr>
              <w:keepNext/>
              <w:keepLines/>
              <w:jc w:val="center"/>
              <w:rPr>
                <w:bCs/>
                <w:color w:val="auto"/>
                <w:szCs w:val="44"/>
              </w:rPr>
            </w:pPr>
            <w:r>
              <w:rPr>
                <w:bCs/>
                <w:color w:val="auto"/>
                <w:szCs w:val="44"/>
              </w:rPr>
              <w:t>环境高度敏感区</w:t>
            </w:r>
          </w:p>
        </w:tc>
        <w:tc>
          <w:tcPr>
            <w:tcW w:w="999" w:type="pct"/>
            <w:noWrap w:val="0"/>
            <w:vAlign w:val="center"/>
          </w:tcPr>
          <w:p w14:paraId="47F16C72">
            <w:pPr>
              <w:keepNext/>
              <w:keepLines/>
              <w:jc w:val="center"/>
              <w:rPr>
                <w:bCs/>
                <w:color w:val="auto"/>
                <w:szCs w:val="44"/>
              </w:rPr>
            </w:pPr>
            <w:r>
              <w:rPr>
                <w:bCs/>
                <w:color w:val="auto"/>
                <w:szCs w:val="44"/>
              </w:rPr>
              <w:t>Ⅳ+</w:t>
            </w:r>
          </w:p>
        </w:tc>
        <w:tc>
          <w:tcPr>
            <w:tcW w:w="999" w:type="pct"/>
            <w:noWrap w:val="0"/>
            <w:vAlign w:val="center"/>
          </w:tcPr>
          <w:p w14:paraId="2AFFCAE6">
            <w:pPr>
              <w:keepNext/>
              <w:keepLines/>
              <w:jc w:val="center"/>
              <w:rPr>
                <w:bCs/>
                <w:color w:val="auto"/>
                <w:szCs w:val="44"/>
              </w:rPr>
            </w:pPr>
            <w:r>
              <w:rPr>
                <w:bCs/>
                <w:color w:val="auto"/>
                <w:szCs w:val="44"/>
              </w:rPr>
              <w:t>Ⅳ</w:t>
            </w:r>
          </w:p>
        </w:tc>
        <w:tc>
          <w:tcPr>
            <w:tcW w:w="1000" w:type="pct"/>
            <w:noWrap w:val="0"/>
            <w:vAlign w:val="center"/>
          </w:tcPr>
          <w:p w14:paraId="76D2DDF4">
            <w:pPr>
              <w:keepNext/>
              <w:keepLines/>
              <w:jc w:val="center"/>
              <w:rPr>
                <w:bCs/>
                <w:color w:val="auto"/>
                <w:szCs w:val="44"/>
              </w:rPr>
            </w:pPr>
            <w:r>
              <w:rPr>
                <w:bCs/>
                <w:color w:val="auto"/>
                <w:szCs w:val="44"/>
              </w:rPr>
              <w:t>Ⅲ</w:t>
            </w:r>
          </w:p>
        </w:tc>
        <w:tc>
          <w:tcPr>
            <w:tcW w:w="1001" w:type="pct"/>
            <w:noWrap w:val="0"/>
            <w:vAlign w:val="center"/>
          </w:tcPr>
          <w:p w14:paraId="374EF850">
            <w:pPr>
              <w:keepNext/>
              <w:keepLines/>
              <w:jc w:val="center"/>
              <w:rPr>
                <w:bCs/>
                <w:color w:val="auto"/>
                <w:szCs w:val="44"/>
              </w:rPr>
            </w:pPr>
            <w:r>
              <w:rPr>
                <w:bCs/>
                <w:color w:val="auto"/>
                <w:szCs w:val="44"/>
              </w:rPr>
              <w:t>Ⅲ</w:t>
            </w:r>
          </w:p>
        </w:tc>
      </w:tr>
      <w:tr w14:paraId="7F7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noWrap w:val="0"/>
            <w:vAlign w:val="center"/>
          </w:tcPr>
          <w:p w14:paraId="67FBA344">
            <w:pPr>
              <w:keepNext/>
              <w:keepLines/>
              <w:jc w:val="center"/>
              <w:rPr>
                <w:bCs/>
                <w:color w:val="auto"/>
                <w:szCs w:val="44"/>
              </w:rPr>
            </w:pPr>
            <w:r>
              <w:rPr>
                <w:bCs/>
                <w:color w:val="auto"/>
                <w:szCs w:val="44"/>
              </w:rPr>
              <w:t>环境中度敏感区</w:t>
            </w:r>
          </w:p>
        </w:tc>
        <w:tc>
          <w:tcPr>
            <w:tcW w:w="999" w:type="pct"/>
            <w:noWrap w:val="0"/>
            <w:vAlign w:val="center"/>
          </w:tcPr>
          <w:p w14:paraId="468D207C">
            <w:pPr>
              <w:keepNext/>
              <w:keepLines/>
              <w:jc w:val="center"/>
              <w:rPr>
                <w:bCs/>
                <w:color w:val="auto"/>
                <w:szCs w:val="44"/>
              </w:rPr>
            </w:pPr>
            <w:r>
              <w:rPr>
                <w:bCs/>
                <w:color w:val="auto"/>
                <w:szCs w:val="44"/>
              </w:rPr>
              <w:t>Ⅳ</w:t>
            </w:r>
          </w:p>
        </w:tc>
        <w:tc>
          <w:tcPr>
            <w:tcW w:w="999" w:type="pct"/>
            <w:noWrap w:val="0"/>
            <w:vAlign w:val="center"/>
          </w:tcPr>
          <w:p w14:paraId="65CEEBCC">
            <w:pPr>
              <w:keepNext/>
              <w:keepLines/>
              <w:jc w:val="center"/>
              <w:rPr>
                <w:bCs/>
                <w:color w:val="auto"/>
                <w:szCs w:val="44"/>
              </w:rPr>
            </w:pPr>
            <w:r>
              <w:rPr>
                <w:bCs/>
                <w:color w:val="auto"/>
                <w:szCs w:val="44"/>
              </w:rPr>
              <w:t>Ⅲ</w:t>
            </w:r>
          </w:p>
        </w:tc>
        <w:tc>
          <w:tcPr>
            <w:tcW w:w="1000" w:type="pct"/>
            <w:noWrap w:val="0"/>
            <w:vAlign w:val="center"/>
          </w:tcPr>
          <w:p w14:paraId="5F8745CA">
            <w:pPr>
              <w:keepNext/>
              <w:keepLines/>
              <w:jc w:val="center"/>
              <w:rPr>
                <w:bCs/>
                <w:color w:val="auto"/>
                <w:szCs w:val="44"/>
              </w:rPr>
            </w:pPr>
            <w:r>
              <w:rPr>
                <w:bCs/>
                <w:color w:val="auto"/>
                <w:szCs w:val="44"/>
              </w:rPr>
              <w:t>Ⅲ</w:t>
            </w:r>
          </w:p>
        </w:tc>
        <w:tc>
          <w:tcPr>
            <w:tcW w:w="1001" w:type="pct"/>
            <w:noWrap w:val="0"/>
            <w:vAlign w:val="center"/>
          </w:tcPr>
          <w:p w14:paraId="1802C372">
            <w:pPr>
              <w:keepNext/>
              <w:keepLines/>
              <w:jc w:val="center"/>
              <w:rPr>
                <w:bCs/>
                <w:color w:val="auto"/>
                <w:szCs w:val="44"/>
              </w:rPr>
            </w:pPr>
            <w:r>
              <w:rPr>
                <w:bCs/>
                <w:color w:val="auto"/>
                <w:szCs w:val="44"/>
              </w:rPr>
              <w:t>Ⅱ</w:t>
            </w:r>
          </w:p>
        </w:tc>
      </w:tr>
      <w:tr w14:paraId="41B7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noWrap w:val="0"/>
            <w:vAlign w:val="center"/>
          </w:tcPr>
          <w:p w14:paraId="201F78BA">
            <w:pPr>
              <w:keepNext/>
              <w:keepLines/>
              <w:jc w:val="center"/>
              <w:rPr>
                <w:bCs/>
                <w:color w:val="auto"/>
                <w:szCs w:val="44"/>
              </w:rPr>
            </w:pPr>
            <w:r>
              <w:rPr>
                <w:bCs/>
                <w:color w:val="auto"/>
                <w:szCs w:val="44"/>
              </w:rPr>
              <w:t>环境低度敏感区</w:t>
            </w:r>
          </w:p>
        </w:tc>
        <w:tc>
          <w:tcPr>
            <w:tcW w:w="999" w:type="pct"/>
            <w:noWrap w:val="0"/>
            <w:vAlign w:val="center"/>
          </w:tcPr>
          <w:p w14:paraId="4FFFA3FF">
            <w:pPr>
              <w:keepNext/>
              <w:keepLines/>
              <w:jc w:val="center"/>
              <w:rPr>
                <w:bCs/>
                <w:color w:val="auto"/>
                <w:szCs w:val="44"/>
              </w:rPr>
            </w:pPr>
            <w:r>
              <w:rPr>
                <w:bCs/>
                <w:color w:val="auto"/>
                <w:szCs w:val="44"/>
              </w:rPr>
              <w:t>Ⅲ</w:t>
            </w:r>
          </w:p>
        </w:tc>
        <w:tc>
          <w:tcPr>
            <w:tcW w:w="999" w:type="pct"/>
            <w:noWrap w:val="0"/>
            <w:vAlign w:val="center"/>
          </w:tcPr>
          <w:p w14:paraId="3910D06A">
            <w:pPr>
              <w:keepNext/>
              <w:keepLines/>
              <w:jc w:val="center"/>
              <w:rPr>
                <w:bCs/>
                <w:color w:val="auto"/>
                <w:szCs w:val="44"/>
              </w:rPr>
            </w:pPr>
            <w:r>
              <w:rPr>
                <w:bCs/>
                <w:color w:val="auto"/>
                <w:szCs w:val="44"/>
              </w:rPr>
              <w:t>Ⅲ</w:t>
            </w:r>
          </w:p>
        </w:tc>
        <w:tc>
          <w:tcPr>
            <w:tcW w:w="1000" w:type="pct"/>
            <w:noWrap w:val="0"/>
            <w:vAlign w:val="center"/>
          </w:tcPr>
          <w:p w14:paraId="16C99321">
            <w:pPr>
              <w:keepNext/>
              <w:keepLines/>
              <w:jc w:val="center"/>
              <w:rPr>
                <w:bCs/>
                <w:color w:val="auto"/>
                <w:szCs w:val="44"/>
              </w:rPr>
            </w:pPr>
            <w:r>
              <w:rPr>
                <w:bCs/>
                <w:color w:val="auto"/>
                <w:szCs w:val="44"/>
              </w:rPr>
              <w:t>Ⅱ</w:t>
            </w:r>
          </w:p>
        </w:tc>
        <w:tc>
          <w:tcPr>
            <w:tcW w:w="1001" w:type="pct"/>
            <w:noWrap w:val="0"/>
            <w:vAlign w:val="center"/>
          </w:tcPr>
          <w:p w14:paraId="7744A8ED">
            <w:pPr>
              <w:keepNext/>
              <w:keepLines/>
              <w:jc w:val="center"/>
              <w:rPr>
                <w:bCs/>
                <w:color w:val="auto"/>
                <w:szCs w:val="44"/>
              </w:rPr>
            </w:pPr>
            <w:r>
              <w:rPr>
                <w:bCs/>
                <w:color w:val="auto"/>
                <w:szCs w:val="44"/>
              </w:rPr>
              <w:t>Ⅰ</w:t>
            </w:r>
          </w:p>
        </w:tc>
      </w:tr>
      <w:tr w14:paraId="6C49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noWrap w:val="0"/>
            <w:vAlign w:val="center"/>
          </w:tcPr>
          <w:p w14:paraId="31C616C2">
            <w:pPr>
              <w:keepNext/>
              <w:keepLines/>
              <w:jc w:val="center"/>
              <w:rPr>
                <w:bCs/>
                <w:color w:val="auto"/>
                <w:szCs w:val="44"/>
              </w:rPr>
            </w:pPr>
            <w:r>
              <w:rPr>
                <w:bCs/>
                <w:color w:val="auto"/>
                <w:szCs w:val="44"/>
              </w:rPr>
              <w:t>注：Ⅳ+为极高环境风险</w:t>
            </w:r>
          </w:p>
        </w:tc>
      </w:tr>
    </w:tbl>
    <w:p w14:paraId="329744F9">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eastAsia="楷体"/>
          <w:b/>
          <w:color w:val="auto"/>
          <w:sz w:val="32"/>
        </w:rPr>
      </w:pPr>
      <w:r>
        <w:rPr>
          <w:rFonts w:eastAsia="楷体"/>
          <w:b/>
          <w:color w:val="auto"/>
          <w:sz w:val="32"/>
        </w:rPr>
        <w:t>7.3.2危险物质及工艺系统危险性（P）的分级</w:t>
      </w:r>
    </w:p>
    <w:p w14:paraId="4EFD7064">
      <w:pPr>
        <w:spacing w:line="360" w:lineRule="auto"/>
        <w:ind w:firstLine="480" w:firstLineChars="200"/>
        <w:rPr>
          <w:color w:val="auto"/>
          <w:sz w:val="24"/>
        </w:rPr>
      </w:pPr>
      <w:r>
        <w:rPr>
          <w:color w:val="auto"/>
          <w:sz w:val="24"/>
        </w:rPr>
        <w:t>根据《建设项目环境风险评价技术导则》（HJ169-2018），危险物质及工艺系统危害性（P）应根据危险物质数量与临界量的比值（Q）和行业及生产工艺（M）共同确定。</w:t>
      </w:r>
    </w:p>
    <w:p w14:paraId="4909EE23">
      <w:pPr>
        <w:spacing w:line="360" w:lineRule="auto"/>
        <w:ind w:firstLine="480" w:firstLineChars="200"/>
        <w:rPr>
          <w:color w:val="auto"/>
          <w:sz w:val="24"/>
        </w:rPr>
      </w:pPr>
      <w:r>
        <w:rPr>
          <w:color w:val="auto"/>
          <w:sz w:val="24"/>
        </w:rPr>
        <w:t>（1）危险物质数量及临界量比值（Q）</w:t>
      </w:r>
    </w:p>
    <w:p w14:paraId="26CF6550">
      <w:pPr>
        <w:spacing w:line="360" w:lineRule="auto"/>
        <w:ind w:firstLine="480" w:firstLineChars="200"/>
        <w:rPr>
          <w:color w:val="auto"/>
          <w:sz w:val="24"/>
        </w:rPr>
      </w:pPr>
      <w:r>
        <w:rPr>
          <w:color w:val="auto"/>
          <w:sz w:val="24"/>
        </w:rPr>
        <w:t>计算所涉及的每种危险物质在厂界内的最大存在总量与其在附录B中对应临界量的比值Q。在不同厂区的同一种物质，按其在厂界内的最大存在总量计算。按照根据《建设项目环境风险评价技术导则》（HJ169-2018）附录C，当存在多种危险物质时，Q按下式进行计算：</w:t>
      </w:r>
    </w:p>
    <w:p w14:paraId="21780FCA">
      <w:pPr>
        <w:spacing w:line="360" w:lineRule="auto"/>
        <w:ind w:firstLine="560" w:firstLineChars="200"/>
        <w:jc w:val="center"/>
        <w:rPr>
          <w:color w:val="auto"/>
          <w:sz w:val="28"/>
          <w:szCs w:val="28"/>
          <w:vertAlign w:val="subscript"/>
        </w:rPr>
      </w:pPr>
      <w:r>
        <w:rPr>
          <w:color w:val="auto"/>
          <w:sz w:val="28"/>
          <w:szCs w:val="28"/>
        </w:rPr>
        <w:t>Q=q</w:t>
      </w:r>
      <w:r>
        <w:rPr>
          <w:color w:val="auto"/>
          <w:sz w:val="28"/>
          <w:szCs w:val="28"/>
          <w:vertAlign w:val="subscript"/>
        </w:rPr>
        <w:t>1</w:t>
      </w:r>
      <w:r>
        <w:rPr>
          <w:color w:val="auto"/>
          <w:sz w:val="28"/>
          <w:szCs w:val="28"/>
        </w:rPr>
        <w:t>/Q</w:t>
      </w:r>
      <w:r>
        <w:rPr>
          <w:color w:val="auto"/>
          <w:sz w:val="28"/>
          <w:szCs w:val="28"/>
          <w:vertAlign w:val="subscript"/>
        </w:rPr>
        <w:t>1</w:t>
      </w:r>
      <w:r>
        <w:rPr>
          <w:color w:val="auto"/>
          <w:sz w:val="28"/>
          <w:szCs w:val="28"/>
        </w:rPr>
        <w:t>+q</w:t>
      </w:r>
      <w:r>
        <w:rPr>
          <w:color w:val="auto"/>
          <w:sz w:val="28"/>
          <w:szCs w:val="28"/>
          <w:vertAlign w:val="subscript"/>
        </w:rPr>
        <w:t>2</w:t>
      </w:r>
      <w:r>
        <w:rPr>
          <w:color w:val="auto"/>
          <w:sz w:val="28"/>
          <w:szCs w:val="28"/>
        </w:rPr>
        <w:t>/Q</w:t>
      </w:r>
      <w:r>
        <w:rPr>
          <w:color w:val="auto"/>
          <w:sz w:val="28"/>
          <w:szCs w:val="28"/>
          <w:vertAlign w:val="subscript"/>
        </w:rPr>
        <w:t>2</w:t>
      </w:r>
      <w:r>
        <w:rPr>
          <w:color w:val="auto"/>
          <w:sz w:val="28"/>
          <w:szCs w:val="28"/>
        </w:rPr>
        <w:t>+…+q</w:t>
      </w:r>
      <w:r>
        <w:rPr>
          <w:color w:val="auto"/>
          <w:sz w:val="28"/>
          <w:szCs w:val="28"/>
          <w:vertAlign w:val="subscript"/>
        </w:rPr>
        <w:t>n</w:t>
      </w:r>
      <w:r>
        <w:rPr>
          <w:color w:val="auto"/>
          <w:sz w:val="28"/>
          <w:szCs w:val="28"/>
        </w:rPr>
        <w:t>/Q</w:t>
      </w:r>
      <w:r>
        <w:rPr>
          <w:color w:val="auto"/>
          <w:sz w:val="28"/>
          <w:szCs w:val="28"/>
          <w:vertAlign w:val="subscript"/>
        </w:rPr>
        <w:t>n</w:t>
      </w:r>
    </w:p>
    <w:p w14:paraId="5C561B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式中：q</w:t>
      </w:r>
      <w:r>
        <w:rPr>
          <w:color w:val="auto"/>
          <w:sz w:val="24"/>
          <w:vertAlign w:val="subscript"/>
        </w:rPr>
        <w:t>1</w:t>
      </w:r>
      <w:r>
        <w:rPr>
          <w:color w:val="auto"/>
          <w:sz w:val="24"/>
        </w:rPr>
        <w:t>，q</w:t>
      </w:r>
      <w:r>
        <w:rPr>
          <w:color w:val="auto"/>
          <w:sz w:val="24"/>
          <w:vertAlign w:val="subscript"/>
        </w:rPr>
        <w:t>2</w:t>
      </w:r>
      <w:r>
        <w:rPr>
          <w:color w:val="auto"/>
          <w:sz w:val="24"/>
        </w:rPr>
        <w:t>…，qn—每种危险物质的最大存在总量，t；</w:t>
      </w:r>
    </w:p>
    <w:p w14:paraId="68452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—每种危险物质的临界量，t。当Q＜1时，该项目环境风险潜势为Ⅰ。</w:t>
      </w:r>
    </w:p>
    <w:p w14:paraId="21337B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当Q≥1时，将Q值划分为：（1）1≤Q＜10；（2）10≤Q＜100；（3）Q≥100。</w:t>
      </w:r>
    </w:p>
    <w:p w14:paraId="39DF05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结合风险物质调查及识别过程结果，</w:t>
      </w:r>
      <w:r>
        <w:rPr>
          <w:rFonts w:hint="eastAsia"/>
          <w:color w:val="auto"/>
          <w:sz w:val="24"/>
          <w:lang w:val="en-US" w:eastAsia="zh-CN"/>
        </w:rPr>
        <w:t>全厂</w:t>
      </w:r>
      <w:r>
        <w:rPr>
          <w:color w:val="auto"/>
          <w:sz w:val="24"/>
        </w:rPr>
        <w:t>危险物质数量与临界量比值Q值为</w:t>
      </w:r>
      <w:r>
        <w:rPr>
          <w:rFonts w:hint="eastAsia"/>
          <w:color w:val="auto"/>
          <w:sz w:val="24"/>
        </w:rPr>
        <w:t>72.9699</w:t>
      </w:r>
      <w:r>
        <w:rPr>
          <w:color w:val="auto"/>
          <w:sz w:val="24"/>
        </w:rPr>
        <w:t>，10≤Q＜100。具体判定结果见表7.3-2。</w:t>
      </w:r>
    </w:p>
    <w:p w14:paraId="621703A4">
      <w:pPr>
        <w:keepNext/>
        <w:keepLines/>
        <w:jc w:val="center"/>
        <w:rPr>
          <w:b/>
          <w:color w:val="auto"/>
          <w:sz w:val="24"/>
        </w:rPr>
      </w:pPr>
      <w:r>
        <w:rPr>
          <w:b/>
          <w:color w:val="auto"/>
          <w:sz w:val="24"/>
        </w:rPr>
        <w:t>表7.3-2危险物质数量与临界量比值Q值计算结果</w:t>
      </w:r>
    </w:p>
    <w:tbl>
      <w:tblPr>
        <w:tblStyle w:val="24"/>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76"/>
        <w:gridCol w:w="900"/>
        <w:gridCol w:w="938"/>
        <w:gridCol w:w="1247"/>
        <w:gridCol w:w="965"/>
        <w:gridCol w:w="1022"/>
        <w:gridCol w:w="1041"/>
        <w:gridCol w:w="1073"/>
        <w:gridCol w:w="427"/>
      </w:tblGrid>
      <w:tr w14:paraId="2AE4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7" w:type="dxa"/>
            <w:vAlign w:val="center"/>
          </w:tcPr>
          <w:p w14:paraId="0F8A2C48">
            <w:pPr>
              <w:pStyle w:val="50"/>
              <w:spacing w:before="24" w:after="24"/>
              <w:jc w:val="center"/>
              <w:rPr>
                <w:rFonts w:ascii="Times New Roman"/>
                <w:b/>
                <w:color w:val="auto"/>
              </w:rPr>
            </w:pPr>
            <w:r>
              <w:rPr>
                <w:rFonts w:ascii="Times New Roman"/>
                <w:b/>
                <w:color w:val="auto"/>
              </w:rPr>
              <w:t>序号</w:t>
            </w:r>
          </w:p>
        </w:tc>
        <w:tc>
          <w:tcPr>
            <w:tcW w:w="876" w:type="dxa"/>
            <w:vAlign w:val="center"/>
          </w:tcPr>
          <w:p w14:paraId="18B4FC7C">
            <w:pPr>
              <w:pStyle w:val="50"/>
              <w:spacing w:before="24" w:after="24"/>
              <w:jc w:val="center"/>
              <w:rPr>
                <w:rFonts w:ascii="Times New Roman"/>
                <w:b/>
                <w:color w:val="auto"/>
              </w:rPr>
            </w:pPr>
            <w:r>
              <w:rPr>
                <w:rFonts w:ascii="Times New Roman"/>
                <w:b/>
                <w:color w:val="auto"/>
              </w:rPr>
              <w:t>危险物质名称</w:t>
            </w:r>
          </w:p>
        </w:tc>
        <w:tc>
          <w:tcPr>
            <w:tcW w:w="900" w:type="dxa"/>
            <w:vAlign w:val="center"/>
          </w:tcPr>
          <w:p w14:paraId="71C9F264">
            <w:pPr>
              <w:pStyle w:val="50"/>
              <w:spacing w:before="24" w:after="24"/>
              <w:jc w:val="center"/>
              <w:rPr>
                <w:rFonts w:ascii="Times New Roman"/>
                <w:b/>
                <w:color w:val="auto"/>
              </w:rPr>
            </w:pPr>
            <w:r>
              <w:rPr>
                <w:rFonts w:ascii="Times New Roman"/>
                <w:b/>
                <w:color w:val="auto"/>
              </w:rPr>
              <w:t>CAS号</w:t>
            </w:r>
          </w:p>
        </w:tc>
        <w:tc>
          <w:tcPr>
            <w:tcW w:w="938" w:type="dxa"/>
            <w:vAlign w:val="center"/>
          </w:tcPr>
          <w:p w14:paraId="51939332">
            <w:pPr>
              <w:pStyle w:val="50"/>
              <w:spacing w:before="24" w:after="24"/>
              <w:jc w:val="center"/>
              <w:rPr>
                <w:rFonts w:ascii="Times New Roman"/>
                <w:b/>
                <w:color w:val="auto"/>
              </w:rPr>
            </w:pPr>
            <w:r>
              <w:rPr>
                <w:rFonts w:hint="eastAsia" w:ascii="Times New Roman"/>
                <w:b/>
                <w:color w:val="auto"/>
                <w:lang w:val="en-US" w:eastAsia="zh-CN"/>
              </w:rPr>
              <w:t>本项目</w:t>
            </w:r>
            <w:r>
              <w:rPr>
                <w:rFonts w:ascii="Times New Roman"/>
                <w:b/>
                <w:color w:val="auto"/>
              </w:rPr>
              <w:t>最大存在总量qi/t</w:t>
            </w:r>
          </w:p>
        </w:tc>
        <w:tc>
          <w:tcPr>
            <w:tcW w:w="1247" w:type="dxa"/>
            <w:vAlign w:val="center"/>
          </w:tcPr>
          <w:p w14:paraId="571196AD">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一期项目最大</w:t>
            </w:r>
            <w:r>
              <w:rPr>
                <w:rFonts w:ascii="Times New Roman"/>
                <w:b/>
                <w:color w:val="auto"/>
              </w:rPr>
              <w:t>存在总量</w:t>
            </w:r>
          </w:p>
        </w:tc>
        <w:tc>
          <w:tcPr>
            <w:tcW w:w="965" w:type="dxa"/>
            <w:vAlign w:val="center"/>
          </w:tcPr>
          <w:p w14:paraId="0A312B63">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全厂最大贮存量</w:t>
            </w:r>
          </w:p>
        </w:tc>
        <w:tc>
          <w:tcPr>
            <w:tcW w:w="1022" w:type="dxa"/>
            <w:vAlign w:val="center"/>
          </w:tcPr>
          <w:p w14:paraId="708ABF30">
            <w:pPr>
              <w:pStyle w:val="50"/>
              <w:spacing w:before="24" w:after="24"/>
              <w:jc w:val="center"/>
              <w:rPr>
                <w:rFonts w:ascii="Times New Roman"/>
                <w:b/>
                <w:color w:val="auto"/>
              </w:rPr>
            </w:pPr>
            <w:r>
              <w:rPr>
                <w:rFonts w:ascii="Times New Roman"/>
                <w:b/>
                <w:color w:val="auto"/>
              </w:rPr>
              <w:t>临界量Qn/t</w:t>
            </w:r>
          </w:p>
        </w:tc>
        <w:tc>
          <w:tcPr>
            <w:tcW w:w="1041" w:type="dxa"/>
            <w:vAlign w:val="center"/>
          </w:tcPr>
          <w:p w14:paraId="59650CD0">
            <w:pPr>
              <w:pStyle w:val="50"/>
              <w:spacing w:before="24" w:after="24"/>
              <w:jc w:val="center"/>
              <w:rPr>
                <w:rFonts w:ascii="Times New Roman"/>
                <w:b/>
                <w:color w:val="auto"/>
              </w:rPr>
            </w:pPr>
            <w:r>
              <w:rPr>
                <w:rFonts w:ascii="Times New Roman"/>
                <w:b/>
                <w:color w:val="auto"/>
              </w:rPr>
              <w:t>该种物质Q值</w:t>
            </w:r>
          </w:p>
        </w:tc>
        <w:tc>
          <w:tcPr>
            <w:tcW w:w="1073" w:type="dxa"/>
            <w:vAlign w:val="center"/>
          </w:tcPr>
          <w:p w14:paraId="077C1004">
            <w:pPr>
              <w:pStyle w:val="50"/>
              <w:spacing w:before="24" w:after="24"/>
              <w:jc w:val="center"/>
              <w:rPr>
                <w:rFonts w:hint="default" w:ascii="Times New Roman" w:eastAsia="宋体"/>
                <w:b/>
                <w:color w:val="auto"/>
                <w:lang w:val="en-US" w:eastAsia="zh-CN"/>
              </w:rPr>
            </w:pPr>
            <w:r>
              <w:rPr>
                <w:rFonts w:hint="eastAsia" w:ascii="Times New Roman"/>
                <w:b/>
                <w:color w:val="auto"/>
                <w:lang w:val="en-US" w:eastAsia="zh-CN"/>
              </w:rPr>
              <w:t>是否超过临界量</w:t>
            </w:r>
          </w:p>
        </w:tc>
        <w:tc>
          <w:tcPr>
            <w:tcW w:w="427" w:type="dxa"/>
            <w:vAlign w:val="center"/>
          </w:tcPr>
          <w:p w14:paraId="2D66B319">
            <w:pPr>
              <w:pStyle w:val="50"/>
              <w:spacing w:before="24" w:after="24"/>
              <w:jc w:val="center"/>
              <w:rPr>
                <w:rFonts w:hint="eastAsia" w:ascii="Times New Roman"/>
                <w:b/>
                <w:color w:val="auto"/>
                <w:lang w:val="en-US" w:eastAsia="zh-CN"/>
              </w:rPr>
            </w:pPr>
            <w:r>
              <w:rPr>
                <w:rFonts w:hint="eastAsia" w:ascii="Times New Roman"/>
                <w:b/>
                <w:color w:val="auto"/>
                <w:lang w:val="en-US" w:eastAsia="zh-CN"/>
              </w:rPr>
              <w:t>分布位置</w:t>
            </w:r>
          </w:p>
        </w:tc>
      </w:tr>
      <w:tr w14:paraId="3335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CAC7A95">
            <w:pPr>
              <w:pStyle w:val="50"/>
              <w:spacing w:before="24" w:after="24"/>
              <w:jc w:val="center"/>
              <w:rPr>
                <w:rFonts w:ascii="Times New Roman"/>
                <w:color w:val="auto"/>
              </w:rPr>
            </w:pPr>
            <w:r>
              <w:rPr>
                <w:rFonts w:hint="eastAsia" w:ascii="Times New Roman"/>
                <w:color w:val="auto"/>
              </w:rPr>
              <w:t>1</w:t>
            </w:r>
          </w:p>
        </w:tc>
        <w:tc>
          <w:tcPr>
            <w:tcW w:w="876" w:type="dxa"/>
            <w:shd w:val="clear" w:color="auto" w:fill="auto"/>
            <w:vAlign w:val="center"/>
          </w:tcPr>
          <w:p w14:paraId="7DF95A2A">
            <w:pPr>
              <w:jc w:val="center"/>
              <w:rPr>
                <w:bCs/>
                <w:color w:val="auto"/>
                <w:kern w:val="0"/>
              </w:rPr>
            </w:pPr>
            <w:r>
              <w:rPr>
                <w:rFonts w:hint="eastAsia"/>
                <w:bCs/>
                <w:color w:val="auto"/>
                <w:kern w:val="0"/>
              </w:rPr>
              <w:t>油类物质</w:t>
            </w:r>
          </w:p>
        </w:tc>
        <w:tc>
          <w:tcPr>
            <w:tcW w:w="900" w:type="dxa"/>
            <w:shd w:val="clear" w:color="auto" w:fill="auto"/>
            <w:vAlign w:val="center"/>
          </w:tcPr>
          <w:p w14:paraId="79CB96D1">
            <w:pPr>
              <w:jc w:val="center"/>
              <w:rPr>
                <w:bCs/>
                <w:color w:val="auto"/>
                <w:kern w:val="0"/>
              </w:rPr>
            </w:pPr>
            <w:r>
              <w:rPr>
                <w:rFonts w:hint="eastAsia"/>
                <w:bCs/>
                <w:color w:val="auto"/>
                <w:kern w:val="0"/>
              </w:rPr>
              <w:t>/</w:t>
            </w:r>
          </w:p>
        </w:tc>
        <w:tc>
          <w:tcPr>
            <w:tcW w:w="938" w:type="dxa"/>
            <w:shd w:val="clear" w:color="auto" w:fill="auto"/>
            <w:vAlign w:val="center"/>
          </w:tcPr>
          <w:p w14:paraId="30D23A72">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1.8027</w:t>
            </w:r>
          </w:p>
        </w:tc>
        <w:tc>
          <w:tcPr>
            <w:tcW w:w="1247" w:type="dxa"/>
            <w:vAlign w:val="center"/>
          </w:tcPr>
          <w:p w14:paraId="18EC2B5C">
            <w:pPr>
              <w:pStyle w:val="63"/>
              <w:jc w:val="center"/>
              <w:rPr>
                <w:rFonts w:hint="default" w:eastAsia="宋体"/>
                <w:color w:val="auto"/>
                <w:lang w:val="en-US" w:eastAsia="zh-CN"/>
              </w:rPr>
            </w:pPr>
            <w:r>
              <w:rPr>
                <w:rFonts w:hint="eastAsia"/>
                <w:color w:val="auto"/>
                <w:lang w:val="en-US" w:eastAsia="zh-CN"/>
              </w:rPr>
              <w:t>0.005</w:t>
            </w:r>
          </w:p>
        </w:tc>
        <w:tc>
          <w:tcPr>
            <w:tcW w:w="965" w:type="dxa"/>
            <w:vAlign w:val="center"/>
          </w:tcPr>
          <w:p w14:paraId="3356BF08">
            <w:pPr>
              <w:jc w:val="center"/>
              <w:rPr>
                <w:rFonts w:hint="eastAsia"/>
                <w:color w:val="auto"/>
              </w:rPr>
            </w:pPr>
            <w:r>
              <w:rPr>
                <w:rFonts w:hint="eastAsia"/>
                <w:color w:val="auto"/>
                <w:lang w:val="en-US" w:eastAsia="zh-CN"/>
              </w:rPr>
              <w:t>1.8077</w:t>
            </w:r>
          </w:p>
        </w:tc>
        <w:tc>
          <w:tcPr>
            <w:tcW w:w="1022" w:type="dxa"/>
            <w:vAlign w:val="center"/>
          </w:tcPr>
          <w:p w14:paraId="6736D621">
            <w:pPr>
              <w:jc w:val="center"/>
              <w:rPr>
                <w:color w:val="auto"/>
              </w:rPr>
            </w:pPr>
            <w:r>
              <w:rPr>
                <w:rFonts w:hint="default"/>
                <w:color w:val="auto"/>
                <w:lang w:val="en-US" w:eastAsia="zh-CN"/>
              </w:rPr>
              <w:t>2500</w:t>
            </w:r>
          </w:p>
        </w:tc>
        <w:tc>
          <w:tcPr>
            <w:tcW w:w="1041" w:type="dxa"/>
            <w:vAlign w:val="center"/>
          </w:tcPr>
          <w:p w14:paraId="189DBC80">
            <w:pPr>
              <w:jc w:val="center"/>
              <w:rPr>
                <w:color w:val="auto"/>
              </w:rPr>
            </w:pPr>
            <w:r>
              <w:rPr>
                <w:rFonts w:hint="default"/>
                <w:color w:val="auto"/>
                <w:lang w:val="en-US" w:eastAsia="zh-CN"/>
              </w:rPr>
              <w:t>0.0007</w:t>
            </w:r>
          </w:p>
        </w:tc>
        <w:tc>
          <w:tcPr>
            <w:tcW w:w="1073" w:type="dxa"/>
            <w:vAlign w:val="center"/>
          </w:tcPr>
          <w:p w14:paraId="358848C5">
            <w:pPr>
              <w:jc w:val="center"/>
              <w:rPr>
                <w:rFonts w:hint="eastAsia"/>
                <w:color w:val="auto"/>
                <w:lang w:val="en-US" w:eastAsia="zh-CN"/>
              </w:rPr>
            </w:pPr>
            <w:r>
              <w:rPr>
                <w:rFonts w:hint="eastAsia"/>
                <w:color w:val="auto"/>
                <w:lang w:val="en-US" w:eastAsia="zh-CN"/>
              </w:rPr>
              <w:t>否</w:t>
            </w:r>
          </w:p>
        </w:tc>
        <w:tc>
          <w:tcPr>
            <w:tcW w:w="427" w:type="dxa"/>
            <w:vMerge w:val="restart"/>
            <w:vAlign w:val="center"/>
          </w:tcPr>
          <w:p w14:paraId="59768F90">
            <w:pPr>
              <w:jc w:val="center"/>
              <w:rPr>
                <w:rFonts w:hint="default"/>
                <w:color w:val="auto"/>
                <w:lang w:val="en-US" w:eastAsia="zh-CN"/>
              </w:rPr>
            </w:pPr>
            <w:r>
              <w:rPr>
                <w:rFonts w:hint="eastAsia"/>
                <w:color w:val="auto"/>
                <w:lang w:val="en-US" w:eastAsia="zh-CN"/>
              </w:rPr>
              <w:t>危废间、1#仓库、2#危化品仓库</w:t>
            </w:r>
          </w:p>
        </w:tc>
      </w:tr>
      <w:tr w14:paraId="590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E2D31E7">
            <w:pPr>
              <w:pStyle w:val="50"/>
              <w:spacing w:before="24" w:after="24"/>
              <w:jc w:val="center"/>
              <w:rPr>
                <w:rFonts w:ascii="Times New Roman"/>
                <w:color w:val="auto"/>
              </w:rPr>
            </w:pPr>
            <w:r>
              <w:rPr>
                <w:rFonts w:hint="eastAsia" w:ascii="Times New Roman"/>
                <w:color w:val="auto"/>
              </w:rPr>
              <w:t>2</w:t>
            </w:r>
          </w:p>
        </w:tc>
        <w:tc>
          <w:tcPr>
            <w:tcW w:w="876" w:type="dxa"/>
            <w:shd w:val="clear" w:color="auto" w:fill="auto"/>
            <w:vAlign w:val="center"/>
          </w:tcPr>
          <w:p w14:paraId="1F4F9C68">
            <w:pPr>
              <w:jc w:val="center"/>
              <w:rPr>
                <w:bCs/>
                <w:color w:val="auto"/>
                <w:kern w:val="0"/>
              </w:rPr>
            </w:pPr>
            <w:r>
              <w:rPr>
                <w:rFonts w:hint="eastAsia"/>
                <w:color w:val="auto"/>
              </w:rPr>
              <w:t>丙酮</w:t>
            </w:r>
          </w:p>
        </w:tc>
        <w:tc>
          <w:tcPr>
            <w:tcW w:w="900" w:type="dxa"/>
            <w:shd w:val="clear" w:color="auto" w:fill="auto"/>
            <w:vAlign w:val="center"/>
          </w:tcPr>
          <w:p w14:paraId="54D5F1F9">
            <w:pPr>
              <w:jc w:val="center"/>
              <w:rPr>
                <w:bCs/>
                <w:color w:val="auto"/>
                <w:kern w:val="0"/>
              </w:rPr>
            </w:pPr>
            <w:r>
              <w:rPr>
                <w:rFonts w:hint="eastAsia"/>
                <w:bCs/>
                <w:color w:val="auto"/>
                <w:kern w:val="0"/>
              </w:rPr>
              <w:t>67-64-1</w:t>
            </w:r>
          </w:p>
        </w:tc>
        <w:tc>
          <w:tcPr>
            <w:tcW w:w="938" w:type="dxa"/>
            <w:shd w:val="clear" w:color="auto" w:fill="auto"/>
            <w:vAlign w:val="center"/>
          </w:tcPr>
          <w:p w14:paraId="47A4FF53">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1247" w:type="dxa"/>
            <w:vAlign w:val="center"/>
          </w:tcPr>
          <w:p w14:paraId="428D647B">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1830C99B">
            <w:pPr>
              <w:jc w:val="center"/>
              <w:rPr>
                <w:rFonts w:hint="eastAsia"/>
                <w:color w:val="auto"/>
              </w:rPr>
            </w:pPr>
            <w:r>
              <w:rPr>
                <w:rFonts w:hint="eastAsia"/>
                <w:color w:val="auto"/>
                <w:lang w:val="en-US" w:eastAsia="zh-CN"/>
              </w:rPr>
              <w:t>0.72</w:t>
            </w:r>
          </w:p>
        </w:tc>
        <w:tc>
          <w:tcPr>
            <w:tcW w:w="1022" w:type="dxa"/>
            <w:vAlign w:val="center"/>
          </w:tcPr>
          <w:p w14:paraId="67B39C0A">
            <w:pPr>
              <w:jc w:val="center"/>
              <w:rPr>
                <w:color w:val="auto"/>
              </w:rPr>
            </w:pPr>
            <w:r>
              <w:rPr>
                <w:rFonts w:hint="default"/>
                <w:color w:val="auto"/>
                <w:lang w:val="en-US" w:eastAsia="zh-CN"/>
              </w:rPr>
              <w:t>10</w:t>
            </w:r>
          </w:p>
        </w:tc>
        <w:tc>
          <w:tcPr>
            <w:tcW w:w="1041" w:type="dxa"/>
            <w:vAlign w:val="center"/>
          </w:tcPr>
          <w:p w14:paraId="58F1D327">
            <w:pPr>
              <w:jc w:val="center"/>
              <w:rPr>
                <w:color w:val="auto"/>
              </w:rPr>
            </w:pPr>
            <w:r>
              <w:rPr>
                <w:rFonts w:hint="default"/>
                <w:color w:val="auto"/>
                <w:lang w:val="en-US" w:eastAsia="zh-CN"/>
              </w:rPr>
              <w:t>0.0720</w:t>
            </w:r>
          </w:p>
        </w:tc>
        <w:tc>
          <w:tcPr>
            <w:tcW w:w="1073" w:type="dxa"/>
            <w:vAlign w:val="center"/>
          </w:tcPr>
          <w:p w14:paraId="5EB9A4D7">
            <w:pPr>
              <w:jc w:val="center"/>
              <w:rPr>
                <w:rFonts w:hint="eastAsia"/>
                <w:color w:val="auto"/>
              </w:rPr>
            </w:pPr>
            <w:r>
              <w:rPr>
                <w:rFonts w:hint="eastAsia"/>
                <w:color w:val="auto"/>
                <w:lang w:val="en-US" w:eastAsia="zh-CN"/>
              </w:rPr>
              <w:t>否</w:t>
            </w:r>
          </w:p>
        </w:tc>
        <w:tc>
          <w:tcPr>
            <w:tcW w:w="427" w:type="dxa"/>
            <w:vMerge w:val="continue"/>
            <w:vAlign w:val="center"/>
          </w:tcPr>
          <w:p w14:paraId="23850EB1">
            <w:pPr>
              <w:jc w:val="center"/>
              <w:rPr>
                <w:rFonts w:hint="eastAsia"/>
                <w:color w:val="auto"/>
                <w:lang w:val="en-US" w:eastAsia="zh-CN"/>
              </w:rPr>
            </w:pPr>
          </w:p>
        </w:tc>
      </w:tr>
      <w:tr w14:paraId="2492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D456076">
            <w:pPr>
              <w:pStyle w:val="50"/>
              <w:spacing w:before="24" w:after="24"/>
              <w:jc w:val="center"/>
              <w:rPr>
                <w:rFonts w:ascii="Times New Roman"/>
                <w:color w:val="auto"/>
              </w:rPr>
            </w:pPr>
            <w:r>
              <w:rPr>
                <w:rFonts w:hint="eastAsia" w:ascii="Times New Roman"/>
                <w:color w:val="auto"/>
              </w:rPr>
              <w:t>3</w:t>
            </w:r>
          </w:p>
        </w:tc>
        <w:tc>
          <w:tcPr>
            <w:tcW w:w="876" w:type="dxa"/>
            <w:shd w:val="clear" w:color="auto" w:fill="auto"/>
            <w:vAlign w:val="center"/>
          </w:tcPr>
          <w:p w14:paraId="1A9EDF10">
            <w:pPr>
              <w:jc w:val="center"/>
              <w:rPr>
                <w:color w:val="auto"/>
              </w:rPr>
            </w:pPr>
            <w:r>
              <w:rPr>
                <w:rFonts w:hint="eastAsia"/>
                <w:color w:val="auto"/>
              </w:rPr>
              <w:t>无水乙醇、清洁酒精</w:t>
            </w:r>
          </w:p>
        </w:tc>
        <w:tc>
          <w:tcPr>
            <w:tcW w:w="900" w:type="dxa"/>
            <w:shd w:val="clear" w:color="auto" w:fill="auto"/>
            <w:vAlign w:val="center"/>
          </w:tcPr>
          <w:p w14:paraId="6986D1B9">
            <w:pPr>
              <w:jc w:val="center"/>
              <w:rPr>
                <w:bCs/>
                <w:color w:val="auto"/>
                <w:kern w:val="0"/>
              </w:rPr>
            </w:pPr>
            <w:r>
              <w:rPr>
                <w:rFonts w:hint="eastAsia"/>
                <w:bCs/>
                <w:color w:val="auto"/>
                <w:kern w:val="0"/>
              </w:rPr>
              <w:t>/</w:t>
            </w:r>
          </w:p>
        </w:tc>
        <w:tc>
          <w:tcPr>
            <w:tcW w:w="938" w:type="dxa"/>
            <w:shd w:val="clear" w:color="auto" w:fill="auto"/>
            <w:vAlign w:val="center"/>
          </w:tcPr>
          <w:p w14:paraId="71A25058">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247" w:type="dxa"/>
            <w:vAlign w:val="center"/>
          </w:tcPr>
          <w:p w14:paraId="2079991D">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2F3F3270">
            <w:pPr>
              <w:jc w:val="center"/>
              <w:rPr>
                <w:rFonts w:hint="eastAsia"/>
                <w:color w:val="auto"/>
              </w:rPr>
            </w:pPr>
            <w:r>
              <w:rPr>
                <w:rFonts w:hint="eastAsia"/>
                <w:color w:val="auto"/>
                <w:lang w:val="en-US" w:eastAsia="zh-CN"/>
              </w:rPr>
              <w:t>0.28</w:t>
            </w:r>
          </w:p>
        </w:tc>
        <w:tc>
          <w:tcPr>
            <w:tcW w:w="1022" w:type="dxa"/>
            <w:vAlign w:val="center"/>
          </w:tcPr>
          <w:p w14:paraId="1A7F8659">
            <w:pPr>
              <w:jc w:val="center"/>
              <w:rPr>
                <w:color w:val="auto"/>
              </w:rPr>
            </w:pPr>
            <w:r>
              <w:rPr>
                <w:rFonts w:hint="default"/>
                <w:color w:val="auto"/>
                <w:lang w:val="en-US" w:eastAsia="zh-CN"/>
              </w:rPr>
              <w:t>50</w:t>
            </w:r>
          </w:p>
        </w:tc>
        <w:tc>
          <w:tcPr>
            <w:tcW w:w="1041" w:type="dxa"/>
            <w:vAlign w:val="center"/>
          </w:tcPr>
          <w:p w14:paraId="7CEA833D">
            <w:pPr>
              <w:jc w:val="center"/>
              <w:rPr>
                <w:color w:val="auto"/>
              </w:rPr>
            </w:pPr>
            <w:r>
              <w:rPr>
                <w:rFonts w:hint="default"/>
                <w:color w:val="auto"/>
                <w:lang w:val="en-US" w:eastAsia="zh-CN"/>
              </w:rPr>
              <w:t>0.0056</w:t>
            </w:r>
          </w:p>
        </w:tc>
        <w:tc>
          <w:tcPr>
            <w:tcW w:w="1073" w:type="dxa"/>
            <w:vAlign w:val="center"/>
          </w:tcPr>
          <w:p w14:paraId="32324BCE">
            <w:pPr>
              <w:jc w:val="center"/>
              <w:rPr>
                <w:rFonts w:hint="eastAsia"/>
                <w:color w:val="auto"/>
              </w:rPr>
            </w:pPr>
            <w:r>
              <w:rPr>
                <w:rFonts w:hint="eastAsia"/>
                <w:color w:val="auto"/>
                <w:lang w:val="en-US" w:eastAsia="zh-CN"/>
              </w:rPr>
              <w:t>否</w:t>
            </w:r>
          </w:p>
        </w:tc>
        <w:tc>
          <w:tcPr>
            <w:tcW w:w="427" w:type="dxa"/>
            <w:vMerge w:val="continue"/>
            <w:vAlign w:val="center"/>
          </w:tcPr>
          <w:p w14:paraId="0D43421F">
            <w:pPr>
              <w:jc w:val="center"/>
              <w:rPr>
                <w:rFonts w:hint="eastAsia"/>
                <w:color w:val="auto"/>
                <w:lang w:val="en-US" w:eastAsia="zh-CN"/>
              </w:rPr>
            </w:pPr>
          </w:p>
        </w:tc>
      </w:tr>
      <w:tr w14:paraId="2B7F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22513CC">
            <w:pPr>
              <w:pStyle w:val="50"/>
              <w:spacing w:before="24" w:after="24"/>
              <w:jc w:val="center"/>
              <w:rPr>
                <w:rFonts w:ascii="Times New Roman"/>
                <w:color w:val="auto"/>
              </w:rPr>
            </w:pPr>
            <w:r>
              <w:rPr>
                <w:rFonts w:hint="eastAsia" w:ascii="Times New Roman"/>
                <w:color w:val="auto"/>
              </w:rPr>
              <w:t>4</w:t>
            </w:r>
          </w:p>
        </w:tc>
        <w:tc>
          <w:tcPr>
            <w:tcW w:w="876" w:type="dxa"/>
            <w:shd w:val="clear" w:color="auto" w:fill="auto"/>
            <w:vAlign w:val="center"/>
          </w:tcPr>
          <w:p w14:paraId="0A1AFBEF">
            <w:pPr>
              <w:jc w:val="center"/>
              <w:rPr>
                <w:color w:val="auto"/>
              </w:rPr>
            </w:pPr>
            <w:r>
              <w:rPr>
                <w:rFonts w:hint="eastAsia"/>
                <w:color w:val="auto"/>
              </w:rPr>
              <w:t>硫酸</w:t>
            </w:r>
          </w:p>
        </w:tc>
        <w:tc>
          <w:tcPr>
            <w:tcW w:w="900" w:type="dxa"/>
            <w:shd w:val="clear" w:color="auto" w:fill="auto"/>
            <w:vAlign w:val="center"/>
          </w:tcPr>
          <w:p w14:paraId="048A4A9E">
            <w:pPr>
              <w:jc w:val="center"/>
              <w:rPr>
                <w:bCs/>
                <w:color w:val="auto"/>
                <w:kern w:val="0"/>
              </w:rPr>
            </w:pPr>
            <w:r>
              <w:rPr>
                <w:rFonts w:hint="eastAsia"/>
                <w:bCs/>
                <w:color w:val="auto"/>
                <w:kern w:val="0"/>
              </w:rPr>
              <w:t>7664-93-9</w:t>
            </w:r>
          </w:p>
        </w:tc>
        <w:tc>
          <w:tcPr>
            <w:tcW w:w="938" w:type="dxa"/>
            <w:shd w:val="clear" w:color="auto" w:fill="auto"/>
            <w:vAlign w:val="center"/>
          </w:tcPr>
          <w:p w14:paraId="3EBAF54E">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0.425</w:t>
            </w:r>
          </w:p>
        </w:tc>
        <w:tc>
          <w:tcPr>
            <w:tcW w:w="1247" w:type="dxa"/>
            <w:vAlign w:val="center"/>
          </w:tcPr>
          <w:p w14:paraId="60102282">
            <w:pPr>
              <w:pStyle w:val="63"/>
              <w:jc w:val="center"/>
              <w:rPr>
                <w:rFonts w:hint="default" w:eastAsia="宋体"/>
                <w:color w:val="auto"/>
                <w:lang w:val="en-US" w:eastAsia="zh-CN"/>
              </w:rPr>
            </w:pPr>
            <w:r>
              <w:rPr>
                <w:rFonts w:hint="eastAsia"/>
                <w:color w:val="auto"/>
                <w:lang w:val="en-US" w:eastAsia="zh-CN"/>
              </w:rPr>
              <w:t>1.575</w:t>
            </w:r>
          </w:p>
        </w:tc>
        <w:tc>
          <w:tcPr>
            <w:tcW w:w="965" w:type="dxa"/>
            <w:vAlign w:val="center"/>
          </w:tcPr>
          <w:p w14:paraId="77F7CC33">
            <w:pPr>
              <w:jc w:val="center"/>
              <w:rPr>
                <w:rFonts w:hint="eastAsia"/>
                <w:color w:val="auto"/>
              </w:rPr>
            </w:pPr>
            <w:r>
              <w:rPr>
                <w:rFonts w:hint="eastAsia"/>
                <w:color w:val="auto"/>
                <w:lang w:val="en-US" w:eastAsia="zh-CN"/>
              </w:rPr>
              <w:t>2</w:t>
            </w:r>
          </w:p>
        </w:tc>
        <w:tc>
          <w:tcPr>
            <w:tcW w:w="1022" w:type="dxa"/>
            <w:vAlign w:val="center"/>
          </w:tcPr>
          <w:p w14:paraId="1EE45069">
            <w:pPr>
              <w:jc w:val="center"/>
              <w:rPr>
                <w:color w:val="auto"/>
              </w:rPr>
            </w:pPr>
            <w:r>
              <w:rPr>
                <w:rFonts w:hint="default"/>
                <w:color w:val="auto"/>
                <w:lang w:val="en-US" w:eastAsia="zh-CN"/>
              </w:rPr>
              <w:t>10</w:t>
            </w:r>
          </w:p>
        </w:tc>
        <w:tc>
          <w:tcPr>
            <w:tcW w:w="1041" w:type="dxa"/>
            <w:vAlign w:val="center"/>
          </w:tcPr>
          <w:p w14:paraId="49E6F7CC">
            <w:pPr>
              <w:jc w:val="center"/>
              <w:rPr>
                <w:color w:val="auto"/>
              </w:rPr>
            </w:pPr>
            <w:r>
              <w:rPr>
                <w:rFonts w:hint="default"/>
                <w:color w:val="auto"/>
                <w:lang w:val="en-US" w:eastAsia="zh-CN"/>
              </w:rPr>
              <w:t>0.2000</w:t>
            </w:r>
          </w:p>
        </w:tc>
        <w:tc>
          <w:tcPr>
            <w:tcW w:w="1073" w:type="dxa"/>
            <w:shd w:val="clear" w:color="auto" w:fill="auto"/>
            <w:vAlign w:val="center"/>
          </w:tcPr>
          <w:p w14:paraId="36BB2D0F">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565B2CCA">
            <w:pPr>
              <w:jc w:val="center"/>
              <w:rPr>
                <w:rFonts w:hint="eastAsia"/>
                <w:color w:val="auto"/>
                <w:lang w:val="en-US" w:eastAsia="zh-CN"/>
              </w:rPr>
            </w:pPr>
          </w:p>
        </w:tc>
      </w:tr>
      <w:tr w14:paraId="7FA0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427" w:type="dxa"/>
            <w:vAlign w:val="center"/>
          </w:tcPr>
          <w:p w14:paraId="3F503641">
            <w:pPr>
              <w:pStyle w:val="50"/>
              <w:spacing w:before="24" w:after="24"/>
              <w:jc w:val="center"/>
              <w:rPr>
                <w:rFonts w:ascii="Times New Roman"/>
                <w:color w:val="auto"/>
              </w:rPr>
            </w:pPr>
            <w:r>
              <w:rPr>
                <w:rFonts w:hint="eastAsia" w:ascii="Times New Roman"/>
                <w:color w:val="auto"/>
              </w:rPr>
              <w:t>5</w:t>
            </w:r>
          </w:p>
        </w:tc>
        <w:tc>
          <w:tcPr>
            <w:tcW w:w="876" w:type="dxa"/>
            <w:shd w:val="clear" w:color="auto" w:fill="auto"/>
            <w:vAlign w:val="center"/>
          </w:tcPr>
          <w:p w14:paraId="08D13AEB">
            <w:pPr>
              <w:jc w:val="center"/>
              <w:rPr>
                <w:color w:val="auto"/>
              </w:rPr>
            </w:pPr>
            <w:r>
              <w:rPr>
                <w:rFonts w:hint="eastAsia"/>
                <w:color w:val="auto"/>
              </w:rPr>
              <w:t>乙酸</w:t>
            </w:r>
          </w:p>
        </w:tc>
        <w:tc>
          <w:tcPr>
            <w:tcW w:w="900" w:type="dxa"/>
            <w:shd w:val="clear" w:color="auto" w:fill="auto"/>
            <w:vAlign w:val="center"/>
          </w:tcPr>
          <w:p w14:paraId="1AEA60A7">
            <w:pPr>
              <w:jc w:val="center"/>
              <w:rPr>
                <w:bCs/>
                <w:color w:val="auto"/>
                <w:kern w:val="0"/>
              </w:rPr>
            </w:pPr>
            <w:r>
              <w:rPr>
                <w:rFonts w:hint="eastAsia"/>
                <w:bCs/>
                <w:color w:val="auto"/>
                <w:kern w:val="0"/>
              </w:rPr>
              <w:t>64-19-7</w:t>
            </w:r>
          </w:p>
        </w:tc>
        <w:tc>
          <w:tcPr>
            <w:tcW w:w="938" w:type="dxa"/>
            <w:shd w:val="clear" w:color="auto" w:fill="auto"/>
            <w:vAlign w:val="center"/>
          </w:tcPr>
          <w:p w14:paraId="74D160CF">
            <w:pPr>
              <w:keepNext w:val="0"/>
              <w:keepLines w:val="0"/>
              <w:widowControl/>
              <w:suppressLineNumbers w:val="0"/>
              <w:jc w:val="center"/>
              <w:textAlignment w:val="center"/>
              <w:rPr>
                <w:bCs/>
                <w:color w:val="auto"/>
                <w:kern w:val="0"/>
                <w:sz w:val="24"/>
                <w:szCs w:val="24"/>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247" w:type="dxa"/>
            <w:vAlign w:val="center"/>
          </w:tcPr>
          <w:p w14:paraId="3BE34E79">
            <w:pPr>
              <w:pStyle w:val="63"/>
              <w:jc w:val="center"/>
              <w:rPr>
                <w:rFonts w:hint="eastAsia" w:eastAsia="宋体"/>
                <w:color w:val="auto"/>
                <w:lang w:val="en-US" w:eastAsia="zh-CN"/>
              </w:rPr>
            </w:pPr>
            <w:r>
              <w:rPr>
                <w:rFonts w:hint="eastAsia"/>
                <w:color w:val="auto"/>
                <w:lang w:val="en-US" w:eastAsia="zh-CN"/>
              </w:rPr>
              <w:t>0</w:t>
            </w:r>
          </w:p>
        </w:tc>
        <w:tc>
          <w:tcPr>
            <w:tcW w:w="965" w:type="dxa"/>
            <w:vAlign w:val="center"/>
          </w:tcPr>
          <w:p w14:paraId="1CE06392">
            <w:pPr>
              <w:jc w:val="center"/>
              <w:rPr>
                <w:rFonts w:hint="eastAsia"/>
                <w:color w:val="auto"/>
              </w:rPr>
            </w:pPr>
            <w:r>
              <w:rPr>
                <w:rFonts w:hint="eastAsia"/>
                <w:color w:val="auto"/>
                <w:lang w:val="en-US" w:eastAsia="zh-CN"/>
              </w:rPr>
              <w:t>0.002</w:t>
            </w:r>
          </w:p>
        </w:tc>
        <w:tc>
          <w:tcPr>
            <w:tcW w:w="1022" w:type="dxa"/>
            <w:vAlign w:val="center"/>
          </w:tcPr>
          <w:p w14:paraId="0059C903">
            <w:pPr>
              <w:jc w:val="center"/>
              <w:rPr>
                <w:color w:val="auto"/>
              </w:rPr>
            </w:pPr>
            <w:r>
              <w:rPr>
                <w:rFonts w:hint="default"/>
                <w:color w:val="auto"/>
                <w:lang w:val="en-US" w:eastAsia="zh-CN"/>
              </w:rPr>
              <w:t>10</w:t>
            </w:r>
          </w:p>
        </w:tc>
        <w:tc>
          <w:tcPr>
            <w:tcW w:w="1041" w:type="dxa"/>
            <w:vAlign w:val="center"/>
          </w:tcPr>
          <w:p w14:paraId="1461135B">
            <w:pPr>
              <w:jc w:val="center"/>
              <w:rPr>
                <w:color w:val="auto"/>
              </w:rPr>
            </w:pPr>
            <w:r>
              <w:rPr>
                <w:rFonts w:hint="default"/>
                <w:color w:val="auto"/>
                <w:lang w:val="en-US" w:eastAsia="zh-CN"/>
              </w:rPr>
              <w:t>0.0002</w:t>
            </w:r>
          </w:p>
        </w:tc>
        <w:tc>
          <w:tcPr>
            <w:tcW w:w="1073" w:type="dxa"/>
            <w:shd w:val="clear" w:color="auto" w:fill="auto"/>
            <w:vAlign w:val="center"/>
          </w:tcPr>
          <w:p w14:paraId="4F892E70">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16A296AE">
            <w:pPr>
              <w:jc w:val="center"/>
              <w:rPr>
                <w:rFonts w:hint="eastAsia"/>
                <w:color w:val="auto"/>
                <w:lang w:val="en-US" w:eastAsia="zh-CN"/>
              </w:rPr>
            </w:pPr>
          </w:p>
        </w:tc>
      </w:tr>
      <w:tr w14:paraId="44BC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2336E4E">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6</w:t>
            </w:r>
          </w:p>
        </w:tc>
        <w:tc>
          <w:tcPr>
            <w:tcW w:w="876" w:type="dxa"/>
            <w:shd w:val="clear" w:color="auto" w:fill="auto"/>
            <w:vAlign w:val="center"/>
          </w:tcPr>
          <w:p w14:paraId="496344E9">
            <w:pPr>
              <w:jc w:val="center"/>
              <w:rPr>
                <w:rFonts w:hint="eastAsia"/>
                <w:color w:val="auto"/>
              </w:rPr>
            </w:pPr>
            <w:r>
              <w:rPr>
                <w:rFonts w:hint="eastAsia"/>
                <w:color w:val="auto"/>
              </w:rPr>
              <w:t>乙二胺</w:t>
            </w:r>
          </w:p>
        </w:tc>
        <w:tc>
          <w:tcPr>
            <w:tcW w:w="900" w:type="dxa"/>
            <w:shd w:val="clear" w:color="auto" w:fill="auto"/>
            <w:vAlign w:val="center"/>
          </w:tcPr>
          <w:p w14:paraId="3932EA74">
            <w:pPr>
              <w:jc w:val="center"/>
              <w:rPr>
                <w:rFonts w:hint="default" w:eastAsia="宋体"/>
                <w:bCs/>
                <w:color w:val="auto"/>
                <w:kern w:val="0"/>
                <w:lang w:val="en-US" w:eastAsia="zh-CN"/>
              </w:rPr>
            </w:pPr>
            <w:r>
              <w:rPr>
                <w:rFonts w:hint="eastAsia"/>
                <w:bCs/>
                <w:color w:val="auto"/>
                <w:kern w:val="0"/>
                <w:lang w:val="en-US" w:eastAsia="zh-CN"/>
              </w:rPr>
              <w:t>107-15-3</w:t>
            </w:r>
          </w:p>
        </w:tc>
        <w:tc>
          <w:tcPr>
            <w:tcW w:w="938" w:type="dxa"/>
            <w:shd w:val="clear" w:color="auto" w:fill="auto"/>
            <w:vAlign w:val="center"/>
          </w:tcPr>
          <w:p w14:paraId="4D598840">
            <w:pPr>
              <w:keepNext w:val="0"/>
              <w:keepLines w:val="0"/>
              <w:widowControl/>
              <w:suppressLineNumbers w:val="0"/>
              <w:jc w:val="center"/>
              <w:textAlignment w:val="center"/>
              <w:rPr>
                <w:rFonts w:hint="default"/>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1247" w:type="dxa"/>
            <w:vAlign w:val="center"/>
          </w:tcPr>
          <w:p w14:paraId="57B28E8C">
            <w:pPr>
              <w:pStyle w:val="63"/>
              <w:jc w:val="center"/>
              <w:rPr>
                <w:rFonts w:hint="default"/>
                <w:color w:val="auto"/>
                <w:lang w:val="en-US" w:eastAsia="zh-CN"/>
              </w:rPr>
            </w:pPr>
            <w:r>
              <w:rPr>
                <w:rFonts w:hint="eastAsia"/>
                <w:color w:val="auto"/>
                <w:lang w:val="en-US" w:eastAsia="zh-CN"/>
              </w:rPr>
              <w:t>0</w:t>
            </w:r>
          </w:p>
        </w:tc>
        <w:tc>
          <w:tcPr>
            <w:tcW w:w="965" w:type="dxa"/>
            <w:vAlign w:val="center"/>
          </w:tcPr>
          <w:p w14:paraId="75F1590A">
            <w:pPr>
              <w:jc w:val="center"/>
              <w:rPr>
                <w:rFonts w:hint="eastAsia"/>
                <w:color w:val="auto"/>
                <w:lang w:val="en-US" w:eastAsia="zh-CN"/>
              </w:rPr>
            </w:pPr>
            <w:r>
              <w:rPr>
                <w:rFonts w:hint="eastAsia"/>
                <w:color w:val="auto"/>
                <w:lang w:val="en-US" w:eastAsia="zh-CN"/>
              </w:rPr>
              <w:t>0.11</w:t>
            </w:r>
          </w:p>
        </w:tc>
        <w:tc>
          <w:tcPr>
            <w:tcW w:w="1022" w:type="dxa"/>
            <w:vAlign w:val="center"/>
          </w:tcPr>
          <w:p w14:paraId="40213455">
            <w:pPr>
              <w:jc w:val="center"/>
              <w:rPr>
                <w:rFonts w:hint="default"/>
                <w:color w:val="auto"/>
                <w:lang w:val="en-US" w:eastAsia="zh-CN"/>
              </w:rPr>
            </w:pPr>
            <w:r>
              <w:rPr>
                <w:rFonts w:hint="default"/>
                <w:color w:val="auto"/>
                <w:lang w:val="en-US" w:eastAsia="zh-CN"/>
              </w:rPr>
              <w:t>10</w:t>
            </w:r>
          </w:p>
        </w:tc>
        <w:tc>
          <w:tcPr>
            <w:tcW w:w="1041" w:type="dxa"/>
            <w:vAlign w:val="center"/>
          </w:tcPr>
          <w:p w14:paraId="3FD38AB5">
            <w:pPr>
              <w:jc w:val="center"/>
              <w:rPr>
                <w:rFonts w:hint="eastAsia"/>
                <w:color w:val="auto"/>
              </w:rPr>
            </w:pPr>
            <w:r>
              <w:rPr>
                <w:rFonts w:hint="default"/>
                <w:color w:val="auto"/>
                <w:lang w:val="en-US" w:eastAsia="zh-CN"/>
              </w:rPr>
              <w:t>0.0110</w:t>
            </w:r>
          </w:p>
        </w:tc>
        <w:tc>
          <w:tcPr>
            <w:tcW w:w="1073" w:type="dxa"/>
            <w:shd w:val="clear" w:color="auto" w:fill="auto"/>
            <w:vAlign w:val="center"/>
          </w:tcPr>
          <w:p w14:paraId="6AFC740B">
            <w:pPr>
              <w:jc w:val="center"/>
              <w:rPr>
                <w:rFonts w:hint="eastAsia"/>
                <w:color w:val="auto"/>
                <w:lang w:val="en-US" w:eastAsia="zh-CN"/>
              </w:rPr>
            </w:pPr>
            <w:r>
              <w:rPr>
                <w:rFonts w:hint="eastAsia"/>
                <w:color w:val="auto"/>
                <w:lang w:val="en-US" w:eastAsia="zh-CN"/>
              </w:rPr>
              <w:t>否</w:t>
            </w:r>
          </w:p>
        </w:tc>
        <w:tc>
          <w:tcPr>
            <w:tcW w:w="427" w:type="dxa"/>
            <w:vMerge w:val="continue"/>
            <w:shd w:val="clear" w:color="auto" w:fill="auto"/>
            <w:vAlign w:val="center"/>
          </w:tcPr>
          <w:p w14:paraId="6EEDA7A8">
            <w:pPr>
              <w:jc w:val="center"/>
              <w:rPr>
                <w:rFonts w:hint="eastAsia"/>
                <w:color w:val="auto"/>
                <w:lang w:val="en-US" w:eastAsia="zh-CN"/>
              </w:rPr>
            </w:pPr>
          </w:p>
        </w:tc>
      </w:tr>
      <w:tr w14:paraId="0C5C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2AB8904">
            <w:pPr>
              <w:pStyle w:val="50"/>
              <w:spacing w:before="24" w:after="24"/>
              <w:jc w:val="center"/>
              <w:rPr>
                <w:rFonts w:hint="eastAsia" w:ascii="Times New Roman" w:eastAsia="宋体"/>
                <w:color w:val="auto"/>
                <w:lang w:val="en-US" w:eastAsia="zh-CN"/>
              </w:rPr>
            </w:pPr>
            <w:r>
              <w:rPr>
                <w:rFonts w:hint="eastAsia" w:ascii="Times New Roman"/>
                <w:color w:val="auto"/>
                <w:lang w:val="en-US" w:eastAsia="zh-CN"/>
              </w:rPr>
              <w:t>7</w:t>
            </w:r>
          </w:p>
        </w:tc>
        <w:tc>
          <w:tcPr>
            <w:tcW w:w="876" w:type="dxa"/>
            <w:shd w:val="clear" w:color="auto" w:fill="auto"/>
            <w:vAlign w:val="center"/>
          </w:tcPr>
          <w:p w14:paraId="4DD7BBDE">
            <w:pPr>
              <w:jc w:val="center"/>
              <w:rPr>
                <w:color w:val="auto"/>
              </w:rPr>
            </w:pPr>
            <w:r>
              <w:rPr>
                <w:rFonts w:hint="eastAsia"/>
                <w:color w:val="auto"/>
              </w:rPr>
              <w:t>硝酸</w:t>
            </w:r>
          </w:p>
        </w:tc>
        <w:tc>
          <w:tcPr>
            <w:tcW w:w="900" w:type="dxa"/>
            <w:shd w:val="clear" w:color="auto" w:fill="auto"/>
            <w:vAlign w:val="center"/>
          </w:tcPr>
          <w:p w14:paraId="1058E52B">
            <w:pPr>
              <w:jc w:val="center"/>
              <w:rPr>
                <w:bCs/>
                <w:color w:val="auto"/>
                <w:kern w:val="0"/>
              </w:rPr>
            </w:pPr>
            <w:r>
              <w:rPr>
                <w:rFonts w:hint="eastAsia"/>
                <w:bCs/>
                <w:color w:val="auto"/>
                <w:kern w:val="0"/>
              </w:rPr>
              <w:t>7697-37-2</w:t>
            </w:r>
          </w:p>
        </w:tc>
        <w:tc>
          <w:tcPr>
            <w:tcW w:w="938" w:type="dxa"/>
            <w:shd w:val="clear" w:color="auto" w:fill="auto"/>
            <w:vAlign w:val="center"/>
          </w:tcPr>
          <w:p w14:paraId="2FBC9B89">
            <w:pPr>
              <w:keepNext w:val="0"/>
              <w:keepLines w:val="0"/>
              <w:widowControl/>
              <w:suppressLineNumbers w:val="0"/>
              <w:jc w:val="center"/>
              <w:textAlignment w:val="center"/>
              <w:rPr>
                <w:rFonts w:hint="default" w:eastAsia="宋体"/>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47" w:type="dxa"/>
            <w:vAlign w:val="center"/>
          </w:tcPr>
          <w:p w14:paraId="707E119D">
            <w:pPr>
              <w:pStyle w:val="63"/>
              <w:jc w:val="center"/>
              <w:rPr>
                <w:rFonts w:hint="default" w:eastAsia="宋体"/>
                <w:color w:val="auto"/>
                <w:lang w:val="en-US" w:eastAsia="zh-CN"/>
              </w:rPr>
            </w:pPr>
            <w:r>
              <w:rPr>
                <w:rFonts w:hint="eastAsia"/>
                <w:color w:val="auto"/>
                <w:lang w:val="en-US" w:eastAsia="zh-CN"/>
              </w:rPr>
              <w:t>13.92</w:t>
            </w:r>
          </w:p>
        </w:tc>
        <w:tc>
          <w:tcPr>
            <w:tcW w:w="965" w:type="dxa"/>
            <w:vAlign w:val="center"/>
          </w:tcPr>
          <w:p w14:paraId="1E42C2A8">
            <w:pPr>
              <w:jc w:val="center"/>
              <w:rPr>
                <w:rFonts w:hint="eastAsia"/>
                <w:color w:val="auto"/>
              </w:rPr>
            </w:pPr>
            <w:r>
              <w:rPr>
                <w:rFonts w:hint="eastAsia"/>
                <w:color w:val="auto"/>
                <w:lang w:val="en-US" w:eastAsia="zh-CN"/>
              </w:rPr>
              <w:t>15.04</w:t>
            </w:r>
          </w:p>
        </w:tc>
        <w:tc>
          <w:tcPr>
            <w:tcW w:w="1022" w:type="dxa"/>
            <w:vAlign w:val="center"/>
          </w:tcPr>
          <w:p w14:paraId="7A36C029">
            <w:pPr>
              <w:jc w:val="center"/>
              <w:rPr>
                <w:color w:val="auto"/>
              </w:rPr>
            </w:pPr>
            <w:r>
              <w:rPr>
                <w:rFonts w:hint="default"/>
                <w:color w:val="auto"/>
                <w:lang w:val="en-US" w:eastAsia="zh-CN"/>
              </w:rPr>
              <w:t>7.5</w:t>
            </w:r>
          </w:p>
        </w:tc>
        <w:tc>
          <w:tcPr>
            <w:tcW w:w="1041" w:type="dxa"/>
            <w:vAlign w:val="center"/>
          </w:tcPr>
          <w:p w14:paraId="5D7A6B10">
            <w:pPr>
              <w:jc w:val="center"/>
              <w:rPr>
                <w:color w:val="auto"/>
              </w:rPr>
            </w:pPr>
            <w:r>
              <w:rPr>
                <w:rFonts w:hint="default"/>
                <w:color w:val="auto"/>
                <w:lang w:val="en-US" w:eastAsia="zh-CN"/>
              </w:rPr>
              <w:t>2.0053</w:t>
            </w:r>
          </w:p>
        </w:tc>
        <w:tc>
          <w:tcPr>
            <w:tcW w:w="1073" w:type="dxa"/>
            <w:vAlign w:val="center"/>
          </w:tcPr>
          <w:p w14:paraId="3AAD6B71">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56CE009B">
            <w:pPr>
              <w:jc w:val="center"/>
              <w:rPr>
                <w:rFonts w:hint="eastAsia"/>
                <w:color w:val="auto"/>
                <w:lang w:val="en-US" w:eastAsia="zh-CN"/>
              </w:rPr>
            </w:pPr>
          </w:p>
        </w:tc>
      </w:tr>
      <w:tr w14:paraId="14EF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C3C2876">
            <w:pPr>
              <w:pStyle w:val="50"/>
              <w:spacing w:before="24" w:after="24"/>
              <w:jc w:val="center"/>
              <w:rPr>
                <w:rFonts w:hint="default" w:ascii="Times New Roman"/>
                <w:color w:val="auto"/>
                <w:lang w:val="en-US" w:eastAsia="zh-CN"/>
              </w:rPr>
            </w:pPr>
            <w:r>
              <w:rPr>
                <w:rFonts w:hint="eastAsia" w:ascii="Times New Roman"/>
                <w:color w:val="auto"/>
                <w:lang w:val="en-US" w:eastAsia="zh-CN"/>
              </w:rPr>
              <w:t>8</w:t>
            </w:r>
          </w:p>
        </w:tc>
        <w:tc>
          <w:tcPr>
            <w:tcW w:w="876" w:type="dxa"/>
            <w:shd w:val="clear" w:color="auto" w:fill="auto"/>
            <w:vAlign w:val="center"/>
          </w:tcPr>
          <w:p w14:paraId="06B7903B">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环氧氯丙烷</w:t>
            </w:r>
          </w:p>
        </w:tc>
        <w:tc>
          <w:tcPr>
            <w:tcW w:w="900" w:type="dxa"/>
            <w:shd w:val="clear" w:color="auto" w:fill="auto"/>
            <w:vAlign w:val="center"/>
          </w:tcPr>
          <w:p w14:paraId="7D3FDB15">
            <w:pPr>
              <w:jc w:val="center"/>
              <w:rPr>
                <w:rFonts w:hint="eastAsia" w:ascii="Times New Roman" w:hAnsi="Times New Roman" w:eastAsia="宋体" w:cs="Times New Roman"/>
                <w:bCs/>
                <w:color w:val="auto"/>
                <w:kern w:val="0"/>
                <w:sz w:val="21"/>
                <w:szCs w:val="24"/>
                <w:lang w:val="en-US" w:eastAsia="zh-CN" w:bidi="ar-SA"/>
              </w:rPr>
            </w:pPr>
            <w:r>
              <w:rPr>
                <w:rFonts w:hint="eastAsia" w:ascii="Times New Roman" w:hAnsi="Times New Roman" w:eastAsia="宋体" w:cs="Times New Roman"/>
                <w:bCs/>
                <w:color w:val="auto"/>
                <w:kern w:val="0"/>
                <w:sz w:val="21"/>
                <w:szCs w:val="24"/>
                <w:lang w:val="en-US" w:eastAsia="zh-CN" w:bidi="ar-SA"/>
              </w:rPr>
              <w:t>106-89-8</w:t>
            </w:r>
          </w:p>
        </w:tc>
        <w:tc>
          <w:tcPr>
            <w:tcW w:w="938" w:type="dxa"/>
            <w:shd w:val="clear" w:color="auto" w:fill="auto"/>
            <w:vAlign w:val="center"/>
          </w:tcPr>
          <w:p w14:paraId="320F56A7">
            <w:pPr>
              <w:keepNext w:val="0"/>
              <w:keepLines w:val="0"/>
              <w:widowControl/>
              <w:suppressLineNumbers w:val="0"/>
              <w:jc w:val="center"/>
              <w:textAlignment w:val="center"/>
              <w:rPr>
                <w:rFonts w:hint="eastAsia"/>
                <w:bCs/>
                <w:color w:val="auto"/>
                <w:kern w:val="0"/>
                <w:sz w:val="24"/>
                <w:szCs w:val="24"/>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0.00144</w:t>
            </w:r>
          </w:p>
        </w:tc>
        <w:tc>
          <w:tcPr>
            <w:tcW w:w="1247" w:type="dxa"/>
            <w:vAlign w:val="center"/>
          </w:tcPr>
          <w:p w14:paraId="49F4EEFC">
            <w:pPr>
              <w:pStyle w:val="63"/>
              <w:jc w:val="center"/>
              <w:rPr>
                <w:rFonts w:hint="default"/>
                <w:color w:val="auto"/>
                <w:lang w:val="en-US" w:eastAsia="zh-CN"/>
              </w:rPr>
            </w:pPr>
            <w:r>
              <w:rPr>
                <w:rFonts w:hint="eastAsia"/>
                <w:color w:val="auto"/>
                <w:lang w:val="en-US" w:eastAsia="zh-CN"/>
              </w:rPr>
              <w:t>0</w:t>
            </w:r>
          </w:p>
        </w:tc>
        <w:tc>
          <w:tcPr>
            <w:tcW w:w="965" w:type="dxa"/>
            <w:vAlign w:val="center"/>
          </w:tcPr>
          <w:p w14:paraId="042C8B53">
            <w:pPr>
              <w:jc w:val="center"/>
              <w:rPr>
                <w:rFonts w:hint="eastAsia"/>
                <w:color w:val="auto"/>
                <w:lang w:val="en-US" w:eastAsia="zh-CN"/>
              </w:rPr>
            </w:pPr>
            <w:r>
              <w:rPr>
                <w:rFonts w:hint="eastAsia"/>
                <w:color w:val="auto"/>
                <w:lang w:val="en-US" w:eastAsia="zh-CN"/>
              </w:rPr>
              <w:t>0.00144</w:t>
            </w:r>
          </w:p>
        </w:tc>
        <w:tc>
          <w:tcPr>
            <w:tcW w:w="1022" w:type="dxa"/>
            <w:vAlign w:val="center"/>
          </w:tcPr>
          <w:p w14:paraId="5F4AE5E2">
            <w:pPr>
              <w:jc w:val="center"/>
              <w:rPr>
                <w:rFonts w:hint="default"/>
                <w:color w:val="auto"/>
                <w:lang w:val="en-US" w:eastAsia="zh-CN"/>
              </w:rPr>
            </w:pPr>
            <w:r>
              <w:rPr>
                <w:rFonts w:hint="default"/>
                <w:color w:val="auto"/>
                <w:lang w:val="en-US" w:eastAsia="zh-CN"/>
              </w:rPr>
              <w:t>10</w:t>
            </w:r>
          </w:p>
        </w:tc>
        <w:tc>
          <w:tcPr>
            <w:tcW w:w="1041" w:type="dxa"/>
            <w:vAlign w:val="center"/>
          </w:tcPr>
          <w:p w14:paraId="547CBCBA">
            <w:pPr>
              <w:jc w:val="center"/>
              <w:rPr>
                <w:rFonts w:hint="default"/>
                <w:color w:val="auto"/>
                <w:lang w:val="en-US" w:eastAsia="zh-CN"/>
              </w:rPr>
            </w:pPr>
            <w:r>
              <w:rPr>
                <w:rFonts w:hint="default"/>
                <w:color w:val="auto"/>
                <w:lang w:val="en-US" w:eastAsia="zh-CN"/>
              </w:rPr>
              <w:t>0.0001</w:t>
            </w:r>
          </w:p>
        </w:tc>
        <w:tc>
          <w:tcPr>
            <w:tcW w:w="1073" w:type="dxa"/>
            <w:vAlign w:val="center"/>
          </w:tcPr>
          <w:p w14:paraId="178D6FB7">
            <w:pPr>
              <w:jc w:val="center"/>
              <w:rPr>
                <w:rFonts w:hint="default"/>
                <w:color w:val="auto"/>
                <w:lang w:val="en-US" w:eastAsia="zh-CN"/>
              </w:rPr>
            </w:pPr>
            <w:r>
              <w:rPr>
                <w:rFonts w:hint="eastAsia"/>
                <w:color w:val="auto"/>
                <w:lang w:val="en-US" w:eastAsia="zh-CN"/>
              </w:rPr>
              <w:t>否</w:t>
            </w:r>
          </w:p>
        </w:tc>
        <w:tc>
          <w:tcPr>
            <w:tcW w:w="427" w:type="dxa"/>
            <w:vMerge w:val="continue"/>
            <w:vAlign w:val="center"/>
          </w:tcPr>
          <w:p w14:paraId="1567982A">
            <w:pPr>
              <w:jc w:val="center"/>
              <w:rPr>
                <w:rFonts w:hint="eastAsia"/>
                <w:color w:val="auto"/>
                <w:lang w:val="en-US" w:eastAsia="zh-CN"/>
              </w:rPr>
            </w:pPr>
          </w:p>
        </w:tc>
      </w:tr>
      <w:tr w14:paraId="6304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4338553">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6" w:type="dxa"/>
            <w:shd w:val="clear" w:color="auto" w:fill="auto"/>
            <w:vAlign w:val="center"/>
          </w:tcPr>
          <w:p w14:paraId="38739C0F">
            <w:pPr>
              <w:jc w:val="center"/>
              <w:rPr>
                <w:rFonts w:hint="eastAsia"/>
                <w:color w:val="auto"/>
              </w:rPr>
            </w:pPr>
            <w:r>
              <w:rPr>
                <w:rFonts w:hint="eastAsia"/>
                <w:color w:val="auto"/>
              </w:rPr>
              <w:t>钴及其化合物</w:t>
            </w:r>
          </w:p>
        </w:tc>
        <w:tc>
          <w:tcPr>
            <w:tcW w:w="900" w:type="dxa"/>
            <w:shd w:val="clear" w:color="auto" w:fill="auto"/>
            <w:vAlign w:val="center"/>
          </w:tcPr>
          <w:p w14:paraId="030C367C">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938" w:type="dxa"/>
            <w:shd w:val="clear" w:color="auto" w:fill="auto"/>
            <w:vAlign w:val="center"/>
          </w:tcPr>
          <w:p w14:paraId="533C1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2C75FDB7">
            <w:pPr>
              <w:jc w:val="center"/>
              <w:rPr>
                <w:rFonts w:hint="eastAsia"/>
                <w:color w:val="auto"/>
                <w:lang w:val="en-US" w:eastAsia="zh-CN"/>
              </w:rPr>
            </w:pPr>
            <w:r>
              <w:rPr>
                <w:color w:val="auto"/>
              </w:rPr>
              <w:t>1.49</w:t>
            </w:r>
          </w:p>
        </w:tc>
        <w:tc>
          <w:tcPr>
            <w:tcW w:w="965" w:type="dxa"/>
            <w:shd w:val="clear" w:color="auto" w:fill="auto"/>
            <w:vAlign w:val="center"/>
          </w:tcPr>
          <w:p w14:paraId="7BD9E55F">
            <w:pPr>
              <w:jc w:val="center"/>
              <w:rPr>
                <w:rFonts w:hint="eastAsia"/>
                <w:color w:val="auto"/>
                <w:lang w:val="en-US" w:eastAsia="zh-CN"/>
              </w:rPr>
            </w:pPr>
            <w:r>
              <w:rPr>
                <w:rFonts w:hint="eastAsia"/>
                <w:color w:val="auto"/>
                <w:lang w:val="en-US" w:eastAsia="zh-CN"/>
              </w:rPr>
              <w:t>1.49</w:t>
            </w:r>
          </w:p>
        </w:tc>
        <w:tc>
          <w:tcPr>
            <w:tcW w:w="1022" w:type="dxa"/>
            <w:vAlign w:val="center"/>
          </w:tcPr>
          <w:p w14:paraId="5873007B">
            <w:pPr>
              <w:jc w:val="center"/>
              <w:rPr>
                <w:rFonts w:hint="eastAsia"/>
                <w:color w:val="auto"/>
                <w:lang w:val="en-US" w:eastAsia="zh-CN"/>
              </w:rPr>
            </w:pPr>
            <w:r>
              <w:rPr>
                <w:rFonts w:hint="default"/>
                <w:color w:val="auto"/>
                <w:lang w:val="en-US" w:eastAsia="zh-CN"/>
              </w:rPr>
              <w:t>0.25</w:t>
            </w:r>
          </w:p>
        </w:tc>
        <w:tc>
          <w:tcPr>
            <w:tcW w:w="1041" w:type="dxa"/>
            <w:vAlign w:val="center"/>
          </w:tcPr>
          <w:p w14:paraId="2102AD0A">
            <w:pPr>
              <w:jc w:val="center"/>
              <w:rPr>
                <w:rFonts w:hint="default"/>
                <w:color w:val="auto"/>
                <w:lang w:val="en-US" w:eastAsia="zh-CN"/>
              </w:rPr>
            </w:pPr>
            <w:r>
              <w:rPr>
                <w:rFonts w:hint="default"/>
                <w:color w:val="auto"/>
                <w:lang w:val="en-US" w:eastAsia="zh-CN"/>
              </w:rPr>
              <w:t>5.9600</w:t>
            </w:r>
          </w:p>
        </w:tc>
        <w:tc>
          <w:tcPr>
            <w:tcW w:w="1073" w:type="dxa"/>
            <w:vAlign w:val="center"/>
          </w:tcPr>
          <w:p w14:paraId="633C5108">
            <w:pPr>
              <w:jc w:val="center"/>
              <w:rPr>
                <w:rFonts w:hint="eastAsia"/>
                <w:color w:val="auto"/>
                <w:lang w:val="en-US" w:eastAsia="zh-CN"/>
              </w:rPr>
            </w:pPr>
            <w:r>
              <w:rPr>
                <w:rFonts w:hint="eastAsia"/>
                <w:color w:val="auto"/>
                <w:lang w:val="en-US" w:eastAsia="zh-CN"/>
              </w:rPr>
              <w:t>是</w:t>
            </w:r>
          </w:p>
        </w:tc>
        <w:tc>
          <w:tcPr>
            <w:tcW w:w="427" w:type="dxa"/>
            <w:vMerge w:val="restart"/>
            <w:vAlign w:val="center"/>
          </w:tcPr>
          <w:p w14:paraId="4A3D2BE9">
            <w:pPr>
              <w:jc w:val="center"/>
              <w:rPr>
                <w:rFonts w:hint="default"/>
                <w:color w:val="auto"/>
                <w:lang w:val="en-US" w:eastAsia="zh-CN"/>
              </w:rPr>
            </w:pPr>
            <w:r>
              <w:rPr>
                <w:rFonts w:hint="eastAsia"/>
                <w:color w:val="auto"/>
                <w:lang w:val="en-US" w:eastAsia="zh-CN"/>
              </w:rPr>
              <w:t>1#仓库</w:t>
            </w:r>
          </w:p>
        </w:tc>
      </w:tr>
      <w:tr w14:paraId="038C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DE2CE31">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6" w:type="dxa"/>
            <w:shd w:val="clear" w:color="auto" w:fill="auto"/>
            <w:vAlign w:val="center"/>
          </w:tcPr>
          <w:p w14:paraId="28CF76AF">
            <w:pPr>
              <w:jc w:val="center"/>
              <w:rPr>
                <w:rFonts w:hint="eastAsia"/>
                <w:color w:val="auto"/>
              </w:rPr>
            </w:pPr>
            <w:r>
              <w:rPr>
                <w:rFonts w:hint="eastAsia"/>
                <w:color w:val="auto"/>
              </w:rPr>
              <w:t>镍及其化合物</w:t>
            </w:r>
          </w:p>
        </w:tc>
        <w:tc>
          <w:tcPr>
            <w:tcW w:w="900" w:type="dxa"/>
            <w:shd w:val="clear" w:color="auto" w:fill="auto"/>
            <w:vAlign w:val="center"/>
          </w:tcPr>
          <w:p w14:paraId="68618073">
            <w:pPr>
              <w:jc w:val="center"/>
              <w:rPr>
                <w:rFonts w:hint="default" w:ascii="Times New Roman" w:hAnsi="Times New Roman" w:eastAsia="宋体" w:cs="Times New Roman"/>
                <w:bCs/>
                <w:color w:val="auto"/>
                <w:kern w:val="0"/>
                <w:sz w:val="21"/>
                <w:szCs w:val="24"/>
                <w:lang w:val="en-US" w:eastAsia="zh-CN" w:bidi="ar-SA"/>
              </w:rPr>
            </w:pPr>
            <w:r>
              <w:rPr>
                <w:rFonts w:hint="eastAsia" w:cs="Times New Roman"/>
                <w:bCs/>
                <w:color w:val="auto"/>
                <w:kern w:val="0"/>
                <w:sz w:val="21"/>
                <w:szCs w:val="24"/>
                <w:lang w:val="en-US" w:eastAsia="zh-CN" w:bidi="ar-SA"/>
              </w:rPr>
              <w:t>/</w:t>
            </w:r>
          </w:p>
        </w:tc>
        <w:tc>
          <w:tcPr>
            <w:tcW w:w="938" w:type="dxa"/>
            <w:shd w:val="clear" w:color="auto" w:fill="auto"/>
            <w:vAlign w:val="center"/>
          </w:tcPr>
          <w:p w14:paraId="0780D2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vAlign w:val="center"/>
          </w:tcPr>
          <w:p w14:paraId="40889913">
            <w:pPr>
              <w:pStyle w:val="63"/>
              <w:jc w:val="center"/>
              <w:rPr>
                <w:rFonts w:hint="eastAsia"/>
                <w:color w:val="auto"/>
                <w:lang w:val="en-US" w:eastAsia="zh-CN"/>
              </w:rPr>
            </w:pPr>
            <w:r>
              <w:rPr>
                <w:rFonts w:ascii="Times New Roman" w:hAnsi="Times New Roman" w:eastAsia="Times New Roman" w:cs="Times New Roman"/>
                <w:color w:val="auto"/>
                <w:spacing w:val="-2"/>
                <w:sz w:val="21"/>
                <w:szCs w:val="21"/>
              </w:rPr>
              <w:t>5.15</w:t>
            </w:r>
          </w:p>
        </w:tc>
        <w:tc>
          <w:tcPr>
            <w:tcW w:w="965" w:type="dxa"/>
            <w:vAlign w:val="center"/>
          </w:tcPr>
          <w:p w14:paraId="322B68BD">
            <w:pPr>
              <w:jc w:val="center"/>
              <w:rPr>
                <w:rFonts w:hint="eastAsia"/>
                <w:color w:val="auto"/>
                <w:lang w:val="en-US" w:eastAsia="zh-CN"/>
              </w:rPr>
            </w:pPr>
            <w:r>
              <w:rPr>
                <w:rFonts w:hint="eastAsia"/>
                <w:color w:val="auto"/>
                <w:lang w:val="en-US" w:eastAsia="zh-CN"/>
              </w:rPr>
              <w:t>5.15</w:t>
            </w:r>
          </w:p>
        </w:tc>
        <w:tc>
          <w:tcPr>
            <w:tcW w:w="1022" w:type="dxa"/>
            <w:vAlign w:val="center"/>
          </w:tcPr>
          <w:p w14:paraId="577D550E">
            <w:pPr>
              <w:jc w:val="center"/>
              <w:rPr>
                <w:rFonts w:hint="eastAsia"/>
                <w:color w:val="auto"/>
                <w:lang w:val="en-US" w:eastAsia="zh-CN"/>
              </w:rPr>
            </w:pPr>
            <w:r>
              <w:rPr>
                <w:rFonts w:hint="default"/>
                <w:color w:val="auto"/>
                <w:lang w:val="en-US" w:eastAsia="zh-CN"/>
              </w:rPr>
              <w:t>0.25</w:t>
            </w:r>
          </w:p>
        </w:tc>
        <w:tc>
          <w:tcPr>
            <w:tcW w:w="1041" w:type="dxa"/>
            <w:vAlign w:val="center"/>
          </w:tcPr>
          <w:p w14:paraId="5E98D9D4">
            <w:pPr>
              <w:jc w:val="center"/>
              <w:rPr>
                <w:rFonts w:hint="default"/>
                <w:color w:val="auto"/>
                <w:lang w:val="en-US" w:eastAsia="zh-CN"/>
              </w:rPr>
            </w:pPr>
            <w:r>
              <w:rPr>
                <w:rFonts w:hint="default"/>
                <w:color w:val="auto"/>
                <w:lang w:val="en-US" w:eastAsia="zh-CN"/>
              </w:rPr>
              <w:t>20.6</w:t>
            </w:r>
          </w:p>
        </w:tc>
        <w:tc>
          <w:tcPr>
            <w:tcW w:w="1073" w:type="dxa"/>
            <w:vAlign w:val="center"/>
          </w:tcPr>
          <w:p w14:paraId="2270AAA5">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60FE1E6A">
            <w:pPr>
              <w:jc w:val="center"/>
              <w:rPr>
                <w:rFonts w:hint="eastAsia"/>
                <w:color w:val="auto"/>
                <w:lang w:val="en-US" w:eastAsia="zh-CN"/>
              </w:rPr>
            </w:pPr>
          </w:p>
        </w:tc>
      </w:tr>
      <w:tr w14:paraId="37CA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732F036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76" w:type="dxa"/>
            <w:shd w:val="clear" w:color="auto" w:fill="auto"/>
            <w:vAlign w:val="center"/>
          </w:tcPr>
          <w:p w14:paraId="408A340F">
            <w:pPr>
              <w:jc w:val="center"/>
              <w:rPr>
                <w:rFonts w:hint="eastAsia"/>
                <w:color w:val="auto"/>
              </w:rPr>
            </w:pPr>
            <w:r>
              <w:rPr>
                <w:rFonts w:hint="eastAsia"/>
                <w:color w:val="auto"/>
              </w:rPr>
              <w:t>硫酸镍</w:t>
            </w:r>
          </w:p>
        </w:tc>
        <w:tc>
          <w:tcPr>
            <w:tcW w:w="900" w:type="dxa"/>
            <w:shd w:val="clear" w:color="auto" w:fill="auto"/>
            <w:vAlign w:val="center"/>
          </w:tcPr>
          <w:p w14:paraId="041FE326">
            <w:pPr>
              <w:jc w:val="center"/>
              <w:rPr>
                <w:rFonts w:hint="eastAsia" w:ascii="Times New Roman" w:hAnsi="Times New Roman" w:eastAsia="宋体" w:cs="Times New Roman"/>
                <w:bCs/>
                <w:color w:val="auto"/>
                <w:kern w:val="0"/>
                <w:sz w:val="21"/>
                <w:szCs w:val="24"/>
                <w:lang w:val="en-US" w:eastAsia="zh-CN" w:bidi="ar-SA"/>
              </w:rPr>
            </w:pPr>
            <w:r>
              <w:rPr>
                <w:rFonts w:ascii="Times New Roman" w:hAnsi="Times New Roman" w:eastAsia="Times New Roman" w:cs="Times New Roman"/>
                <w:color w:val="auto"/>
                <w:spacing w:val="-1"/>
                <w:sz w:val="21"/>
                <w:szCs w:val="21"/>
              </w:rPr>
              <w:t>7786-81-4</w:t>
            </w:r>
          </w:p>
        </w:tc>
        <w:tc>
          <w:tcPr>
            <w:tcW w:w="938" w:type="dxa"/>
            <w:shd w:val="clear" w:color="auto" w:fill="auto"/>
            <w:vAlign w:val="center"/>
          </w:tcPr>
          <w:p w14:paraId="6AEDFE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2710B4E1">
            <w:pPr>
              <w:jc w:val="center"/>
              <w:rPr>
                <w:rFonts w:hint="eastAsia"/>
                <w:color w:val="auto"/>
                <w:lang w:val="en-US" w:eastAsia="zh-CN"/>
              </w:rPr>
            </w:pPr>
            <w:r>
              <w:rPr>
                <w:color w:val="auto"/>
              </w:rPr>
              <w:t>3</w:t>
            </w:r>
          </w:p>
        </w:tc>
        <w:tc>
          <w:tcPr>
            <w:tcW w:w="965" w:type="dxa"/>
            <w:shd w:val="clear" w:color="auto" w:fill="auto"/>
            <w:vAlign w:val="center"/>
          </w:tcPr>
          <w:p w14:paraId="04097D80">
            <w:pPr>
              <w:jc w:val="center"/>
              <w:rPr>
                <w:rFonts w:hint="eastAsia"/>
                <w:color w:val="auto"/>
                <w:lang w:val="en-US" w:eastAsia="zh-CN"/>
              </w:rPr>
            </w:pPr>
            <w:r>
              <w:rPr>
                <w:rFonts w:hint="eastAsia"/>
                <w:color w:val="auto"/>
                <w:lang w:val="en-US" w:eastAsia="zh-CN"/>
              </w:rPr>
              <w:t>3</w:t>
            </w:r>
          </w:p>
        </w:tc>
        <w:tc>
          <w:tcPr>
            <w:tcW w:w="1022" w:type="dxa"/>
            <w:vAlign w:val="center"/>
          </w:tcPr>
          <w:p w14:paraId="7AD0EEBA">
            <w:pPr>
              <w:jc w:val="center"/>
              <w:rPr>
                <w:rFonts w:hint="eastAsia"/>
                <w:color w:val="auto"/>
                <w:lang w:val="en-US" w:eastAsia="zh-CN"/>
              </w:rPr>
            </w:pPr>
            <w:r>
              <w:rPr>
                <w:rFonts w:hint="default"/>
                <w:color w:val="auto"/>
                <w:lang w:val="en-US" w:eastAsia="zh-CN"/>
              </w:rPr>
              <w:t>0.25</w:t>
            </w:r>
          </w:p>
        </w:tc>
        <w:tc>
          <w:tcPr>
            <w:tcW w:w="1041" w:type="dxa"/>
            <w:vAlign w:val="center"/>
          </w:tcPr>
          <w:p w14:paraId="5C4D0C15">
            <w:pPr>
              <w:jc w:val="center"/>
              <w:rPr>
                <w:rFonts w:hint="default"/>
                <w:color w:val="auto"/>
                <w:lang w:val="en-US" w:eastAsia="zh-CN"/>
              </w:rPr>
            </w:pPr>
            <w:r>
              <w:rPr>
                <w:rFonts w:hint="default"/>
                <w:color w:val="auto"/>
                <w:lang w:val="en-US" w:eastAsia="zh-CN"/>
              </w:rPr>
              <w:t>12</w:t>
            </w:r>
          </w:p>
        </w:tc>
        <w:tc>
          <w:tcPr>
            <w:tcW w:w="1073" w:type="dxa"/>
            <w:vAlign w:val="center"/>
          </w:tcPr>
          <w:p w14:paraId="5C026083">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0E324547">
            <w:pPr>
              <w:jc w:val="center"/>
              <w:rPr>
                <w:rFonts w:hint="eastAsia"/>
                <w:color w:val="auto"/>
                <w:lang w:val="en-US" w:eastAsia="zh-CN"/>
              </w:rPr>
            </w:pPr>
          </w:p>
        </w:tc>
      </w:tr>
      <w:tr w14:paraId="2306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13EF76D">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6" w:type="dxa"/>
            <w:shd w:val="clear" w:color="auto" w:fill="auto"/>
            <w:vAlign w:val="center"/>
          </w:tcPr>
          <w:p w14:paraId="3A0D03BD">
            <w:pPr>
              <w:jc w:val="center"/>
              <w:rPr>
                <w:rFonts w:hint="eastAsia"/>
                <w:color w:val="auto"/>
                <w:lang w:val="en-US" w:eastAsia="en-US"/>
              </w:rPr>
            </w:pPr>
            <w:r>
              <w:rPr>
                <w:color w:val="auto"/>
              </w:rPr>
              <w:t>氯化镍</w:t>
            </w:r>
          </w:p>
        </w:tc>
        <w:tc>
          <w:tcPr>
            <w:tcW w:w="900" w:type="dxa"/>
            <w:shd w:val="clear" w:color="auto" w:fill="auto"/>
            <w:vAlign w:val="center"/>
          </w:tcPr>
          <w:p w14:paraId="37382124">
            <w:pPr>
              <w:jc w:val="center"/>
              <w:rPr>
                <w:color w:val="auto"/>
                <w:lang w:val="en-US" w:eastAsia="zh-CN"/>
              </w:rPr>
            </w:pPr>
            <w:r>
              <w:rPr>
                <w:color w:val="auto"/>
              </w:rPr>
              <w:t>7718-54-9</w:t>
            </w:r>
          </w:p>
        </w:tc>
        <w:tc>
          <w:tcPr>
            <w:tcW w:w="938" w:type="dxa"/>
            <w:shd w:val="clear" w:color="auto" w:fill="auto"/>
            <w:vAlign w:val="center"/>
          </w:tcPr>
          <w:p w14:paraId="4299388E">
            <w:pPr>
              <w:jc w:val="center"/>
              <w:rPr>
                <w:rFonts w:hint="default"/>
                <w:color w:val="auto"/>
                <w:lang w:val="en-US" w:eastAsia="zh-CN"/>
              </w:rPr>
            </w:pPr>
            <w:r>
              <w:rPr>
                <w:rFonts w:hint="eastAsia"/>
                <w:color w:val="auto"/>
                <w:lang w:val="en-US" w:eastAsia="zh-CN"/>
              </w:rPr>
              <w:t>0</w:t>
            </w:r>
          </w:p>
        </w:tc>
        <w:tc>
          <w:tcPr>
            <w:tcW w:w="1247" w:type="dxa"/>
            <w:shd w:val="clear" w:color="auto" w:fill="auto"/>
            <w:vAlign w:val="center"/>
          </w:tcPr>
          <w:p w14:paraId="24C9E938">
            <w:pPr>
              <w:jc w:val="center"/>
              <w:rPr>
                <w:rFonts w:hint="eastAsia" w:ascii="Times New Roman" w:hAnsi="Times New Roman" w:eastAsia="宋体" w:cs="Times New Roman"/>
                <w:color w:val="auto"/>
                <w:kern w:val="2"/>
                <w:sz w:val="21"/>
                <w:szCs w:val="24"/>
                <w:lang w:val="en-US" w:eastAsia="zh-CN" w:bidi="ar-SA"/>
              </w:rPr>
            </w:pPr>
            <w:r>
              <w:rPr>
                <w:color w:val="auto"/>
              </w:rPr>
              <w:t>2</w:t>
            </w:r>
          </w:p>
        </w:tc>
        <w:tc>
          <w:tcPr>
            <w:tcW w:w="965" w:type="dxa"/>
            <w:shd w:val="clear" w:color="auto" w:fill="auto"/>
            <w:vAlign w:val="center"/>
          </w:tcPr>
          <w:p w14:paraId="75F095E5">
            <w:pPr>
              <w:jc w:val="center"/>
              <w:rPr>
                <w:rFonts w:hint="eastAsia"/>
                <w:color w:val="auto"/>
                <w:lang w:val="en-US" w:eastAsia="zh-CN"/>
              </w:rPr>
            </w:pPr>
            <w:r>
              <w:rPr>
                <w:rFonts w:hint="eastAsia"/>
                <w:color w:val="auto"/>
                <w:lang w:val="en-US" w:eastAsia="zh-CN"/>
              </w:rPr>
              <w:t>2</w:t>
            </w:r>
          </w:p>
        </w:tc>
        <w:tc>
          <w:tcPr>
            <w:tcW w:w="1022" w:type="dxa"/>
            <w:shd w:val="clear" w:color="auto" w:fill="auto"/>
            <w:vAlign w:val="center"/>
          </w:tcPr>
          <w:p w14:paraId="0645CB14">
            <w:pPr>
              <w:jc w:val="center"/>
              <w:rPr>
                <w:color w:val="auto"/>
                <w:lang w:val="en-US" w:eastAsia="zh-CN"/>
              </w:rPr>
            </w:pPr>
            <w:r>
              <w:rPr>
                <w:rFonts w:hint="default"/>
                <w:color w:val="auto"/>
                <w:lang w:val="en-US" w:eastAsia="zh-CN"/>
              </w:rPr>
              <w:t>0.25</w:t>
            </w:r>
          </w:p>
        </w:tc>
        <w:tc>
          <w:tcPr>
            <w:tcW w:w="1041" w:type="dxa"/>
            <w:vAlign w:val="center"/>
          </w:tcPr>
          <w:p w14:paraId="0FBBF450">
            <w:pPr>
              <w:jc w:val="center"/>
              <w:rPr>
                <w:rFonts w:hint="default"/>
                <w:color w:val="auto"/>
                <w:lang w:val="en-US" w:eastAsia="zh-CN"/>
              </w:rPr>
            </w:pPr>
            <w:r>
              <w:rPr>
                <w:rFonts w:hint="default"/>
                <w:color w:val="auto"/>
                <w:lang w:val="en-US" w:eastAsia="zh-CN"/>
              </w:rPr>
              <w:t>8</w:t>
            </w:r>
          </w:p>
        </w:tc>
        <w:tc>
          <w:tcPr>
            <w:tcW w:w="1073" w:type="dxa"/>
            <w:vAlign w:val="center"/>
          </w:tcPr>
          <w:p w14:paraId="20042854">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3D36E297">
            <w:pPr>
              <w:jc w:val="center"/>
              <w:rPr>
                <w:rFonts w:hint="eastAsia"/>
                <w:color w:val="auto"/>
                <w:lang w:val="en-US" w:eastAsia="zh-CN"/>
              </w:rPr>
            </w:pPr>
          </w:p>
        </w:tc>
      </w:tr>
      <w:tr w14:paraId="11F8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419E7B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876" w:type="dxa"/>
            <w:shd w:val="clear" w:color="auto" w:fill="auto"/>
            <w:vAlign w:val="center"/>
          </w:tcPr>
          <w:p w14:paraId="1F85F539">
            <w:pPr>
              <w:jc w:val="center"/>
              <w:rPr>
                <w:rFonts w:hint="eastAsia"/>
                <w:color w:val="auto"/>
                <w:lang w:val="en-US" w:eastAsia="en-US"/>
              </w:rPr>
            </w:pPr>
            <w:r>
              <w:rPr>
                <w:color w:val="auto"/>
              </w:rPr>
              <w:t>铜及其化合</w:t>
            </w:r>
            <w:r>
              <w:rPr>
                <w:rFonts w:hint="eastAsia"/>
                <w:color w:val="auto"/>
              </w:rPr>
              <w:t>物</w:t>
            </w:r>
          </w:p>
        </w:tc>
        <w:tc>
          <w:tcPr>
            <w:tcW w:w="900" w:type="dxa"/>
            <w:shd w:val="clear" w:color="auto" w:fill="auto"/>
            <w:vAlign w:val="center"/>
          </w:tcPr>
          <w:p w14:paraId="3AF91C05">
            <w:pPr>
              <w:jc w:val="center"/>
              <w:rPr>
                <w:color w:val="auto"/>
                <w:lang w:val="en-US" w:eastAsia="zh-CN"/>
              </w:rPr>
            </w:pPr>
            <w:r>
              <w:rPr>
                <w:color w:val="auto"/>
              </w:rPr>
              <w:t>/</w:t>
            </w:r>
          </w:p>
        </w:tc>
        <w:tc>
          <w:tcPr>
            <w:tcW w:w="938" w:type="dxa"/>
            <w:shd w:val="clear" w:color="auto" w:fill="auto"/>
            <w:vAlign w:val="center"/>
          </w:tcPr>
          <w:p w14:paraId="48368E01">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62DEDC07">
            <w:pPr>
              <w:jc w:val="center"/>
              <w:rPr>
                <w:rFonts w:hint="eastAsia" w:ascii="Times New Roman" w:hAnsi="Times New Roman" w:eastAsia="宋体" w:cs="Times New Roman"/>
                <w:color w:val="auto"/>
                <w:kern w:val="2"/>
                <w:sz w:val="21"/>
                <w:szCs w:val="24"/>
                <w:lang w:val="en-US" w:eastAsia="zh-CN" w:bidi="ar-SA"/>
              </w:rPr>
            </w:pPr>
            <w:r>
              <w:rPr>
                <w:color w:val="auto"/>
              </w:rPr>
              <w:t>5.84</w:t>
            </w:r>
          </w:p>
        </w:tc>
        <w:tc>
          <w:tcPr>
            <w:tcW w:w="965" w:type="dxa"/>
            <w:shd w:val="clear" w:color="auto" w:fill="auto"/>
            <w:vAlign w:val="center"/>
          </w:tcPr>
          <w:p w14:paraId="09F7B88E">
            <w:pPr>
              <w:jc w:val="center"/>
              <w:rPr>
                <w:rFonts w:hint="eastAsia"/>
                <w:color w:val="auto"/>
                <w:lang w:val="en-US" w:eastAsia="zh-CN"/>
              </w:rPr>
            </w:pPr>
            <w:r>
              <w:rPr>
                <w:rFonts w:hint="eastAsia"/>
                <w:color w:val="auto"/>
                <w:lang w:val="en-US" w:eastAsia="zh-CN"/>
              </w:rPr>
              <w:t>5.84</w:t>
            </w:r>
          </w:p>
        </w:tc>
        <w:tc>
          <w:tcPr>
            <w:tcW w:w="1022" w:type="dxa"/>
            <w:shd w:val="clear" w:color="auto" w:fill="auto"/>
            <w:vAlign w:val="center"/>
          </w:tcPr>
          <w:p w14:paraId="07FF9155">
            <w:pPr>
              <w:jc w:val="center"/>
              <w:rPr>
                <w:color w:val="auto"/>
                <w:lang w:val="en-US" w:eastAsia="zh-CN"/>
              </w:rPr>
            </w:pPr>
            <w:r>
              <w:rPr>
                <w:rFonts w:hint="default"/>
                <w:color w:val="auto"/>
                <w:lang w:val="en-US" w:eastAsia="zh-CN"/>
              </w:rPr>
              <w:t>0.25</w:t>
            </w:r>
          </w:p>
        </w:tc>
        <w:tc>
          <w:tcPr>
            <w:tcW w:w="1041" w:type="dxa"/>
            <w:vAlign w:val="center"/>
          </w:tcPr>
          <w:p w14:paraId="10167D65">
            <w:pPr>
              <w:jc w:val="center"/>
              <w:rPr>
                <w:rFonts w:hint="default"/>
                <w:color w:val="auto"/>
                <w:lang w:val="en-US" w:eastAsia="zh-CN"/>
              </w:rPr>
            </w:pPr>
            <w:r>
              <w:rPr>
                <w:rFonts w:hint="default"/>
                <w:color w:val="auto"/>
                <w:lang w:val="en-US" w:eastAsia="zh-CN"/>
              </w:rPr>
              <w:t>23.3600</w:t>
            </w:r>
          </w:p>
        </w:tc>
        <w:tc>
          <w:tcPr>
            <w:tcW w:w="1073" w:type="dxa"/>
            <w:vAlign w:val="center"/>
          </w:tcPr>
          <w:p w14:paraId="7091681B">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13B7CD6B">
            <w:pPr>
              <w:jc w:val="center"/>
              <w:rPr>
                <w:rFonts w:hint="eastAsia"/>
                <w:color w:val="auto"/>
                <w:lang w:val="en-US" w:eastAsia="zh-CN"/>
              </w:rPr>
            </w:pPr>
          </w:p>
        </w:tc>
      </w:tr>
      <w:tr w14:paraId="30B9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99295E5">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76" w:type="dxa"/>
            <w:shd w:val="clear" w:color="auto" w:fill="auto"/>
            <w:vAlign w:val="center"/>
          </w:tcPr>
          <w:p w14:paraId="3E183BE0">
            <w:pPr>
              <w:jc w:val="center"/>
              <w:rPr>
                <w:rFonts w:hint="eastAsia"/>
                <w:color w:val="auto"/>
                <w:lang w:val="en-US" w:eastAsia="en-US"/>
              </w:rPr>
            </w:pPr>
            <w:r>
              <w:rPr>
                <w:color w:val="auto"/>
              </w:rPr>
              <w:t>盐酸</w:t>
            </w:r>
          </w:p>
        </w:tc>
        <w:tc>
          <w:tcPr>
            <w:tcW w:w="900" w:type="dxa"/>
            <w:shd w:val="clear" w:color="auto" w:fill="auto"/>
            <w:vAlign w:val="center"/>
          </w:tcPr>
          <w:p w14:paraId="739B805F">
            <w:pPr>
              <w:jc w:val="center"/>
              <w:rPr>
                <w:color w:val="auto"/>
                <w:lang w:val="en-US" w:eastAsia="zh-CN"/>
              </w:rPr>
            </w:pPr>
            <w:r>
              <w:rPr>
                <w:color w:val="auto"/>
              </w:rPr>
              <w:t>7647-01-0</w:t>
            </w:r>
          </w:p>
        </w:tc>
        <w:tc>
          <w:tcPr>
            <w:tcW w:w="938" w:type="dxa"/>
            <w:shd w:val="clear" w:color="auto" w:fill="auto"/>
            <w:vAlign w:val="center"/>
          </w:tcPr>
          <w:p w14:paraId="02700A83">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744DDFAB">
            <w:pPr>
              <w:jc w:val="center"/>
              <w:rPr>
                <w:rFonts w:hint="eastAsia" w:ascii="Times New Roman" w:hAnsi="Times New Roman" w:eastAsia="宋体" w:cs="Times New Roman"/>
                <w:color w:val="auto"/>
                <w:kern w:val="2"/>
                <w:sz w:val="21"/>
                <w:szCs w:val="24"/>
                <w:lang w:val="en-US" w:eastAsia="zh-CN" w:bidi="ar-SA"/>
              </w:rPr>
            </w:pPr>
            <w:r>
              <w:rPr>
                <w:color w:val="auto"/>
              </w:rPr>
              <w:t>0.1</w:t>
            </w:r>
          </w:p>
        </w:tc>
        <w:tc>
          <w:tcPr>
            <w:tcW w:w="965" w:type="dxa"/>
            <w:shd w:val="clear" w:color="auto" w:fill="auto"/>
            <w:vAlign w:val="center"/>
          </w:tcPr>
          <w:p w14:paraId="3B8F5AA8">
            <w:pPr>
              <w:jc w:val="center"/>
              <w:rPr>
                <w:rFonts w:hint="eastAsia"/>
                <w:color w:val="auto"/>
                <w:lang w:val="en-US" w:eastAsia="zh-CN"/>
              </w:rPr>
            </w:pPr>
            <w:r>
              <w:rPr>
                <w:rFonts w:hint="eastAsia"/>
                <w:color w:val="auto"/>
                <w:lang w:val="en-US" w:eastAsia="zh-CN"/>
              </w:rPr>
              <w:t>0.1</w:t>
            </w:r>
          </w:p>
        </w:tc>
        <w:tc>
          <w:tcPr>
            <w:tcW w:w="1022" w:type="dxa"/>
            <w:shd w:val="clear" w:color="auto" w:fill="auto"/>
            <w:vAlign w:val="center"/>
          </w:tcPr>
          <w:p w14:paraId="26BEA738">
            <w:pPr>
              <w:jc w:val="center"/>
              <w:rPr>
                <w:color w:val="auto"/>
                <w:lang w:val="en-US" w:eastAsia="zh-CN"/>
              </w:rPr>
            </w:pPr>
            <w:r>
              <w:rPr>
                <w:rFonts w:hint="default"/>
                <w:color w:val="auto"/>
                <w:lang w:val="en-US" w:eastAsia="zh-CN"/>
              </w:rPr>
              <w:t>7.5</w:t>
            </w:r>
          </w:p>
        </w:tc>
        <w:tc>
          <w:tcPr>
            <w:tcW w:w="1041" w:type="dxa"/>
            <w:vAlign w:val="center"/>
          </w:tcPr>
          <w:p w14:paraId="6B0ABC40">
            <w:pPr>
              <w:jc w:val="center"/>
              <w:rPr>
                <w:rFonts w:hint="default"/>
                <w:color w:val="auto"/>
                <w:lang w:val="en-US" w:eastAsia="zh-CN"/>
              </w:rPr>
            </w:pPr>
            <w:r>
              <w:rPr>
                <w:rFonts w:hint="default"/>
                <w:color w:val="auto"/>
                <w:lang w:val="en-US" w:eastAsia="zh-CN"/>
              </w:rPr>
              <w:t>0.0133</w:t>
            </w:r>
          </w:p>
        </w:tc>
        <w:tc>
          <w:tcPr>
            <w:tcW w:w="1073" w:type="dxa"/>
            <w:vAlign w:val="center"/>
          </w:tcPr>
          <w:p w14:paraId="6671B0C3">
            <w:pPr>
              <w:jc w:val="center"/>
              <w:rPr>
                <w:rFonts w:hint="eastAsia"/>
                <w:color w:val="auto"/>
                <w:lang w:val="en-US" w:eastAsia="zh-CN"/>
              </w:rPr>
            </w:pPr>
          </w:p>
        </w:tc>
        <w:tc>
          <w:tcPr>
            <w:tcW w:w="427" w:type="dxa"/>
            <w:vMerge w:val="continue"/>
            <w:vAlign w:val="center"/>
          </w:tcPr>
          <w:p w14:paraId="05BBA4B6">
            <w:pPr>
              <w:jc w:val="center"/>
              <w:rPr>
                <w:rFonts w:hint="eastAsia"/>
                <w:color w:val="auto"/>
                <w:lang w:val="en-US" w:eastAsia="zh-CN"/>
              </w:rPr>
            </w:pPr>
          </w:p>
        </w:tc>
      </w:tr>
      <w:tr w14:paraId="24DE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2B72898D">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6" w:type="dxa"/>
            <w:shd w:val="clear" w:color="auto" w:fill="auto"/>
            <w:vAlign w:val="center"/>
          </w:tcPr>
          <w:p w14:paraId="586D2F06">
            <w:pPr>
              <w:jc w:val="center"/>
              <w:rPr>
                <w:color w:val="auto"/>
              </w:rPr>
            </w:pPr>
            <w:r>
              <w:rPr>
                <w:color w:val="auto"/>
              </w:rPr>
              <w:t>铬及其化合物</w:t>
            </w:r>
          </w:p>
        </w:tc>
        <w:tc>
          <w:tcPr>
            <w:tcW w:w="900" w:type="dxa"/>
            <w:shd w:val="clear" w:color="auto" w:fill="auto"/>
            <w:vAlign w:val="center"/>
          </w:tcPr>
          <w:p w14:paraId="2177DA8C">
            <w:pPr>
              <w:jc w:val="center"/>
              <w:rPr>
                <w:color w:val="auto"/>
              </w:rPr>
            </w:pPr>
            <w:r>
              <w:rPr>
                <w:color w:val="auto"/>
              </w:rPr>
              <w:t>/</w:t>
            </w:r>
          </w:p>
        </w:tc>
        <w:tc>
          <w:tcPr>
            <w:tcW w:w="938" w:type="dxa"/>
            <w:shd w:val="clear" w:color="auto" w:fill="auto"/>
            <w:vAlign w:val="center"/>
          </w:tcPr>
          <w:p w14:paraId="18E2E2C8">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6C8E2676">
            <w:pPr>
              <w:jc w:val="center"/>
              <w:rPr>
                <w:rFonts w:hint="eastAsia" w:ascii="Times New Roman" w:hAnsi="Times New Roman" w:eastAsia="宋体" w:cs="Times New Roman"/>
                <w:color w:val="auto"/>
                <w:kern w:val="2"/>
                <w:sz w:val="21"/>
                <w:szCs w:val="24"/>
                <w:lang w:val="en-US" w:eastAsia="zh-CN" w:bidi="ar-SA"/>
              </w:rPr>
            </w:pPr>
            <w:r>
              <w:rPr>
                <w:color w:val="auto"/>
              </w:rPr>
              <w:t>0.12</w:t>
            </w:r>
          </w:p>
        </w:tc>
        <w:tc>
          <w:tcPr>
            <w:tcW w:w="965" w:type="dxa"/>
            <w:shd w:val="clear" w:color="auto" w:fill="auto"/>
            <w:vAlign w:val="center"/>
          </w:tcPr>
          <w:p w14:paraId="607DFCF9">
            <w:pPr>
              <w:jc w:val="center"/>
              <w:rPr>
                <w:rFonts w:hint="eastAsia"/>
                <w:color w:val="auto"/>
                <w:lang w:val="en-US" w:eastAsia="zh-CN"/>
              </w:rPr>
            </w:pPr>
            <w:r>
              <w:rPr>
                <w:rFonts w:hint="eastAsia"/>
                <w:color w:val="auto"/>
                <w:lang w:val="en-US" w:eastAsia="zh-CN"/>
              </w:rPr>
              <w:t>0.12</w:t>
            </w:r>
          </w:p>
        </w:tc>
        <w:tc>
          <w:tcPr>
            <w:tcW w:w="1022" w:type="dxa"/>
            <w:shd w:val="clear" w:color="auto" w:fill="auto"/>
            <w:vAlign w:val="center"/>
          </w:tcPr>
          <w:p w14:paraId="70DCD019">
            <w:pPr>
              <w:jc w:val="center"/>
              <w:rPr>
                <w:color w:val="auto"/>
                <w:lang w:val="en-US" w:eastAsia="zh-CN"/>
              </w:rPr>
            </w:pPr>
            <w:r>
              <w:rPr>
                <w:rFonts w:hint="default"/>
                <w:color w:val="auto"/>
                <w:lang w:val="en-US" w:eastAsia="zh-CN"/>
              </w:rPr>
              <w:t>0.25</w:t>
            </w:r>
          </w:p>
        </w:tc>
        <w:tc>
          <w:tcPr>
            <w:tcW w:w="1041" w:type="dxa"/>
            <w:vAlign w:val="center"/>
          </w:tcPr>
          <w:p w14:paraId="69E57521">
            <w:pPr>
              <w:jc w:val="center"/>
              <w:rPr>
                <w:rFonts w:hint="default"/>
                <w:color w:val="auto"/>
                <w:lang w:val="en-US" w:eastAsia="zh-CN"/>
              </w:rPr>
            </w:pPr>
            <w:r>
              <w:rPr>
                <w:rFonts w:hint="default"/>
                <w:color w:val="auto"/>
                <w:lang w:val="en-US" w:eastAsia="zh-CN"/>
              </w:rPr>
              <w:t>0.48</w:t>
            </w:r>
          </w:p>
        </w:tc>
        <w:tc>
          <w:tcPr>
            <w:tcW w:w="1073" w:type="dxa"/>
            <w:vAlign w:val="center"/>
          </w:tcPr>
          <w:p w14:paraId="448E009F">
            <w:pPr>
              <w:jc w:val="center"/>
              <w:rPr>
                <w:rFonts w:hint="eastAsia"/>
                <w:color w:val="auto"/>
                <w:lang w:val="en-US" w:eastAsia="zh-CN"/>
              </w:rPr>
            </w:pPr>
            <w:r>
              <w:rPr>
                <w:rFonts w:hint="eastAsia"/>
                <w:color w:val="auto"/>
                <w:lang w:val="en-US" w:eastAsia="zh-CN"/>
              </w:rPr>
              <w:t>是</w:t>
            </w:r>
          </w:p>
        </w:tc>
        <w:tc>
          <w:tcPr>
            <w:tcW w:w="427" w:type="dxa"/>
            <w:vMerge w:val="continue"/>
            <w:vAlign w:val="center"/>
          </w:tcPr>
          <w:p w14:paraId="7B72D901">
            <w:pPr>
              <w:jc w:val="center"/>
              <w:rPr>
                <w:rFonts w:hint="eastAsia"/>
                <w:color w:val="auto"/>
                <w:lang w:val="en-US" w:eastAsia="zh-CN"/>
              </w:rPr>
            </w:pPr>
          </w:p>
        </w:tc>
      </w:tr>
      <w:tr w14:paraId="0DDC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97A6F9B">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76" w:type="dxa"/>
            <w:shd w:val="clear" w:color="auto" w:fill="auto"/>
            <w:vAlign w:val="center"/>
          </w:tcPr>
          <w:p w14:paraId="054118D9">
            <w:pPr>
              <w:jc w:val="center"/>
              <w:rPr>
                <w:color w:val="auto"/>
              </w:rPr>
            </w:pPr>
            <w:r>
              <w:rPr>
                <w:color w:val="auto"/>
              </w:rPr>
              <w:t>磷酸</w:t>
            </w:r>
          </w:p>
        </w:tc>
        <w:tc>
          <w:tcPr>
            <w:tcW w:w="900" w:type="dxa"/>
            <w:shd w:val="clear" w:color="auto" w:fill="auto"/>
            <w:vAlign w:val="center"/>
          </w:tcPr>
          <w:p w14:paraId="48D0255E">
            <w:pPr>
              <w:jc w:val="center"/>
              <w:rPr>
                <w:color w:val="auto"/>
              </w:rPr>
            </w:pPr>
            <w:r>
              <w:rPr>
                <w:color w:val="auto"/>
              </w:rPr>
              <w:t>7664-38-2</w:t>
            </w:r>
          </w:p>
        </w:tc>
        <w:tc>
          <w:tcPr>
            <w:tcW w:w="938" w:type="dxa"/>
            <w:shd w:val="clear" w:color="auto" w:fill="auto"/>
            <w:vAlign w:val="center"/>
          </w:tcPr>
          <w:p w14:paraId="3717307A">
            <w:pPr>
              <w:jc w:val="center"/>
              <w:rPr>
                <w:color w:val="auto"/>
              </w:rPr>
            </w:pPr>
            <w:r>
              <w:rPr>
                <w:rFonts w:hint="eastAsia"/>
                <w:color w:val="auto"/>
                <w:lang w:val="en-US" w:eastAsia="zh-CN"/>
              </w:rPr>
              <w:t>0</w:t>
            </w:r>
          </w:p>
        </w:tc>
        <w:tc>
          <w:tcPr>
            <w:tcW w:w="1247" w:type="dxa"/>
            <w:shd w:val="clear" w:color="auto" w:fill="auto"/>
            <w:vAlign w:val="center"/>
          </w:tcPr>
          <w:p w14:paraId="3E577A1C">
            <w:pPr>
              <w:jc w:val="center"/>
              <w:rPr>
                <w:rFonts w:hint="eastAsia" w:ascii="Times New Roman" w:hAnsi="Times New Roman" w:eastAsia="宋体" w:cs="Times New Roman"/>
                <w:color w:val="auto"/>
                <w:kern w:val="2"/>
                <w:sz w:val="21"/>
                <w:szCs w:val="24"/>
                <w:lang w:val="en-US" w:eastAsia="zh-CN" w:bidi="ar-SA"/>
              </w:rPr>
            </w:pPr>
            <w:r>
              <w:rPr>
                <w:color w:val="auto"/>
              </w:rPr>
              <w:t>0.8</w:t>
            </w:r>
          </w:p>
        </w:tc>
        <w:tc>
          <w:tcPr>
            <w:tcW w:w="965" w:type="dxa"/>
            <w:shd w:val="clear" w:color="auto" w:fill="auto"/>
            <w:vAlign w:val="center"/>
          </w:tcPr>
          <w:p w14:paraId="1F4ED07E">
            <w:pPr>
              <w:jc w:val="center"/>
              <w:rPr>
                <w:rFonts w:hint="eastAsia"/>
                <w:color w:val="auto"/>
                <w:lang w:val="en-US" w:eastAsia="zh-CN"/>
              </w:rPr>
            </w:pPr>
            <w:r>
              <w:rPr>
                <w:rFonts w:hint="eastAsia"/>
                <w:color w:val="auto"/>
                <w:lang w:val="en-US" w:eastAsia="zh-CN"/>
              </w:rPr>
              <w:t>0.8</w:t>
            </w:r>
          </w:p>
        </w:tc>
        <w:tc>
          <w:tcPr>
            <w:tcW w:w="1022" w:type="dxa"/>
            <w:shd w:val="clear" w:color="auto" w:fill="auto"/>
            <w:vAlign w:val="center"/>
          </w:tcPr>
          <w:p w14:paraId="08DEB7C7">
            <w:pPr>
              <w:jc w:val="center"/>
              <w:rPr>
                <w:color w:val="auto"/>
                <w:lang w:val="en-US" w:eastAsia="zh-CN"/>
              </w:rPr>
            </w:pPr>
            <w:r>
              <w:rPr>
                <w:rFonts w:hint="default"/>
                <w:color w:val="auto"/>
                <w:lang w:val="en-US" w:eastAsia="zh-CN"/>
              </w:rPr>
              <w:t>10</w:t>
            </w:r>
          </w:p>
        </w:tc>
        <w:tc>
          <w:tcPr>
            <w:tcW w:w="1041" w:type="dxa"/>
            <w:vAlign w:val="center"/>
          </w:tcPr>
          <w:p w14:paraId="12A5479E">
            <w:pPr>
              <w:jc w:val="center"/>
              <w:rPr>
                <w:rFonts w:hint="default"/>
                <w:color w:val="auto"/>
                <w:lang w:val="en-US" w:eastAsia="zh-CN"/>
              </w:rPr>
            </w:pPr>
            <w:r>
              <w:rPr>
                <w:rFonts w:hint="default"/>
                <w:color w:val="auto"/>
                <w:lang w:val="en-US" w:eastAsia="zh-CN"/>
              </w:rPr>
              <w:t>0.08</w:t>
            </w:r>
          </w:p>
        </w:tc>
        <w:tc>
          <w:tcPr>
            <w:tcW w:w="1073" w:type="dxa"/>
            <w:vAlign w:val="center"/>
          </w:tcPr>
          <w:p w14:paraId="6E80C14E">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013E7B0C">
            <w:pPr>
              <w:jc w:val="center"/>
              <w:rPr>
                <w:rFonts w:hint="eastAsia"/>
                <w:color w:val="auto"/>
                <w:lang w:val="en-US" w:eastAsia="zh-CN"/>
              </w:rPr>
            </w:pPr>
          </w:p>
        </w:tc>
      </w:tr>
      <w:tr w14:paraId="796E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63C68220">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876" w:type="dxa"/>
            <w:shd w:val="clear" w:color="auto" w:fill="auto"/>
            <w:vAlign w:val="center"/>
          </w:tcPr>
          <w:p w14:paraId="656C7689">
            <w:pPr>
              <w:jc w:val="center"/>
              <w:rPr>
                <w:color w:val="auto"/>
              </w:rPr>
            </w:pPr>
            <w:r>
              <w:rPr>
                <w:color w:val="auto"/>
              </w:rPr>
              <w:t>异丙醇</w:t>
            </w:r>
          </w:p>
        </w:tc>
        <w:tc>
          <w:tcPr>
            <w:tcW w:w="900" w:type="dxa"/>
            <w:shd w:val="clear" w:color="auto" w:fill="auto"/>
            <w:vAlign w:val="center"/>
          </w:tcPr>
          <w:p w14:paraId="59B3C06B">
            <w:pPr>
              <w:jc w:val="center"/>
              <w:rPr>
                <w:color w:val="auto"/>
              </w:rPr>
            </w:pPr>
            <w:r>
              <w:rPr>
                <w:color w:val="auto"/>
              </w:rPr>
              <w:t>67-63-0</w:t>
            </w:r>
          </w:p>
        </w:tc>
        <w:tc>
          <w:tcPr>
            <w:tcW w:w="938" w:type="dxa"/>
            <w:shd w:val="clear" w:color="auto" w:fill="auto"/>
            <w:vAlign w:val="center"/>
          </w:tcPr>
          <w:p w14:paraId="37AC7648">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B3B7F7A">
            <w:pPr>
              <w:jc w:val="center"/>
              <w:rPr>
                <w:rFonts w:hint="eastAsia" w:ascii="Times New Roman" w:hAnsi="Times New Roman" w:eastAsia="宋体" w:cs="Times New Roman"/>
                <w:color w:val="auto"/>
                <w:kern w:val="2"/>
                <w:sz w:val="21"/>
                <w:szCs w:val="24"/>
                <w:lang w:val="en-US" w:eastAsia="zh-CN" w:bidi="ar-SA"/>
              </w:rPr>
            </w:pPr>
            <w:r>
              <w:rPr>
                <w:color w:val="auto"/>
              </w:rPr>
              <w:t>0.065</w:t>
            </w:r>
          </w:p>
        </w:tc>
        <w:tc>
          <w:tcPr>
            <w:tcW w:w="965" w:type="dxa"/>
            <w:shd w:val="clear" w:color="auto" w:fill="auto"/>
            <w:vAlign w:val="center"/>
          </w:tcPr>
          <w:p w14:paraId="541D837A">
            <w:pPr>
              <w:jc w:val="center"/>
              <w:rPr>
                <w:rFonts w:hint="eastAsia"/>
                <w:color w:val="auto"/>
                <w:lang w:val="en-US" w:eastAsia="zh-CN"/>
              </w:rPr>
            </w:pPr>
            <w:r>
              <w:rPr>
                <w:rFonts w:hint="eastAsia"/>
                <w:color w:val="auto"/>
                <w:lang w:val="en-US" w:eastAsia="zh-CN"/>
              </w:rPr>
              <w:t>0.065</w:t>
            </w:r>
          </w:p>
        </w:tc>
        <w:tc>
          <w:tcPr>
            <w:tcW w:w="1022" w:type="dxa"/>
            <w:shd w:val="clear" w:color="auto" w:fill="auto"/>
            <w:vAlign w:val="center"/>
          </w:tcPr>
          <w:p w14:paraId="52078CAE">
            <w:pPr>
              <w:jc w:val="center"/>
              <w:rPr>
                <w:color w:val="auto"/>
                <w:lang w:val="en-US" w:eastAsia="zh-CN"/>
              </w:rPr>
            </w:pPr>
            <w:r>
              <w:rPr>
                <w:rFonts w:hint="default"/>
                <w:color w:val="auto"/>
                <w:lang w:val="en-US" w:eastAsia="zh-CN"/>
              </w:rPr>
              <w:t>10</w:t>
            </w:r>
          </w:p>
        </w:tc>
        <w:tc>
          <w:tcPr>
            <w:tcW w:w="1041" w:type="dxa"/>
            <w:vAlign w:val="center"/>
          </w:tcPr>
          <w:p w14:paraId="51C68AAC">
            <w:pPr>
              <w:jc w:val="center"/>
              <w:rPr>
                <w:rFonts w:hint="default"/>
                <w:color w:val="auto"/>
                <w:lang w:val="en-US" w:eastAsia="zh-CN"/>
              </w:rPr>
            </w:pPr>
            <w:r>
              <w:rPr>
                <w:rFonts w:hint="default"/>
                <w:color w:val="auto"/>
                <w:lang w:val="en-US" w:eastAsia="zh-CN"/>
              </w:rPr>
              <w:t>0.0065</w:t>
            </w:r>
          </w:p>
        </w:tc>
        <w:tc>
          <w:tcPr>
            <w:tcW w:w="1073" w:type="dxa"/>
            <w:vAlign w:val="center"/>
          </w:tcPr>
          <w:p w14:paraId="1D7C1155">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65AC48A6">
            <w:pPr>
              <w:jc w:val="center"/>
              <w:rPr>
                <w:rFonts w:hint="eastAsia"/>
                <w:color w:val="auto"/>
                <w:lang w:val="en-US" w:eastAsia="zh-CN"/>
              </w:rPr>
            </w:pPr>
          </w:p>
        </w:tc>
      </w:tr>
      <w:tr w14:paraId="0CCD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3A16522">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76" w:type="dxa"/>
            <w:shd w:val="clear" w:color="auto" w:fill="auto"/>
            <w:vAlign w:val="center"/>
          </w:tcPr>
          <w:p w14:paraId="7266F971">
            <w:pPr>
              <w:jc w:val="center"/>
              <w:rPr>
                <w:color w:val="auto"/>
              </w:rPr>
            </w:pPr>
            <w:r>
              <w:rPr>
                <w:color w:val="auto"/>
              </w:rPr>
              <w:t>二甲苯</w:t>
            </w:r>
          </w:p>
        </w:tc>
        <w:tc>
          <w:tcPr>
            <w:tcW w:w="900" w:type="dxa"/>
            <w:shd w:val="clear" w:color="auto" w:fill="auto"/>
            <w:vAlign w:val="center"/>
          </w:tcPr>
          <w:p w14:paraId="4917263F">
            <w:pPr>
              <w:jc w:val="center"/>
              <w:rPr>
                <w:color w:val="auto"/>
              </w:rPr>
            </w:pPr>
            <w:r>
              <w:rPr>
                <w:color w:val="auto"/>
              </w:rPr>
              <w:t>1330-20-7</w:t>
            </w:r>
          </w:p>
        </w:tc>
        <w:tc>
          <w:tcPr>
            <w:tcW w:w="938" w:type="dxa"/>
            <w:shd w:val="clear" w:color="auto" w:fill="auto"/>
            <w:vAlign w:val="center"/>
          </w:tcPr>
          <w:p w14:paraId="61628567">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0B8591B9">
            <w:pPr>
              <w:jc w:val="center"/>
              <w:rPr>
                <w:rFonts w:hint="eastAsia" w:ascii="Times New Roman" w:hAnsi="Times New Roman" w:eastAsia="宋体" w:cs="Times New Roman"/>
                <w:color w:val="auto"/>
                <w:kern w:val="2"/>
                <w:sz w:val="21"/>
                <w:szCs w:val="24"/>
                <w:lang w:val="en-US" w:eastAsia="zh-CN" w:bidi="ar-SA"/>
              </w:rPr>
            </w:pPr>
            <w:r>
              <w:rPr>
                <w:color w:val="auto"/>
              </w:rPr>
              <w:t>0.103</w:t>
            </w:r>
          </w:p>
        </w:tc>
        <w:tc>
          <w:tcPr>
            <w:tcW w:w="965" w:type="dxa"/>
            <w:shd w:val="clear" w:color="auto" w:fill="auto"/>
            <w:vAlign w:val="center"/>
          </w:tcPr>
          <w:p w14:paraId="4AA77B9E">
            <w:pPr>
              <w:jc w:val="center"/>
              <w:rPr>
                <w:rFonts w:hint="eastAsia"/>
                <w:color w:val="auto"/>
                <w:lang w:val="en-US" w:eastAsia="zh-CN"/>
              </w:rPr>
            </w:pPr>
            <w:r>
              <w:rPr>
                <w:rFonts w:hint="eastAsia"/>
                <w:color w:val="auto"/>
                <w:lang w:val="en-US" w:eastAsia="zh-CN"/>
              </w:rPr>
              <w:t>0.103</w:t>
            </w:r>
          </w:p>
        </w:tc>
        <w:tc>
          <w:tcPr>
            <w:tcW w:w="1022" w:type="dxa"/>
            <w:shd w:val="clear" w:color="auto" w:fill="auto"/>
            <w:vAlign w:val="center"/>
          </w:tcPr>
          <w:p w14:paraId="4FBBAA43">
            <w:pPr>
              <w:jc w:val="center"/>
              <w:rPr>
                <w:color w:val="auto"/>
                <w:lang w:val="en-US" w:eastAsia="zh-CN"/>
              </w:rPr>
            </w:pPr>
            <w:r>
              <w:rPr>
                <w:rFonts w:hint="default"/>
                <w:color w:val="auto"/>
                <w:lang w:val="en-US" w:eastAsia="zh-CN"/>
              </w:rPr>
              <w:t>10</w:t>
            </w:r>
          </w:p>
        </w:tc>
        <w:tc>
          <w:tcPr>
            <w:tcW w:w="1041" w:type="dxa"/>
            <w:vAlign w:val="center"/>
          </w:tcPr>
          <w:p w14:paraId="0D4E0AC8">
            <w:pPr>
              <w:jc w:val="center"/>
              <w:rPr>
                <w:rFonts w:hint="default"/>
                <w:color w:val="auto"/>
                <w:lang w:val="en-US" w:eastAsia="zh-CN"/>
              </w:rPr>
            </w:pPr>
            <w:r>
              <w:rPr>
                <w:rFonts w:hint="default"/>
                <w:color w:val="auto"/>
                <w:lang w:val="en-US" w:eastAsia="zh-CN"/>
              </w:rPr>
              <w:t>0.0103</w:t>
            </w:r>
          </w:p>
        </w:tc>
        <w:tc>
          <w:tcPr>
            <w:tcW w:w="1073" w:type="dxa"/>
            <w:vAlign w:val="center"/>
          </w:tcPr>
          <w:p w14:paraId="1330C0CB">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40886A75">
            <w:pPr>
              <w:jc w:val="center"/>
              <w:rPr>
                <w:rFonts w:hint="eastAsia"/>
                <w:color w:val="auto"/>
                <w:lang w:val="en-US" w:eastAsia="zh-CN"/>
              </w:rPr>
            </w:pPr>
          </w:p>
        </w:tc>
      </w:tr>
      <w:tr w14:paraId="7597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21E1C80">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876" w:type="dxa"/>
            <w:shd w:val="clear" w:color="auto" w:fill="auto"/>
            <w:vAlign w:val="center"/>
          </w:tcPr>
          <w:p w14:paraId="404271C0">
            <w:pPr>
              <w:jc w:val="center"/>
              <w:rPr>
                <w:color w:val="auto"/>
              </w:rPr>
            </w:pPr>
            <w:r>
              <w:rPr>
                <w:color w:val="auto"/>
              </w:rPr>
              <w:t>丁醇</w:t>
            </w:r>
          </w:p>
        </w:tc>
        <w:tc>
          <w:tcPr>
            <w:tcW w:w="900" w:type="dxa"/>
            <w:shd w:val="clear" w:color="auto" w:fill="auto"/>
            <w:vAlign w:val="center"/>
          </w:tcPr>
          <w:p w14:paraId="6055EAB7">
            <w:pPr>
              <w:jc w:val="center"/>
              <w:rPr>
                <w:color w:val="auto"/>
              </w:rPr>
            </w:pPr>
            <w:r>
              <w:rPr>
                <w:color w:val="auto"/>
              </w:rPr>
              <w:t>71-36-3</w:t>
            </w:r>
          </w:p>
        </w:tc>
        <w:tc>
          <w:tcPr>
            <w:tcW w:w="938" w:type="dxa"/>
            <w:shd w:val="clear" w:color="auto" w:fill="auto"/>
            <w:vAlign w:val="center"/>
          </w:tcPr>
          <w:p w14:paraId="325CED7A">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8D66DB7">
            <w:pPr>
              <w:jc w:val="center"/>
              <w:rPr>
                <w:rFonts w:hint="eastAsia" w:ascii="Times New Roman" w:hAnsi="Times New Roman" w:eastAsia="宋体" w:cs="Times New Roman"/>
                <w:color w:val="auto"/>
                <w:kern w:val="2"/>
                <w:sz w:val="21"/>
                <w:szCs w:val="24"/>
                <w:lang w:val="en-US" w:eastAsia="zh-CN" w:bidi="ar-SA"/>
              </w:rPr>
            </w:pPr>
            <w:r>
              <w:rPr>
                <w:color w:val="auto"/>
              </w:rPr>
              <w:t>0.053</w:t>
            </w:r>
          </w:p>
        </w:tc>
        <w:tc>
          <w:tcPr>
            <w:tcW w:w="965" w:type="dxa"/>
            <w:shd w:val="clear" w:color="auto" w:fill="auto"/>
            <w:vAlign w:val="center"/>
          </w:tcPr>
          <w:p w14:paraId="479F7980">
            <w:pPr>
              <w:jc w:val="center"/>
              <w:rPr>
                <w:rFonts w:hint="eastAsia"/>
                <w:color w:val="auto"/>
                <w:lang w:val="en-US" w:eastAsia="zh-CN"/>
              </w:rPr>
            </w:pPr>
            <w:r>
              <w:rPr>
                <w:rFonts w:hint="eastAsia"/>
                <w:color w:val="auto"/>
                <w:lang w:val="en-US" w:eastAsia="zh-CN"/>
              </w:rPr>
              <w:t>0.053</w:t>
            </w:r>
          </w:p>
        </w:tc>
        <w:tc>
          <w:tcPr>
            <w:tcW w:w="1022" w:type="dxa"/>
            <w:shd w:val="clear" w:color="auto" w:fill="auto"/>
            <w:vAlign w:val="center"/>
          </w:tcPr>
          <w:p w14:paraId="272FDCB0">
            <w:pPr>
              <w:jc w:val="center"/>
              <w:rPr>
                <w:color w:val="auto"/>
                <w:lang w:val="en-US" w:eastAsia="zh-CN"/>
              </w:rPr>
            </w:pPr>
            <w:r>
              <w:rPr>
                <w:rFonts w:hint="default"/>
                <w:color w:val="auto"/>
                <w:lang w:val="en-US" w:eastAsia="zh-CN"/>
              </w:rPr>
              <w:t>10</w:t>
            </w:r>
          </w:p>
        </w:tc>
        <w:tc>
          <w:tcPr>
            <w:tcW w:w="1041" w:type="dxa"/>
            <w:vAlign w:val="center"/>
          </w:tcPr>
          <w:p w14:paraId="54E30BFC">
            <w:pPr>
              <w:jc w:val="center"/>
              <w:rPr>
                <w:rFonts w:hint="default"/>
                <w:color w:val="auto"/>
                <w:lang w:val="en-US" w:eastAsia="zh-CN"/>
              </w:rPr>
            </w:pPr>
            <w:r>
              <w:rPr>
                <w:rFonts w:hint="default"/>
                <w:color w:val="auto"/>
                <w:lang w:val="en-US" w:eastAsia="zh-CN"/>
              </w:rPr>
              <w:t>0.0053</w:t>
            </w:r>
          </w:p>
        </w:tc>
        <w:tc>
          <w:tcPr>
            <w:tcW w:w="1073" w:type="dxa"/>
            <w:vAlign w:val="center"/>
          </w:tcPr>
          <w:p w14:paraId="5A18A03D">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286961AE">
            <w:pPr>
              <w:jc w:val="center"/>
              <w:rPr>
                <w:rFonts w:hint="eastAsia"/>
                <w:color w:val="auto"/>
                <w:lang w:val="en-US" w:eastAsia="zh-CN"/>
              </w:rPr>
            </w:pPr>
          </w:p>
        </w:tc>
      </w:tr>
      <w:tr w14:paraId="458D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1EA3AE0C">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6" w:type="dxa"/>
            <w:shd w:val="clear" w:color="auto" w:fill="auto"/>
            <w:vAlign w:val="center"/>
          </w:tcPr>
          <w:p w14:paraId="6C00C9F5">
            <w:pPr>
              <w:jc w:val="center"/>
              <w:rPr>
                <w:color w:val="auto"/>
              </w:rPr>
            </w:pPr>
            <w:r>
              <w:rPr>
                <w:color w:val="auto"/>
              </w:rPr>
              <w:t>甲醛</w:t>
            </w:r>
          </w:p>
        </w:tc>
        <w:tc>
          <w:tcPr>
            <w:tcW w:w="900" w:type="dxa"/>
            <w:shd w:val="clear" w:color="auto" w:fill="auto"/>
            <w:vAlign w:val="center"/>
          </w:tcPr>
          <w:p w14:paraId="4761610F">
            <w:pPr>
              <w:jc w:val="center"/>
              <w:rPr>
                <w:color w:val="auto"/>
              </w:rPr>
            </w:pPr>
            <w:r>
              <w:rPr>
                <w:color w:val="auto"/>
              </w:rPr>
              <w:t>50-00-0</w:t>
            </w:r>
          </w:p>
        </w:tc>
        <w:tc>
          <w:tcPr>
            <w:tcW w:w="938" w:type="dxa"/>
            <w:shd w:val="clear" w:color="auto" w:fill="auto"/>
            <w:vAlign w:val="center"/>
          </w:tcPr>
          <w:p w14:paraId="6BE7CB56">
            <w:pPr>
              <w:jc w:val="center"/>
              <w:rPr>
                <w:color w:val="auto"/>
              </w:rPr>
            </w:pPr>
            <w:r>
              <w:rPr>
                <w:rFonts w:hint="eastAsia"/>
                <w:color w:val="auto"/>
                <w:lang w:val="en-US" w:eastAsia="zh-CN"/>
              </w:rPr>
              <w:t>0</w:t>
            </w:r>
          </w:p>
        </w:tc>
        <w:tc>
          <w:tcPr>
            <w:tcW w:w="1247" w:type="dxa"/>
            <w:shd w:val="clear" w:color="auto" w:fill="auto"/>
            <w:vAlign w:val="center"/>
          </w:tcPr>
          <w:p w14:paraId="25E2F492">
            <w:pPr>
              <w:jc w:val="center"/>
              <w:rPr>
                <w:rFonts w:hint="eastAsia" w:ascii="Times New Roman" w:hAnsi="Times New Roman" w:eastAsia="宋体" w:cs="Times New Roman"/>
                <w:color w:val="auto"/>
                <w:kern w:val="2"/>
                <w:sz w:val="21"/>
                <w:szCs w:val="24"/>
                <w:lang w:val="en-US" w:eastAsia="zh-CN" w:bidi="ar-SA"/>
              </w:rPr>
            </w:pPr>
            <w:r>
              <w:rPr>
                <w:color w:val="auto"/>
              </w:rPr>
              <w:t>0.002</w:t>
            </w:r>
          </w:p>
        </w:tc>
        <w:tc>
          <w:tcPr>
            <w:tcW w:w="965" w:type="dxa"/>
            <w:shd w:val="clear" w:color="auto" w:fill="auto"/>
            <w:vAlign w:val="center"/>
          </w:tcPr>
          <w:p w14:paraId="3BCF8BBC">
            <w:pPr>
              <w:jc w:val="center"/>
              <w:rPr>
                <w:rFonts w:hint="eastAsia"/>
                <w:color w:val="auto"/>
                <w:lang w:val="en-US" w:eastAsia="zh-CN"/>
              </w:rPr>
            </w:pPr>
            <w:r>
              <w:rPr>
                <w:rFonts w:hint="eastAsia"/>
                <w:color w:val="auto"/>
                <w:lang w:val="en-US" w:eastAsia="zh-CN"/>
              </w:rPr>
              <w:t>0.002</w:t>
            </w:r>
          </w:p>
        </w:tc>
        <w:tc>
          <w:tcPr>
            <w:tcW w:w="1022" w:type="dxa"/>
            <w:shd w:val="clear" w:color="auto" w:fill="auto"/>
            <w:vAlign w:val="center"/>
          </w:tcPr>
          <w:p w14:paraId="0D5B5027">
            <w:pPr>
              <w:jc w:val="center"/>
              <w:rPr>
                <w:color w:val="auto"/>
                <w:lang w:val="en-US" w:eastAsia="zh-CN"/>
              </w:rPr>
            </w:pPr>
            <w:r>
              <w:rPr>
                <w:rFonts w:hint="default"/>
                <w:color w:val="auto"/>
                <w:lang w:val="en-US" w:eastAsia="zh-CN"/>
              </w:rPr>
              <w:t>0.5</w:t>
            </w:r>
          </w:p>
        </w:tc>
        <w:tc>
          <w:tcPr>
            <w:tcW w:w="1041" w:type="dxa"/>
            <w:vAlign w:val="center"/>
          </w:tcPr>
          <w:p w14:paraId="5042F82B">
            <w:pPr>
              <w:jc w:val="center"/>
              <w:rPr>
                <w:rFonts w:hint="default"/>
                <w:color w:val="auto"/>
                <w:lang w:val="en-US" w:eastAsia="zh-CN"/>
              </w:rPr>
            </w:pPr>
            <w:r>
              <w:rPr>
                <w:rFonts w:hint="default"/>
                <w:color w:val="auto"/>
                <w:lang w:val="en-US" w:eastAsia="zh-CN"/>
              </w:rPr>
              <w:t>0.0040</w:t>
            </w:r>
          </w:p>
        </w:tc>
        <w:tc>
          <w:tcPr>
            <w:tcW w:w="1073" w:type="dxa"/>
            <w:vAlign w:val="center"/>
          </w:tcPr>
          <w:p w14:paraId="0373C928">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35F38C7C">
            <w:pPr>
              <w:jc w:val="center"/>
              <w:rPr>
                <w:rFonts w:hint="eastAsia"/>
                <w:color w:val="auto"/>
                <w:lang w:val="en-US" w:eastAsia="zh-CN"/>
              </w:rPr>
            </w:pPr>
          </w:p>
        </w:tc>
      </w:tr>
      <w:tr w14:paraId="23C1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05B7D494">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876" w:type="dxa"/>
            <w:shd w:val="clear" w:color="auto" w:fill="auto"/>
            <w:vAlign w:val="center"/>
          </w:tcPr>
          <w:p w14:paraId="1D3F8F8E">
            <w:pPr>
              <w:jc w:val="center"/>
              <w:rPr>
                <w:color w:val="auto"/>
              </w:rPr>
            </w:pPr>
            <w:r>
              <w:rPr>
                <w:color w:val="auto"/>
              </w:rPr>
              <w:t>甲苯</w:t>
            </w:r>
          </w:p>
        </w:tc>
        <w:tc>
          <w:tcPr>
            <w:tcW w:w="900" w:type="dxa"/>
            <w:shd w:val="clear" w:color="auto" w:fill="auto"/>
            <w:vAlign w:val="center"/>
          </w:tcPr>
          <w:p w14:paraId="7A28B336">
            <w:pPr>
              <w:jc w:val="center"/>
              <w:rPr>
                <w:color w:val="auto"/>
              </w:rPr>
            </w:pPr>
            <w:r>
              <w:rPr>
                <w:color w:val="auto"/>
              </w:rPr>
              <w:t>108-88-3</w:t>
            </w:r>
          </w:p>
        </w:tc>
        <w:tc>
          <w:tcPr>
            <w:tcW w:w="938" w:type="dxa"/>
            <w:shd w:val="clear" w:color="auto" w:fill="auto"/>
            <w:vAlign w:val="center"/>
          </w:tcPr>
          <w:p w14:paraId="6489C85D">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175611B5">
            <w:pPr>
              <w:jc w:val="center"/>
              <w:rPr>
                <w:rFonts w:hint="eastAsia" w:ascii="Times New Roman" w:hAnsi="Times New Roman" w:eastAsia="宋体" w:cs="Times New Roman"/>
                <w:color w:val="auto"/>
                <w:kern w:val="2"/>
                <w:sz w:val="21"/>
                <w:szCs w:val="24"/>
                <w:lang w:val="en-US" w:eastAsia="zh-CN" w:bidi="ar-SA"/>
              </w:rPr>
            </w:pPr>
            <w:r>
              <w:rPr>
                <w:color w:val="auto"/>
              </w:rPr>
              <w:t>0.039</w:t>
            </w:r>
          </w:p>
        </w:tc>
        <w:tc>
          <w:tcPr>
            <w:tcW w:w="965" w:type="dxa"/>
            <w:shd w:val="clear" w:color="auto" w:fill="auto"/>
            <w:vAlign w:val="center"/>
          </w:tcPr>
          <w:p w14:paraId="13EF2508">
            <w:pPr>
              <w:jc w:val="center"/>
              <w:rPr>
                <w:rFonts w:hint="eastAsia"/>
                <w:color w:val="auto"/>
                <w:lang w:val="en-US" w:eastAsia="zh-CN"/>
              </w:rPr>
            </w:pPr>
            <w:r>
              <w:rPr>
                <w:rFonts w:hint="eastAsia"/>
                <w:color w:val="auto"/>
                <w:lang w:val="en-US" w:eastAsia="zh-CN"/>
              </w:rPr>
              <w:t>0.039</w:t>
            </w:r>
          </w:p>
        </w:tc>
        <w:tc>
          <w:tcPr>
            <w:tcW w:w="1022" w:type="dxa"/>
            <w:shd w:val="clear" w:color="auto" w:fill="auto"/>
            <w:vAlign w:val="center"/>
          </w:tcPr>
          <w:p w14:paraId="2822EF60">
            <w:pPr>
              <w:jc w:val="center"/>
              <w:rPr>
                <w:color w:val="auto"/>
                <w:lang w:val="en-US" w:eastAsia="zh-CN"/>
              </w:rPr>
            </w:pPr>
            <w:r>
              <w:rPr>
                <w:rFonts w:hint="default"/>
                <w:color w:val="auto"/>
                <w:lang w:val="en-US" w:eastAsia="zh-CN"/>
              </w:rPr>
              <w:t>10</w:t>
            </w:r>
          </w:p>
        </w:tc>
        <w:tc>
          <w:tcPr>
            <w:tcW w:w="1041" w:type="dxa"/>
            <w:vAlign w:val="center"/>
          </w:tcPr>
          <w:p w14:paraId="7E7B26F2">
            <w:pPr>
              <w:jc w:val="center"/>
              <w:rPr>
                <w:rFonts w:hint="default"/>
                <w:color w:val="auto"/>
                <w:lang w:val="en-US" w:eastAsia="zh-CN"/>
              </w:rPr>
            </w:pPr>
            <w:r>
              <w:rPr>
                <w:rFonts w:hint="default"/>
                <w:color w:val="auto"/>
                <w:lang w:val="en-US" w:eastAsia="zh-CN"/>
              </w:rPr>
              <w:t>0.0039</w:t>
            </w:r>
          </w:p>
        </w:tc>
        <w:tc>
          <w:tcPr>
            <w:tcW w:w="1073" w:type="dxa"/>
            <w:vAlign w:val="center"/>
          </w:tcPr>
          <w:p w14:paraId="2542A680">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4C34A5EA">
            <w:pPr>
              <w:jc w:val="center"/>
              <w:rPr>
                <w:rFonts w:hint="eastAsia"/>
                <w:color w:val="auto"/>
                <w:lang w:val="en-US" w:eastAsia="zh-CN"/>
              </w:rPr>
            </w:pPr>
          </w:p>
        </w:tc>
      </w:tr>
      <w:tr w14:paraId="1821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6A989AD">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76" w:type="dxa"/>
            <w:shd w:val="clear" w:color="auto" w:fill="auto"/>
            <w:vAlign w:val="center"/>
          </w:tcPr>
          <w:p w14:paraId="3CF8FC90">
            <w:pPr>
              <w:jc w:val="center"/>
              <w:rPr>
                <w:color w:val="auto"/>
              </w:rPr>
            </w:pPr>
            <w:r>
              <w:rPr>
                <w:color w:val="auto"/>
              </w:rPr>
              <w:t>乙苯</w:t>
            </w:r>
          </w:p>
        </w:tc>
        <w:tc>
          <w:tcPr>
            <w:tcW w:w="900" w:type="dxa"/>
            <w:shd w:val="clear" w:color="auto" w:fill="auto"/>
            <w:vAlign w:val="center"/>
          </w:tcPr>
          <w:p w14:paraId="1B2B5002">
            <w:pPr>
              <w:jc w:val="center"/>
              <w:rPr>
                <w:color w:val="auto"/>
              </w:rPr>
            </w:pPr>
            <w:r>
              <w:rPr>
                <w:color w:val="auto"/>
              </w:rPr>
              <w:t>100-41-4</w:t>
            </w:r>
          </w:p>
        </w:tc>
        <w:tc>
          <w:tcPr>
            <w:tcW w:w="938" w:type="dxa"/>
            <w:shd w:val="clear" w:color="auto" w:fill="auto"/>
            <w:vAlign w:val="center"/>
          </w:tcPr>
          <w:p w14:paraId="40BCDBAD">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34D0C994">
            <w:pPr>
              <w:jc w:val="center"/>
              <w:rPr>
                <w:rFonts w:hint="eastAsia" w:ascii="Times New Roman" w:hAnsi="Times New Roman" w:eastAsia="宋体" w:cs="Times New Roman"/>
                <w:color w:val="auto"/>
                <w:kern w:val="2"/>
                <w:sz w:val="21"/>
                <w:szCs w:val="24"/>
                <w:lang w:val="en-US" w:eastAsia="zh-CN" w:bidi="ar-SA"/>
              </w:rPr>
            </w:pPr>
            <w:r>
              <w:rPr>
                <w:color w:val="auto"/>
              </w:rPr>
              <w:t>0.01</w:t>
            </w:r>
          </w:p>
        </w:tc>
        <w:tc>
          <w:tcPr>
            <w:tcW w:w="965" w:type="dxa"/>
            <w:shd w:val="clear" w:color="auto" w:fill="auto"/>
            <w:vAlign w:val="center"/>
          </w:tcPr>
          <w:p w14:paraId="17157672">
            <w:pPr>
              <w:jc w:val="center"/>
              <w:rPr>
                <w:rFonts w:hint="eastAsia"/>
                <w:color w:val="auto"/>
                <w:lang w:val="en-US" w:eastAsia="zh-CN"/>
              </w:rPr>
            </w:pPr>
            <w:r>
              <w:rPr>
                <w:rFonts w:hint="eastAsia"/>
                <w:color w:val="auto"/>
                <w:lang w:val="en-US" w:eastAsia="zh-CN"/>
              </w:rPr>
              <w:t>0.01</w:t>
            </w:r>
          </w:p>
        </w:tc>
        <w:tc>
          <w:tcPr>
            <w:tcW w:w="1022" w:type="dxa"/>
            <w:shd w:val="clear" w:color="auto" w:fill="auto"/>
            <w:vAlign w:val="center"/>
          </w:tcPr>
          <w:p w14:paraId="3BD54E61">
            <w:pPr>
              <w:jc w:val="center"/>
              <w:rPr>
                <w:color w:val="auto"/>
                <w:lang w:val="en-US" w:eastAsia="zh-CN"/>
              </w:rPr>
            </w:pPr>
            <w:r>
              <w:rPr>
                <w:rFonts w:hint="default"/>
                <w:color w:val="auto"/>
                <w:lang w:val="en-US" w:eastAsia="zh-CN"/>
              </w:rPr>
              <w:t>10</w:t>
            </w:r>
          </w:p>
        </w:tc>
        <w:tc>
          <w:tcPr>
            <w:tcW w:w="1041" w:type="dxa"/>
            <w:vAlign w:val="center"/>
          </w:tcPr>
          <w:p w14:paraId="60AF80B4">
            <w:pPr>
              <w:jc w:val="center"/>
              <w:rPr>
                <w:rFonts w:hint="default"/>
                <w:color w:val="auto"/>
                <w:lang w:val="en-US" w:eastAsia="zh-CN"/>
              </w:rPr>
            </w:pPr>
            <w:r>
              <w:rPr>
                <w:rFonts w:hint="default"/>
                <w:color w:val="auto"/>
                <w:lang w:val="en-US" w:eastAsia="zh-CN"/>
              </w:rPr>
              <w:t>0.0010</w:t>
            </w:r>
          </w:p>
        </w:tc>
        <w:tc>
          <w:tcPr>
            <w:tcW w:w="1073" w:type="dxa"/>
            <w:vAlign w:val="center"/>
          </w:tcPr>
          <w:p w14:paraId="23A20756">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3A8CDA91">
            <w:pPr>
              <w:jc w:val="center"/>
              <w:rPr>
                <w:rFonts w:hint="eastAsia"/>
                <w:color w:val="auto"/>
                <w:lang w:val="en-US" w:eastAsia="zh-CN"/>
              </w:rPr>
            </w:pPr>
          </w:p>
        </w:tc>
      </w:tr>
      <w:tr w14:paraId="1E3E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362F5833">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76" w:type="dxa"/>
            <w:shd w:val="clear" w:color="auto" w:fill="auto"/>
            <w:vAlign w:val="center"/>
          </w:tcPr>
          <w:p w14:paraId="4FAB604B">
            <w:pPr>
              <w:jc w:val="center"/>
              <w:rPr>
                <w:color w:val="auto"/>
              </w:rPr>
            </w:pPr>
            <w:r>
              <w:rPr>
                <w:color w:val="auto"/>
              </w:rPr>
              <w:t>环己酮</w:t>
            </w:r>
          </w:p>
        </w:tc>
        <w:tc>
          <w:tcPr>
            <w:tcW w:w="900" w:type="dxa"/>
            <w:shd w:val="clear" w:color="auto" w:fill="auto"/>
            <w:vAlign w:val="center"/>
          </w:tcPr>
          <w:p w14:paraId="3CC0696E">
            <w:pPr>
              <w:jc w:val="center"/>
              <w:rPr>
                <w:color w:val="auto"/>
              </w:rPr>
            </w:pPr>
            <w:r>
              <w:rPr>
                <w:color w:val="auto"/>
              </w:rPr>
              <w:t>108-94-1</w:t>
            </w:r>
          </w:p>
        </w:tc>
        <w:tc>
          <w:tcPr>
            <w:tcW w:w="938" w:type="dxa"/>
            <w:shd w:val="clear" w:color="auto" w:fill="auto"/>
            <w:vAlign w:val="center"/>
          </w:tcPr>
          <w:p w14:paraId="2F963AED">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w:t>
            </w:r>
          </w:p>
        </w:tc>
        <w:tc>
          <w:tcPr>
            <w:tcW w:w="1247" w:type="dxa"/>
            <w:shd w:val="clear" w:color="auto" w:fill="auto"/>
            <w:vAlign w:val="center"/>
          </w:tcPr>
          <w:p w14:paraId="45945D47">
            <w:pPr>
              <w:jc w:val="center"/>
              <w:rPr>
                <w:rFonts w:hint="eastAsia" w:ascii="Times New Roman" w:hAnsi="Times New Roman" w:eastAsia="宋体" w:cs="Times New Roman"/>
                <w:color w:val="auto"/>
                <w:kern w:val="2"/>
                <w:sz w:val="21"/>
                <w:szCs w:val="24"/>
                <w:lang w:val="en-US" w:eastAsia="zh-CN" w:bidi="ar-SA"/>
              </w:rPr>
            </w:pPr>
            <w:r>
              <w:rPr>
                <w:color w:val="auto"/>
              </w:rPr>
              <w:t>0.006</w:t>
            </w:r>
          </w:p>
        </w:tc>
        <w:tc>
          <w:tcPr>
            <w:tcW w:w="965" w:type="dxa"/>
            <w:shd w:val="clear" w:color="auto" w:fill="auto"/>
            <w:vAlign w:val="center"/>
          </w:tcPr>
          <w:p w14:paraId="120C36D0">
            <w:pPr>
              <w:jc w:val="center"/>
              <w:rPr>
                <w:rFonts w:hint="eastAsia"/>
                <w:color w:val="auto"/>
                <w:lang w:val="en-US" w:eastAsia="zh-CN"/>
              </w:rPr>
            </w:pPr>
            <w:r>
              <w:rPr>
                <w:rFonts w:hint="eastAsia"/>
                <w:color w:val="auto"/>
                <w:lang w:val="en-US" w:eastAsia="zh-CN"/>
              </w:rPr>
              <w:t>0.006</w:t>
            </w:r>
          </w:p>
        </w:tc>
        <w:tc>
          <w:tcPr>
            <w:tcW w:w="1022" w:type="dxa"/>
            <w:shd w:val="clear" w:color="auto" w:fill="auto"/>
            <w:vAlign w:val="center"/>
          </w:tcPr>
          <w:p w14:paraId="376602ED">
            <w:pPr>
              <w:jc w:val="center"/>
              <w:rPr>
                <w:color w:val="auto"/>
                <w:lang w:val="en-US" w:eastAsia="zh-CN"/>
              </w:rPr>
            </w:pPr>
            <w:r>
              <w:rPr>
                <w:rFonts w:hint="default"/>
                <w:color w:val="auto"/>
                <w:lang w:val="en-US" w:eastAsia="zh-CN"/>
              </w:rPr>
              <w:t>10</w:t>
            </w:r>
          </w:p>
        </w:tc>
        <w:tc>
          <w:tcPr>
            <w:tcW w:w="1041" w:type="dxa"/>
            <w:vAlign w:val="center"/>
          </w:tcPr>
          <w:p w14:paraId="466C4700">
            <w:pPr>
              <w:jc w:val="center"/>
              <w:rPr>
                <w:rFonts w:hint="default"/>
                <w:color w:val="auto"/>
                <w:lang w:val="en-US" w:eastAsia="zh-CN"/>
              </w:rPr>
            </w:pPr>
            <w:r>
              <w:rPr>
                <w:rFonts w:hint="default"/>
                <w:color w:val="auto"/>
                <w:lang w:val="en-US" w:eastAsia="zh-CN"/>
              </w:rPr>
              <w:t>0.0006</w:t>
            </w:r>
          </w:p>
        </w:tc>
        <w:tc>
          <w:tcPr>
            <w:tcW w:w="1073" w:type="dxa"/>
            <w:vAlign w:val="center"/>
          </w:tcPr>
          <w:p w14:paraId="5D273A5A">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434938BC">
            <w:pPr>
              <w:jc w:val="center"/>
              <w:rPr>
                <w:rFonts w:hint="eastAsia"/>
                <w:color w:val="auto"/>
                <w:lang w:val="en-US" w:eastAsia="zh-CN"/>
              </w:rPr>
            </w:pPr>
          </w:p>
        </w:tc>
      </w:tr>
      <w:tr w14:paraId="5A73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7" w:type="dxa"/>
            <w:vAlign w:val="center"/>
          </w:tcPr>
          <w:p w14:paraId="5EC6EB71">
            <w:pPr>
              <w:keepNext w:val="0"/>
              <w:keepLines w:val="0"/>
              <w:widowControl/>
              <w:suppressLineNumbers w:val="0"/>
              <w:jc w:val="center"/>
              <w:textAlignment w:val="center"/>
              <w:rPr>
                <w:rFonts w:hint="eastAsia" w:ascii="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76" w:type="dxa"/>
            <w:shd w:val="clear" w:color="auto" w:fill="auto"/>
            <w:vAlign w:val="center"/>
          </w:tcPr>
          <w:p w14:paraId="33229B1B">
            <w:pPr>
              <w:jc w:val="center"/>
              <w:rPr>
                <w:color w:val="auto"/>
              </w:rPr>
            </w:pPr>
            <w:r>
              <w:rPr>
                <w:color w:val="auto"/>
              </w:rPr>
              <w:t>天然气</w:t>
            </w:r>
          </w:p>
        </w:tc>
        <w:tc>
          <w:tcPr>
            <w:tcW w:w="900" w:type="dxa"/>
            <w:shd w:val="clear" w:color="auto" w:fill="auto"/>
            <w:vAlign w:val="center"/>
          </w:tcPr>
          <w:p w14:paraId="6ADAB721">
            <w:pPr>
              <w:jc w:val="center"/>
              <w:rPr>
                <w:color w:val="auto"/>
              </w:rPr>
            </w:pPr>
            <w:r>
              <w:rPr>
                <w:color w:val="auto"/>
              </w:rPr>
              <w:t>74-82-8</w:t>
            </w:r>
          </w:p>
        </w:tc>
        <w:tc>
          <w:tcPr>
            <w:tcW w:w="938" w:type="dxa"/>
            <w:shd w:val="clear" w:color="auto" w:fill="auto"/>
            <w:vAlign w:val="center"/>
          </w:tcPr>
          <w:p w14:paraId="11F731B1">
            <w:pPr>
              <w:jc w:val="center"/>
              <w:rPr>
                <w:color w:val="auto"/>
              </w:rPr>
            </w:pPr>
            <w:r>
              <w:rPr>
                <w:rFonts w:hint="eastAsia"/>
                <w:color w:val="auto"/>
                <w:lang w:val="en-US" w:eastAsia="zh-CN"/>
              </w:rPr>
              <w:t>0</w:t>
            </w:r>
          </w:p>
        </w:tc>
        <w:tc>
          <w:tcPr>
            <w:tcW w:w="1247" w:type="dxa"/>
            <w:shd w:val="clear" w:color="auto" w:fill="auto"/>
            <w:vAlign w:val="center"/>
          </w:tcPr>
          <w:p w14:paraId="34C1A7BE">
            <w:pPr>
              <w:jc w:val="center"/>
              <w:rPr>
                <w:rFonts w:hint="eastAsia" w:ascii="Times New Roman" w:hAnsi="Times New Roman" w:eastAsia="宋体" w:cs="Times New Roman"/>
                <w:color w:val="auto"/>
                <w:kern w:val="2"/>
                <w:sz w:val="21"/>
                <w:szCs w:val="24"/>
                <w:lang w:val="en-US" w:eastAsia="zh-CN" w:bidi="ar-SA"/>
              </w:rPr>
            </w:pPr>
            <w:r>
              <w:rPr>
                <w:color w:val="auto"/>
              </w:rPr>
              <w:t>1.5</w:t>
            </w:r>
          </w:p>
        </w:tc>
        <w:tc>
          <w:tcPr>
            <w:tcW w:w="965" w:type="dxa"/>
            <w:shd w:val="clear" w:color="auto" w:fill="auto"/>
            <w:vAlign w:val="center"/>
          </w:tcPr>
          <w:p w14:paraId="3EB1969F">
            <w:pPr>
              <w:jc w:val="center"/>
              <w:rPr>
                <w:rFonts w:hint="eastAsia"/>
                <w:color w:val="auto"/>
                <w:lang w:val="en-US" w:eastAsia="zh-CN"/>
              </w:rPr>
            </w:pPr>
            <w:r>
              <w:rPr>
                <w:rFonts w:hint="eastAsia"/>
                <w:color w:val="auto"/>
                <w:lang w:val="en-US" w:eastAsia="zh-CN"/>
              </w:rPr>
              <w:t>1.5</w:t>
            </w:r>
          </w:p>
        </w:tc>
        <w:tc>
          <w:tcPr>
            <w:tcW w:w="1022" w:type="dxa"/>
            <w:shd w:val="clear" w:color="auto" w:fill="auto"/>
            <w:vAlign w:val="center"/>
          </w:tcPr>
          <w:p w14:paraId="0A3F54B5">
            <w:pPr>
              <w:jc w:val="center"/>
              <w:rPr>
                <w:color w:val="auto"/>
                <w:lang w:val="en-US" w:eastAsia="zh-CN"/>
              </w:rPr>
            </w:pPr>
            <w:r>
              <w:rPr>
                <w:rFonts w:hint="default"/>
                <w:color w:val="auto"/>
                <w:lang w:val="en-US" w:eastAsia="zh-CN"/>
              </w:rPr>
              <w:t>10</w:t>
            </w:r>
          </w:p>
        </w:tc>
        <w:tc>
          <w:tcPr>
            <w:tcW w:w="1041" w:type="dxa"/>
            <w:vAlign w:val="center"/>
          </w:tcPr>
          <w:p w14:paraId="694E42FB">
            <w:pPr>
              <w:jc w:val="center"/>
              <w:rPr>
                <w:rFonts w:hint="default"/>
                <w:color w:val="auto"/>
                <w:lang w:val="en-US" w:eastAsia="zh-CN"/>
              </w:rPr>
            </w:pPr>
            <w:r>
              <w:rPr>
                <w:rFonts w:hint="default"/>
                <w:color w:val="auto"/>
                <w:lang w:val="en-US" w:eastAsia="zh-CN"/>
              </w:rPr>
              <w:t>0.1500</w:t>
            </w:r>
          </w:p>
        </w:tc>
        <w:tc>
          <w:tcPr>
            <w:tcW w:w="1073" w:type="dxa"/>
            <w:vAlign w:val="center"/>
          </w:tcPr>
          <w:p w14:paraId="3636524F">
            <w:pPr>
              <w:jc w:val="center"/>
              <w:rPr>
                <w:rFonts w:hint="eastAsia"/>
                <w:color w:val="auto"/>
                <w:lang w:val="en-US" w:eastAsia="zh-CN"/>
              </w:rPr>
            </w:pPr>
            <w:r>
              <w:rPr>
                <w:rFonts w:hint="eastAsia"/>
                <w:color w:val="auto"/>
                <w:lang w:val="en-US" w:eastAsia="zh-CN"/>
              </w:rPr>
              <w:t>否</w:t>
            </w:r>
          </w:p>
        </w:tc>
        <w:tc>
          <w:tcPr>
            <w:tcW w:w="427" w:type="dxa"/>
            <w:vMerge w:val="continue"/>
            <w:vAlign w:val="center"/>
          </w:tcPr>
          <w:p w14:paraId="63AC632B">
            <w:pPr>
              <w:jc w:val="center"/>
              <w:rPr>
                <w:rFonts w:hint="eastAsia"/>
                <w:color w:val="auto"/>
                <w:lang w:val="en-US" w:eastAsia="zh-CN"/>
              </w:rPr>
            </w:pPr>
          </w:p>
        </w:tc>
      </w:tr>
      <w:tr w14:paraId="079D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75" w:type="dxa"/>
            <w:gridSpan w:val="7"/>
            <w:vAlign w:val="center"/>
          </w:tcPr>
          <w:p w14:paraId="267C62B7">
            <w:pPr>
              <w:pStyle w:val="63"/>
              <w:jc w:val="center"/>
              <w:rPr>
                <w:color w:val="auto"/>
              </w:rPr>
            </w:pPr>
            <w:r>
              <w:rPr>
                <w:rFonts w:hint="eastAsia"/>
                <w:color w:val="auto"/>
              </w:rPr>
              <w:t>总计</w:t>
            </w:r>
          </w:p>
        </w:tc>
        <w:tc>
          <w:tcPr>
            <w:tcW w:w="1041" w:type="dxa"/>
            <w:shd w:val="clear" w:color="auto" w:fill="auto"/>
            <w:vAlign w:val="center"/>
          </w:tcPr>
          <w:p w14:paraId="1EC7E993">
            <w:pPr>
              <w:jc w:val="center"/>
              <w:rPr>
                <w:rFonts w:hint="default"/>
                <w:color w:val="auto"/>
                <w:lang w:val="en-US" w:eastAsia="zh-CN"/>
              </w:rPr>
            </w:pPr>
            <w:r>
              <w:rPr>
                <w:rFonts w:hint="eastAsia"/>
                <w:color w:val="auto"/>
                <w:lang w:val="en-US" w:eastAsia="zh-CN"/>
              </w:rPr>
              <w:t>72.9699</w:t>
            </w:r>
          </w:p>
        </w:tc>
        <w:tc>
          <w:tcPr>
            <w:tcW w:w="1073" w:type="dxa"/>
            <w:shd w:val="clear" w:color="auto" w:fill="auto"/>
            <w:vAlign w:val="center"/>
          </w:tcPr>
          <w:p w14:paraId="0C566162">
            <w:pPr>
              <w:jc w:val="center"/>
              <w:rPr>
                <w:rFonts w:hint="default"/>
                <w:color w:val="auto"/>
                <w:lang w:val="en-US" w:eastAsia="zh-CN"/>
              </w:rPr>
            </w:pPr>
            <w:r>
              <w:rPr>
                <w:rFonts w:hint="eastAsia"/>
                <w:color w:val="auto"/>
                <w:lang w:val="en-US" w:eastAsia="zh-CN"/>
              </w:rPr>
              <w:t>/</w:t>
            </w:r>
          </w:p>
        </w:tc>
        <w:tc>
          <w:tcPr>
            <w:tcW w:w="427" w:type="dxa"/>
            <w:vMerge w:val="continue"/>
            <w:shd w:val="clear" w:color="auto" w:fill="auto"/>
            <w:vAlign w:val="center"/>
          </w:tcPr>
          <w:p w14:paraId="6DCD768D">
            <w:pPr>
              <w:jc w:val="center"/>
              <w:rPr>
                <w:rFonts w:hint="eastAsia"/>
                <w:color w:val="auto"/>
                <w:lang w:val="en-US" w:eastAsia="zh-CN"/>
              </w:rPr>
            </w:pPr>
          </w:p>
        </w:tc>
      </w:tr>
      <w:tr w14:paraId="033C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916" w:type="dxa"/>
            <w:gridSpan w:val="10"/>
            <w:vAlign w:val="center"/>
          </w:tcPr>
          <w:p w14:paraId="1EB2114A">
            <w:pPr>
              <w:jc w:val="both"/>
              <w:rPr>
                <w:rFonts w:hint="eastAsia" w:ascii="Times New Roman" w:hAnsi="Times New Roman"/>
                <w:color w:val="auto"/>
                <w:sz w:val="21"/>
              </w:rPr>
            </w:pPr>
            <w:r>
              <w:rPr>
                <w:rFonts w:hint="eastAsia" w:ascii="Times New Roman" w:hAnsi="Times New Roman"/>
                <w:color w:val="auto"/>
                <w:sz w:val="21"/>
              </w:rPr>
              <w:t>注：</w:t>
            </w:r>
            <w:r>
              <w:rPr>
                <w:rFonts w:hint="eastAsia" w:ascii="Times New Roman" w:hAnsi="Times New Roman"/>
                <w:color w:val="auto"/>
                <w:sz w:val="21"/>
                <w:lang w:val="en-US" w:eastAsia="zh-CN"/>
              </w:rPr>
              <w:t>1、</w:t>
            </w:r>
            <w:r>
              <w:rPr>
                <w:rFonts w:hint="eastAsia" w:ascii="Times New Roman" w:hAnsi="Times New Roman"/>
                <w:color w:val="auto"/>
                <w:sz w:val="21"/>
              </w:rPr>
              <w:t>乙醇、酒精按照健康危险急性毒性物质(类别2，类别3)分析。</w:t>
            </w:r>
          </w:p>
          <w:p w14:paraId="0D64409B">
            <w:pPr>
              <w:pStyle w:val="42"/>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2、</w:t>
            </w:r>
            <w:r>
              <w:rPr>
                <w:rFonts w:ascii="Times New Roman" w:hAnsi="Times New Roman" w:eastAsia="宋体" w:cs="宋体"/>
                <w:color w:val="auto"/>
                <w:spacing w:val="-2"/>
                <w:sz w:val="21"/>
                <w:szCs w:val="21"/>
              </w:rPr>
              <w:t>钴及其化合物以磁粉、三价铬五彩钝化</w:t>
            </w:r>
            <w:r>
              <w:rPr>
                <w:rFonts w:ascii="Times New Roman" w:hAnsi="Times New Roman" w:eastAsia="宋体" w:cs="宋体"/>
                <w:color w:val="auto"/>
                <w:spacing w:val="-3"/>
                <w:sz w:val="21"/>
                <w:szCs w:val="21"/>
              </w:rPr>
              <w:t>液、锌镍蓝白钝化剂中钴含量折算，硝酸以硝</w:t>
            </w:r>
            <w:r>
              <w:rPr>
                <w:rFonts w:ascii="Times New Roman" w:hAnsi="Times New Roman" w:eastAsia="宋体" w:cs="宋体"/>
                <w:color w:val="auto"/>
                <w:spacing w:val="-1"/>
                <w:sz w:val="21"/>
                <w:szCs w:val="21"/>
              </w:rPr>
              <w:t>酸、三价铬蓝白钝化液、锌镍蓝白钝化剂、剥离液中硝酸含量折算，镍及其化合物以镍板、</w:t>
            </w:r>
            <w:r>
              <w:rPr>
                <w:rFonts w:ascii="Times New Roman" w:hAnsi="Times New Roman" w:eastAsia="宋体" w:cs="宋体"/>
                <w:color w:val="auto"/>
                <w:spacing w:val="-2"/>
                <w:sz w:val="21"/>
                <w:szCs w:val="21"/>
              </w:rPr>
              <w:t>硫酸镍、氯化镍中镍含量折算，铜及其化合物以铜板</w:t>
            </w:r>
            <w:r>
              <w:rPr>
                <w:rFonts w:ascii="Times New Roman" w:hAnsi="Times New Roman" w:eastAsia="宋体" w:cs="宋体"/>
                <w:color w:val="auto"/>
                <w:spacing w:val="-3"/>
                <w:sz w:val="21"/>
                <w:szCs w:val="21"/>
              </w:rPr>
              <w:t>、焦磷酸铜中铜含量折算，铬及其化合</w:t>
            </w:r>
            <w:r>
              <w:rPr>
                <w:rFonts w:ascii="Times New Roman" w:hAnsi="Times New Roman" w:eastAsia="宋体" w:cs="宋体"/>
                <w:color w:val="auto"/>
                <w:spacing w:val="-2"/>
                <w:sz w:val="21"/>
                <w:szCs w:val="21"/>
              </w:rPr>
              <w:t>物以三价铬蓝白钝化液、三价铬五彩钝化液、锌镍蓝白</w:t>
            </w:r>
            <w:r>
              <w:rPr>
                <w:rFonts w:ascii="Times New Roman" w:hAnsi="Times New Roman" w:eastAsia="宋体" w:cs="宋体"/>
                <w:color w:val="auto"/>
                <w:spacing w:val="-3"/>
                <w:sz w:val="21"/>
                <w:szCs w:val="21"/>
              </w:rPr>
              <w:t>钝化剂中铬含量折算，磷酸以磷化液</w:t>
            </w:r>
            <w:r>
              <w:rPr>
                <w:rFonts w:ascii="Times New Roman" w:hAnsi="Times New Roman" w:eastAsia="宋体" w:cs="宋体"/>
                <w:color w:val="auto"/>
                <w:spacing w:val="-2"/>
                <w:sz w:val="21"/>
                <w:szCs w:val="21"/>
              </w:rPr>
              <w:t>中磷酸含量折算，乙二胺以剥离液中乙二胺含量折算</w:t>
            </w:r>
            <w:r>
              <w:rPr>
                <w:rFonts w:ascii="Times New Roman" w:hAnsi="Times New Roman" w:eastAsia="宋体" w:cs="宋体"/>
                <w:color w:val="auto"/>
                <w:spacing w:val="-3"/>
                <w:sz w:val="21"/>
                <w:szCs w:val="21"/>
              </w:rPr>
              <w:t>，异丙醇以水性涂料、翡翠稀释剂中异</w:t>
            </w:r>
            <w:r>
              <w:rPr>
                <w:rFonts w:ascii="Times New Roman" w:hAnsi="Times New Roman" w:eastAsia="宋体" w:cs="宋体"/>
                <w:color w:val="auto"/>
                <w:spacing w:val="-1"/>
                <w:sz w:val="21"/>
                <w:szCs w:val="21"/>
              </w:rPr>
              <w:t>丙醇含量折算，二甲苯以磁材漆、标准稀释剂、翡翠底漆、翡翠稀释剂中二甲苯含量折算，</w:t>
            </w:r>
            <w:r>
              <w:rPr>
                <w:rFonts w:ascii="Times New Roman" w:hAnsi="Times New Roman" w:eastAsia="宋体" w:cs="宋体"/>
                <w:color w:val="auto"/>
                <w:spacing w:val="-2"/>
                <w:sz w:val="21"/>
                <w:szCs w:val="21"/>
              </w:rPr>
              <w:t>丁醇以磁材漆、标准稀释剂、翡翠底漆中丁醇含量折算</w:t>
            </w:r>
            <w:r>
              <w:rPr>
                <w:rFonts w:ascii="Times New Roman" w:hAnsi="Times New Roman" w:eastAsia="宋体" w:cs="宋体"/>
                <w:color w:val="auto"/>
                <w:spacing w:val="-3"/>
                <w:sz w:val="21"/>
                <w:szCs w:val="21"/>
              </w:rPr>
              <w:t>，甲醛以磁材漆、翡翠底漆中甲醛含</w:t>
            </w:r>
            <w:r>
              <w:rPr>
                <w:rFonts w:ascii="Times New Roman" w:hAnsi="Times New Roman" w:eastAsia="宋体" w:cs="宋体"/>
                <w:color w:val="auto"/>
                <w:spacing w:val="-2"/>
                <w:sz w:val="21"/>
                <w:szCs w:val="21"/>
              </w:rPr>
              <w:t>量折算，甲苯以标准稀释剂、翡翠底漆中甲苯含量折算</w:t>
            </w:r>
            <w:r>
              <w:rPr>
                <w:rFonts w:ascii="Times New Roman" w:hAnsi="Times New Roman" w:eastAsia="宋体" w:cs="宋体"/>
                <w:color w:val="auto"/>
                <w:spacing w:val="-3"/>
                <w:sz w:val="21"/>
                <w:szCs w:val="21"/>
              </w:rPr>
              <w:t>，油类物质以标准稀释剂中石脑油含</w:t>
            </w:r>
            <w:r>
              <w:rPr>
                <w:rFonts w:ascii="Times New Roman" w:hAnsi="Times New Roman" w:eastAsia="宋体" w:cs="宋体"/>
                <w:color w:val="auto"/>
                <w:spacing w:val="-2"/>
                <w:sz w:val="21"/>
                <w:szCs w:val="21"/>
              </w:rPr>
              <w:t>量折算，乙苯以翡翠底漆、翡翠稀释剂中乙苯含量折算</w:t>
            </w:r>
            <w:r>
              <w:rPr>
                <w:rFonts w:ascii="Times New Roman" w:hAnsi="Times New Roman" w:eastAsia="宋体" w:cs="宋体"/>
                <w:color w:val="auto"/>
                <w:spacing w:val="-3"/>
                <w:sz w:val="21"/>
                <w:szCs w:val="21"/>
              </w:rPr>
              <w:t>，环己酮以翡翠底漆、翡翠稀释剂中</w:t>
            </w:r>
            <w:r>
              <w:rPr>
                <w:rFonts w:ascii="Times New Roman" w:hAnsi="Times New Roman" w:eastAsia="宋体" w:cs="宋体"/>
                <w:color w:val="auto"/>
                <w:spacing w:val="-1"/>
                <w:sz w:val="21"/>
                <w:szCs w:val="21"/>
              </w:rPr>
              <w:t>环己酮含量折算，天然气以小时在线量计。</w:t>
            </w:r>
          </w:p>
        </w:tc>
      </w:tr>
    </w:tbl>
    <w:p w14:paraId="38F36C05">
      <w:pPr>
        <w:spacing w:line="360" w:lineRule="auto"/>
        <w:ind w:firstLine="480" w:firstLineChars="200"/>
        <w:rPr>
          <w:color w:val="auto"/>
          <w:sz w:val="24"/>
        </w:rPr>
      </w:pPr>
      <w:r>
        <w:rPr>
          <w:color w:val="auto"/>
          <w:sz w:val="24"/>
        </w:rPr>
        <w:t>（2）M值的确定</w:t>
      </w:r>
    </w:p>
    <w:p w14:paraId="6C0C0FB7">
      <w:pPr>
        <w:pStyle w:val="4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olor w:val="auto"/>
          <w:sz w:val="24"/>
          <w:szCs w:val="24"/>
          <w:lang w:val="en-US" w:eastAsia="zh-CN"/>
        </w:rPr>
      </w:pPr>
      <w:r>
        <w:rPr>
          <w:rFonts w:hint="default" w:ascii="Times New Roman" w:hAnsi="Times New Roman"/>
          <w:color w:val="auto"/>
          <w:sz w:val="24"/>
          <w:szCs w:val="24"/>
          <w:lang w:val="en-US" w:eastAsia="zh-CN"/>
        </w:rPr>
        <w:t>分析项目所属行业及生产工艺特点，按照《建设项目环境风险评价技术导则》（HJ169-2018）附录C中表C.1评估生产工艺情况，具有多套工艺单元的项目，对每套生产工艺分别评分并求和，将M划分为（1）M＞20；（2）10＜M≤20；（3）5＜M≤10；（4）M=5，分别以M1、M2、M3和M4表示。行业及生产工艺划分依据见表7.</w:t>
      </w:r>
      <w:r>
        <w:rPr>
          <w:rFonts w:hint="eastAsia" w:ascii="Times New Roman" w:hAnsi="Times New Roman"/>
          <w:color w:val="auto"/>
          <w:sz w:val="24"/>
          <w:szCs w:val="24"/>
          <w:lang w:val="en-US" w:eastAsia="zh-CN"/>
        </w:rPr>
        <w:t>3</w:t>
      </w:r>
      <w:r>
        <w:rPr>
          <w:rFonts w:hint="default" w:ascii="Times New Roman" w:hAnsi="Times New Roman"/>
          <w:color w:val="auto"/>
          <w:sz w:val="24"/>
          <w:szCs w:val="24"/>
          <w:lang w:val="en-US" w:eastAsia="zh-CN"/>
        </w:rPr>
        <w:t>-</w:t>
      </w:r>
      <w:r>
        <w:rPr>
          <w:rFonts w:hint="eastAsia" w:ascii="Times New Roman" w:hAnsi="Times New Roman"/>
          <w:color w:val="auto"/>
          <w:sz w:val="24"/>
          <w:szCs w:val="24"/>
          <w:lang w:val="en-US" w:eastAsia="zh-CN"/>
        </w:rPr>
        <w:t>3</w:t>
      </w:r>
      <w:r>
        <w:rPr>
          <w:rFonts w:hint="default" w:ascii="Times New Roman" w:hAnsi="Times New Roman"/>
          <w:color w:val="auto"/>
          <w:sz w:val="24"/>
          <w:szCs w:val="24"/>
          <w:lang w:val="en-US" w:eastAsia="zh-CN"/>
        </w:rPr>
        <w:t>。</w:t>
      </w:r>
    </w:p>
    <w:p w14:paraId="25C56B01">
      <w:pPr>
        <w:spacing w:line="240" w:lineRule="auto"/>
        <w:ind w:firstLine="482" w:firstLineChars="200"/>
        <w:jc w:val="center"/>
        <w:rPr>
          <w:bCs/>
          <w:color w:val="auto"/>
          <w:sz w:val="24"/>
        </w:rPr>
      </w:pPr>
      <w:r>
        <w:rPr>
          <w:b/>
          <w:color w:val="auto"/>
          <w:sz w:val="24"/>
        </w:rPr>
        <w:t>表7.3-3行业及生产工艺（M）</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3987"/>
        <w:gridCol w:w="998"/>
        <w:gridCol w:w="1495"/>
        <w:gridCol w:w="1218"/>
      </w:tblGrid>
      <w:tr w14:paraId="02C8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noWrap w:val="0"/>
            <w:vAlign w:val="center"/>
          </w:tcPr>
          <w:p w14:paraId="0693198B">
            <w:pPr>
              <w:keepNext/>
              <w:keepLines/>
              <w:jc w:val="center"/>
              <w:rPr>
                <w:b/>
                <w:color w:val="auto"/>
                <w:sz w:val="21"/>
                <w:szCs w:val="21"/>
              </w:rPr>
            </w:pPr>
            <w:r>
              <w:rPr>
                <w:b/>
                <w:color w:val="auto"/>
                <w:sz w:val="21"/>
                <w:szCs w:val="21"/>
              </w:rPr>
              <w:t>行业</w:t>
            </w:r>
          </w:p>
        </w:tc>
        <w:tc>
          <w:tcPr>
            <w:tcW w:w="2278" w:type="pct"/>
            <w:noWrap w:val="0"/>
            <w:vAlign w:val="center"/>
          </w:tcPr>
          <w:p w14:paraId="6C68036D">
            <w:pPr>
              <w:keepNext/>
              <w:keepLines/>
              <w:jc w:val="center"/>
              <w:rPr>
                <w:b/>
                <w:color w:val="auto"/>
                <w:sz w:val="21"/>
                <w:szCs w:val="21"/>
              </w:rPr>
            </w:pPr>
            <w:r>
              <w:rPr>
                <w:b/>
                <w:color w:val="auto"/>
                <w:sz w:val="21"/>
                <w:szCs w:val="21"/>
              </w:rPr>
              <w:t>评估依据</w:t>
            </w:r>
          </w:p>
        </w:tc>
        <w:tc>
          <w:tcPr>
            <w:tcW w:w="570" w:type="pct"/>
            <w:noWrap w:val="0"/>
            <w:vAlign w:val="center"/>
          </w:tcPr>
          <w:p w14:paraId="6BB98D5C">
            <w:pPr>
              <w:keepNext/>
              <w:keepLines/>
              <w:jc w:val="center"/>
              <w:rPr>
                <w:b/>
                <w:color w:val="auto"/>
                <w:sz w:val="21"/>
                <w:szCs w:val="21"/>
              </w:rPr>
            </w:pPr>
            <w:r>
              <w:rPr>
                <w:b/>
                <w:color w:val="auto"/>
                <w:sz w:val="21"/>
                <w:szCs w:val="21"/>
              </w:rPr>
              <w:t>分值</w:t>
            </w:r>
          </w:p>
        </w:tc>
        <w:tc>
          <w:tcPr>
            <w:tcW w:w="854" w:type="pct"/>
            <w:noWrap w:val="0"/>
            <w:vAlign w:val="center"/>
          </w:tcPr>
          <w:p w14:paraId="62783BD9">
            <w:pPr>
              <w:keepNext/>
              <w:keepLines/>
              <w:jc w:val="center"/>
              <w:rPr>
                <w:b/>
                <w:color w:val="auto"/>
                <w:sz w:val="21"/>
                <w:szCs w:val="21"/>
              </w:rPr>
            </w:pPr>
            <w:r>
              <w:rPr>
                <w:b/>
                <w:color w:val="auto"/>
                <w:sz w:val="21"/>
                <w:szCs w:val="21"/>
              </w:rPr>
              <w:t>企业现状</w:t>
            </w:r>
          </w:p>
        </w:tc>
        <w:tc>
          <w:tcPr>
            <w:tcW w:w="694" w:type="pct"/>
            <w:noWrap w:val="0"/>
            <w:vAlign w:val="center"/>
          </w:tcPr>
          <w:p w14:paraId="3AFFE474">
            <w:pPr>
              <w:keepNext/>
              <w:keepLines/>
              <w:jc w:val="center"/>
              <w:rPr>
                <w:b/>
                <w:color w:val="auto"/>
                <w:sz w:val="21"/>
                <w:szCs w:val="21"/>
              </w:rPr>
            </w:pPr>
            <w:r>
              <w:rPr>
                <w:b/>
                <w:color w:val="auto"/>
                <w:sz w:val="21"/>
                <w:szCs w:val="21"/>
              </w:rPr>
              <w:t>企业分值</w:t>
            </w:r>
          </w:p>
        </w:tc>
      </w:tr>
      <w:tr w14:paraId="0672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restart"/>
            <w:noWrap w:val="0"/>
            <w:vAlign w:val="center"/>
          </w:tcPr>
          <w:p w14:paraId="287BCDDE">
            <w:pPr>
              <w:keepNext/>
              <w:keepLines/>
              <w:jc w:val="center"/>
              <w:rPr>
                <w:bCs/>
                <w:color w:val="auto"/>
                <w:sz w:val="21"/>
                <w:szCs w:val="21"/>
              </w:rPr>
            </w:pPr>
            <w:r>
              <w:rPr>
                <w:bCs/>
                <w:color w:val="auto"/>
                <w:sz w:val="21"/>
                <w:szCs w:val="21"/>
              </w:rPr>
              <w:t>石化、化工、医药、轻工、化纤、有色冶炼等</w:t>
            </w:r>
          </w:p>
        </w:tc>
        <w:tc>
          <w:tcPr>
            <w:tcW w:w="2278" w:type="pct"/>
            <w:noWrap w:val="0"/>
            <w:vAlign w:val="center"/>
          </w:tcPr>
          <w:p w14:paraId="7A4EEDFC">
            <w:pPr>
              <w:keepNext/>
              <w:keepLines/>
              <w:jc w:val="center"/>
              <w:rPr>
                <w:bCs/>
                <w:color w:val="auto"/>
                <w:sz w:val="21"/>
                <w:szCs w:val="21"/>
              </w:rPr>
            </w:pPr>
            <w:r>
              <w:rPr>
                <w:bCs/>
                <w:color w:val="auto"/>
                <w:sz w:val="21"/>
                <w:szCs w:val="21"/>
                <w:lang w:val="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70" w:type="pct"/>
            <w:noWrap w:val="0"/>
            <w:vAlign w:val="center"/>
          </w:tcPr>
          <w:p w14:paraId="2B33A35D">
            <w:pPr>
              <w:keepNext/>
              <w:keepLines/>
              <w:jc w:val="center"/>
              <w:rPr>
                <w:bCs/>
                <w:color w:val="auto"/>
                <w:sz w:val="21"/>
                <w:szCs w:val="21"/>
              </w:rPr>
            </w:pPr>
            <w:r>
              <w:rPr>
                <w:bCs/>
                <w:color w:val="auto"/>
                <w:sz w:val="21"/>
                <w:szCs w:val="21"/>
              </w:rPr>
              <w:t>10/套</w:t>
            </w:r>
          </w:p>
        </w:tc>
        <w:tc>
          <w:tcPr>
            <w:tcW w:w="854" w:type="pct"/>
            <w:noWrap w:val="0"/>
            <w:vAlign w:val="center"/>
          </w:tcPr>
          <w:p w14:paraId="2CE11FF1">
            <w:pPr>
              <w:keepNext/>
              <w:keepLines/>
              <w:jc w:val="center"/>
              <w:rPr>
                <w:bCs/>
                <w:color w:val="auto"/>
                <w:sz w:val="21"/>
                <w:szCs w:val="21"/>
              </w:rPr>
            </w:pPr>
            <w:r>
              <w:rPr>
                <w:bCs/>
                <w:color w:val="auto"/>
                <w:sz w:val="21"/>
                <w:szCs w:val="21"/>
              </w:rPr>
              <w:t>不涉及</w:t>
            </w:r>
          </w:p>
        </w:tc>
        <w:tc>
          <w:tcPr>
            <w:tcW w:w="694" w:type="pct"/>
            <w:noWrap w:val="0"/>
            <w:vAlign w:val="center"/>
          </w:tcPr>
          <w:p w14:paraId="6B01DF0E">
            <w:pPr>
              <w:keepNext/>
              <w:keepLines/>
              <w:jc w:val="center"/>
              <w:rPr>
                <w:bCs/>
                <w:color w:val="auto"/>
                <w:sz w:val="21"/>
                <w:szCs w:val="21"/>
              </w:rPr>
            </w:pPr>
            <w:r>
              <w:rPr>
                <w:bCs/>
                <w:color w:val="auto"/>
                <w:sz w:val="21"/>
                <w:szCs w:val="21"/>
              </w:rPr>
              <w:t>0</w:t>
            </w:r>
          </w:p>
        </w:tc>
      </w:tr>
      <w:tr w14:paraId="176D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continue"/>
            <w:noWrap w:val="0"/>
            <w:vAlign w:val="center"/>
          </w:tcPr>
          <w:p w14:paraId="284D6742">
            <w:pPr>
              <w:keepNext/>
              <w:keepLines/>
              <w:jc w:val="center"/>
              <w:rPr>
                <w:bCs/>
                <w:color w:val="auto"/>
                <w:sz w:val="21"/>
                <w:szCs w:val="21"/>
              </w:rPr>
            </w:pPr>
          </w:p>
        </w:tc>
        <w:tc>
          <w:tcPr>
            <w:tcW w:w="2278" w:type="pct"/>
            <w:noWrap w:val="0"/>
            <w:vAlign w:val="center"/>
          </w:tcPr>
          <w:p w14:paraId="2C0CF646">
            <w:pPr>
              <w:keepNext/>
              <w:keepLines/>
              <w:jc w:val="center"/>
              <w:rPr>
                <w:bCs/>
                <w:color w:val="auto"/>
                <w:sz w:val="21"/>
                <w:szCs w:val="21"/>
              </w:rPr>
            </w:pPr>
            <w:r>
              <w:rPr>
                <w:bCs/>
                <w:color w:val="auto"/>
                <w:sz w:val="21"/>
                <w:szCs w:val="21"/>
              </w:rPr>
              <w:t>无机酸制酸工艺、焦化工艺</w:t>
            </w:r>
          </w:p>
        </w:tc>
        <w:tc>
          <w:tcPr>
            <w:tcW w:w="570" w:type="pct"/>
            <w:noWrap w:val="0"/>
            <w:vAlign w:val="center"/>
          </w:tcPr>
          <w:p w14:paraId="2009416A">
            <w:pPr>
              <w:keepNext/>
              <w:keepLines/>
              <w:jc w:val="center"/>
              <w:rPr>
                <w:bCs/>
                <w:color w:val="auto"/>
                <w:sz w:val="21"/>
                <w:szCs w:val="21"/>
              </w:rPr>
            </w:pPr>
            <w:r>
              <w:rPr>
                <w:bCs/>
                <w:color w:val="auto"/>
                <w:sz w:val="21"/>
                <w:szCs w:val="21"/>
              </w:rPr>
              <w:t>5/套</w:t>
            </w:r>
          </w:p>
        </w:tc>
        <w:tc>
          <w:tcPr>
            <w:tcW w:w="854" w:type="pct"/>
            <w:noWrap w:val="0"/>
            <w:vAlign w:val="center"/>
          </w:tcPr>
          <w:p w14:paraId="70E9B883">
            <w:pPr>
              <w:keepNext/>
              <w:keepLines/>
              <w:jc w:val="center"/>
              <w:rPr>
                <w:bCs/>
                <w:color w:val="auto"/>
                <w:sz w:val="21"/>
                <w:szCs w:val="21"/>
              </w:rPr>
            </w:pPr>
            <w:r>
              <w:rPr>
                <w:bCs/>
                <w:color w:val="auto"/>
                <w:sz w:val="21"/>
                <w:szCs w:val="21"/>
              </w:rPr>
              <w:t>不涉及</w:t>
            </w:r>
          </w:p>
        </w:tc>
        <w:tc>
          <w:tcPr>
            <w:tcW w:w="694" w:type="pct"/>
            <w:noWrap w:val="0"/>
            <w:vAlign w:val="center"/>
          </w:tcPr>
          <w:p w14:paraId="660C4D68">
            <w:pPr>
              <w:keepNext/>
              <w:keepLines/>
              <w:jc w:val="center"/>
              <w:rPr>
                <w:bCs/>
                <w:color w:val="auto"/>
                <w:sz w:val="21"/>
                <w:szCs w:val="21"/>
              </w:rPr>
            </w:pPr>
            <w:r>
              <w:rPr>
                <w:bCs/>
                <w:color w:val="auto"/>
                <w:sz w:val="21"/>
                <w:szCs w:val="21"/>
              </w:rPr>
              <w:t>0</w:t>
            </w:r>
          </w:p>
        </w:tc>
      </w:tr>
      <w:tr w14:paraId="707C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continue"/>
            <w:noWrap w:val="0"/>
            <w:vAlign w:val="center"/>
          </w:tcPr>
          <w:p w14:paraId="6CE97FD6">
            <w:pPr>
              <w:keepNext/>
              <w:keepLines/>
              <w:jc w:val="center"/>
              <w:rPr>
                <w:bCs/>
                <w:color w:val="auto"/>
                <w:sz w:val="21"/>
                <w:szCs w:val="21"/>
              </w:rPr>
            </w:pPr>
          </w:p>
        </w:tc>
        <w:tc>
          <w:tcPr>
            <w:tcW w:w="2278" w:type="pct"/>
            <w:noWrap w:val="0"/>
            <w:vAlign w:val="center"/>
          </w:tcPr>
          <w:p w14:paraId="61E40461">
            <w:pPr>
              <w:keepNext/>
              <w:keepLines/>
              <w:jc w:val="center"/>
              <w:rPr>
                <w:bCs/>
                <w:color w:val="auto"/>
                <w:sz w:val="21"/>
                <w:szCs w:val="21"/>
              </w:rPr>
            </w:pPr>
            <w:r>
              <w:rPr>
                <w:bCs/>
                <w:color w:val="auto"/>
                <w:sz w:val="21"/>
                <w:szCs w:val="21"/>
              </w:rPr>
              <w:t>其他高温或高压，且涉及危险物质的工艺过程、危险物质贮存罐区</w:t>
            </w:r>
          </w:p>
        </w:tc>
        <w:tc>
          <w:tcPr>
            <w:tcW w:w="570" w:type="pct"/>
            <w:noWrap w:val="0"/>
            <w:vAlign w:val="center"/>
          </w:tcPr>
          <w:p w14:paraId="73CF4F97">
            <w:pPr>
              <w:keepNext/>
              <w:keepLines/>
              <w:jc w:val="center"/>
              <w:rPr>
                <w:bCs/>
                <w:color w:val="auto"/>
                <w:sz w:val="21"/>
                <w:szCs w:val="21"/>
              </w:rPr>
            </w:pPr>
            <w:r>
              <w:rPr>
                <w:bCs/>
                <w:color w:val="auto"/>
                <w:sz w:val="21"/>
                <w:szCs w:val="21"/>
              </w:rPr>
              <w:t>5套/（罐区）</w:t>
            </w:r>
          </w:p>
        </w:tc>
        <w:tc>
          <w:tcPr>
            <w:tcW w:w="854" w:type="pct"/>
            <w:noWrap w:val="0"/>
            <w:vAlign w:val="center"/>
          </w:tcPr>
          <w:p w14:paraId="650DA2BC">
            <w:pPr>
              <w:keepNext/>
              <w:keepLines/>
              <w:jc w:val="center"/>
              <w:rPr>
                <w:bCs/>
                <w:color w:val="auto"/>
                <w:sz w:val="21"/>
                <w:szCs w:val="21"/>
              </w:rPr>
            </w:pPr>
            <w:r>
              <w:rPr>
                <w:bCs/>
                <w:color w:val="auto"/>
                <w:sz w:val="21"/>
                <w:szCs w:val="21"/>
              </w:rPr>
              <w:t>不涉及</w:t>
            </w:r>
          </w:p>
        </w:tc>
        <w:tc>
          <w:tcPr>
            <w:tcW w:w="694" w:type="pct"/>
            <w:noWrap w:val="0"/>
            <w:vAlign w:val="center"/>
          </w:tcPr>
          <w:p w14:paraId="61B84FB0">
            <w:pPr>
              <w:keepNext/>
              <w:keepLines/>
              <w:jc w:val="center"/>
              <w:rPr>
                <w:bCs/>
                <w:color w:val="auto"/>
                <w:sz w:val="21"/>
                <w:szCs w:val="21"/>
              </w:rPr>
            </w:pPr>
            <w:r>
              <w:rPr>
                <w:bCs/>
                <w:color w:val="auto"/>
                <w:sz w:val="21"/>
                <w:szCs w:val="21"/>
              </w:rPr>
              <w:t>0</w:t>
            </w:r>
          </w:p>
        </w:tc>
      </w:tr>
      <w:tr w14:paraId="697C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noWrap w:val="0"/>
            <w:vAlign w:val="center"/>
          </w:tcPr>
          <w:p w14:paraId="4C16165D">
            <w:pPr>
              <w:keepNext/>
              <w:keepLines/>
              <w:jc w:val="center"/>
              <w:rPr>
                <w:bCs/>
                <w:color w:val="auto"/>
                <w:sz w:val="21"/>
                <w:szCs w:val="21"/>
              </w:rPr>
            </w:pPr>
            <w:r>
              <w:rPr>
                <w:bCs/>
                <w:color w:val="auto"/>
                <w:sz w:val="21"/>
                <w:szCs w:val="21"/>
              </w:rPr>
              <w:t>管道、港口/码头等</w:t>
            </w:r>
          </w:p>
        </w:tc>
        <w:tc>
          <w:tcPr>
            <w:tcW w:w="2278" w:type="pct"/>
            <w:noWrap w:val="0"/>
            <w:vAlign w:val="center"/>
          </w:tcPr>
          <w:p w14:paraId="7BF71666">
            <w:pPr>
              <w:keepNext/>
              <w:keepLines/>
              <w:jc w:val="center"/>
              <w:rPr>
                <w:bCs/>
                <w:color w:val="auto"/>
                <w:sz w:val="21"/>
                <w:szCs w:val="21"/>
              </w:rPr>
            </w:pPr>
            <w:r>
              <w:rPr>
                <w:bCs/>
                <w:color w:val="auto"/>
                <w:sz w:val="21"/>
                <w:szCs w:val="21"/>
              </w:rPr>
              <w:t>涉及危险物质管道运输项目，港口/码头等</w:t>
            </w:r>
          </w:p>
        </w:tc>
        <w:tc>
          <w:tcPr>
            <w:tcW w:w="570" w:type="pct"/>
            <w:noWrap w:val="0"/>
            <w:vAlign w:val="center"/>
          </w:tcPr>
          <w:p w14:paraId="740D268C">
            <w:pPr>
              <w:keepNext/>
              <w:keepLines/>
              <w:jc w:val="center"/>
              <w:rPr>
                <w:bCs/>
                <w:color w:val="auto"/>
                <w:sz w:val="21"/>
                <w:szCs w:val="21"/>
              </w:rPr>
            </w:pPr>
            <w:r>
              <w:rPr>
                <w:bCs/>
                <w:color w:val="auto"/>
                <w:sz w:val="21"/>
                <w:szCs w:val="21"/>
              </w:rPr>
              <w:t>10</w:t>
            </w:r>
          </w:p>
        </w:tc>
        <w:tc>
          <w:tcPr>
            <w:tcW w:w="854" w:type="pct"/>
            <w:noWrap w:val="0"/>
            <w:vAlign w:val="center"/>
          </w:tcPr>
          <w:p w14:paraId="2706515D">
            <w:pPr>
              <w:keepNext/>
              <w:keepLines/>
              <w:jc w:val="center"/>
              <w:rPr>
                <w:bCs/>
                <w:color w:val="auto"/>
                <w:sz w:val="21"/>
                <w:szCs w:val="21"/>
              </w:rPr>
            </w:pPr>
            <w:r>
              <w:rPr>
                <w:bCs/>
                <w:color w:val="auto"/>
                <w:sz w:val="21"/>
                <w:szCs w:val="21"/>
              </w:rPr>
              <w:t>不涉及</w:t>
            </w:r>
          </w:p>
        </w:tc>
        <w:tc>
          <w:tcPr>
            <w:tcW w:w="694" w:type="pct"/>
            <w:noWrap w:val="0"/>
            <w:vAlign w:val="center"/>
          </w:tcPr>
          <w:p w14:paraId="5B75DD37">
            <w:pPr>
              <w:keepNext/>
              <w:keepLines/>
              <w:jc w:val="center"/>
              <w:rPr>
                <w:bCs/>
                <w:color w:val="auto"/>
                <w:sz w:val="21"/>
                <w:szCs w:val="21"/>
              </w:rPr>
            </w:pPr>
            <w:r>
              <w:rPr>
                <w:bCs/>
                <w:color w:val="auto"/>
                <w:sz w:val="21"/>
                <w:szCs w:val="21"/>
              </w:rPr>
              <w:t>0</w:t>
            </w:r>
          </w:p>
        </w:tc>
      </w:tr>
      <w:tr w14:paraId="18F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noWrap w:val="0"/>
            <w:vAlign w:val="center"/>
          </w:tcPr>
          <w:p w14:paraId="4FD4B7B0">
            <w:pPr>
              <w:keepNext/>
              <w:keepLines/>
              <w:jc w:val="center"/>
              <w:rPr>
                <w:bCs/>
                <w:color w:val="auto"/>
                <w:sz w:val="21"/>
                <w:szCs w:val="21"/>
              </w:rPr>
            </w:pPr>
            <w:r>
              <w:rPr>
                <w:bCs/>
                <w:color w:val="auto"/>
                <w:sz w:val="21"/>
                <w:szCs w:val="21"/>
                <w:lang w:val="zh-CN"/>
              </w:rPr>
              <w:t>石油天然气</w:t>
            </w:r>
          </w:p>
        </w:tc>
        <w:tc>
          <w:tcPr>
            <w:tcW w:w="2278" w:type="pct"/>
            <w:noWrap w:val="0"/>
            <w:vAlign w:val="center"/>
          </w:tcPr>
          <w:p w14:paraId="65C8E713">
            <w:pPr>
              <w:keepNext/>
              <w:keepLines/>
              <w:jc w:val="center"/>
              <w:rPr>
                <w:bCs/>
                <w:color w:val="auto"/>
                <w:sz w:val="21"/>
                <w:szCs w:val="21"/>
              </w:rPr>
            </w:pPr>
            <w:r>
              <w:rPr>
                <w:bCs/>
                <w:color w:val="auto"/>
                <w:sz w:val="21"/>
                <w:szCs w:val="21"/>
                <w:lang w:val="zh-CN"/>
              </w:rPr>
              <w:t>石油、天然气、页岩气开采（含净化），气库（不含加气站的气库），油库（不含加气站的油库）、油气管线（不含城镇燃气管线）</w:t>
            </w:r>
          </w:p>
        </w:tc>
        <w:tc>
          <w:tcPr>
            <w:tcW w:w="570" w:type="pct"/>
            <w:noWrap w:val="0"/>
            <w:vAlign w:val="center"/>
          </w:tcPr>
          <w:p w14:paraId="061CC460">
            <w:pPr>
              <w:keepNext/>
              <w:keepLines/>
              <w:jc w:val="center"/>
              <w:rPr>
                <w:bCs/>
                <w:color w:val="auto"/>
                <w:sz w:val="21"/>
                <w:szCs w:val="21"/>
              </w:rPr>
            </w:pPr>
            <w:r>
              <w:rPr>
                <w:bCs/>
                <w:color w:val="auto"/>
                <w:sz w:val="21"/>
                <w:szCs w:val="21"/>
              </w:rPr>
              <w:t>10</w:t>
            </w:r>
          </w:p>
        </w:tc>
        <w:tc>
          <w:tcPr>
            <w:tcW w:w="854" w:type="pct"/>
            <w:noWrap w:val="0"/>
            <w:vAlign w:val="center"/>
          </w:tcPr>
          <w:p w14:paraId="38E90FB9">
            <w:pPr>
              <w:keepNext/>
              <w:keepLines/>
              <w:jc w:val="center"/>
              <w:rPr>
                <w:bCs/>
                <w:color w:val="auto"/>
                <w:sz w:val="21"/>
                <w:szCs w:val="21"/>
              </w:rPr>
            </w:pPr>
            <w:r>
              <w:rPr>
                <w:bCs/>
                <w:color w:val="auto"/>
                <w:sz w:val="21"/>
                <w:szCs w:val="21"/>
              </w:rPr>
              <w:t>不涉及</w:t>
            </w:r>
          </w:p>
        </w:tc>
        <w:tc>
          <w:tcPr>
            <w:tcW w:w="694" w:type="pct"/>
            <w:noWrap w:val="0"/>
            <w:vAlign w:val="center"/>
          </w:tcPr>
          <w:p w14:paraId="053639EA">
            <w:pPr>
              <w:keepNext/>
              <w:keepLines/>
              <w:jc w:val="center"/>
              <w:rPr>
                <w:bCs/>
                <w:color w:val="auto"/>
                <w:sz w:val="21"/>
                <w:szCs w:val="21"/>
              </w:rPr>
            </w:pPr>
            <w:r>
              <w:rPr>
                <w:bCs/>
                <w:color w:val="auto"/>
                <w:sz w:val="21"/>
                <w:szCs w:val="21"/>
              </w:rPr>
              <w:t>0</w:t>
            </w:r>
          </w:p>
        </w:tc>
      </w:tr>
      <w:tr w14:paraId="01BD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noWrap w:val="0"/>
            <w:vAlign w:val="center"/>
          </w:tcPr>
          <w:p w14:paraId="0B4A31FC">
            <w:pPr>
              <w:keepNext/>
              <w:keepLines/>
              <w:jc w:val="center"/>
              <w:rPr>
                <w:bCs/>
                <w:color w:val="auto"/>
                <w:sz w:val="21"/>
                <w:szCs w:val="21"/>
              </w:rPr>
            </w:pPr>
            <w:r>
              <w:rPr>
                <w:bCs/>
                <w:color w:val="auto"/>
                <w:sz w:val="21"/>
                <w:szCs w:val="21"/>
              </w:rPr>
              <w:t>其他</w:t>
            </w:r>
          </w:p>
        </w:tc>
        <w:tc>
          <w:tcPr>
            <w:tcW w:w="2278" w:type="pct"/>
            <w:noWrap w:val="0"/>
            <w:vAlign w:val="center"/>
          </w:tcPr>
          <w:p w14:paraId="137002AF">
            <w:pPr>
              <w:keepNext/>
              <w:keepLines/>
              <w:jc w:val="center"/>
              <w:rPr>
                <w:bCs/>
                <w:color w:val="auto"/>
                <w:sz w:val="21"/>
                <w:szCs w:val="21"/>
              </w:rPr>
            </w:pPr>
            <w:r>
              <w:rPr>
                <w:bCs/>
                <w:color w:val="auto"/>
                <w:sz w:val="21"/>
                <w:szCs w:val="21"/>
                <w:lang w:val="zh-CN"/>
              </w:rPr>
              <w:t>涉及危险物质使用、贮存的项目</w:t>
            </w:r>
          </w:p>
        </w:tc>
        <w:tc>
          <w:tcPr>
            <w:tcW w:w="570" w:type="pct"/>
            <w:noWrap w:val="0"/>
            <w:vAlign w:val="center"/>
          </w:tcPr>
          <w:p w14:paraId="7371CB7B">
            <w:pPr>
              <w:keepNext/>
              <w:keepLines/>
              <w:jc w:val="center"/>
              <w:rPr>
                <w:bCs/>
                <w:color w:val="auto"/>
                <w:sz w:val="21"/>
                <w:szCs w:val="21"/>
              </w:rPr>
            </w:pPr>
            <w:r>
              <w:rPr>
                <w:bCs/>
                <w:color w:val="auto"/>
                <w:sz w:val="21"/>
                <w:szCs w:val="21"/>
              </w:rPr>
              <w:t>5</w:t>
            </w:r>
          </w:p>
        </w:tc>
        <w:tc>
          <w:tcPr>
            <w:tcW w:w="854" w:type="pct"/>
            <w:noWrap w:val="0"/>
            <w:vAlign w:val="center"/>
          </w:tcPr>
          <w:p w14:paraId="7B8DF893">
            <w:pPr>
              <w:keepNext/>
              <w:keepLines/>
              <w:jc w:val="center"/>
              <w:rPr>
                <w:bCs/>
                <w:color w:val="auto"/>
                <w:sz w:val="21"/>
                <w:szCs w:val="21"/>
              </w:rPr>
            </w:pPr>
            <w:r>
              <w:rPr>
                <w:bCs/>
                <w:color w:val="auto"/>
                <w:sz w:val="21"/>
                <w:szCs w:val="21"/>
                <w:lang w:val="zh-CN"/>
              </w:rPr>
              <w:t>涉及危险物质使用、贮存</w:t>
            </w:r>
          </w:p>
        </w:tc>
        <w:tc>
          <w:tcPr>
            <w:tcW w:w="694" w:type="pct"/>
            <w:noWrap w:val="0"/>
            <w:vAlign w:val="center"/>
          </w:tcPr>
          <w:p w14:paraId="7D725D93">
            <w:pPr>
              <w:keepNext/>
              <w:keepLines/>
              <w:jc w:val="center"/>
              <w:rPr>
                <w:bCs/>
                <w:color w:val="auto"/>
                <w:sz w:val="21"/>
                <w:szCs w:val="21"/>
              </w:rPr>
            </w:pPr>
            <w:r>
              <w:rPr>
                <w:bCs/>
                <w:color w:val="auto"/>
                <w:sz w:val="21"/>
                <w:szCs w:val="21"/>
              </w:rPr>
              <w:t>5</w:t>
            </w:r>
          </w:p>
        </w:tc>
      </w:tr>
      <w:tr w14:paraId="729A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0D103E6E">
            <w:pPr>
              <w:keepNext/>
              <w:keepLines/>
              <w:jc w:val="left"/>
              <w:rPr>
                <w:bCs/>
                <w:color w:val="auto"/>
                <w:sz w:val="21"/>
                <w:szCs w:val="21"/>
                <w:lang w:val="zh-CN"/>
              </w:rPr>
            </w:pPr>
            <w:r>
              <w:rPr>
                <w:bCs/>
                <w:color w:val="auto"/>
                <w:sz w:val="21"/>
                <w:szCs w:val="21"/>
                <w:lang w:val="zh-CN"/>
              </w:rPr>
              <w:t>a高温指工艺温度≥300℃，高压指压力容器的设计压力（P）≥10.0MPa</w:t>
            </w:r>
          </w:p>
          <w:p w14:paraId="4D19013B">
            <w:pPr>
              <w:keepNext/>
              <w:keepLines/>
              <w:jc w:val="left"/>
              <w:rPr>
                <w:bCs/>
                <w:color w:val="auto"/>
                <w:sz w:val="21"/>
                <w:szCs w:val="21"/>
                <w:lang w:val="zh-CN"/>
              </w:rPr>
            </w:pPr>
            <w:r>
              <w:rPr>
                <w:bCs/>
                <w:color w:val="auto"/>
                <w:sz w:val="21"/>
                <w:szCs w:val="21"/>
                <w:lang w:val="zh-CN"/>
              </w:rPr>
              <w:t>b长输管道运输项目应按管线分段进行评价。</w:t>
            </w:r>
          </w:p>
        </w:tc>
      </w:tr>
    </w:tbl>
    <w:p w14:paraId="705D5C05">
      <w:pPr>
        <w:spacing w:line="360" w:lineRule="auto"/>
        <w:ind w:firstLine="480" w:firstLineChars="200"/>
        <w:rPr>
          <w:color w:val="auto"/>
          <w:sz w:val="24"/>
        </w:rPr>
      </w:pPr>
      <w:r>
        <w:rPr>
          <w:color w:val="auto"/>
          <w:sz w:val="24"/>
        </w:rPr>
        <w:t>由上表可知，本项目M=5</w:t>
      </w:r>
      <w:r>
        <w:rPr>
          <w:rFonts w:ascii="宋体" w:hAnsi="宋体" w:eastAsia="宋体" w:cs="宋体"/>
          <w:color w:val="auto"/>
          <w:spacing w:val="-3"/>
          <w:sz w:val="24"/>
          <w:szCs w:val="24"/>
        </w:rPr>
        <w:t>（涉及危险</w:t>
      </w:r>
      <w:r>
        <w:rPr>
          <w:rFonts w:ascii="宋体" w:hAnsi="宋体" w:eastAsia="宋体" w:cs="宋体"/>
          <w:color w:val="auto"/>
          <w:spacing w:val="-4"/>
          <w:sz w:val="24"/>
          <w:szCs w:val="24"/>
        </w:rPr>
        <w:t>物质使用、贮存的项目）</w:t>
      </w:r>
      <w:r>
        <w:rPr>
          <w:color w:val="auto"/>
          <w:sz w:val="24"/>
        </w:rPr>
        <w:t>。</w:t>
      </w:r>
    </w:p>
    <w:p w14:paraId="478A4251">
      <w:pPr>
        <w:spacing w:line="360" w:lineRule="auto"/>
        <w:ind w:firstLine="480" w:firstLineChars="200"/>
        <w:rPr>
          <w:color w:val="auto"/>
          <w:sz w:val="24"/>
        </w:rPr>
      </w:pPr>
      <w:r>
        <w:rPr>
          <w:rFonts w:hint="eastAsia"/>
          <w:color w:val="auto"/>
          <w:sz w:val="24"/>
        </w:rPr>
        <w:t>M划分为（1）M&gt;20；（2）10&lt;M≤20；（3）5&lt;M≤10；（4）M=5，分别以M1、M2、M3和M4表示，本项目M分级为M4。</w:t>
      </w:r>
    </w:p>
    <w:p w14:paraId="3477A454">
      <w:pPr>
        <w:spacing w:before="65" w:line="220" w:lineRule="auto"/>
        <w:ind w:left="618"/>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w:t>
      </w:r>
      <w:r>
        <w:rPr>
          <w:rFonts w:ascii="宋体" w:hAnsi="宋体" w:eastAsia="宋体" w:cs="宋体"/>
          <w:color w:val="auto"/>
          <w:spacing w:val="-2"/>
          <w:sz w:val="24"/>
          <w:szCs w:val="24"/>
        </w:rPr>
        <w:t>）危险物质及工艺系统危险性（</w:t>
      </w:r>
      <w:r>
        <w:rPr>
          <w:rFonts w:ascii="Times New Roman" w:hAnsi="Times New Roman" w:eastAsia="Times New Roman" w:cs="Times New Roman"/>
          <w:color w:val="auto"/>
          <w:spacing w:val="-2"/>
          <w:sz w:val="24"/>
          <w:szCs w:val="24"/>
        </w:rPr>
        <w:t>P</w:t>
      </w:r>
      <w:r>
        <w:rPr>
          <w:rFonts w:ascii="宋体" w:hAnsi="宋体" w:eastAsia="宋体" w:cs="宋体"/>
          <w:color w:val="auto"/>
          <w:spacing w:val="-2"/>
          <w:sz w:val="24"/>
          <w:szCs w:val="24"/>
        </w:rPr>
        <w:t>）分级</w:t>
      </w:r>
    </w:p>
    <w:p w14:paraId="2B0CFF1F">
      <w:pPr>
        <w:spacing w:before="184" w:line="351" w:lineRule="auto"/>
        <w:ind w:left="130" w:right="116" w:firstLine="480"/>
        <w:rPr>
          <w:rFonts w:ascii="宋体" w:hAnsi="宋体" w:eastAsia="宋体" w:cs="宋体"/>
          <w:color w:val="auto"/>
          <w:sz w:val="24"/>
          <w:szCs w:val="24"/>
        </w:rPr>
      </w:pPr>
      <w:r>
        <w:rPr>
          <w:rFonts w:ascii="宋体" w:hAnsi="宋体" w:eastAsia="宋体" w:cs="宋体"/>
          <w:color w:val="auto"/>
          <w:spacing w:val="-4"/>
          <w:sz w:val="24"/>
          <w:szCs w:val="24"/>
        </w:rPr>
        <w:t>根据危险性物质数量与临界量比值（</w:t>
      </w:r>
      <w:r>
        <w:rPr>
          <w:rFonts w:ascii="Times New Roman" w:hAnsi="Times New Roman" w:eastAsia="Times New Roman" w:cs="Times New Roman"/>
          <w:color w:val="auto"/>
          <w:spacing w:val="-4"/>
          <w:sz w:val="24"/>
          <w:szCs w:val="24"/>
        </w:rPr>
        <w:t>Q</w:t>
      </w:r>
      <w:r>
        <w:rPr>
          <w:rFonts w:ascii="宋体" w:hAnsi="宋体" w:eastAsia="宋体" w:cs="宋体"/>
          <w:color w:val="auto"/>
          <w:spacing w:val="-4"/>
          <w:sz w:val="24"/>
          <w:szCs w:val="24"/>
        </w:rPr>
        <w:t>）和行业及生产工艺（</w:t>
      </w:r>
      <w:r>
        <w:rPr>
          <w:rFonts w:ascii="Times New Roman" w:hAnsi="Times New Roman" w:eastAsia="Times New Roman" w:cs="Times New Roman"/>
          <w:color w:val="auto"/>
          <w:spacing w:val="-4"/>
          <w:sz w:val="24"/>
          <w:szCs w:val="24"/>
        </w:rPr>
        <w:t>M</w:t>
      </w:r>
      <w:r>
        <w:rPr>
          <w:rFonts w:ascii="宋体" w:hAnsi="宋体" w:eastAsia="宋体" w:cs="宋体"/>
          <w:color w:val="auto"/>
          <w:spacing w:val="-61"/>
          <w:w w:val="97"/>
          <w:sz w:val="24"/>
          <w:szCs w:val="24"/>
        </w:rPr>
        <w:t>），</w:t>
      </w:r>
      <w:r>
        <w:rPr>
          <w:rFonts w:ascii="宋体" w:hAnsi="宋体" w:eastAsia="宋体" w:cs="宋体"/>
          <w:color w:val="auto"/>
          <w:spacing w:val="-5"/>
          <w:sz w:val="24"/>
          <w:szCs w:val="24"/>
        </w:rPr>
        <w:t>按照《建</w:t>
      </w:r>
      <w:r>
        <w:rPr>
          <w:rFonts w:ascii="宋体" w:hAnsi="宋体" w:eastAsia="宋体" w:cs="宋体"/>
          <w:color w:val="auto"/>
          <w:spacing w:val="1"/>
          <w:sz w:val="24"/>
          <w:szCs w:val="24"/>
        </w:rPr>
        <w:t>设项目环境风险评价技术导则》（</w:t>
      </w:r>
      <w:r>
        <w:rPr>
          <w:rFonts w:ascii="Times New Roman" w:hAnsi="Times New Roman" w:eastAsia="Times New Roman" w:cs="Times New Roman"/>
          <w:color w:val="auto"/>
          <w:sz w:val="24"/>
          <w:szCs w:val="24"/>
        </w:rPr>
        <w:t>HJ</w:t>
      </w:r>
      <w:r>
        <w:rPr>
          <w:rFonts w:ascii="Times New Roman" w:hAnsi="Times New Roman" w:eastAsia="Times New Roman" w:cs="Times New Roman"/>
          <w:color w:val="auto"/>
          <w:spacing w:val="1"/>
          <w:sz w:val="24"/>
          <w:szCs w:val="24"/>
        </w:rPr>
        <w:t>169-2018</w:t>
      </w:r>
      <w:r>
        <w:rPr>
          <w:rFonts w:ascii="宋体" w:hAnsi="宋体" w:eastAsia="宋体" w:cs="宋体"/>
          <w:color w:val="auto"/>
          <w:spacing w:val="1"/>
          <w:sz w:val="24"/>
          <w:szCs w:val="24"/>
        </w:rPr>
        <w:t>）</w:t>
      </w:r>
      <w:r>
        <w:rPr>
          <w:rFonts w:ascii="宋体" w:hAnsi="宋体" w:eastAsia="宋体" w:cs="宋体"/>
          <w:color w:val="auto"/>
          <w:sz w:val="24"/>
          <w:szCs w:val="24"/>
        </w:rPr>
        <w:t>附录</w:t>
      </w:r>
      <w:r>
        <w:rPr>
          <w:rFonts w:ascii="Times New Roman" w:hAnsi="Times New Roman" w:eastAsia="Times New Roman" w:cs="Times New Roman"/>
          <w:color w:val="auto"/>
          <w:sz w:val="24"/>
          <w:szCs w:val="24"/>
        </w:rPr>
        <w:t>C</w:t>
      </w:r>
      <w:r>
        <w:rPr>
          <w:rFonts w:ascii="宋体" w:hAnsi="宋体" w:eastAsia="宋体" w:cs="宋体"/>
          <w:color w:val="auto"/>
          <w:sz w:val="24"/>
          <w:szCs w:val="24"/>
        </w:rPr>
        <w:t>中表</w:t>
      </w:r>
      <w:r>
        <w:rPr>
          <w:rFonts w:ascii="Times New Roman" w:hAnsi="Times New Roman" w:eastAsia="Times New Roman" w:cs="Times New Roman"/>
          <w:color w:val="auto"/>
          <w:sz w:val="24"/>
          <w:szCs w:val="24"/>
        </w:rPr>
        <w:t>C.2</w:t>
      </w:r>
      <w:r>
        <w:rPr>
          <w:rFonts w:ascii="宋体" w:hAnsi="宋体" w:eastAsia="宋体" w:cs="宋体"/>
          <w:color w:val="auto"/>
          <w:sz w:val="24"/>
          <w:szCs w:val="24"/>
        </w:rPr>
        <w:t>确定危险物质</w:t>
      </w:r>
      <w:r>
        <w:rPr>
          <w:rFonts w:ascii="宋体" w:hAnsi="宋体" w:eastAsia="宋体" w:cs="宋体"/>
          <w:color w:val="auto"/>
          <w:spacing w:val="1"/>
          <w:sz w:val="24"/>
          <w:szCs w:val="24"/>
        </w:rPr>
        <w:t>及工艺系统危险性等级（</w:t>
      </w:r>
      <w:r>
        <w:rPr>
          <w:rFonts w:ascii="Times New Roman" w:hAnsi="Times New Roman" w:eastAsia="Times New Roman" w:cs="Times New Roman"/>
          <w:color w:val="auto"/>
          <w:spacing w:val="1"/>
          <w:sz w:val="24"/>
          <w:szCs w:val="24"/>
        </w:rPr>
        <w:t>P</w:t>
      </w:r>
      <w:r>
        <w:rPr>
          <w:rFonts w:ascii="宋体" w:hAnsi="宋体" w:eastAsia="宋体" w:cs="宋体"/>
          <w:color w:val="auto"/>
          <w:spacing w:val="-49"/>
          <w:sz w:val="24"/>
          <w:szCs w:val="24"/>
        </w:rPr>
        <w:t>），</w:t>
      </w:r>
      <w:r>
        <w:rPr>
          <w:rFonts w:ascii="宋体" w:hAnsi="宋体" w:eastAsia="宋体" w:cs="宋体"/>
          <w:color w:val="auto"/>
          <w:spacing w:val="1"/>
          <w:sz w:val="24"/>
          <w:szCs w:val="24"/>
        </w:rPr>
        <w:t>分别以</w:t>
      </w:r>
      <w:r>
        <w:rPr>
          <w:rFonts w:ascii="Times New Roman" w:hAnsi="Times New Roman" w:eastAsia="Times New Roman" w:cs="Times New Roman"/>
          <w:color w:val="auto"/>
          <w:spacing w:val="1"/>
          <w:sz w:val="24"/>
          <w:szCs w:val="24"/>
        </w:rPr>
        <w:t>P1</w:t>
      </w: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P2</w:t>
      </w: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P3</w:t>
      </w: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P4</w:t>
      </w:r>
      <w:r>
        <w:rPr>
          <w:rFonts w:ascii="宋体" w:hAnsi="宋体" w:eastAsia="宋体" w:cs="宋体"/>
          <w:color w:val="auto"/>
          <w:spacing w:val="1"/>
          <w:sz w:val="24"/>
          <w:szCs w:val="24"/>
        </w:rPr>
        <w:t>表示，危险物质及工艺</w:t>
      </w:r>
      <w:r>
        <w:rPr>
          <w:rFonts w:ascii="宋体" w:hAnsi="宋体" w:eastAsia="宋体" w:cs="宋体"/>
          <w:color w:val="auto"/>
          <w:spacing w:val="4"/>
          <w:sz w:val="24"/>
          <w:szCs w:val="24"/>
        </w:rPr>
        <w:t>系统危险性等级判定依据见表</w:t>
      </w:r>
      <w:r>
        <w:rPr>
          <w:rFonts w:ascii="Times New Roman" w:hAnsi="Times New Roman" w:eastAsia="Times New Roman" w:cs="Times New Roman"/>
          <w:color w:val="auto"/>
          <w:spacing w:val="4"/>
          <w:sz w:val="24"/>
          <w:szCs w:val="24"/>
        </w:rPr>
        <w:t>7.</w:t>
      </w:r>
      <w:r>
        <w:rPr>
          <w:rFonts w:hint="eastAsia" w:ascii="Times New Roman" w:hAnsi="Times New Roman" w:eastAsia="宋体" w:cs="Times New Roman"/>
          <w:color w:val="auto"/>
          <w:spacing w:val="4"/>
          <w:sz w:val="24"/>
          <w:szCs w:val="24"/>
          <w:lang w:val="en-US" w:eastAsia="zh-CN"/>
        </w:rPr>
        <w:t>3</w:t>
      </w:r>
      <w:r>
        <w:rPr>
          <w:rFonts w:ascii="Times New Roman" w:hAnsi="Times New Roman" w:eastAsia="Times New Roman" w:cs="Times New Roman"/>
          <w:color w:val="auto"/>
          <w:spacing w:val="4"/>
          <w:sz w:val="24"/>
          <w:szCs w:val="24"/>
        </w:rPr>
        <w:t>-</w:t>
      </w:r>
      <w:r>
        <w:rPr>
          <w:rFonts w:hint="eastAsia" w:ascii="Times New Roman" w:hAnsi="Times New Roman" w:eastAsia="宋体" w:cs="Times New Roman"/>
          <w:color w:val="auto"/>
          <w:spacing w:val="4"/>
          <w:sz w:val="24"/>
          <w:szCs w:val="24"/>
          <w:lang w:val="en-US" w:eastAsia="zh-CN"/>
        </w:rPr>
        <w:t>4</w:t>
      </w:r>
      <w:r>
        <w:rPr>
          <w:rFonts w:ascii="宋体" w:hAnsi="宋体" w:eastAsia="宋体" w:cs="宋体"/>
          <w:color w:val="auto"/>
          <w:spacing w:val="4"/>
          <w:sz w:val="24"/>
          <w:szCs w:val="24"/>
        </w:rPr>
        <w:t>。</w:t>
      </w:r>
    </w:p>
    <w:p w14:paraId="7131CEF4">
      <w:pPr>
        <w:spacing w:before="46" w:line="218" w:lineRule="auto"/>
        <w:ind w:left="1878"/>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3</w:t>
      </w:r>
      <w:r>
        <w:rPr>
          <w:rFonts w:ascii="Times New Roman" w:hAnsi="Times New Roman" w:eastAsia="宋体" w:cs="Times New Roman"/>
          <w:b/>
          <w:bCs/>
          <w:color w:val="auto"/>
          <w:spacing w:val="-1"/>
          <w:sz w:val="24"/>
          <w:szCs w:val="24"/>
        </w:rPr>
        <w:t>-</w:t>
      </w:r>
      <w:r>
        <w:rPr>
          <w:rFonts w:hint="eastAsia" w:ascii="Times New Roman" w:hAnsi="Times New Roman" w:eastAsia="宋体" w:cs="Times New Roman"/>
          <w:b/>
          <w:bCs/>
          <w:color w:val="auto"/>
          <w:spacing w:val="-1"/>
          <w:sz w:val="24"/>
          <w:szCs w:val="24"/>
          <w:lang w:val="en-US" w:eastAsia="zh-CN"/>
        </w:rPr>
        <w:t>4</w:t>
      </w:r>
      <w:r>
        <w:rPr>
          <w:rFonts w:ascii="Times New Roman" w:hAnsi="Times New Roman" w:eastAsia="宋体" w:cs="黑体"/>
          <w:b/>
          <w:bCs/>
          <w:color w:val="auto"/>
          <w:spacing w:val="-1"/>
          <w:sz w:val="24"/>
          <w:szCs w:val="24"/>
        </w:rPr>
        <w:t>危险物质及工艺系统危险性等级判断</w:t>
      </w:r>
    </w:p>
    <w:p w14:paraId="4809B7BE">
      <w:pPr>
        <w:spacing w:line="69" w:lineRule="exact"/>
        <w:rPr>
          <w:color w:val="auto"/>
        </w:rPr>
      </w:pP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18"/>
        <w:gridCol w:w="1708"/>
        <w:gridCol w:w="1705"/>
        <w:gridCol w:w="1706"/>
        <w:gridCol w:w="1710"/>
      </w:tblGrid>
      <w:tr w14:paraId="1308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3" w:hRule="atLeast"/>
        </w:trPr>
        <w:tc>
          <w:tcPr>
            <w:tcW w:w="1005" w:type="pct"/>
            <w:vMerge w:val="restart"/>
            <w:shd w:val="clear" w:color="auto" w:fill="auto"/>
            <w:vAlign w:val="top"/>
          </w:tcPr>
          <w:p w14:paraId="2DFDD881">
            <w:pPr>
              <w:pStyle w:val="97"/>
              <w:spacing w:before="119" w:line="259" w:lineRule="auto"/>
              <w:ind w:left="283" w:right="112" w:hanging="143"/>
              <w:rPr>
                <w:color w:val="auto"/>
                <w:sz w:val="21"/>
                <w:szCs w:val="21"/>
              </w:rPr>
            </w:pPr>
            <w:r>
              <w:rPr>
                <w:color w:val="auto"/>
                <w:spacing w:val="-2"/>
                <w:sz w:val="21"/>
                <w:szCs w:val="21"/>
              </w:rPr>
              <w:t>危险物质数量与</w:t>
            </w:r>
            <w:r>
              <w:rPr>
                <w:color w:val="auto"/>
                <w:spacing w:val="-4"/>
                <w:sz w:val="21"/>
                <w:szCs w:val="21"/>
              </w:rPr>
              <w:t>临界量（</w:t>
            </w:r>
            <w:r>
              <w:rPr>
                <w:rFonts w:ascii="Times New Roman" w:hAnsi="Times New Roman" w:eastAsia="Times New Roman" w:cs="Times New Roman"/>
                <w:color w:val="auto"/>
                <w:spacing w:val="-4"/>
                <w:sz w:val="21"/>
                <w:szCs w:val="21"/>
              </w:rPr>
              <w:t>Q</w:t>
            </w:r>
            <w:r>
              <w:rPr>
                <w:color w:val="auto"/>
                <w:spacing w:val="-4"/>
                <w:sz w:val="21"/>
                <w:szCs w:val="21"/>
              </w:rPr>
              <w:t>）</w:t>
            </w:r>
          </w:p>
        </w:tc>
        <w:tc>
          <w:tcPr>
            <w:tcW w:w="3994" w:type="pct"/>
            <w:gridSpan w:val="4"/>
            <w:shd w:val="clear" w:color="auto" w:fill="auto"/>
            <w:vAlign w:val="top"/>
          </w:tcPr>
          <w:p w14:paraId="3B3879C4">
            <w:pPr>
              <w:pStyle w:val="97"/>
              <w:spacing w:before="85" w:line="221" w:lineRule="auto"/>
              <w:ind w:left="2378"/>
              <w:rPr>
                <w:color w:val="auto"/>
                <w:sz w:val="21"/>
                <w:szCs w:val="21"/>
              </w:rPr>
            </w:pPr>
            <w:r>
              <w:rPr>
                <w:color w:val="auto"/>
                <w:spacing w:val="-1"/>
                <w:sz w:val="21"/>
                <w:szCs w:val="21"/>
              </w:rPr>
              <w:t>行业及生产工艺（</w:t>
            </w:r>
            <w:r>
              <w:rPr>
                <w:rFonts w:ascii="Times New Roman" w:hAnsi="Times New Roman" w:eastAsia="Times New Roman" w:cs="Times New Roman"/>
                <w:color w:val="auto"/>
                <w:spacing w:val="-1"/>
                <w:sz w:val="21"/>
                <w:szCs w:val="21"/>
              </w:rPr>
              <w:t>M</w:t>
            </w:r>
            <w:r>
              <w:rPr>
                <w:color w:val="auto"/>
                <w:spacing w:val="-1"/>
                <w:sz w:val="21"/>
                <w:szCs w:val="21"/>
              </w:rPr>
              <w:t>）</w:t>
            </w:r>
          </w:p>
        </w:tc>
      </w:tr>
      <w:tr w14:paraId="0E37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trPr>
        <w:tc>
          <w:tcPr>
            <w:tcW w:w="1005" w:type="pct"/>
            <w:vMerge w:val="continue"/>
            <w:shd w:val="clear" w:color="auto" w:fill="auto"/>
            <w:vAlign w:val="top"/>
          </w:tcPr>
          <w:p w14:paraId="572D583F">
            <w:pPr>
              <w:rPr>
                <w:rFonts w:ascii="Arial"/>
                <w:color w:val="auto"/>
                <w:sz w:val="21"/>
              </w:rPr>
            </w:pPr>
          </w:p>
        </w:tc>
        <w:tc>
          <w:tcPr>
            <w:tcW w:w="999" w:type="pct"/>
            <w:shd w:val="clear" w:color="auto" w:fill="auto"/>
            <w:vAlign w:val="top"/>
          </w:tcPr>
          <w:p w14:paraId="4F11595E">
            <w:pPr>
              <w:spacing w:before="116" w:line="187" w:lineRule="auto"/>
              <w:ind w:left="91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M1</w:t>
            </w:r>
          </w:p>
        </w:tc>
        <w:tc>
          <w:tcPr>
            <w:tcW w:w="997" w:type="pct"/>
            <w:shd w:val="clear" w:color="auto" w:fill="auto"/>
            <w:vAlign w:val="top"/>
          </w:tcPr>
          <w:p w14:paraId="676507D5">
            <w:pPr>
              <w:spacing w:before="123" w:line="187" w:lineRule="auto"/>
              <w:ind w:left="70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M2</w:t>
            </w:r>
          </w:p>
        </w:tc>
        <w:tc>
          <w:tcPr>
            <w:tcW w:w="998" w:type="pct"/>
            <w:shd w:val="clear" w:color="auto" w:fill="auto"/>
            <w:vAlign w:val="top"/>
          </w:tcPr>
          <w:p w14:paraId="20FBECF0">
            <w:pPr>
              <w:spacing w:before="116" w:line="187" w:lineRule="auto"/>
              <w:ind w:left="91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M3</w:t>
            </w:r>
          </w:p>
        </w:tc>
        <w:tc>
          <w:tcPr>
            <w:tcW w:w="997" w:type="pct"/>
            <w:shd w:val="clear" w:color="auto" w:fill="auto"/>
            <w:vAlign w:val="top"/>
          </w:tcPr>
          <w:p w14:paraId="149C4D9C">
            <w:pPr>
              <w:spacing w:before="123" w:line="187" w:lineRule="auto"/>
              <w:ind w:left="70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M4</w:t>
            </w:r>
          </w:p>
        </w:tc>
      </w:tr>
      <w:tr w14:paraId="7A6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trPr>
        <w:tc>
          <w:tcPr>
            <w:tcW w:w="1005" w:type="pct"/>
            <w:shd w:val="clear" w:color="auto" w:fill="auto"/>
            <w:vAlign w:val="top"/>
          </w:tcPr>
          <w:p w14:paraId="70DB68A3">
            <w:pPr>
              <w:spacing w:before="125" w:line="195" w:lineRule="auto"/>
              <w:ind w:left="58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Q≥100</w:t>
            </w:r>
          </w:p>
        </w:tc>
        <w:tc>
          <w:tcPr>
            <w:tcW w:w="999" w:type="pct"/>
            <w:shd w:val="clear" w:color="auto" w:fill="auto"/>
            <w:vAlign w:val="top"/>
          </w:tcPr>
          <w:p w14:paraId="40998CEF">
            <w:pPr>
              <w:spacing w:before="121"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P1</w:t>
            </w:r>
          </w:p>
        </w:tc>
        <w:tc>
          <w:tcPr>
            <w:tcW w:w="997" w:type="pct"/>
            <w:shd w:val="clear" w:color="auto" w:fill="auto"/>
            <w:vAlign w:val="top"/>
          </w:tcPr>
          <w:p w14:paraId="7E1F0B40">
            <w:pPr>
              <w:spacing w:before="129"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P1</w:t>
            </w:r>
          </w:p>
        </w:tc>
        <w:tc>
          <w:tcPr>
            <w:tcW w:w="998" w:type="pct"/>
            <w:shd w:val="clear" w:color="auto" w:fill="auto"/>
            <w:vAlign w:val="top"/>
          </w:tcPr>
          <w:p w14:paraId="705E8464">
            <w:pPr>
              <w:spacing w:before="121"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P2</w:t>
            </w:r>
          </w:p>
        </w:tc>
        <w:tc>
          <w:tcPr>
            <w:tcW w:w="997" w:type="pct"/>
            <w:shd w:val="clear" w:color="auto" w:fill="auto"/>
            <w:vAlign w:val="top"/>
          </w:tcPr>
          <w:p w14:paraId="1E77A3DE">
            <w:pPr>
              <w:spacing w:before="128"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P3</w:t>
            </w:r>
          </w:p>
        </w:tc>
      </w:tr>
      <w:tr w14:paraId="0B8C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0" w:hRule="atLeast"/>
        </w:trPr>
        <w:tc>
          <w:tcPr>
            <w:tcW w:w="1005" w:type="pct"/>
            <w:shd w:val="clear" w:color="auto" w:fill="auto"/>
            <w:vAlign w:val="top"/>
          </w:tcPr>
          <w:p w14:paraId="16F4CE33">
            <w:pPr>
              <w:pStyle w:val="97"/>
              <w:spacing w:before="98" w:line="217" w:lineRule="auto"/>
              <w:ind w:left="3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10≤Q</w:t>
            </w:r>
            <w:r>
              <w:rPr>
                <w:color w:val="auto"/>
                <w:spacing w:val="-3"/>
                <w:sz w:val="21"/>
                <w:szCs w:val="21"/>
              </w:rPr>
              <w:t>＜</w:t>
            </w:r>
            <w:r>
              <w:rPr>
                <w:rFonts w:ascii="Times New Roman" w:hAnsi="Times New Roman" w:eastAsia="Times New Roman" w:cs="Times New Roman"/>
                <w:color w:val="auto"/>
                <w:spacing w:val="-3"/>
                <w:sz w:val="21"/>
                <w:szCs w:val="21"/>
              </w:rPr>
              <w:t>100</w:t>
            </w:r>
          </w:p>
        </w:tc>
        <w:tc>
          <w:tcPr>
            <w:tcW w:w="999" w:type="pct"/>
            <w:shd w:val="clear" w:color="auto" w:fill="auto"/>
            <w:vAlign w:val="top"/>
          </w:tcPr>
          <w:p w14:paraId="2F6C6910">
            <w:pPr>
              <w:spacing w:before="127"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P1</w:t>
            </w:r>
          </w:p>
        </w:tc>
        <w:tc>
          <w:tcPr>
            <w:tcW w:w="997" w:type="pct"/>
            <w:shd w:val="clear" w:color="auto" w:fill="auto"/>
            <w:vAlign w:val="top"/>
          </w:tcPr>
          <w:p w14:paraId="440DC936">
            <w:pPr>
              <w:spacing w:before="134"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P2</w:t>
            </w:r>
          </w:p>
        </w:tc>
        <w:tc>
          <w:tcPr>
            <w:tcW w:w="998" w:type="pct"/>
            <w:shd w:val="clear" w:color="auto" w:fill="auto"/>
            <w:vAlign w:val="top"/>
          </w:tcPr>
          <w:p w14:paraId="790B52BC">
            <w:pPr>
              <w:spacing w:before="126"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P3</w:t>
            </w:r>
          </w:p>
        </w:tc>
        <w:tc>
          <w:tcPr>
            <w:tcW w:w="997" w:type="pct"/>
            <w:shd w:val="clear" w:color="auto" w:fill="auto"/>
            <w:vAlign w:val="top"/>
          </w:tcPr>
          <w:p w14:paraId="393261B0">
            <w:pPr>
              <w:spacing w:before="134"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P4</w:t>
            </w:r>
          </w:p>
        </w:tc>
      </w:tr>
      <w:tr w14:paraId="7C6A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3" w:hRule="atLeast"/>
        </w:trPr>
        <w:tc>
          <w:tcPr>
            <w:tcW w:w="1005" w:type="pct"/>
            <w:shd w:val="clear" w:color="auto" w:fill="auto"/>
            <w:vAlign w:val="top"/>
          </w:tcPr>
          <w:p w14:paraId="26A10DCF">
            <w:pPr>
              <w:pStyle w:val="97"/>
              <w:spacing w:before="102" w:line="217" w:lineRule="auto"/>
              <w:ind w:left="4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1≤Q</w:t>
            </w:r>
            <w:r>
              <w:rPr>
                <w:color w:val="auto"/>
                <w:spacing w:val="-4"/>
                <w:sz w:val="21"/>
                <w:szCs w:val="21"/>
              </w:rPr>
              <w:t>＜</w:t>
            </w:r>
            <w:r>
              <w:rPr>
                <w:rFonts w:ascii="Times New Roman" w:hAnsi="Times New Roman" w:eastAsia="Times New Roman" w:cs="Times New Roman"/>
                <w:color w:val="auto"/>
                <w:spacing w:val="-4"/>
                <w:sz w:val="21"/>
                <w:szCs w:val="21"/>
              </w:rPr>
              <w:t>10</w:t>
            </w:r>
          </w:p>
        </w:tc>
        <w:tc>
          <w:tcPr>
            <w:tcW w:w="999" w:type="pct"/>
            <w:shd w:val="clear" w:color="auto" w:fill="auto"/>
            <w:vAlign w:val="top"/>
          </w:tcPr>
          <w:p w14:paraId="753CD9C8">
            <w:pPr>
              <w:spacing w:before="131"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P2</w:t>
            </w:r>
          </w:p>
        </w:tc>
        <w:tc>
          <w:tcPr>
            <w:tcW w:w="997" w:type="pct"/>
            <w:shd w:val="clear" w:color="auto" w:fill="auto"/>
            <w:vAlign w:val="top"/>
          </w:tcPr>
          <w:p w14:paraId="05D9ABCB">
            <w:pPr>
              <w:spacing w:before="138"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P3</w:t>
            </w:r>
          </w:p>
        </w:tc>
        <w:tc>
          <w:tcPr>
            <w:tcW w:w="998" w:type="pct"/>
            <w:shd w:val="clear" w:color="auto" w:fill="auto"/>
            <w:vAlign w:val="top"/>
          </w:tcPr>
          <w:p w14:paraId="6D1B22C6">
            <w:pPr>
              <w:spacing w:before="131" w:line="187" w:lineRule="auto"/>
              <w:ind w:left="95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P4</w:t>
            </w:r>
          </w:p>
        </w:tc>
        <w:tc>
          <w:tcPr>
            <w:tcW w:w="997" w:type="pct"/>
            <w:shd w:val="clear" w:color="auto" w:fill="auto"/>
            <w:vAlign w:val="top"/>
          </w:tcPr>
          <w:p w14:paraId="59629235">
            <w:pPr>
              <w:spacing w:before="138" w:line="187" w:lineRule="auto"/>
              <w:ind w:left="74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P4</w:t>
            </w:r>
          </w:p>
        </w:tc>
      </w:tr>
    </w:tbl>
    <w:p w14:paraId="7ED3DAA3">
      <w:pPr>
        <w:spacing w:before="115" w:line="216" w:lineRule="auto"/>
        <w:ind w:left="612"/>
        <w:rPr>
          <w:rFonts w:ascii="宋体" w:hAnsi="宋体" w:eastAsia="宋体" w:cs="宋体"/>
          <w:color w:val="auto"/>
          <w:sz w:val="24"/>
          <w:szCs w:val="24"/>
        </w:rPr>
      </w:pPr>
      <w:r>
        <w:rPr>
          <w:rFonts w:ascii="宋体" w:hAnsi="宋体" w:eastAsia="宋体" w:cs="宋体"/>
          <w:color w:val="auto"/>
          <w:spacing w:val="-2"/>
          <w:sz w:val="24"/>
          <w:szCs w:val="24"/>
        </w:rPr>
        <w:t>本项目</w:t>
      </w:r>
      <w:r>
        <w:rPr>
          <w:rFonts w:ascii="Times New Roman" w:hAnsi="Times New Roman" w:eastAsia="Times New Roman" w:cs="Times New Roman"/>
          <w:color w:val="auto"/>
          <w:spacing w:val="-2"/>
          <w:sz w:val="24"/>
          <w:szCs w:val="24"/>
        </w:rPr>
        <w:t>10≤Q≈</w:t>
      </w:r>
      <w:r>
        <w:rPr>
          <w:rFonts w:hint="eastAsia" w:ascii="Times New Roman" w:hAnsi="Times New Roman" w:eastAsia="Times New Roman" w:cs="Times New Roman"/>
          <w:color w:val="auto"/>
          <w:spacing w:val="-2"/>
          <w:sz w:val="24"/>
          <w:szCs w:val="24"/>
        </w:rPr>
        <w:t>72.9699</w:t>
      </w: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100</w:t>
      </w: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M</w:t>
      </w:r>
      <w:r>
        <w:rPr>
          <w:rFonts w:ascii="宋体" w:hAnsi="宋体" w:eastAsia="宋体" w:cs="宋体"/>
          <w:color w:val="auto"/>
          <w:spacing w:val="-2"/>
          <w:sz w:val="24"/>
          <w:szCs w:val="24"/>
        </w:rPr>
        <w:t>分级为</w:t>
      </w:r>
      <w:r>
        <w:rPr>
          <w:rFonts w:ascii="Times New Roman" w:hAnsi="Times New Roman" w:eastAsia="Times New Roman" w:cs="Times New Roman"/>
          <w:color w:val="auto"/>
          <w:spacing w:val="-2"/>
          <w:sz w:val="24"/>
          <w:szCs w:val="24"/>
        </w:rPr>
        <w:t>M4</w:t>
      </w:r>
      <w:r>
        <w:rPr>
          <w:rFonts w:ascii="宋体" w:hAnsi="宋体" w:eastAsia="宋体" w:cs="宋体"/>
          <w:color w:val="auto"/>
          <w:spacing w:val="-2"/>
          <w:sz w:val="24"/>
          <w:szCs w:val="24"/>
        </w:rPr>
        <w:t>，因此确定</w:t>
      </w:r>
      <w:r>
        <w:rPr>
          <w:rFonts w:ascii="Times New Roman" w:hAnsi="Times New Roman" w:eastAsia="Times New Roman" w:cs="Times New Roman"/>
          <w:color w:val="auto"/>
          <w:spacing w:val="-2"/>
          <w:sz w:val="24"/>
          <w:szCs w:val="24"/>
        </w:rPr>
        <w:t>P</w:t>
      </w:r>
      <w:r>
        <w:rPr>
          <w:rFonts w:ascii="宋体" w:hAnsi="宋体" w:eastAsia="宋体" w:cs="宋体"/>
          <w:color w:val="auto"/>
          <w:spacing w:val="-2"/>
          <w:sz w:val="24"/>
          <w:szCs w:val="24"/>
        </w:rPr>
        <w:t>分级为</w:t>
      </w:r>
      <w:r>
        <w:rPr>
          <w:rFonts w:ascii="Times New Roman" w:hAnsi="Times New Roman" w:eastAsia="Times New Roman" w:cs="Times New Roman"/>
          <w:color w:val="auto"/>
          <w:spacing w:val="-2"/>
          <w:sz w:val="24"/>
          <w:szCs w:val="24"/>
        </w:rPr>
        <w:t>P4</w:t>
      </w:r>
      <w:r>
        <w:rPr>
          <w:rFonts w:ascii="宋体" w:hAnsi="宋体" w:eastAsia="宋体" w:cs="宋体"/>
          <w:color w:val="auto"/>
          <w:spacing w:val="-2"/>
          <w:sz w:val="24"/>
          <w:szCs w:val="24"/>
        </w:rPr>
        <w:t>。</w:t>
      </w:r>
    </w:p>
    <w:p w14:paraId="29AEC1C6">
      <w:pPr>
        <w:adjustRightInd w:val="0"/>
        <w:spacing w:line="360" w:lineRule="auto"/>
        <w:outlineLvl w:val="1"/>
        <w:rPr>
          <w:rFonts w:eastAsia="楷体"/>
          <w:b/>
          <w:color w:val="auto"/>
          <w:sz w:val="32"/>
        </w:rPr>
      </w:pPr>
      <w:r>
        <w:rPr>
          <w:rFonts w:eastAsia="楷体"/>
          <w:b/>
          <w:color w:val="auto"/>
          <w:sz w:val="32"/>
        </w:rPr>
        <w:t>7.3.3E的分级确定</w:t>
      </w:r>
    </w:p>
    <w:p w14:paraId="326AD837">
      <w:pPr>
        <w:adjustRightInd w:val="0"/>
        <w:spacing w:line="360" w:lineRule="auto"/>
        <w:ind w:firstLine="480" w:firstLineChars="200"/>
        <w:rPr>
          <w:color w:val="auto"/>
          <w:kern w:val="0"/>
          <w:sz w:val="24"/>
        </w:rPr>
      </w:pPr>
      <w:r>
        <w:rPr>
          <w:color w:val="auto"/>
          <w:kern w:val="0"/>
          <w:sz w:val="24"/>
        </w:rPr>
        <w:t>（1）大气环境敏感程度</w:t>
      </w:r>
    </w:p>
    <w:p w14:paraId="03251BCF">
      <w:pPr>
        <w:spacing w:line="360" w:lineRule="auto"/>
        <w:ind w:firstLine="480" w:firstLineChars="200"/>
        <w:rPr>
          <w:rFonts w:hint="eastAsia"/>
          <w:color w:val="auto"/>
          <w:sz w:val="24"/>
          <w:lang w:eastAsia="zh-CN"/>
        </w:rPr>
      </w:pPr>
      <w:r>
        <w:rPr>
          <w:color w:val="auto"/>
          <w:sz w:val="24"/>
        </w:rPr>
        <w:t>结合本项目根据</w:t>
      </w:r>
      <w:r>
        <w:rPr>
          <w:rFonts w:hint="eastAsia"/>
          <w:color w:val="auto"/>
          <w:sz w:val="24"/>
          <w:lang w:eastAsia="zh-CN"/>
        </w:rPr>
        <w:t>环境</w:t>
      </w:r>
      <w:r>
        <w:rPr>
          <w:color w:val="auto"/>
          <w:sz w:val="24"/>
        </w:rPr>
        <w:t>敏感性及人口密度划分环境风险受体的敏感性，共分为三种类型，E1为环境高度敏感区、E2环境中度敏感区、E3为环境低度敏感区，分级原则见表</w:t>
      </w:r>
      <w:r>
        <w:rPr>
          <w:rFonts w:hint="eastAsia"/>
          <w:color w:val="auto"/>
          <w:sz w:val="24"/>
          <w:lang w:eastAsia="zh-CN"/>
        </w:rPr>
        <w:t>。</w:t>
      </w:r>
    </w:p>
    <w:p w14:paraId="7E8571B1">
      <w:pPr>
        <w:ind w:firstLine="482" w:firstLineChars="200"/>
        <w:jc w:val="center"/>
        <w:rPr>
          <w:color w:val="auto"/>
          <w:sz w:val="24"/>
        </w:rPr>
      </w:pPr>
      <w:r>
        <w:rPr>
          <w:b/>
          <w:bCs/>
          <w:color w:val="auto"/>
          <w:sz w:val="24"/>
        </w:rPr>
        <w:t>7.3-5大气环境敏感程度分级</w:t>
      </w:r>
    </w:p>
    <w:tbl>
      <w:tblPr>
        <w:tblStyle w:val="24"/>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978"/>
      </w:tblGrid>
      <w:tr w14:paraId="635A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43" w:type="pct"/>
            <w:noWrap w:val="0"/>
            <w:vAlign w:val="center"/>
          </w:tcPr>
          <w:p w14:paraId="3AA04CBC">
            <w:pPr>
              <w:jc w:val="center"/>
              <w:rPr>
                <w:b/>
                <w:color w:val="auto"/>
                <w:szCs w:val="21"/>
              </w:rPr>
            </w:pPr>
            <w:r>
              <w:rPr>
                <w:b/>
                <w:color w:val="auto"/>
                <w:szCs w:val="21"/>
              </w:rPr>
              <w:t>分级</w:t>
            </w:r>
          </w:p>
        </w:tc>
        <w:tc>
          <w:tcPr>
            <w:tcW w:w="4556" w:type="pct"/>
            <w:noWrap w:val="0"/>
            <w:vAlign w:val="center"/>
          </w:tcPr>
          <w:p w14:paraId="75FC5B3B">
            <w:pPr>
              <w:jc w:val="center"/>
              <w:rPr>
                <w:b/>
                <w:color w:val="auto"/>
                <w:szCs w:val="21"/>
              </w:rPr>
            </w:pPr>
            <w:r>
              <w:rPr>
                <w:b/>
                <w:color w:val="auto"/>
                <w:szCs w:val="21"/>
              </w:rPr>
              <w:t>大气环境敏感性</w:t>
            </w:r>
          </w:p>
        </w:tc>
      </w:tr>
      <w:tr w14:paraId="26FB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43" w:type="pct"/>
            <w:noWrap w:val="0"/>
            <w:vAlign w:val="center"/>
          </w:tcPr>
          <w:p w14:paraId="1B6FCBA9">
            <w:pPr>
              <w:jc w:val="center"/>
              <w:rPr>
                <w:color w:val="auto"/>
                <w:szCs w:val="21"/>
              </w:rPr>
            </w:pPr>
            <w:r>
              <w:rPr>
                <w:color w:val="auto"/>
                <w:szCs w:val="21"/>
              </w:rPr>
              <w:t>E1</w:t>
            </w:r>
          </w:p>
        </w:tc>
        <w:tc>
          <w:tcPr>
            <w:tcW w:w="4556" w:type="pct"/>
            <w:noWrap w:val="0"/>
            <w:vAlign w:val="center"/>
          </w:tcPr>
          <w:p w14:paraId="6160323B">
            <w:pPr>
              <w:jc w:val="left"/>
              <w:rPr>
                <w:color w:val="auto"/>
                <w:szCs w:val="21"/>
              </w:rPr>
            </w:pPr>
            <w:r>
              <w:rPr>
                <w:color w:val="auto"/>
                <w:szCs w:val="21"/>
              </w:rPr>
              <w:t>周边5km范围内居住区、卫生医疗区、文化教育、科研、行政办公等机构人口总数大于5万人，或其他需要特殊保护区域；或周边500m范围内人口大于1000人；油气、化学品运输管线短周边200m范围内，每千米管段人口数大于200人</w:t>
            </w:r>
          </w:p>
        </w:tc>
      </w:tr>
      <w:tr w14:paraId="524D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43" w:type="pct"/>
            <w:noWrap w:val="0"/>
            <w:vAlign w:val="center"/>
          </w:tcPr>
          <w:p w14:paraId="5510C5B0">
            <w:pPr>
              <w:jc w:val="center"/>
              <w:rPr>
                <w:color w:val="auto"/>
                <w:szCs w:val="21"/>
              </w:rPr>
            </w:pPr>
            <w:r>
              <w:rPr>
                <w:color w:val="auto"/>
                <w:szCs w:val="21"/>
              </w:rPr>
              <w:t>E2</w:t>
            </w:r>
          </w:p>
        </w:tc>
        <w:tc>
          <w:tcPr>
            <w:tcW w:w="4556" w:type="pct"/>
            <w:noWrap w:val="0"/>
            <w:vAlign w:val="center"/>
          </w:tcPr>
          <w:p w14:paraId="533A98B0">
            <w:pPr>
              <w:jc w:val="left"/>
              <w:rPr>
                <w:color w:val="auto"/>
                <w:szCs w:val="21"/>
              </w:rPr>
            </w:pPr>
            <w:r>
              <w:rPr>
                <w:color w:val="auto"/>
                <w:szCs w:val="21"/>
              </w:rPr>
              <w:t>周边5km范围内居住区、卫生医疗区、文化教育、科研、行政办公等机构人口总数大于1万人，小于5万人；或周边500m范围内人口大于500人，小于1000人；油气、化学品运输管线短周边200m范围内，每千米管段人口数大于100人，小于200人</w:t>
            </w:r>
          </w:p>
        </w:tc>
      </w:tr>
      <w:tr w14:paraId="02E3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43" w:type="pct"/>
            <w:noWrap w:val="0"/>
            <w:vAlign w:val="center"/>
          </w:tcPr>
          <w:p w14:paraId="314791D7">
            <w:pPr>
              <w:jc w:val="center"/>
              <w:rPr>
                <w:color w:val="auto"/>
                <w:szCs w:val="21"/>
              </w:rPr>
            </w:pPr>
            <w:r>
              <w:rPr>
                <w:color w:val="auto"/>
                <w:szCs w:val="21"/>
              </w:rPr>
              <w:t>E3</w:t>
            </w:r>
          </w:p>
        </w:tc>
        <w:tc>
          <w:tcPr>
            <w:tcW w:w="4556" w:type="pct"/>
            <w:noWrap w:val="0"/>
            <w:vAlign w:val="center"/>
          </w:tcPr>
          <w:p w14:paraId="7D6E51A9">
            <w:pPr>
              <w:jc w:val="left"/>
              <w:rPr>
                <w:color w:val="auto"/>
                <w:szCs w:val="21"/>
              </w:rPr>
            </w:pPr>
            <w:r>
              <w:rPr>
                <w:color w:val="auto"/>
                <w:szCs w:val="21"/>
              </w:rPr>
              <w:t>周边5km范围内居住区、卫生医疗区、文化教育、科研、行政办公等机构人口总数小于1万人；或周边500m范围内人口小于500人，油气、化学品运输管线短周边200m范围内，每千米管段人口数小于100人</w:t>
            </w:r>
          </w:p>
        </w:tc>
      </w:tr>
    </w:tbl>
    <w:p w14:paraId="595F82A4">
      <w:pPr>
        <w:spacing w:before="115" w:line="351" w:lineRule="auto"/>
        <w:ind w:left="130" w:right="110" w:firstLine="480"/>
        <w:rPr>
          <w:rFonts w:ascii="宋体" w:hAnsi="宋体" w:eastAsia="宋体" w:cs="宋体"/>
          <w:color w:val="auto"/>
          <w:sz w:val="24"/>
          <w:szCs w:val="24"/>
        </w:rPr>
      </w:pPr>
      <w:r>
        <w:rPr>
          <w:rFonts w:ascii="宋体" w:hAnsi="宋体" w:eastAsia="宋体" w:cs="宋体"/>
          <w:color w:val="auto"/>
          <w:spacing w:val="-1"/>
          <w:sz w:val="24"/>
          <w:szCs w:val="24"/>
        </w:rPr>
        <w:t>根据现场勘查，本项目周边</w:t>
      </w:r>
      <w:r>
        <w:rPr>
          <w:rFonts w:ascii="Times New Roman" w:hAnsi="Times New Roman" w:eastAsia="Times New Roman" w:cs="Times New Roman"/>
          <w:color w:val="auto"/>
          <w:spacing w:val="-1"/>
          <w:sz w:val="24"/>
          <w:szCs w:val="24"/>
        </w:rPr>
        <w:t>5km</w:t>
      </w:r>
      <w:r>
        <w:rPr>
          <w:rFonts w:ascii="宋体" w:hAnsi="宋体" w:eastAsia="宋体" w:cs="宋体"/>
          <w:color w:val="auto"/>
          <w:spacing w:val="-1"/>
          <w:sz w:val="24"/>
          <w:szCs w:val="24"/>
        </w:rPr>
        <w:t>范围内居</w:t>
      </w:r>
      <w:r>
        <w:rPr>
          <w:rFonts w:ascii="宋体" w:hAnsi="宋体" w:eastAsia="宋体" w:cs="宋体"/>
          <w:color w:val="auto"/>
          <w:spacing w:val="-2"/>
          <w:sz w:val="24"/>
          <w:szCs w:val="24"/>
        </w:rPr>
        <w:t>住区、卫生医疗区、文化教育、</w:t>
      </w:r>
      <w:r>
        <w:rPr>
          <w:rFonts w:ascii="宋体" w:hAnsi="宋体" w:eastAsia="宋体" w:cs="宋体"/>
          <w:color w:val="auto"/>
          <w:spacing w:val="-4"/>
          <w:sz w:val="24"/>
          <w:szCs w:val="24"/>
        </w:rPr>
        <w:t>科研、行政办公等机构人口总数大于</w:t>
      </w:r>
      <w:r>
        <w:rPr>
          <w:rFonts w:ascii="Times New Roman" w:hAnsi="Times New Roman" w:eastAsia="Times New Roman" w:cs="Times New Roman"/>
          <w:color w:val="auto"/>
          <w:spacing w:val="-4"/>
          <w:sz w:val="24"/>
          <w:szCs w:val="24"/>
        </w:rPr>
        <w:t>5</w:t>
      </w:r>
      <w:r>
        <w:rPr>
          <w:rFonts w:ascii="宋体" w:hAnsi="宋体" w:eastAsia="宋体" w:cs="宋体"/>
          <w:color w:val="auto"/>
          <w:spacing w:val="-4"/>
          <w:sz w:val="24"/>
          <w:szCs w:val="24"/>
        </w:rPr>
        <w:t>万人，本项目大气环境敏感程度为环境高</w:t>
      </w:r>
      <w:r>
        <w:rPr>
          <w:rFonts w:ascii="宋体" w:hAnsi="宋体" w:eastAsia="宋体" w:cs="宋体"/>
          <w:color w:val="auto"/>
          <w:spacing w:val="-10"/>
          <w:sz w:val="24"/>
          <w:szCs w:val="24"/>
        </w:rPr>
        <w:t>度敏感区（</w:t>
      </w:r>
      <w:r>
        <w:rPr>
          <w:rFonts w:ascii="Times New Roman" w:hAnsi="Times New Roman" w:eastAsia="Times New Roman" w:cs="Times New Roman"/>
          <w:color w:val="auto"/>
          <w:spacing w:val="-10"/>
          <w:sz w:val="24"/>
          <w:szCs w:val="24"/>
        </w:rPr>
        <w:t>E1</w:t>
      </w:r>
      <w:r>
        <w:rPr>
          <w:rFonts w:ascii="宋体" w:hAnsi="宋体" w:eastAsia="宋体" w:cs="宋体"/>
          <w:color w:val="auto"/>
          <w:spacing w:val="-10"/>
          <w:sz w:val="24"/>
          <w:szCs w:val="24"/>
        </w:rPr>
        <w:t>）。</w:t>
      </w:r>
    </w:p>
    <w:p w14:paraId="6ED64135">
      <w:pPr>
        <w:spacing w:before="34" w:line="220" w:lineRule="auto"/>
        <w:ind w:left="618"/>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2</w:t>
      </w:r>
      <w:r>
        <w:rPr>
          <w:rFonts w:ascii="宋体" w:hAnsi="宋体" w:eastAsia="宋体" w:cs="宋体"/>
          <w:color w:val="auto"/>
          <w:spacing w:val="-3"/>
          <w:sz w:val="24"/>
          <w:szCs w:val="24"/>
        </w:rPr>
        <w:t>）地表水环境敏感程度</w:t>
      </w:r>
    </w:p>
    <w:p w14:paraId="63B7CB05">
      <w:pPr>
        <w:spacing w:before="182" w:line="340" w:lineRule="auto"/>
        <w:ind w:left="132" w:right="107" w:firstLine="478"/>
        <w:rPr>
          <w:rFonts w:ascii="宋体" w:hAnsi="宋体" w:eastAsia="宋体" w:cs="宋体"/>
          <w:color w:val="auto"/>
          <w:sz w:val="24"/>
          <w:szCs w:val="24"/>
        </w:rPr>
      </w:pPr>
      <w:r>
        <w:rPr>
          <w:rFonts w:ascii="宋体" w:hAnsi="宋体" w:eastAsia="宋体" w:cs="宋体"/>
          <w:color w:val="auto"/>
          <w:spacing w:val="-3"/>
          <w:sz w:val="24"/>
          <w:szCs w:val="24"/>
        </w:rPr>
        <w:t>根据事故情况下危险物质泄漏到水体的排放点受纳地表水体功能敏</w:t>
      </w:r>
      <w:r>
        <w:rPr>
          <w:rFonts w:ascii="宋体" w:hAnsi="宋体" w:eastAsia="宋体" w:cs="宋体"/>
          <w:color w:val="auto"/>
          <w:spacing w:val="-4"/>
          <w:sz w:val="24"/>
          <w:szCs w:val="24"/>
        </w:rPr>
        <w:t>感性，与</w:t>
      </w:r>
      <w:r>
        <w:rPr>
          <w:rFonts w:ascii="宋体" w:hAnsi="宋体" w:eastAsia="宋体" w:cs="宋体"/>
          <w:color w:val="auto"/>
          <w:spacing w:val="-1"/>
          <w:sz w:val="24"/>
          <w:szCs w:val="24"/>
        </w:rPr>
        <w:t>下游环境敏感目标情况，共分为三种类型，</w:t>
      </w:r>
      <w:r>
        <w:rPr>
          <w:rFonts w:ascii="Times New Roman" w:hAnsi="Times New Roman" w:eastAsia="Times New Roman" w:cs="Times New Roman"/>
          <w:color w:val="auto"/>
          <w:spacing w:val="-1"/>
          <w:sz w:val="24"/>
          <w:szCs w:val="24"/>
        </w:rPr>
        <w:t>E1</w:t>
      </w:r>
      <w:r>
        <w:rPr>
          <w:rFonts w:ascii="宋体" w:hAnsi="宋体" w:eastAsia="宋体" w:cs="宋体"/>
          <w:color w:val="auto"/>
          <w:spacing w:val="-1"/>
          <w:sz w:val="24"/>
          <w:szCs w:val="24"/>
        </w:rPr>
        <w:t>为环境高度敏感区、</w:t>
      </w:r>
      <w:r>
        <w:rPr>
          <w:rFonts w:ascii="Times New Roman" w:hAnsi="Times New Roman" w:eastAsia="Times New Roman" w:cs="Times New Roman"/>
          <w:color w:val="auto"/>
          <w:spacing w:val="-1"/>
          <w:sz w:val="24"/>
          <w:szCs w:val="24"/>
        </w:rPr>
        <w:t>E2</w:t>
      </w:r>
      <w:r>
        <w:rPr>
          <w:rFonts w:ascii="宋体" w:hAnsi="宋体" w:eastAsia="宋体" w:cs="宋体"/>
          <w:color w:val="auto"/>
          <w:spacing w:val="-1"/>
          <w:sz w:val="24"/>
          <w:szCs w:val="24"/>
        </w:rPr>
        <w:t>环境中度敏感区、</w:t>
      </w:r>
      <w:r>
        <w:rPr>
          <w:rFonts w:ascii="Times New Roman" w:hAnsi="Times New Roman" w:eastAsia="Times New Roman" w:cs="Times New Roman"/>
          <w:color w:val="auto"/>
          <w:spacing w:val="-1"/>
          <w:sz w:val="24"/>
          <w:szCs w:val="24"/>
        </w:rPr>
        <w:t>E3</w:t>
      </w:r>
      <w:r>
        <w:rPr>
          <w:rFonts w:ascii="宋体" w:hAnsi="宋体" w:eastAsia="宋体" w:cs="宋体"/>
          <w:color w:val="auto"/>
          <w:spacing w:val="-1"/>
          <w:sz w:val="24"/>
          <w:szCs w:val="24"/>
        </w:rPr>
        <w:t>为环境低度敏感区，分级原则见表</w:t>
      </w:r>
      <w:r>
        <w:rPr>
          <w:rFonts w:ascii="Times New Roman" w:hAnsi="Times New Roman" w:eastAsia="Times New Roman" w:cs="Times New Roman"/>
          <w:color w:val="auto"/>
          <w:spacing w:val="-1"/>
          <w:sz w:val="24"/>
          <w:szCs w:val="24"/>
        </w:rPr>
        <w:t>7.</w:t>
      </w:r>
      <w:r>
        <w:rPr>
          <w:rFonts w:hint="eastAsia" w:ascii="Times New Roman" w:hAnsi="Times New Roman" w:eastAsia="宋体" w:cs="Times New Roman"/>
          <w:color w:val="auto"/>
          <w:spacing w:val="-1"/>
          <w:sz w:val="24"/>
          <w:szCs w:val="24"/>
          <w:lang w:val="en-US" w:eastAsia="zh-CN"/>
        </w:rPr>
        <w:t>3</w:t>
      </w:r>
      <w:r>
        <w:rPr>
          <w:rFonts w:ascii="Times New Roman" w:hAnsi="Times New Roman" w:eastAsia="Times New Roman" w:cs="Times New Roman"/>
          <w:color w:val="auto"/>
          <w:spacing w:val="-1"/>
          <w:sz w:val="24"/>
          <w:szCs w:val="24"/>
        </w:rPr>
        <w:t>-</w:t>
      </w:r>
      <w:r>
        <w:rPr>
          <w:rFonts w:hint="eastAsia" w:ascii="Times New Roman" w:hAnsi="Times New Roman" w:eastAsia="宋体" w:cs="Times New Roman"/>
          <w:color w:val="auto"/>
          <w:spacing w:val="-1"/>
          <w:sz w:val="24"/>
          <w:szCs w:val="24"/>
          <w:lang w:val="en-US" w:eastAsia="zh-CN"/>
        </w:rPr>
        <w:t>6</w:t>
      </w:r>
      <w:r>
        <w:rPr>
          <w:rFonts w:ascii="宋体" w:hAnsi="宋体" w:eastAsia="宋体" w:cs="宋体"/>
          <w:color w:val="auto"/>
          <w:spacing w:val="-1"/>
          <w:sz w:val="24"/>
          <w:szCs w:val="24"/>
        </w:rPr>
        <w:t>。</w:t>
      </w:r>
    </w:p>
    <w:p w14:paraId="181D16BF">
      <w:pPr>
        <w:spacing w:line="212" w:lineRule="auto"/>
        <w:jc w:val="center"/>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3</w:t>
      </w:r>
      <w:r>
        <w:rPr>
          <w:rFonts w:ascii="Times New Roman" w:hAnsi="Times New Roman" w:eastAsia="宋体" w:cs="Times New Roman"/>
          <w:b/>
          <w:bCs/>
          <w:color w:val="auto"/>
          <w:spacing w:val="-1"/>
          <w:sz w:val="24"/>
          <w:szCs w:val="24"/>
        </w:rPr>
        <w:t>-</w:t>
      </w:r>
      <w:r>
        <w:rPr>
          <w:rFonts w:hint="eastAsia" w:ascii="Times New Roman" w:hAnsi="Times New Roman" w:eastAsia="宋体" w:cs="Times New Roman"/>
          <w:b/>
          <w:bCs/>
          <w:color w:val="auto"/>
          <w:spacing w:val="-1"/>
          <w:sz w:val="24"/>
          <w:szCs w:val="24"/>
          <w:lang w:val="en-US" w:eastAsia="zh-CN"/>
        </w:rPr>
        <w:t>6</w:t>
      </w:r>
      <w:r>
        <w:rPr>
          <w:rFonts w:ascii="Times New Roman" w:hAnsi="Times New Roman" w:eastAsia="宋体" w:cs="黑体"/>
          <w:b/>
          <w:bCs/>
          <w:color w:val="auto"/>
          <w:spacing w:val="-1"/>
          <w:sz w:val="24"/>
          <w:szCs w:val="24"/>
        </w:rPr>
        <w:t>地表水环境敏感程度分级</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17"/>
        <w:gridCol w:w="2660"/>
        <w:gridCol w:w="2132"/>
        <w:gridCol w:w="2138"/>
      </w:tblGrid>
      <w:tr w14:paraId="4A27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3" w:hRule="atLeast"/>
          <w:jc w:val="center"/>
        </w:trPr>
        <w:tc>
          <w:tcPr>
            <w:tcW w:w="946" w:type="pct"/>
            <w:vMerge w:val="restart"/>
            <w:shd w:val="clear" w:color="auto" w:fill="auto"/>
            <w:vAlign w:val="center"/>
          </w:tcPr>
          <w:p w14:paraId="1AB7BFAA">
            <w:pPr>
              <w:jc w:val="center"/>
              <w:rPr>
                <w:b/>
                <w:bCs/>
                <w:color w:val="auto"/>
                <w:sz w:val="21"/>
                <w:szCs w:val="21"/>
              </w:rPr>
            </w:pPr>
            <w:r>
              <w:rPr>
                <w:b/>
                <w:bCs/>
                <w:color w:val="auto"/>
                <w:sz w:val="21"/>
                <w:szCs w:val="21"/>
              </w:rPr>
              <w:t>环境敏感目标</w:t>
            </w:r>
          </w:p>
        </w:tc>
        <w:tc>
          <w:tcPr>
            <w:tcW w:w="4053" w:type="pct"/>
            <w:gridSpan w:val="3"/>
            <w:shd w:val="clear" w:color="auto" w:fill="auto"/>
            <w:vAlign w:val="center"/>
          </w:tcPr>
          <w:p w14:paraId="084B58C2">
            <w:pPr>
              <w:jc w:val="center"/>
              <w:rPr>
                <w:b/>
                <w:bCs/>
                <w:color w:val="auto"/>
                <w:sz w:val="21"/>
                <w:szCs w:val="21"/>
              </w:rPr>
            </w:pPr>
            <w:r>
              <w:rPr>
                <w:b/>
                <w:bCs/>
                <w:color w:val="auto"/>
                <w:sz w:val="21"/>
                <w:szCs w:val="21"/>
              </w:rPr>
              <w:t>地表水功能环境敏感性</w:t>
            </w:r>
          </w:p>
        </w:tc>
      </w:tr>
      <w:tr w14:paraId="4751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trPr>
        <w:tc>
          <w:tcPr>
            <w:tcW w:w="946" w:type="pct"/>
            <w:vMerge w:val="continue"/>
            <w:shd w:val="clear" w:color="auto" w:fill="auto"/>
            <w:vAlign w:val="center"/>
          </w:tcPr>
          <w:p w14:paraId="7099614F">
            <w:pPr>
              <w:jc w:val="center"/>
              <w:rPr>
                <w:color w:val="auto"/>
                <w:sz w:val="21"/>
                <w:szCs w:val="21"/>
              </w:rPr>
            </w:pPr>
          </w:p>
        </w:tc>
        <w:tc>
          <w:tcPr>
            <w:tcW w:w="1556" w:type="pct"/>
            <w:shd w:val="clear" w:color="auto" w:fill="auto"/>
            <w:vAlign w:val="center"/>
          </w:tcPr>
          <w:p w14:paraId="7575DD74">
            <w:pPr>
              <w:jc w:val="center"/>
              <w:rPr>
                <w:color w:val="auto"/>
                <w:sz w:val="21"/>
                <w:szCs w:val="21"/>
              </w:rPr>
            </w:pPr>
            <w:r>
              <w:rPr>
                <w:color w:val="auto"/>
                <w:sz w:val="21"/>
                <w:szCs w:val="21"/>
              </w:rPr>
              <w:t>F1</w:t>
            </w:r>
          </w:p>
        </w:tc>
        <w:tc>
          <w:tcPr>
            <w:tcW w:w="1247" w:type="pct"/>
            <w:shd w:val="clear" w:color="auto" w:fill="auto"/>
            <w:vAlign w:val="center"/>
          </w:tcPr>
          <w:p w14:paraId="24BEE887">
            <w:pPr>
              <w:jc w:val="center"/>
              <w:rPr>
                <w:color w:val="auto"/>
                <w:sz w:val="21"/>
                <w:szCs w:val="21"/>
              </w:rPr>
            </w:pPr>
            <w:r>
              <w:rPr>
                <w:color w:val="auto"/>
                <w:sz w:val="21"/>
                <w:szCs w:val="21"/>
              </w:rPr>
              <w:t>F2</w:t>
            </w:r>
          </w:p>
        </w:tc>
        <w:tc>
          <w:tcPr>
            <w:tcW w:w="1249" w:type="pct"/>
            <w:shd w:val="clear" w:color="auto" w:fill="auto"/>
            <w:vAlign w:val="center"/>
          </w:tcPr>
          <w:p w14:paraId="4E6A2E9B">
            <w:pPr>
              <w:jc w:val="center"/>
              <w:rPr>
                <w:color w:val="auto"/>
                <w:sz w:val="21"/>
                <w:szCs w:val="21"/>
              </w:rPr>
            </w:pPr>
            <w:r>
              <w:rPr>
                <w:color w:val="auto"/>
                <w:sz w:val="21"/>
                <w:szCs w:val="21"/>
              </w:rPr>
              <w:t>F3</w:t>
            </w:r>
          </w:p>
        </w:tc>
      </w:tr>
      <w:tr w14:paraId="38F3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trPr>
        <w:tc>
          <w:tcPr>
            <w:tcW w:w="946" w:type="pct"/>
            <w:shd w:val="clear" w:color="auto" w:fill="auto"/>
            <w:vAlign w:val="center"/>
          </w:tcPr>
          <w:p w14:paraId="293AA975">
            <w:pPr>
              <w:jc w:val="center"/>
              <w:rPr>
                <w:color w:val="auto"/>
                <w:sz w:val="21"/>
                <w:szCs w:val="21"/>
              </w:rPr>
            </w:pPr>
            <w:r>
              <w:rPr>
                <w:color w:val="auto"/>
                <w:sz w:val="21"/>
                <w:szCs w:val="21"/>
              </w:rPr>
              <w:t>S1</w:t>
            </w:r>
          </w:p>
        </w:tc>
        <w:tc>
          <w:tcPr>
            <w:tcW w:w="1556" w:type="pct"/>
            <w:shd w:val="clear" w:color="auto" w:fill="auto"/>
            <w:vAlign w:val="center"/>
          </w:tcPr>
          <w:p w14:paraId="5EA56AF8">
            <w:pPr>
              <w:jc w:val="center"/>
              <w:rPr>
                <w:color w:val="auto"/>
                <w:sz w:val="21"/>
                <w:szCs w:val="21"/>
              </w:rPr>
            </w:pPr>
            <w:r>
              <w:rPr>
                <w:color w:val="auto"/>
                <w:sz w:val="21"/>
                <w:szCs w:val="21"/>
              </w:rPr>
              <w:t>E1</w:t>
            </w:r>
          </w:p>
        </w:tc>
        <w:tc>
          <w:tcPr>
            <w:tcW w:w="1247" w:type="pct"/>
            <w:shd w:val="clear" w:color="auto" w:fill="auto"/>
            <w:vAlign w:val="center"/>
          </w:tcPr>
          <w:p w14:paraId="78834AA6">
            <w:pPr>
              <w:jc w:val="center"/>
              <w:rPr>
                <w:color w:val="auto"/>
                <w:sz w:val="21"/>
                <w:szCs w:val="21"/>
              </w:rPr>
            </w:pPr>
            <w:r>
              <w:rPr>
                <w:color w:val="auto"/>
                <w:sz w:val="21"/>
                <w:szCs w:val="21"/>
              </w:rPr>
              <w:t>E1</w:t>
            </w:r>
          </w:p>
        </w:tc>
        <w:tc>
          <w:tcPr>
            <w:tcW w:w="1249" w:type="pct"/>
            <w:shd w:val="clear" w:color="auto" w:fill="auto"/>
            <w:vAlign w:val="center"/>
          </w:tcPr>
          <w:p w14:paraId="4464AE2F">
            <w:pPr>
              <w:jc w:val="center"/>
              <w:rPr>
                <w:color w:val="auto"/>
                <w:sz w:val="21"/>
                <w:szCs w:val="21"/>
              </w:rPr>
            </w:pPr>
            <w:r>
              <w:rPr>
                <w:color w:val="auto"/>
                <w:sz w:val="21"/>
                <w:szCs w:val="21"/>
              </w:rPr>
              <w:t>E2</w:t>
            </w:r>
          </w:p>
        </w:tc>
      </w:tr>
      <w:tr w14:paraId="16C1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trPr>
        <w:tc>
          <w:tcPr>
            <w:tcW w:w="946" w:type="pct"/>
            <w:shd w:val="clear" w:color="auto" w:fill="auto"/>
            <w:vAlign w:val="center"/>
          </w:tcPr>
          <w:p w14:paraId="543B1613">
            <w:pPr>
              <w:jc w:val="center"/>
              <w:rPr>
                <w:color w:val="auto"/>
                <w:sz w:val="21"/>
                <w:szCs w:val="21"/>
              </w:rPr>
            </w:pPr>
            <w:r>
              <w:rPr>
                <w:color w:val="auto"/>
                <w:sz w:val="21"/>
                <w:szCs w:val="21"/>
              </w:rPr>
              <w:t>S2</w:t>
            </w:r>
          </w:p>
        </w:tc>
        <w:tc>
          <w:tcPr>
            <w:tcW w:w="1556" w:type="pct"/>
            <w:shd w:val="clear" w:color="auto" w:fill="auto"/>
            <w:vAlign w:val="center"/>
          </w:tcPr>
          <w:p w14:paraId="228C01E6">
            <w:pPr>
              <w:jc w:val="center"/>
              <w:rPr>
                <w:color w:val="auto"/>
                <w:sz w:val="21"/>
                <w:szCs w:val="21"/>
              </w:rPr>
            </w:pPr>
            <w:r>
              <w:rPr>
                <w:color w:val="auto"/>
                <w:sz w:val="21"/>
                <w:szCs w:val="21"/>
              </w:rPr>
              <w:t>E1</w:t>
            </w:r>
          </w:p>
        </w:tc>
        <w:tc>
          <w:tcPr>
            <w:tcW w:w="1247" w:type="pct"/>
            <w:shd w:val="clear" w:color="auto" w:fill="auto"/>
            <w:vAlign w:val="center"/>
          </w:tcPr>
          <w:p w14:paraId="5C970714">
            <w:pPr>
              <w:jc w:val="center"/>
              <w:rPr>
                <w:color w:val="auto"/>
                <w:sz w:val="21"/>
                <w:szCs w:val="21"/>
              </w:rPr>
            </w:pPr>
            <w:r>
              <w:rPr>
                <w:color w:val="auto"/>
                <w:sz w:val="21"/>
                <w:szCs w:val="21"/>
              </w:rPr>
              <w:t>E2</w:t>
            </w:r>
          </w:p>
        </w:tc>
        <w:tc>
          <w:tcPr>
            <w:tcW w:w="1249" w:type="pct"/>
            <w:shd w:val="clear" w:color="auto" w:fill="auto"/>
            <w:vAlign w:val="center"/>
          </w:tcPr>
          <w:p w14:paraId="24593EC2">
            <w:pPr>
              <w:jc w:val="center"/>
              <w:rPr>
                <w:color w:val="auto"/>
                <w:sz w:val="21"/>
                <w:szCs w:val="21"/>
              </w:rPr>
            </w:pPr>
            <w:r>
              <w:rPr>
                <w:color w:val="auto"/>
                <w:sz w:val="21"/>
                <w:szCs w:val="21"/>
              </w:rPr>
              <w:t>E3</w:t>
            </w:r>
          </w:p>
        </w:tc>
      </w:tr>
      <w:tr w14:paraId="3DE5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3" w:hRule="atLeast"/>
          <w:jc w:val="center"/>
        </w:trPr>
        <w:tc>
          <w:tcPr>
            <w:tcW w:w="946" w:type="pct"/>
            <w:shd w:val="clear" w:color="auto" w:fill="auto"/>
            <w:vAlign w:val="center"/>
          </w:tcPr>
          <w:p w14:paraId="441A6321">
            <w:pPr>
              <w:jc w:val="center"/>
              <w:rPr>
                <w:color w:val="auto"/>
                <w:sz w:val="21"/>
                <w:szCs w:val="21"/>
              </w:rPr>
            </w:pPr>
            <w:r>
              <w:rPr>
                <w:color w:val="auto"/>
                <w:sz w:val="21"/>
                <w:szCs w:val="21"/>
              </w:rPr>
              <w:t>S3</w:t>
            </w:r>
          </w:p>
        </w:tc>
        <w:tc>
          <w:tcPr>
            <w:tcW w:w="1556" w:type="pct"/>
            <w:shd w:val="clear" w:color="auto" w:fill="auto"/>
            <w:vAlign w:val="center"/>
          </w:tcPr>
          <w:p w14:paraId="75BB89AC">
            <w:pPr>
              <w:jc w:val="center"/>
              <w:rPr>
                <w:color w:val="auto"/>
                <w:sz w:val="21"/>
                <w:szCs w:val="21"/>
              </w:rPr>
            </w:pPr>
            <w:r>
              <w:rPr>
                <w:color w:val="auto"/>
                <w:sz w:val="21"/>
                <w:szCs w:val="21"/>
              </w:rPr>
              <w:t>E1</w:t>
            </w:r>
          </w:p>
        </w:tc>
        <w:tc>
          <w:tcPr>
            <w:tcW w:w="1247" w:type="pct"/>
            <w:shd w:val="clear" w:color="auto" w:fill="auto"/>
            <w:vAlign w:val="center"/>
          </w:tcPr>
          <w:p w14:paraId="5F24559D">
            <w:pPr>
              <w:jc w:val="center"/>
              <w:rPr>
                <w:color w:val="auto"/>
                <w:sz w:val="21"/>
                <w:szCs w:val="21"/>
              </w:rPr>
            </w:pPr>
            <w:r>
              <w:rPr>
                <w:color w:val="auto"/>
                <w:sz w:val="21"/>
                <w:szCs w:val="21"/>
              </w:rPr>
              <w:t>E2</w:t>
            </w:r>
          </w:p>
        </w:tc>
        <w:tc>
          <w:tcPr>
            <w:tcW w:w="1249" w:type="pct"/>
            <w:shd w:val="clear" w:color="auto" w:fill="auto"/>
            <w:vAlign w:val="center"/>
          </w:tcPr>
          <w:p w14:paraId="62F656AA">
            <w:pPr>
              <w:jc w:val="center"/>
              <w:rPr>
                <w:color w:val="auto"/>
                <w:sz w:val="21"/>
                <w:szCs w:val="21"/>
              </w:rPr>
            </w:pPr>
            <w:r>
              <w:rPr>
                <w:color w:val="auto"/>
                <w:sz w:val="21"/>
                <w:szCs w:val="21"/>
              </w:rPr>
              <w:t>E3</w:t>
            </w:r>
          </w:p>
        </w:tc>
      </w:tr>
    </w:tbl>
    <w:p w14:paraId="7599326A">
      <w:pPr>
        <w:keepNext w:val="0"/>
        <w:keepLines w:val="0"/>
        <w:pageBreakBefore w:val="0"/>
        <w:widowControl w:val="0"/>
        <w:kinsoku/>
        <w:wordWrap/>
        <w:overflowPunct/>
        <w:topLinePunct w:val="0"/>
        <w:autoSpaceDE/>
        <w:autoSpaceDN/>
        <w:bidi w:val="0"/>
        <w:adjustRightInd/>
        <w:snapToGrid/>
        <w:spacing w:line="360" w:lineRule="auto"/>
        <w:ind w:right="0" w:firstLine="472" w:firstLineChars="200"/>
        <w:textAlignment w:val="auto"/>
        <w:rPr>
          <w:rFonts w:ascii="宋体" w:hAnsi="宋体" w:eastAsia="宋体" w:cs="宋体"/>
          <w:color w:val="auto"/>
          <w:spacing w:val="-2"/>
          <w:sz w:val="24"/>
          <w:szCs w:val="24"/>
        </w:rPr>
      </w:pPr>
      <w:r>
        <w:rPr>
          <w:rFonts w:ascii="宋体" w:hAnsi="宋体" w:eastAsia="宋体" w:cs="宋体"/>
          <w:color w:val="auto"/>
          <w:spacing w:val="-2"/>
          <w:sz w:val="24"/>
          <w:szCs w:val="24"/>
        </w:rPr>
        <w:t>其中地表水功能敏感性分区和环境敏感目标分级分别见表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3</w:t>
      </w:r>
      <w:r>
        <w:rPr>
          <w:rFonts w:ascii="Times New Roman" w:hAnsi="Times New Roman" w:eastAsia="Times New Roman"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7</w:t>
      </w:r>
      <w:r>
        <w:rPr>
          <w:rFonts w:ascii="宋体" w:hAnsi="宋体" w:eastAsia="宋体" w:cs="宋体"/>
          <w:color w:val="auto"/>
          <w:spacing w:val="-2"/>
          <w:sz w:val="24"/>
          <w:szCs w:val="24"/>
        </w:rPr>
        <w:t>和表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3</w:t>
      </w:r>
      <w:r>
        <w:rPr>
          <w:rFonts w:ascii="Times New Roman" w:hAnsi="Times New Roman" w:eastAsia="Times New Roman"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8</w:t>
      </w:r>
      <w:r>
        <w:rPr>
          <w:rFonts w:ascii="宋体" w:hAnsi="宋体" w:eastAsia="宋体" w:cs="宋体"/>
          <w:color w:val="auto"/>
          <w:spacing w:val="-2"/>
          <w:sz w:val="24"/>
          <w:szCs w:val="24"/>
        </w:rPr>
        <w:t>。</w:t>
      </w:r>
    </w:p>
    <w:p w14:paraId="2EACB021">
      <w:pPr>
        <w:spacing w:before="114" w:line="240" w:lineRule="auto"/>
        <w:ind w:right="70"/>
        <w:jc w:val="center"/>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3</w:t>
      </w:r>
      <w:r>
        <w:rPr>
          <w:rFonts w:ascii="Times New Roman" w:hAnsi="Times New Roman" w:eastAsia="宋体" w:cs="Times New Roman"/>
          <w:b/>
          <w:bCs/>
          <w:color w:val="auto"/>
          <w:spacing w:val="-1"/>
          <w:sz w:val="24"/>
          <w:szCs w:val="24"/>
        </w:rPr>
        <w:t>-</w:t>
      </w:r>
      <w:r>
        <w:rPr>
          <w:rFonts w:hint="eastAsia" w:ascii="Times New Roman" w:hAnsi="Times New Roman" w:eastAsia="宋体" w:cs="Times New Roman"/>
          <w:b/>
          <w:bCs/>
          <w:color w:val="auto"/>
          <w:spacing w:val="-1"/>
          <w:sz w:val="24"/>
          <w:szCs w:val="24"/>
          <w:lang w:val="en-US" w:eastAsia="zh-CN"/>
        </w:rPr>
        <w:t>7</w:t>
      </w:r>
      <w:r>
        <w:rPr>
          <w:rFonts w:ascii="Times New Roman" w:hAnsi="Times New Roman" w:eastAsia="宋体" w:cs="黑体"/>
          <w:b/>
          <w:bCs/>
          <w:color w:val="auto"/>
          <w:spacing w:val="-1"/>
          <w:sz w:val="24"/>
          <w:szCs w:val="24"/>
        </w:rPr>
        <w:t>地表水功能敏感性分区</w:t>
      </w: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8"/>
        <w:gridCol w:w="7509"/>
      </w:tblGrid>
      <w:tr w14:paraId="0864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607" w:type="pct"/>
            <w:shd w:val="clear" w:color="auto" w:fill="auto"/>
            <w:vAlign w:val="top"/>
          </w:tcPr>
          <w:p w14:paraId="515686E7">
            <w:pPr>
              <w:pStyle w:val="97"/>
              <w:spacing w:before="88" w:line="221" w:lineRule="auto"/>
              <w:ind w:left="217"/>
              <w:rPr>
                <w:rFonts w:ascii="Times New Roman" w:hAnsi="Times New Roman" w:eastAsia="宋体"/>
                <w:b/>
                <w:bCs/>
                <w:color w:val="auto"/>
                <w:sz w:val="21"/>
                <w:szCs w:val="21"/>
              </w:rPr>
            </w:pPr>
            <w:r>
              <w:rPr>
                <w:rFonts w:ascii="Times New Roman" w:hAnsi="Times New Roman" w:eastAsia="宋体"/>
                <w:b/>
                <w:bCs/>
                <w:color w:val="auto"/>
                <w:spacing w:val="-2"/>
                <w:sz w:val="21"/>
                <w:szCs w:val="21"/>
              </w:rPr>
              <w:t>敏感性</w:t>
            </w:r>
          </w:p>
        </w:tc>
        <w:tc>
          <w:tcPr>
            <w:tcW w:w="4392" w:type="pct"/>
            <w:shd w:val="clear" w:color="auto" w:fill="auto"/>
            <w:vAlign w:val="top"/>
          </w:tcPr>
          <w:p w14:paraId="178D86B2">
            <w:pPr>
              <w:pStyle w:val="97"/>
              <w:spacing w:before="88" w:line="221" w:lineRule="auto"/>
              <w:ind w:left="2706"/>
              <w:rPr>
                <w:rFonts w:ascii="Times New Roman" w:hAnsi="Times New Roman" w:eastAsia="宋体"/>
                <w:b/>
                <w:bCs/>
                <w:color w:val="auto"/>
                <w:sz w:val="21"/>
                <w:szCs w:val="21"/>
              </w:rPr>
            </w:pPr>
            <w:r>
              <w:rPr>
                <w:rFonts w:ascii="Times New Roman" w:hAnsi="Times New Roman" w:eastAsia="宋体"/>
                <w:b/>
                <w:bCs/>
                <w:color w:val="auto"/>
                <w:spacing w:val="-1"/>
                <w:sz w:val="21"/>
                <w:szCs w:val="21"/>
              </w:rPr>
              <w:t>地表水环境敏感性特征</w:t>
            </w:r>
          </w:p>
        </w:tc>
      </w:tr>
      <w:tr w14:paraId="47E4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607" w:type="pct"/>
            <w:vAlign w:val="top"/>
          </w:tcPr>
          <w:p w14:paraId="1E59CE73">
            <w:pPr>
              <w:pStyle w:val="97"/>
              <w:spacing w:before="214" w:line="275" w:lineRule="auto"/>
              <w:ind w:left="417" w:right="192" w:hanging="200"/>
              <w:rPr>
                <w:rFonts w:ascii="Times New Roman" w:hAnsi="Times New Roman" w:eastAsia="宋体" w:cs="Times New Roman"/>
                <w:color w:val="auto"/>
                <w:sz w:val="21"/>
                <w:szCs w:val="21"/>
              </w:rPr>
            </w:pPr>
            <w:r>
              <w:rPr>
                <w:rFonts w:ascii="Times New Roman" w:hAnsi="Times New Roman" w:eastAsia="宋体"/>
                <w:color w:val="auto"/>
                <w:spacing w:val="-2"/>
                <w:sz w:val="21"/>
                <w:szCs w:val="21"/>
              </w:rPr>
              <w:t>敏感性</w:t>
            </w:r>
            <w:r>
              <w:rPr>
                <w:rFonts w:ascii="Times New Roman" w:hAnsi="Times New Roman" w:eastAsia="宋体" w:cs="Times New Roman"/>
                <w:color w:val="auto"/>
                <w:spacing w:val="-2"/>
                <w:sz w:val="21"/>
                <w:szCs w:val="21"/>
              </w:rPr>
              <w:t>F1</w:t>
            </w:r>
          </w:p>
        </w:tc>
        <w:tc>
          <w:tcPr>
            <w:tcW w:w="4392" w:type="pct"/>
            <w:vAlign w:val="top"/>
          </w:tcPr>
          <w:p w14:paraId="19664BB9">
            <w:pPr>
              <w:pStyle w:val="97"/>
              <w:spacing w:before="58" w:line="254" w:lineRule="auto"/>
              <w:ind w:left="113" w:right="102"/>
              <w:jc w:val="both"/>
              <w:rPr>
                <w:rFonts w:ascii="Times New Roman" w:hAnsi="Times New Roman" w:eastAsia="宋体"/>
                <w:color w:val="auto"/>
                <w:sz w:val="21"/>
                <w:szCs w:val="21"/>
              </w:rPr>
            </w:pPr>
            <w:r>
              <w:rPr>
                <w:rFonts w:ascii="Times New Roman" w:hAnsi="Times New Roman" w:eastAsia="宋体"/>
                <w:color w:val="auto"/>
                <w:sz w:val="21"/>
                <w:szCs w:val="21"/>
              </w:rPr>
              <w:t>排放点进入地表水水域环境功能为</w:t>
            </w:r>
            <w:r>
              <w:rPr>
                <w:rFonts w:ascii="Times New Roman" w:hAnsi="Times New Roman" w:eastAsia="宋体" w:cs="Times New Roman"/>
                <w:color w:val="auto"/>
                <w:sz w:val="21"/>
                <w:szCs w:val="21"/>
              </w:rPr>
              <w:t>Ⅱ</w:t>
            </w:r>
            <w:r>
              <w:rPr>
                <w:rFonts w:ascii="Times New Roman" w:hAnsi="Times New Roman" w:eastAsia="宋体"/>
                <w:color w:val="auto"/>
                <w:sz w:val="21"/>
                <w:szCs w:val="21"/>
              </w:rPr>
              <w:t>类及以上，或海水水质分类第一类；或发生</w:t>
            </w:r>
            <w:r>
              <w:rPr>
                <w:rFonts w:ascii="Times New Roman" w:hAnsi="Times New Roman" w:eastAsia="宋体"/>
                <w:color w:val="auto"/>
                <w:spacing w:val="-5"/>
                <w:sz w:val="21"/>
                <w:szCs w:val="21"/>
              </w:rPr>
              <w:t>事故时，危险物质泄漏到水体的排放点算起，排放进入受纳河流最大流速时，</w:t>
            </w:r>
            <w:r>
              <w:rPr>
                <w:rFonts w:ascii="Times New Roman" w:hAnsi="Times New Roman" w:eastAsia="宋体" w:cs="Times New Roman"/>
                <w:color w:val="auto"/>
                <w:spacing w:val="-5"/>
                <w:sz w:val="21"/>
                <w:szCs w:val="21"/>
              </w:rPr>
              <w:t>24h</w:t>
            </w:r>
            <w:r>
              <w:rPr>
                <w:rFonts w:ascii="Times New Roman" w:hAnsi="Times New Roman" w:eastAsia="宋体"/>
                <w:color w:val="auto"/>
                <w:spacing w:val="-1"/>
                <w:sz w:val="21"/>
                <w:szCs w:val="21"/>
              </w:rPr>
              <w:t>流经范围内涉跨国界的</w:t>
            </w:r>
          </w:p>
        </w:tc>
      </w:tr>
      <w:tr w14:paraId="4CCB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trPr>
        <w:tc>
          <w:tcPr>
            <w:tcW w:w="607" w:type="pct"/>
            <w:vAlign w:val="top"/>
          </w:tcPr>
          <w:p w14:paraId="25D0D196">
            <w:pPr>
              <w:pStyle w:val="97"/>
              <w:spacing w:before="220" w:line="275" w:lineRule="auto"/>
              <w:ind w:left="417" w:right="192" w:hanging="200"/>
              <w:rPr>
                <w:rFonts w:ascii="Times New Roman" w:hAnsi="Times New Roman" w:eastAsia="宋体" w:cs="Times New Roman"/>
                <w:color w:val="auto"/>
                <w:sz w:val="21"/>
                <w:szCs w:val="21"/>
              </w:rPr>
            </w:pPr>
            <w:r>
              <w:rPr>
                <w:rFonts w:ascii="Times New Roman" w:hAnsi="Times New Roman" w:eastAsia="宋体"/>
                <w:color w:val="auto"/>
                <w:spacing w:val="-2"/>
                <w:sz w:val="21"/>
                <w:szCs w:val="21"/>
              </w:rPr>
              <w:t>敏感性</w:t>
            </w:r>
            <w:r>
              <w:rPr>
                <w:rFonts w:ascii="Times New Roman" w:hAnsi="Times New Roman" w:eastAsia="宋体" w:cs="Times New Roman"/>
                <w:color w:val="auto"/>
                <w:spacing w:val="-2"/>
                <w:sz w:val="21"/>
                <w:szCs w:val="21"/>
              </w:rPr>
              <w:t>F2</w:t>
            </w:r>
          </w:p>
        </w:tc>
        <w:tc>
          <w:tcPr>
            <w:tcW w:w="4392" w:type="pct"/>
            <w:vAlign w:val="top"/>
          </w:tcPr>
          <w:p w14:paraId="166738C0">
            <w:pPr>
              <w:pStyle w:val="97"/>
              <w:spacing w:before="65" w:line="251" w:lineRule="auto"/>
              <w:ind w:left="115" w:right="92" w:hanging="2"/>
              <w:jc w:val="both"/>
              <w:rPr>
                <w:rFonts w:ascii="Times New Roman" w:hAnsi="Times New Roman" w:eastAsia="宋体"/>
                <w:color w:val="auto"/>
                <w:sz w:val="21"/>
                <w:szCs w:val="21"/>
              </w:rPr>
            </w:pPr>
            <w:r>
              <w:rPr>
                <w:rFonts w:ascii="Times New Roman" w:hAnsi="Times New Roman" w:eastAsia="宋体"/>
                <w:color w:val="auto"/>
                <w:spacing w:val="-1"/>
                <w:sz w:val="21"/>
                <w:szCs w:val="21"/>
              </w:rPr>
              <w:t>排放点进入地表水水域环境功能为</w:t>
            </w:r>
            <w:r>
              <w:rPr>
                <w:rFonts w:ascii="Times New Roman" w:hAnsi="Times New Roman" w:eastAsia="宋体" w:cs="Times New Roman"/>
                <w:color w:val="auto"/>
                <w:spacing w:val="-1"/>
                <w:sz w:val="21"/>
                <w:szCs w:val="21"/>
              </w:rPr>
              <w:t>Ⅲ</w:t>
            </w:r>
            <w:r>
              <w:rPr>
                <w:rFonts w:ascii="Times New Roman" w:hAnsi="Times New Roman" w:eastAsia="宋体"/>
                <w:color w:val="auto"/>
                <w:spacing w:val="-1"/>
                <w:sz w:val="21"/>
                <w:szCs w:val="21"/>
              </w:rPr>
              <w:t>类，或</w:t>
            </w:r>
            <w:r>
              <w:rPr>
                <w:rFonts w:ascii="Times New Roman" w:hAnsi="Times New Roman" w:eastAsia="宋体"/>
                <w:color w:val="auto"/>
                <w:spacing w:val="-2"/>
                <w:sz w:val="21"/>
                <w:szCs w:val="21"/>
              </w:rPr>
              <w:t>海水水质分类二类；或发生事故时，</w:t>
            </w:r>
            <w:r>
              <w:rPr>
                <w:rFonts w:ascii="Times New Roman" w:hAnsi="Times New Roman" w:eastAsia="宋体"/>
                <w:color w:val="auto"/>
                <w:spacing w:val="-1"/>
                <w:sz w:val="21"/>
                <w:szCs w:val="21"/>
              </w:rPr>
              <w:t>危险物质泄漏到水体的排放点算起，排放进入受纳河流最大流速时，</w:t>
            </w:r>
            <w:r>
              <w:rPr>
                <w:rFonts w:ascii="Times New Roman" w:hAnsi="Times New Roman" w:eastAsia="宋体" w:cs="Times New Roman"/>
                <w:color w:val="auto"/>
                <w:spacing w:val="-1"/>
                <w:sz w:val="21"/>
                <w:szCs w:val="21"/>
              </w:rPr>
              <w:t>24h</w:t>
            </w:r>
            <w:r>
              <w:rPr>
                <w:rFonts w:ascii="Times New Roman" w:hAnsi="Times New Roman" w:eastAsia="宋体"/>
                <w:color w:val="auto"/>
                <w:spacing w:val="-1"/>
                <w:sz w:val="21"/>
                <w:szCs w:val="21"/>
              </w:rPr>
              <w:t>流经范</w:t>
            </w:r>
            <w:r>
              <w:rPr>
                <w:rFonts w:ascii="Times New Roman" w:hAnsi="Times New Roman" w:eastAsia="宋体"/>
                <w:color w:val="auto"/>
                <w:spacing w:val="-2"/>
                <w:sz w:val="21"/>
                <w:szCs w:val="21"/>
              </w:rPr>
              <w:t>围内涉跨省界的</w:t>
            </w:r>
          </w:p>
        </w:tc>
      </w:tr>
      <w:tr w14:paraId="0899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607" w:type="pct"/>
            <w:vAlign w:val="top"/>
          </w:tcPr>
          <w:p w14:paraId="1E4DBD2A">
            <w:pPr>
              <w:pStyle w:val="97"/>
              <w:spacing w:before="73" w:line="263" w:lineRule="auto"/>
              <w:ind w:left="417" w:right="192" w:hanging="200"/>
              <w:rPr>
                <w:rFonts w:ascii="Times New Roman" w:hAnsi="Times New Roman" w:eastAsia="宋体" w:cs="Times New Roman"/>
                <w:color w:val="auto"/>
                <w:sz w:val="21"/>
                <w:szCs w:val="21"/>
              </w:rPr>
            </w:pPr>
            <w:r>
              <w:rPr>
                <w:rFonts w:ascii="Times New Roman" w:hAnsi="Times New Roman" w:eastAsia="宋体"/>
                <w:color w:val="auto"/>
                <w:spacing w:val="-2"/>
                <w:sz w:val="21"/>
                <w:szCs w:val="21"/>
              </w:rPr>
              <w:t>敏感性</w:t>
            </w:r>
            <w:r>
              <w:rPr>
                <w:rFonts w:ascii="Times New Roman" w:hAnsi="Times New Roman" w:eastAsia="宋体" w:cs="Times New Roman"/>
                <w:color w:val="auto"/>
                <w:spacing w:val="-2"/>
                <w:sz w:val="21"/>
                <w:szCs w:val="21"/>
              </w:rPr>
              <w:t>F3</w:t>
            </w:r>
          </w:p>
        </w:tc>
        <w:tc>
          <w:tcPr>
            <w:tcW w:w="4392" w:type="pct"/>
            <w:vAlign w:val="top"/>
          </w:tcPr>
          <w:p w14:paraId="74086A93">
            <w:pPr>
              <w:pStyle w:val="97"/>
              <w:spacing w:before="229" w:line="221" w:lineRule="auto"/>
              <w:ind w:left="115"/>
              <w:rPr>
                <w:rFonts w:ascii="Times New Roman" w:hAnsi="Times New Roman" w:eastAsia="宋体"/>
                <w:color w:val="auto"/>
                <w:sz w:val="21"/>
                <w:szCs w:val="21"/>
              </w:rPr>
            </w:pPr>
            <w:r>
              <w:rPr>
                <w:rFonts w:ascii="Times New Roman" w:hAnsi="Times New Roman" w:eastAsia="宋体"/>
                <w:color w:val="auto"/>
                <w:spacing w:val="-1"/>
                <w:sz w:val="21"/>
                <w:szCs w:val="21"/>
              </w:rPr>
              <w:t>上述地区之外的其他地区</w:t>
            </w:r>
          </w:p>
        </w:tc>
      </w:tr>
    </w:tbl>
    <w:p w14:paraId="0CA00504">
      <w:pPr>
        <w:spacing w:before="116" w:line="240" w:lineRule="auto"/>
        <w:ind w:left="2869"/>
        <w:rPr>
          <w:rFonts w:ascii="Times New Roman" w:hAnsi="Times New Roman" w:eastAsia="宋体" w:cs="黑体"/>
          <w:b/>
          <w:bCs/>
          <w:color w:val="auto"/>
          <w:sz w:val="24"/>
          <w:szCs w:val="24"/>
        </w:rPr>
      </w:pPr>
      <w:r>
        <w:rPr>
          <w:rFonts w:ascii="Times New Roman" w:hAnsi="Times New Roman" w:eastAsia="宋体" w:cs="黑体"/>
          <w:b/>
          <w:bCs/>
          <w:color w:val="auto"/>
          <w:spacing w:val="-2"/>
          <w:sz w:val="24"/>
          <w:szCs w:val="24"/>
        </w:rPr>
        <w:t>表</w:t>
      </w:r>
      <w:r>
        <w:rPr>
          <w:rFonts w:ascii="Times New Roman" w:hAnsi="Times New Roman" w:eastAsia="宋体" w:cs="Times New Roman"/>
          <w:b/>
          <w:bCs/>
          <w:color w:val="auto"/>
          <w:spacing w:val="-2"/>
          <w:sz w:val="24"/>
          <w:szCs w:val="24"/>
        </w:rPr>
        <w:t>7.</w:t>
      </w:r>
      <w:r>
        <w:rPr>
          <w:rFonts w:hint="eastAsia" w:ascii="Times New Roman" w:hAnsi="Times New Roman" w:eastAsia="宋体" w:cs="Times New Roman"/>
          <w:b/>
          <w:bCs/>
          <w:color w:val="auto"/>
          <w:spacing w:val="-2"/>
          <w:sz w:val="24"/>
          <w:szCs w:val="24"/>
          <w:lang w:val="en-US" w:eastAsia="zh-CN"/>
        </w:rPr>
        <w:t>3</w:t>
      </w:r>
      <w:r>
        <w:rPr>
          <w:rFonts w:ascii="Times New Roman" w:hAnsi="Times New Roman" w:eastAsia="宋体" w:cs="Times New Roman"/>
          <w:b/>
          <w:bCs/>
          <w:color w:val="auto"/>
          <w:spacing w:val="-2"/>
          <w:sz w:val="24"/>
          <w:szCs w:val="24"/>
        </w:rPr>
        <w:t>-</w:t>
      </w:r>
      <w:r>
        <w:rPr>
          <w:rFonts w:hint="eastAsia" w:ascii="Times New Roman" w:hAnsi="Times New Roman" w:eastAsia="宋体" w:cs="Times New Roman"/>
          <w:b/>
          <w:bCs/>
          <w:color w:val="auto"/>
          <w:spacing w:val="-2"/>
          <w:sz w:val="24"/>
          <w:szCs w:val="24"/>
          <w:lang w:val="en-US" w:eastAsia="zh-CN"/>
        </w:rPr>
        <w:t>8</w:t>
      </w:r>
      <w:r>
        <w:rPr>
          <w:rFonts w:ascii="Times New Roman" w:hAnsi="Times New Roman" w:eastAsia="宋体" w:cs="黑体"/>
          <w:b/>
          <w:bCs/>
          <w:color w:val="auto"/>
          <w:spacing w:val="-2"/>
          <w:sz w:val="24"/>
          <w:szCs w:val="24"/>
        </w:rPr>
        <w:t>环境敏感目标分级</w:t>
      </w: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38"/>
        <w:gridCol w:w="7509"/>
      </w:tblGrid>
      <w:tr w14:paraId="2C73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8" w:hRule="atLeast"/>
        </w:trPr>
        <w:tc>
          <w:tcPr>
            <w:tcW w:w="607" w:type="pct"/>
            <w:shd w:val="clear" w:color="auto" w:fill="auto"/>
            <w:vAlign w:val="center"/>
          </w:tcPr>
          <w:p w14:paraId="71511C7C">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3"/>
                <w:sz w:val="21"/>
                <w:szCs w:val="21"/>
              </w:rPr>
              <w:t>分级</w:t>
            </w:r>
          </w:p>
        </w:tc>
        <w:tc>
          <w:tcPr>
            <w:tcW w:w="4392" w:type="pct"/>
            <w:shd w:val="clear" w:color="auto" w:fill="auto"/>
            <w:vAlign w:val="center"/>
          </w:tcPr>
          <w:p w14:paraId="3F9C7D2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szCs w:val="21"/>
              </w:rPr>
            </w:pPr>
            <w:r>
              <w:rPr>
                <w:b/>
                <w:bCs/>
                <w:color w:val="auto"/>
                <w:spacing w:val="-1"/>
                <w:sz w:val="21"/>
                <w:szCs w:val="21"/>
              </w:rPr>
              <w:t>地表水环境敏感性特征</w:t>
            </w:r>
          </w:p>
        </w:tc>
      </w:tr>
      <w:tr w14:paraId="0921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93" w:hRule="atLeast"/>
        </w:trPr>
        <w:tc>
          <w:tcPr>
            <w:tcW w:w="607" w:type="pct"/>
            <w:shd w:val="clear" w:color="auto" w:fill="auto"/>
            <w:vAlign w:val="center"/>
          </w:tcPr>
          <w:p w14:paraId="2108B3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S1</w:t>
            </w:r>
          </w:p>
        </w:tc>
        <w:tc>
          <w:tcPr>
            <w:tcW w:w="4392" w:type="pct"/>
            <w:shd w:val="clear" w:color="auto" w:fill="auto"/>
            <w:vAlign w:val="center"/>
          </w:tcPr>
          <w:p w14:paraId="3C50EF97">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4"/>
                <w:sz w:val="21"/>
                <w:szCs w:val="21"/>
              </w:rPr>
              <w:t>发生事故时，危险物质泄漏到内陆水体的排放点下游（顺水流向）</w:t>
            </w:r>
            <w:r>
              <w:rPr>
                <w:rFonts w:ascii="Times New Roman" w:hAnsi="Times New Roman" w:eastAsia="Times New Roman" w:cs="Times New Roman"/>
                <w:color w:val="auto"/>
                <w:spacing w:val="-4"/>
                <w:sz w:val="21"/>
                <w:szCs w:val="21"/>
              </w:rPr>
              <w:t>10</w:t>
            </w:r>
            <w:r>
              <w:rPr>
                <w:rFonts w:ascii="Times New Roman" w:hAnsi="Times New Roman" w:eastAsia="Times New Roman" w:cs="Times New Roman"/>
                <w:color w:val="auto"/>
                <w:spacing w:val="-5"/>
                <w:sz w:val="21"/>
                <w:szCs w:val="21"/>
              </w:rPr>
              <w:t>km</w:t>
            </w:r>
            <w:r>
              <w:rPr>
                <w:color w:val="auto"/>
                <w:spacing w:val="-5"/>
                <w:sz w:val="21"/>
                <w:szCs w:val="21"/>
              </w:rPr>
              <w:t>范围内、</w:t>
            </w:r>
            <w:r>
              <w:rPr>
                <w:color w:val="auto"/>
                <w:spacing w:val="-2"/>
                <w:sz w:val="21"/>
                <w:szCs w:val="21"/>
              </w:rPr>
              <w:t>近岸海域一个潮周期水质点可能达到的最大水平距离的两倍范围内，有如下一类</w:t>
            </w:r>
            <w:r>
              <w:rPr>
                <w:color w:val="auto"/>
                <w:spacing w:val="2"/>
                <w:sz w:val="21"/>
                <w:szCs w:val="21"/>
              </w:rPr>
              <w:t>或多类环境风险受体；集中式地表水饮用水水源保护区</w:t>
            </w:r>
            <w:r>
              <w:rPr>
                <w:rFonts w:ascii="Times New Roman" w:hAnsi="Times New Roman" w:eastAsia="Times New Roman" w:cs="Times New Roman"/>
                <w:color w:val="auto"/>
                <w:spacing w:val="2"/>
                <w:sz w:val="21"/>
                <w:szCs w:val="21"/>
              </w:rPr>
              <w:t>(</w:t>
            </w:r>
            <w:r>
              <w:rPr>
                <w:color w:val="auto"/>
                <w:spacing w:val="2"/>
                <w:sz w:val="21"/>
                <w:szCs w:val="21"/>
              </w:rPr>
              <w:t>包括一</w:t>
            </w:r>
            <w:r>
              <w:rPr>
                <w:color w:val="auto"/>
                <w:spacing w:val="1"/>
                <w:sz w:val="21"/>
                <w:szCs w:val="21"/>
              </w:rPr>
              <w:t>级保护区、二级</w:t>
            </w:r>
            <w:r>
              <w:rPr>
                <w:color w:val="auto"/>
                <w:spacing w:val="-2"/>
                <w:sz w:val="21"/>
                <w:szCs w:val="21"/>
              </w:rPr>
              <w:t>保护区及准保护区</w:t>
            </w:r>
            <w:r>
              <w:rPr>
                <w:rFonts w:ascii="Times New Roman" w:hAnsi="Times New Roman" w:eastAsia="Times New Roman" w:cs="Times New Roman"/>
                <w:color w:val="auto"/>
                <w:spacing w:val="-2"/>
                <w:sz w:val="21"/>
                <w:szCs w:val="21"/>
              </w:rPr>
              <w:t>)</w:t>
            </w:r>
            <w:r>
              <w:rPr>
                <w:color w:val="auto"/>
                <w:spacing w:val="-2"/>
                <w:sz w:val="21"/>
                <w:szCs w:val="21"/>
              </w:rPr>
              <w:t>；农村及分散式饮用水水源保护区；自然保护区；重要湿地；珍稀濒危野生动植物天然集中分布区；重要水生生物的自然产卵场及索饵场、越</w:t>
            </w:r>
            <w:r>
              <w:rPr>
                <w:color w:val="auto"/>
                <w:spacing w:val="-6"/>
                <w:sz w:val="21"/>
                <w:szCs w:val="21"/>
              </w:rPr>
              <w:t>冬场和洄游通道；世界文化和自然遗产地；红树林、珊瑚礁等滨海湿地生态系统；</w:t>
            </w:r>
            <w:r>
              <w:rPr>
                <w:color w:val="auto"/>
                <w:spacing w:val="-2"/>
                <w:sz w:val="21"/>
                <w:szCs w:val="21"/>
              </w:rPr>
              <w:t>珍稀、濒危海洋生物的天然集中分布区；海洋特别保护区；海上自然保护区；盐场保护区；海水浴场；海洋自然历史遗迹；风景名胜区；或其他特殊重要保护区</w:t>
            </w:r>
            <w:r>
              <w:rPr>
                <w:color w:val="auto"/>
                <w:sz w:val="21"/>
                <w:szCs w:val="21"/>
              </w:rPr>
              <w:t>域</w:t>
            </w:r>
          </w:p>
        </w:tc>
      </w:tr>
      <w:tr w14:paraId="6757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5" w:hRule="atLeast"/>
        </w:trPr>
        <w:tc>
          <w:tcPr>
            <w:tcW w:w="607" w:type="pct"/>
            <w:shd w:val="clear" w:color="auto" w:fill="auto"/>
            <w:vAlign w:val="center"/>
          </w:tcPr>
          <w:p w14:paraId="250436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S2</w:t>
            </w:r>
          </w:p>
        </w:tc>
        <w:tc>
          <w:tcPr>
            <w:tcW w:w="4392" w:type="pct"/>
            <w:shd w:val="clear" w:color="auto" w:fill="auto"/>
            <w:vAlign w:val="center"/>
          </w:tcPr>
          <w:p w14:paraId="4BA3521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rPr>
            </w:pPr>
            <w:r>
              <w:rPr>
                <w:color w:val="auto"/>
                <w:spacing w:val="-3"/>
                <w:sz w:val="21"/>
                <w:szCs w:val="21"/>
              </w:rPr>
              <w:t>发生事故时，危险物质泄漏到内陆水体的排放点下游（顺水流向）</w:t>
            </w:r>
            <w:r>
              <w:rPr>
                <w:rFonts w:ascii="Times New Roman" w:hAnsi="Times New Roman" w:eastAsia="Times New Roman" w:cs="Times New Roman"/>
                <w:color w:val="auto"/>
                <w:spacing w:val="-3"/>
                <w:sz w:val="21"/>
                <w:szCs w:val="21"/>
              </w:rPr>
              <w:t>10km</w:t>
            </w:r>
            <w:r>
              <w:rPr>
                <w:color w:val="auto"/>
                <w:spacing w:val="-3"/>
                <w:sz w:val="21"/>
                <w:szCs w:val="21"/>
              </w:rPr>
              <w:t>范围内、</w:t>
            </w:r>
            <w:r>
              <w:rPr>
                <w:color w:val="auto"/>
                <w:spacing w:val="-2"/>
                <w:sz w:val="21"/>
                <w:szCs w:val="21"/>
              </w:rPr>
              <w:t>近岸海域一个潮周期水质点可能达到的最大水平距离的两倍范围内，如有下一类或多类环境风险受体的：水产养殖区；天然渔场；森林公园；</w:t>
            </w:r>
            <w:r>
              <w:rPr>
                <w:color w:val="auto"/>
                <w:spacing w:val="-3"/>
                <w:sz w:val="21"/>
                <w:szCs w:val="21"/>
              </w:rPr>
              <w:t>地质公园；滨海风</w:t>
            </w:r>
            <w:r>
              <w:rPr>
                <w:color w:val="auto"/>
                <w:spacing w:val="-1"/>
                <w:sz w:val="21"/>
                <w:szCs w:val="21"/>
              </w:rPr>
              <w:t>景游览区；具有重要经济价值的海洋生物生存区域</w:t>
            </w:r>
          </w:p>
        </w:tc>
      </w:tr>
      <w:tr w14:paraId="72F5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5" w:hRule="atLeast"/>
        </w:trPr>
        <w:tc>
          <w:tcPr>
            <w:tcW w:w="1073" w:type="dxa"/>
            <w:shd w:val="clear" w:color="auto" w:fill="auto"/>
            <w:vAlign w:val="center"/>
          </w:tcPr>
          <w:p w14:paraId="613BB61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Times New Roman" w:cs="Times New Roman"/>
                <w:color w:val="auto"/>
                <w:spacing w:val="-4"/>
                <w:sz w:val="21"/>
                <w:szCs w:val="21"/>
              </w:rPr>
            </w:pPr>
            <w:r>
              <w:rPr>
                <w:rFonts w:ascii="Times New Roman" w:hAnsi="Times New Roman" w:eastAsia="Times New Roman" w:cs="Times New Roman"/>
                <w:color w:val="auto"/>
                <w:spacing w:val="-4"/>
                <w:sz w:val="21"/>
                <w:szCs w:val="21"/>
              </w:rPr>
              <w:t>S3</w:t>
            </w:r>
          </w:p>
        </w:tc>
        <w:tc>
          <w:tcPr>
            <w:tcW w:w="7769" w:type="dxa"/>
            <w:shd w:val="clear" w:color="auto" w:fill="auto"/>
            <w:vAlign w:val="center"/>
          </w:tcPr>
          <w:p w14:paraId="066F432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3"/>
                <w:sz w:val="21"/>
                <w:szCs w:val="21"/>
              </w:rPr>
            </w:pPr>
            <w:r>
              <w:rPr>
                <w:color w:val="auto"/>
                <w:sz w:val="21"/>
                <w:szCs w:val="21"/>
              </w:rPr>
              <w:t>排放点下游（顺水流向）</w:t>
            </w:r>
            <w:r>
              <w:rPr>
                <w:rFonts w:ascii="Times New Roman" w:hAnsi="Times New Roman" w:eastAsia="Times New Roman" w:cs="Times New Roman"/>
                <w:color w:val="auto"/>
                <w:sz w:val="21"/>
                <w:szCs w:val="21"/>
              </w:rPr>
              <w:t>10km</w:t>
            </w:r>
            <w:r>
              <w:rPr>
                <w:color w:val="auto"/>
                <w:sz w:val="21"/>
                <w:szCs w:val="21"/>
              </w:rPr>
              <w:t>范围、近</w:t>
            </w:r>
            <w:r>
              <w:rPr>
                <w:color w:val="auto"/>
                <w:spacing w:val="-1"/>
                <w:sz w:val="21"/>
                <w:szCs w:val="21"/>
              </w:rPr>
              <w:t>岸海域一个潮周期水质点可能达到的最大水平距离的两倍范围内无上述类型</w:t>
            </w:r>
            <w:r>
              <w:rPr>
                <w:rFonts w:ascii="Times New Roman" w:hAnsi="Times New Roman" w:eastAsia="Times New Roman" w:cs="Times New Roman"/>
                <w:color w:val="auto"/>
                <w:spacing w:val="-1"/>
                <w:sz w:val="21"/>
                <w:szCs w:val="21"/>
              </w:rPr>
              <w:t>1</w:t>
            </w:r>
            <w:r>
              <w:rPr>
                <w:color w:val="auto"/>
                <w:spacing w:val="-1"/>
                <w:sz w:val="21"/>
                <w:szCs w:val="21"/>
              </w:rPr>
              <w:t>和类型</w:t>
            </w:r>
            <w:r>
              <w:rPr>
                <w:rFonts w:ascii="Times New Roman" w:hAnsi="Times New Roman" w:eastAsia="Times New Roman" w:cs="Times New Roman"/>
                <w:color w:val="auto"/>
                <w:spacing w:val="-1"/>
                <w:sz w:val="21"/>
                <w:szCs w:val="21"/>
              </w:rPr>
              <w:t>2</w:t>
            </w:r>
            <w:r>
              <w:rPr>
                <w:color w:val="auto"/>
                <w:spacing w:val="-1"/>
                <w:sz w:val="21"/>
                <w:szCs w:val="21"/>
              </w:rPr>
              <w:t>包括的敏感保</w:t>
            </w:r>
            <w:r>
              <w:rPr>
                <w:color w:val="auto"/>
                <w:spacing w:val="-2"/>
                <w:sz w:val="21"/>
                <w:szCs w:val="21"/>
              </w:rPr>
              <w:t>护目标</w:t>
            </w:r>
          </w:p>
        </w:tc>
      </w:tr>
    </w:tbl>
    <w:p w14:paraId="589D7B02">
      <w:pPr>
        <w:spacing w:before="112" w:line="356" w:lineRule="auto"/>
        <w:ind w:left="131" w:right="107" w:firstLine="480"/>
        <w:rPr>
          <w:rFonts w:ascii="宋体" w:hAnsi="宋体" w:eastAsia="宋体" w:cs="宋体"/>
          <w:color w:val="auto"/>
          <w:spacing w:val="-2"/>
          <w:sz w:val="24"/>
          <w:szCs w:val="24"/>
        </w:rPr>
      </w:pPr>
      <w:r>
        <w:rPr>
          <w:rFonts w:ascii="宋体" w:hAnsi="宋体" w:eastAsia="宋体" w:cs="宋体"/>
          <w:color w:val="auto"/>
          <w:spacing w:val="4"/>
          <w:sz w:val="24"/>
          <w:szCs w:val="24"/>
        </w:rPr>
        <w:t>本项目废水经厂区废水处理站预处理达标后通过园区污水管网排入新能源</w:t>
      </w:r>
      <w:r>
        <w:rPr>
          <w:rFonts w:ascii="宋体" w:hAnsi="宋体" w:eastAsia="宋体" w:cs="宋体"/>
          <w:color w:val="auto"/>
          <w:spacing w:val="-10"/>
          <w:sz w:val="24"/>
          <w:szCs w:val="24"/>
        </w:rPr>
        <w:t>汽车科技城污水处理厂（一期）进一步处理，经新能源汽车科技城污水处理厂（一</w:t>
      </w:r>
      <w:r>
        <w:rPr>
          <w:rFonts w:ascii="宋体" w:hAnsi="宋体" w:eastAsia="宋体" w:cs="宋体"/>
          <w:color w:val="auto"/>
          <w:spacing w:val="1"/>
          <w:sz w:val="24"/>
          <w:szCs w:val="24"/>
        </w:rPr>
        <w:t>期）处理后接入白塔污水处理厂（城市生活污水处理厂</w:t>
      </w:r>
      <w:r>
        <w:rPr>
          <w:rFonts w:ascii="宋体" w:hAnsi="宋体" w:eastAsia="宋体" w:cs="宋体"/>
          <w:color w:val="auto"/>
          <w:spacing w:val="-62"/>
          <w:w w:val="98"/>
          <w:sz w:val="24"/>
          <w:szCs w:val="24"/>
        </w:rPr>
        <w:t>），</w:t>
      </w:r>
      <w:r>
        <w:rPr>
          <w:rFonts w:ascii="宋体" w:hAnsi="宋体" w:eastAsia="宋体" w:cs="宋体"/>
          <w:color w:val="auto"/>
          <w:spacing w:val="1"/>
          <w:sz w:val="24"/>
          <w:szCs w:val="24"/>
        </w:rPr>
        <w:t>尾水最终排</w:t>
      </w:r>
      <w:r>
        <w:rPr>
          <w:rFonts w:ascii="宋体" w:hAnsi="宋体" w:eastAsia="宋体" w:cs="宋体"/>
          <w:color w:val="auto"/>
          <w:sz w:val="24"/>
          <w:szCs w:val="24"/>
        </w:rPr>
        <w:t>入赣江，赣江水域环境功能为</w:t>
      </w:r>
      <w:r>
        <w:rPr>
          <w:rFonts w:ascii="Times New Roman" w:hAnsi="Times New Roman" w:eastAsia="Times New Roman" w:cs="Times New Roman"/>
          <w:color w:val="auto"/>
          <w:sz w:val="24"/>
          <w:szCs w:val="24"/>
        </w:rPr>
        <w:t>Ⅲ</w:t>
      </w:r>
      <w:r>
        <w:rPr>
          <w:rFonts w:ascii="宋体" w:hAnsi="宋体" w:eastAsia="宋体" w:cs="宋体"/>
          <w:color w:val="auto"/>
          <w:sz w:val="24"/>
          <w:szCs w:val="24"/>
        </w:rPr>
        <w:t>类，地表水敏感性为</w:t>
      </w:r>
      <w:r>
        <w:rPr>
          <w:rFonts w:ascii="Times New Roman" w:hAnsi="Times New Roman" w:eastAsia="Times New Roman" w:cs="Times New Roman"/>
          <w:color w:val="auto"/>
          <w:sz w:val="24"/>
          <w:szCs w:val="24"/>
        </w:rPr>
        <w:t>F2</w:t>
      </w:r>
      <w:r>
        <w:rPr>
          <w:rFonts w:ascii="宋体" w:hAnsi="宋体" w:eastAsia="宋体" w:cs="宋体"/>
          <w:color w:val="auto"/>
          <w:sz w:val="24"/>
          <w:szCs w:val="24"/>
        </w:rPr>
        <w:t>，排放点</w:t>
      </w:r>
      <w:r>
        <w:rPr>
          <w:rFonts w:ascii="宋体" w:hAnsi="宋体" w:eastAsia="宋体" w:cs="宋体"/>
          <w:color w:val="auto"/>
          <w:spacing w:val="-1"/>
          <w:sz w:val="24"/>
          <w:szCs w:val="24"/>
        </w:rPr>
        <w:t>下游（顺水流向）</w:t>
      </w:r>
      <w:r>
        <w:rPr>
          <w:rFonts w:ascii="Times New Roman" w:hAnsi="Times New Roman" w:eastAsia="Times New Roman" w:cs="Times New Roman"/>
          <w:color w:val="auto"/>
          <w:spacing w:val="-1"/>
          <w:sz w:val="24"/>
          <w:szCs w:val="24"/>
        </w:rPr>
        <w:t>10km</w:t>
      </w:r>
      <w:r>
        <w:rPr>
          <w:rFonts w:ascii="宋体" w:hAnsi="宋体" w:eastAsia="宋体" w:cs="宋体"/>
          <w:color w:val="auto"/>
          <w:spacing w:val="-2"/>
          <w:sz w:val="24"/>
          <w:szCs w:val="24"/>
        </w:rPr>
        <w:t>范围内未发现类型</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和类型</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包括的敏感保护目标，地表水环境</w:t>
      </w:r>
      <w:r>
        <w:rPr>
          <w:rFonts w:ascii="宋体" w:hAnsi="宋体" w:eastAsia="宋体" w:cs="宋体"/>
          <w:color w:val="auto"/>
          <w:spacing w:val="-3"/>
          <w:sz w:val="24"/>
          <w:szCs w:val="24"/>
        </w:rPr>
        <w:t>敏感性分级为</w:t>
      </w:r>
      <w:r>
        <w:rPr>
          <w:rFonts w:ascii="Times New Roman" w:hAnsi="Times New Roman" w:eastAsia="Times New Roman" w:cs="Times New Roman"/>
          <w:color w:val="auto"/>
          <w:spacing w:val="-2"/>
          <w:sz w:val="24"/>
          <w:szCs w:val="24"/>
        </w:rPr>
        <w:t>S3</w:t>
      </w:r>
      <w:r>
        <w:rPr>
          <w:rFonts w:ascii="宋体" w:hAnsi="宋体" w:eastAsia="宋体" w:cs="宋体"/>
          <w:color w:val="auto"/>
          <w:spacing w:val="-2"/>
          <w:sz w:val="24"/>
          <w:szCs w:val="24"/>
        </w:rPr>
        <w:t>，则地表水环境敏感程度分级为</w:t>
      </w:r>
      <w:r>
        <w:rPr>
          <w:rFonts w:ascii="Times New Roman" w:hAnsi="Times New Roman" w:eastAsia="Times New Roman" w:cs="Times New Roman"/>
          <w:color w:val="auto"/>
          <w:spacing w:val="-2"/>
          <w:sz w:val="24"/>
          <w:szCs w:val="24"/>
        </w:rPr>
        <w:t>E2</w:t>
      </w:r>
      <w:r>
        <w:rPr>
          <w:rFonts w:ascii="宋体" w:hAnsi="宋体" w:eastAsia="宋体" w:cs="宋体"/>
          <w:color w:val="auto"/>
          <w:spacing w:val="-2"/>
          <w:sz w:val="24"/>
          <w:szCs w:val="24"/>
        </w:rPr>
        <w:t>。</w:t>
      </w:r>
    </w:p>
    <w:p w14:paraId="3106583B">
      <w:pPr>
        <w:spacing w:before="33" w:line="220" w:lineRule="auto"/>
        <w:ind w:left="618"/>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3</w:t>
      </w:r>
      <w:r>
        <w:rPr>
          <w:rFonts w:ascii="宋体" w:hAnsi="宋体" w:eastAsia="宋体" w:cs="宋体"/>
          <w:color w:val="auto"/>
          <w:spacing w:val="-3"/>
          <w:sz w:val="24"/>
          <w:szCs w:val="24"/>
        </w:rPr>
        <w:t>）地下水环境敏感程度分级</w:t>
      </w:r>
    </w:p>
    <w:p w14:paraId="1C29DA9D">
      <w:pPr>
        <w:spacing w:before="183" w:line="351" w:lineRule="auto"/>
        <w:ind w:left="131" w:right="49" w:firstLine="479"/>
        <w:rPr>
          <w:rFonts w:ascii="宋体" w:hAnsi="宋体" w:eastAsia="宋体" w:cs="宋体"/>
          <w:color w:val="auto"/>
          <w:sz w:val="24"/>
          <w:szCs w:val="24"/>
        </w:rPr>
      </w:pPr>
      <w:r>
        <w:rPr>
          <w:rFonts w:ascii="宋体" w:hAnsi="宋体" w:eastAsia="宋体" w:cs="宋体"/>
          <w:color w:val="auto"/>
          <w:spacing w:val="-3"/>
          <w:sz w:val="24"/>
          <w:szCs w:val="24"/>
        </w:rPr>
        <w:t>地下水环境敏感程度分级依据地下水功能敏感性与包气带防污性</w:t>
      </w:r>
      <w:r>
        <w:rPr>
          <w:rFonts w:ascii="宋体" w:hAnsi="宋体" w:eastAsia="宋体" w:cs="宋体"/>
          <w:color w:val="auto"/>
          <w:spacing w:val="-4"/>
          <w:sz w:val="24"/>
          <w:szCs w:val="24"/>
        </w:rPr>
        <w:t>能，共分为</w:t>
      </w:r>
      <w:r>
        <w:rPr>
          <w:rFonts w:ascii="宋体" w:hAnsi="宋体" w:eastAsia="宋体" w:cs="宋体"/>
          <w:color w:val="auto"/>
          <w:spacing w:val="-2"/>
          <w:sz w:val="24"/>
          <w:szCs w:val="24"/>
        </w:rPr>
        <w:t>三种类型，</w:t>
      </w:r>
      <w:r>
        <w:rPr>
          <w:rFonts w:ascii="Times New Roman" w:hAnsi="Times New Roman" w:eastAsia="Times New Roman" w:cs="Times New Roman"/>
          <w:color w:val="auto"/>
          <w:spacing w:val="-2"/>
          <w:sz w:val="24"/>
          <w:szCs w:val="24"/>
        </w:rPr>
        <w:t>E1</w:t>
      </w:r>
      <w:r>
        <w:rPr>
          <w:rFonts w:ascii="宋体" w:hAnsi="宋体" w:eastAsia="宋体" w:cs="宋体"/>
          <w:color w:val="auto"/>
          <w:spacing w:val="-2"/>
          <w:sz w:val="24"/>
          <w:szCs w:val="24"/>
        </w:rPr>
        <w:t>为环境高度敏感区、</w:t>
      </w:r>
      <w:r>
        <w:rPr>
          <w:rFonts w:ascii="Times New Roman" w:hAnsi="Times New Roman" w:eastAsia="Times New Roman" w:cs="Times New Roman"/>
          <w:color w:val="auto"/>
          <w:spacing w:val="-2"/>
          <w:sz w:val="24"/>
          <w:szCs w:val="24"/>
        </w:rPr>
        <w:t>E2</w:t>
      </w:r>
      <w:r>
        <w:rPr>
          <w:rFonts w:ascii="宋体" w:hAnsi="宋体" w:eastAsia="宋体" w:cs="宋体"/>
          <w:color w:val="auto"/>
          <w:spacing w:val="-2"/>
          <w:sz w:val="24"/>
          <w:szCs w:val="24"/>
        </w:rPr>
        <w:t>环境中度敏感区、</w:t>
      </w:r>
      <w:r>
        <w:rPr>
          <w:rFonts w:ascii="Times New Roman" w:hAnsi="Times New Roman" w:eastAsia="Times New Roman" w:cs="Times New Roman"/>
          <w:color w:val="auto"/>
          <w:spacing w:val="-2"/>
          <w:sz w:val="24"/>
          <w:szCs w:val="24"/>
        </w:rPr>
        <w:t>E3</w:t>
      </w:r>
      <w:r>
        <w:rPr>
          <w:rFonts w:ascii="宋体" w:hAnsi="宋体" w:eastAsia="宋体" w:cs="宋体"/>
          <w:color w:val="auto"/>
          <w:spacing w:val="-2"/>
          <w:sz w:val="24"/>
          <w:szCs w:val="24"/>
        </w:rPr>
        <w:t>为环境低度敏感区，分级原则见表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3</w:t>
      </w:r>
      <w:r>
        <w:rPr>
          <w:rFonts w:ascii="Times New Roman" w:hAnsi="Times New Roman" w:eastAsia="Times New Roman"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9</w:t>
      </w:r>
      <w:r>
        <w:rPr>
          <w:rFonts w:ascii="宋体" w:hAnsi="宋体" w:eastAsia="宋体" w:cs="宋体"/>
          <w:color w:val="auto"/>
          <w:spacing w:val="-2"/>
          <w:sz w:val="24"/>
          <w:szCs w:val="24"/>
        </w:rPr>
        <w:t>。</w:t>
      </w:r>
    </w:p>
    <w:p w14:paraId="11172434">
      <w:pPr>
        <w:spacing w:before="35" w:line="218" w:lineRule="auto"/>
        <w:ind w:left="2449"/>
        <w:rPr>
          <w:rFonts w:ascii="黑体" w:hAnsi="黑体" w:eastAsia="黑体" w:cs="黑体"/>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3-9</w:t>
      </w:r>
      <w:r>
        <w:rPr>
          <w:rFonts w:ascii="Times New Roman" w:hAnsi="Times New Roman" w:eastAsia="宋体" w:cs="黑体"/>
          <w:b/>
          <w:bCs/>
          <w:color w:val="auto"/>
          <w:spacing w:val="-1"/>
          <w:sz w:val="24"/>
          <w:szCs w:val="24"/>
        </w:rPr>
        <w:t>地下水环境敏感程度</w:t>
      </w:r>
      <w:r>
        <w:rPr>
          <w:rFonts w:ascii="Times New Roman" w:hAnsi="Times New Roman" w:eastAsia="宋体" w:cs="黑体"/>
          <w:b/>
          <w:bCs/>
          <w:color w:val="auto"/>
          <w:spacing w:val="-2"/>
          <w:sz w:val="24"/>
          <w:szCs w:val="24"/>
        </w:rPr>
        <w:t>分级</w:t>
      </w: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17"/>
        <w:gridCol w:w="2660"/>
        <w:gridCol w:w="2132"/>
        <w:gridCol w:w="2138"/>
      </w:tblGrid>
      <w:tr w14:paraId="6CCD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3" w:hRule="atLeast"/>
        </w:trPr>
        <w:tc>
          <w:tcPr>
            <w:tcW w:w="946" w:type="pct"/>
            <w:vMerge w:val="restart"/>
            <w:shd w:val="clear" w:color="auto" w:fill="auto"/>
            <w:vAlign w:val="top"/>
          </w:tcPr>
          <w:p w14:paraId="77340466">
            <w:pPr>
              <w:pStyle w:val="97"/>
              <w:spacing w:before="275" w:line="221" w:lineRule="auto"/>
              <w:ind w:left="193"/>
              <w:rPr>
                <w:b/>
                <w:bCs/>
                <w:color w:val="auto"/>
                <w:sz w:val="21"/>
                <w:szCs w:val="21"/>
              </w:rPr>
            </w:pPr>
            <w:r>
              <w:rPr>
                <w:b/>
                <w:bCs/>
                <w:color w:val="auto"/>
                <w:spacing w:val="-1"/>
                <w:sz w:val="21"/>
                <w:szCs w:val="21"/>
              </w:rPr>
              <w:t>环境敏感目标</w:t>
            </w:r>
          </w:p>
        </w:tc>
        <w:tc>
          <w:tcPr>
            <w:tcW w:w="4053" w:type="pct"/>
            <w:gridSpan w:val="3"/>
            <w:shd w:val="clear" w:color="auto" w:fill="auto"/>
            <w:vAlign w:val="top"/>
          </w:tcPr>
          <w:p w14:paraId="02E81EAE">
            <w:pPr>
              <w:pStyle w:val="97"/>
              <w:spacing w:before="88" w:line="221" w:lineRule="auto"/>
              <w:ind w:left="2416"/>
              <w:rPr>
                <w:b/>
                <w:bCs/>
                <w:color w:val="auto"/>
                <w:sz w:val="21"/>
                <w:szCs w:val="21"/>
              </w:rPr>
            </w:pPr>
            <w:r>
              <w:rPr>
                <w:b/>
                <w:bCs/>
                <w:color w:val="auto"/>
                <w:spacing w:val="-1"/>
                <w:sz w:val="21"/>
                <w:szCs w:val="21"/>
              </w:rPr>
              <w:t>地下水功能环境敏感性</w:t>
            </w:r>
          </w:p>
        </w:tc>
      </w:tr>
      <w:tr w14:paraId="52AC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trPr>
        <w:tc>
          <w:tcPr>
            <w:tcW w:w="946" w:type="pct"/>
            <w:vMerge w:val="continue"/>
            <w:shd w:val="clear" w:color="auto" w:fill="auto"/>
            <w:vAlign w:val="top"/>
          </w:tcPr>
          <w:p w14:paraId="12A23D38">
            <w:pPr>
              <w:rPr>
                <w:rFonts w:ascii="Arial"/>
                <w:b/>
                <w:bCs/>
                <w:color w:val="auto"/>
                <w:sz w:val="21"/>
              </w:rPr>
            </w:pPr>
          </w:p>
        </w:tc>
        <w:tc>
          <w:tcPr>
            <w:tcW w:w="1556" w:type="pct"/>
            <w:shd w:val="clear" w:color="auto" w:fill="auto"/>
            <w:vAlign w:val="top"/>
          </w:tcPr>
          <w:p w14:paraId="421EB31C">
            <w:pPr>
              <w:spacing w:before="123" w:line="187" w:lineRule="auto"/>
              <w:ind w:left="1203"/>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2"/>
                <w:sz w:val="21"/>
                <w:szCs w:val="21"/>
              </w:rPr>
              <w:t>G1</w:t>
            </w:r>
          </w:p>
        </w:tc>
        <w:tc>
          <w:tcPr>
            <w:tcW w:w="1247" w:type="pct"/>
            <w:shd w:val="clear" w:color="auto" w:fill="auto"/>
            <w:vAlign w:val="top"/>
          </w:tcPr>
          <w:p w14:paraId="241DC980">
            <w:pPr>
              <w:spacing w:before="123" w:line="187" w:lineRule="auto"/>
              <w:ind w:left="938"/>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2"/>
                <w:sz w:val="21"/>
                <w:szCs w:val="21"/>
              </w:rPr>
              <w:t>G2</w:t>
            </w:r>
          </w:p>
        </w:tc>
        <w:tc>
          <w:tcPr>
            <w:tcW w:w="1249" w:type="pct"/>
            <w:shd w:val="clear" w:color="auto" w:fill="auto"/>
            <w:vAlign w:val="top"/>
          </w:tcPr>
          <w:p w14:paraId="3B22F41C">
            <w:pPr>
              <w:spacing w:before="123" w:line="187" w:lineRule="auto"/>
              <w:ind w:left="942"/>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2"/>
                <w:sz w:val="21"/>
                <w:szCs w:val="21"/>
              </w:rPr>
              <w:t>G3</w:t>
            </w:r>
          </w:p>
        </w:tc>
      </w:tr>
      <w:tr w14:paraId="0385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69" w:hRule="atLeast"/>
        </w:trPr>
        <w:tc>
          <w:tcPr>
            <w:tcW w:w="946" w:type="pct"/>
            <w:shd w:val="clear" w:color="auto" w:fill="auto"/>
            <w:vAlign w:val="top"/>
          </w:tcPr>
          <w:p w14:paraId="009BF66C">
            <w:pPr>
              <w:spacing w:before="129" w:line="187" w:lineRule="auto"/>
              <w:ind w:left="6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D1</w:t>
            </w:r>
          </w:p>
        </w:tc>
        <w:tc>
          <w:tcPr>
            <w:tcW w:w="1556" w:type="pct"/>
            <w:shd w:val="clear" w:color="auto" w:fill="auto"/>
            <w:vAlign w:val="top"/>
          </w:tcPr>
          <w:p w14:paraId="4127FE9A">
            <w:pPr>
              <w:spacing w:before="129" w:line="187" w:lineRule="auto"/>
              <w:ind w:left="121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E1</w:t>
            </w:r>
          </w:p>
        </w:tc>
        <w:tc>
          <w:tcPr>
            <w:tcW w:w="1247" w:type="pct"/>
            <w:shd w:val="clear" w:color="auto" w:fill="auto"/>
            <w:vAlign w:val="top"/>
          </w:tcPr>
          <w:p w14:paraId="1846687D">
            <w:pPr>
              <w:spacing w:before="129" w:line="187" w:lineRule="auto"/>
              <w:ind w:left="9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E1</w:t>
            </w:r>
          </w:p>
        </w:tc>
        <w:tc>
          <w:tcPr>
            <w:tcW w:w="1249" w:type="pct"/>
            <w:shd w:val="clear" w:color="auto" w:fill="auto"/>
            <w:vAlign w:val="top"/>
          </w:tcPr>
          <w:p w14:paraId="30C2AD9B">
            <w:pPr>
              <w:spacing w:before="129" w:line="187" w:lineRule="auto"/>
              <w:ind w:left="95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E2</w:t>
            </w:r>
          </w:p>
        </w:tc>
      </w:tr>
      <w:tr w14:paraId="1449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69" w:hRule="atLeast"/>
        </w:trPr>
        <w:tc>
          <w:tcPr>
            <w:tcW w:w="946" w:type="pct"/>
            <w:shd w:val="clear" w:color="auto" w:fill="auto"/>
            <w:vAlign w:val="top"/>
          </w:tcPr>
          <w:p w14:paraId="725D3FB8">
            <w:pPr>
              <w:spacing w:before="134" w:line="187" w:lineRule="auto"/>
              <w:ind w:left="6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D2</w:t>
            </w:r>
          </w:p>
        </w:tc>
        <w:tc>
          <w:tcPr>
            <w:tcW w:w="1556" w:type="pct"/>
            <w:shd w:val="clear" w:color="auto" w:fill="auto"/>
            <w:vAlign w:val="top"/>
          </w:tcPr>
          <w:p w14:paraId="655F25D3">
            <w:pPr>
              <w:spacing w:before="134" w:line="187" w:lineRule="auto"/>
              <w:ind w:left="121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E1</w:t>
            </w:r>
          </w:p>
        </w:tc>
        <w:tc>
          <w:tcPr>
            <w:tcW w:w="1247" w:type="pct"/>
            <w:shd w:val="clear" w:color="auto" w:fill="auto"/>
            <w:vAlign w:val="top"/>
          </w:tcPr>
          <w:p w14:paraId="4BDA47F8">
            <w:pPr>
              <w:spacing w:before="134" w:line="187" w:lineRule="auto"/>
              <w:ind w:left="9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E2</w:t>
            </w:r>
          </w:p>
        </w:tc>
        <w:tc>
          <w:tcPr>
            <w:tcW w:w="1249" w:type="pct"/>
            <w:shd w:val="clear" w:color="auto" w:fill="auto"/>
            <w:vAlign w:val="top"/>
          </w:tcPr>
          <w:p w14:paraId="417D2ADE">
            <w:pPr>
              <w:spacing w:before="134" w:line="187" w:lineRule="auto"/>
              <w:ind w:left="95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E3</w:t>
            </w:r>
          </w:p>
        </w:tc>
      </w:tr>
      <w:tr w14:paraId="1FE4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trPr>
        <w:tc>
          <w:tcPr>
            <w:tcW w:w="946" w:type="pct"/>
            <w:shd w:val="clear" w:color="auto" w:fill="auto"/>
            <w:vAlign w:val="top"/>
          </w:tcPr>
          <w:p w14:paraId="776BAE7F">
            <w:pPr>
              <w:spacing w:before="139" w:line="187" w:lineRule="auto"/>
              <w:ind w:left="68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D3</w:t>
            </w:r>
          </w:p>
        </w:tc>
        <w:tc>
          <w:tcPr>
            <w:tcW w:w="1556" w:type="pct"/>
            <w:shd w:val="clear" w:color="auto" w:fill="auto"/>
            <w:vAlign w:val="top"/>
          </w:tcPr>
          <w:p w14:paraId="5A02DC70">
            <w:pPr>
              <w:spacing w:before="139" w:line="187" w:lineRule="auto"/>
              <w:ind w:left="121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E2</w:t>
            </w:r>
          </w:p>
        </w:tc>
        <w:tc>
          <w:tcPr>
            <w:tcW w:w="1247" w:type="pct"/>
            <w:shd w:val="clear" w:color="auto" w:fill="auto"/>
            <w:vAlign w:val="top"/>
          </w:tcPr>
          <w:p w14:paraId="2DC32865">
            <w:pPr>
              <w:spacing w:before="139" w:line="187" w:lineRule="auto"/>
              <w:ind w:left="9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E3</w:t>
            </w:r>
          </w:p>
        </w:tc>
        <w:tc>
          <w:tcPr>
            <w:tcW w:w="1249" w:type="pct"/>
            <w:shd w:val="clear" w:color="auto" w:fill="auto"/>
            <w:vAlign w:val="top"/>
          </w:tcPr>
          <w:p w14:paraId="032B4E0A">
            <w:pPr>
              <w:spacing w:before="139" w:line="187" w:lineRule="auto"/>
              <w:ind w:left="95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E3</w:t>
            </w:r>
          </w:p>
        </w:tc>
      </w:tr>
    </w:tbl>
    <w:p w14:paraId="2994F52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color w:val="auto"/>
          <w:spacing w:val="-2"/>
          <w:sz w:val="24"/>
          <w:szCs w:val="24"/>
        </w:rPr>
      </w:pPr>
      <w:r>
        <w:rPr>
          <w:rFonts w:ascii="宋体" w:hAnsi="宋体" w:eastAsia="宋体" w:cs="宋体"/>
          <w:color w:val="auto"/>
          <w:sz w:val="24"/>
          <w:szCs w:val="24"/>
        </w:rPr>
        <w:t>其中地下水功能敏感性分区和环境敏感目标分级分别见表</w:t>
      </w:r>
      <w:r>
        <w:rPr>
          <w:rFonts w:ascii="Times New Roman" w:hAnsi="Times New Roman" w:eastAsia="Times New Roman" w:cs="Times New Roman"/>
          <w:color w:val="auto"/>
          <w:sz w:val="24"/>
          <w:szCs w:val="24"/>
        </w:rPr>
        <w:t>7.</w:t>
      </w:r>
      <w:r>
        <w:rPr>
          <w:rFonts w:hint="eastAsia" w:ascii="Times New Roman" w:hAnsi="Times New Roman" w:eastAsia="宋体" w:cs="Times New Roman"/>
          <w:color w:val="auto"/>
          <w:sz w:val="24"/>
          <w:szCs w:val="24"/>
          <w:lang w:val="en-US" w:eastAsia="zh-CN"/>
        </w:rPr>
        <w:t>3</w:t>
      </w:r>
      <w:r>
        <w:rPr>
          <w:rFonts w:ascii="Times New Roman" w:hAnsi="Times New Roman" w:eastAsia="Times New Roman"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宋体" w:hAnsi="宋体" w:eastAsia="宋体" w:cs="宋体"/>
          <w:color w:val="auto"/>
          <w:sz w:val="24"/>
          <w:szCs w:val="24"/>
        </w:rPr>
        <w:t>和表</w:t>
      </w:r>
      <w:r>
        <w:rPr>
          <w:rFonts w:ascii="Times New Roman" w:hAnsi="Times New Roman" w:eastAsia="Times New Roman" w:cs="Times New Roman"/>
          <w:color w:val="auto"/>
          <w:sz w:val="24"/>
          <w:szCs w:val="24"/>
        </w:rPr>
        <w:t>7.</w:t>
      </w:r>
      <w:r>
        <w:rPr>
          <w:rFonts w:hint="eastAsia" w:ascii="Times New Roman" w:hAnsi="Times New Roman" w:eastAsia="宋体" w:cs="Times New Roman"/>
          <w:color w:val="auto"/>
          <w:sz w:val="24"/>
          <w:szCs w:val="24"/>
          <w:lang w:val="en-US" w:eastAsia="zh-CN"/>
        </w:rPr>
        <w:t>3</w:t>
      </w:r>
      <w:r>
        <w:rPr>
          <w:rFonts w:ascii="Times New Roman" w:hAnsi="Times New Roman" w:eastAsia="Times New Roman" w:cs="Times New Roman"/>
          <w:color w:val="auto"/>
          <w:sz w:val="24"/>
          <w:szCs w:val="24"/>
        </w:rPr>
        <w:t>-1</w:t>
      </w:r>
      <w:r>
        <w:rPr>
          <w:rFonts w:hint="eastAsia" w:ascii="Times New Roman" w:hAnsi="Times New Roman" w:eastAsia="宋体" w:cs="Times New Roman"/>
          <w:color w:val="auto"/>
          <w:sz w:val="24"/>
          <w:szCs w:val="24"/>
          <w:lang w:val="en-US" w:eastAsia="zh-CN"/>
        </w:rPr>
        <w:t>1</w:t>
      </w:r>
      <w:r>
        <w:rPr>
          <w:rFonts w:ascii="宋体" w:hAnsi="宋体" w:eastAsia="宋体" w:cs="宋体"/>
          <w:color w:val="auto"/>
          <w:sz w:val="24"/>
          <w:szCs w:val="24"/>
        </w:rPr>
        <w:t>。</w:t>
      </w:r>
    </w:p>
    <w:p w14:paraId="01D5DB15">
      <w:pPr>
        <w:jc w:val="center"/>
        <w:rPr>
          <w:b/>
          <w:bCs/>
          <w:color w:val="auto"/>
          <w:sz w:val="24"/>
          <w:szCs w:val="24"/>
        </w:rPr>
      </w:pPr>
      <w:r>
        <w:rPr>
          <w:b/>
          <w:bCs/>
          <w:color w:val="auto"/>
          <w:sz w:val="24"/>
          <w:szCs w:val="24"/>
        </w:rPr>
        <w:t>表7.</w:t>
      </w:r>
      <w:r>
        <w:rPr>
          <w:rFonts w:hint="eastAsia"/>
          <w:b/>
          <w:bCs/>
          <w:color w:val="auto"/>
          <w:sz w:val="24"/>
          <w:szCs w:val="24"/>
          <w:lang w:val="en-US" w:eastAsia="zh-CN"/>
        </w:rPr>
        <w:t>3</w:t>
      </w:r>
      <w:r>
        <w:rPr>
          <w:b/>
          <w:bCs/>
          <w:color w:val="auto"/>
          <w:sz w:val="24"/>
          <w:szCs w:val="24"/>
        </w:rPr>
        <w:t>-</w:t>
      </w:r>
      <w:r>
        <w:rPr>
          <w:rFonts w:hint="eastAsia"/>
          <w:b/>
          <w:bCs/>
          <w:color w:val="auto"/>
          <w:sz w:val="24"/>
          <w:szCs w:val="24"/>
          <w:lang w:val="en-US" w:eastAsia="zh-CN"/>
        </w:rPr>
        <w:t>10</w:t>
      </w:r>
      <w:r>
        <w:rPr>
          <w:b/>
          <w:bCs/>
          <w:color w:val="auto"/>
          <w:sz w:val="24"/>
          <w:szCs w:val="24"/>
        </w:rPr>
        <w:t>地下水功能敏感性分区</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73"/>
        <w:gridCol w:w="7574"/>
      </w:tblGrid>
      <w:tr w14:paraId="36FB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69" w:type="pct"/>
            <w:shd w:val="clear" w:color="auto" w:fill="auto"/>
            <w:vAlign w:val="center"/>
          </w:tcPr>
          <w:p w14:paraId="3593E957">
            <w:pPr>
              <w:jc w:val="center"/>
              <w:rPr>
                <w:color w:val="auto"/>
                <w:sz w:val="21"/>
                <w:szCs w:val="21"/>
              </w:rPr>
            </w:pPr>
            <w:r>
              <w:rPr>
                <w:color w:val="auto"/>
                <w:sz w:val="21"/>
                <w:szCs w:val="21"/>
              </w:rPr>
              <w:t>敏感性</w:t>
            </w:r>
          </w:p>
        </w:tc>
        <w:tc>
          <w:tcPr>
            <w:tcW w:w="4430" w:type="pct"/>
            <w:shd w:val="clear" w:color="auto" w:fill="auto"/>
            <w:vAlign w:val="center"/>
          </w:tcPr>
          <w:p w14:paraId="4967BB7E">
            <w:pPr>
              <w:jc w:val="center"/>
              <w:rPr>
                <w:color w:val="auto"/>
                <w:sz w:val="21"/>
                <w:szCs w:val="21"/>
              </w:rPr>
            </w:pPr>
            <w:r>
              <w:rPr>
                <w:color w:val="auto"/>
                <w:sz w:val="21"/>
                <w:szCs w:val="21"/>
              </w:rPr>
              <w:t>地下水环境敏感性特征</w:t>
            </w:r>
          </w:p>
        </w:tc>
      </w:tr>
      <w:tr w14:paraId="521A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 w:hRule="atLeast"/>
          <w:jc w:val="center"/>
        </w:trPr>
        <w:tc>
          <w:tcPr>
            <w:tcW w:w="569" w:type="pct"/>
            <w:shd w:val="clear" w:color="auto" w:fill="auto"/>
            <w:vAlign w:val="center"/>
          </w:tcPr>
          <w:p w14:paraId="2F919480">
            <w:pPr>
              <w:jc w:val="center"/>
              <w:rPr>
                <w:color w:val="auto"/>
                <w:sz w:val="21"/>
                <w:szCs w:val="21"/>
              </w:rPr>
            </w:pPr>
            <w:r>
              <w:rPr>
                <w:color w:val="auto"/>
                <w:sz w:val="21"/>
                <w:szCs w:val="21"/>
              </w:rPr>
              <w:t>敏感G1</w:t>
            </w:r>
          </w:p>
        </w:tc>
        <w:tc>
          <w:tcPr>
            <w:tcW w:w="4430" w:type="pct"/>
            <w:shd w:val="clear" w:color="auto" w:fill="auto"/>
            <w:vAlign w:val="center"/>
          </w:tcPr>
          <w:p w14:paraId="6874254B">
            <w:pPr>
              <w:jc w:val="center"/>
              <w:rPr>
                <w:color w:val="auto"/>
                <w:sz w:val="21"/>
                <w:szCs w:val="21"/>
              </w:rPr>
            </w:pPr>
            <w:r>
              <w:rPr>
                <w:color w:val="auto"/>
                <w:sz w:val="21"/>
                <w:szCs w:val="21"/>
              </w:rPr>
              <w:t>集中式饮用水水源（包括已建成的在用、备用、应急水源、在建和规划的饮用水源）准保护区；除集中式饮用水源以外的国家或地方政府设定的与地下水环境相关的其他保护区，如热水、矿泉水、温泉等特殊地下水资源保护区。</w:t>
            </w:r>
          </w:p>
        </w:tc>
      </w:tr>
      <w:tr w14:paraId="69D9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44" w:hRule="atLeast"/>
          <w:jc w:val="center"/>
        </w:trPr>
        <w:tc>
          <w:tcPr>
            <w:tcW w:w="569" w:type="pct"/>
            <w:shd w:val="clear" w:color="auto" w:fill="auto"/>
            <w:vAlign w:val="center"/>
          </w:tcPr>
          <w:p w14:paraId="1DB35D4B">
            <w:pPr>
              <w:jc w:val="center"/>
              <w:rPr>
                <w:color w:val="auto"/>
                <w:sz w:val="21"/>
                <w:szCs w:val="21"/>
              </w:rPr>
            </w:pPr>
            <w:r>
              <w:rPr>
                <w:color w:val="auto"/>
                <w:sz w:val="21"/>
                <w:szCs w:val="21"/>
              </w:rPr>
              <w:t>敏感G2</w:t>
            </w:r>
          </w:p>
        </w:tc>
        <w:tc>
          <w:tcPr>
            <w:tcW w:w="4430" w:type="pct"/>
            <w:shd w:val="clear" w:color="auto" w:fill="auto"/>
            <w:vAlign w:val="center"/>
          </w:tcPr>
          <w:p w14:paraId="174A886B">
            <w:pPr>
              <w:jc w:val="center"/>
              <w:rPr>
                <w:color w:val="auto"/>
                <w:sz w:val="21"/>
                <w:szCs w:val="21"/>
              </w:rPr>
            </w:pPr>
            <w:r>
              <w:rPr>
                <w:color w:val="auto"/>
                <w:sz w:val="21"/>
                <w:szCs w:val="21"/>
              </w:rPr>
              <w:t>集中式饮用水水源（包括已建成的在用、备用、应急水源、在建和规划的饮用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771B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569" w:type="pct"/>
            <w:shd w:val="clear" w:color="auto" w:fill="auto"/>
            <w:vAlign w:val="center"/>
          </w:tcPr>
          <w:p w14:paraId="0B2A76F7">
            <w:pPr>
              <w:jc w:val="center"/>
              <w:rPr>
                <w:color w:val="auto"/>
                <w:sz w:val="21"/>
                <w:szCs w:val="21"/>
              </w:rPr>
            </w:pPr>
            <w:r>
              <w:rPr>
                <w:color w:val="auto"/>
                <w:sz w:val="21"/>
                <w:szCs w:val="21"/>
              </w:rPr>
              <w:t>敏感G3</w:t>
            </w:r>
          </w:p>
        </w:tc>
        <w:tc>
          <w:tcPr>
            <w:tcW w:w="4430" w:type="pct"/>
            <w:shd w:val="clear" w:color="auto" w:fill="auto"/>
            <w:vAlign w:val="center"/>
          </w:tcPr>
          <w:p w14:paraId="34FA39BB">
            <w:pPr>
              <w:jc w:val="center"/>
              <w:rPr>
                <w:color w:val="auto"/>
                <w:sz w:val="21"/>
                <w:szCs w:val="21"/>
              </w:rPr>
            </w:pPr>
            <w:r>
              <w:rPr>
                <w:color w:val="auto"/>
                <w:sz w:val="21"/>
                <w:szCs w:val="21"/>
              </w:rPr>
              <w:t>上述地区之外的其他区域</w:t>
            </w:r>
          </w:p>
        </w:tc>
      </w:tr>
      <w:tr w14:paraId="026B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0" w:hRule="atLeast"/>
          <w:jc w:val="center"/>
        </w:trPr>
        <w:tc>
          <w:tcPr>
            <w:tcW w:w="5000" w:type="pct"/>
            <w:gridSpan w:val="2"/>
            <w:shd w:val="clear" w:color="auto" w:fill="auto"/>
            <w:vAlign w:val="center"/>
          </w:tcPr>
          <w:p w14:paraId="204462E2">
            <w:pPr>
              <w:jc w:val="center"/>
              <w:rPr>
                <w:color w:val="auto"/>
                <w:sz w:val="21"/>
                <w:szCs w:val="21"/>
              </w:rPr>
            </w:pPr>
            <w:r>
              <w:rPr>
                <w:color w:val="auto"/>
                <w:sz w:val="21"/>
                <w:szCs w:val="21"/>
              </w:rPr>
              <w:t>a“环境敏感区”是指《建设项目环境影响评价分类管理名录》中所界定的涉及地下水的环境敏感区</w:t>
            </w:r>
          </w:p>
        </w:tc>
      </w:tr>
    </w:tbl>
    <w:p w14:paraId="603E83EC">
      <w:pPr>
        <w:jc w:val="center"/>
        <w:rPr>
          <w:b/>
          <w:bCs/>
          <w:color w:val="auto"/>
          <w:sz w:val="24"/>
          <w:szCs w:val="24"/>
        </w:rPr>
      </w:pPr>
      <w:r>
        <w:rPr>
          <w:b/>
          <w:bCs/>
          <w:color w:val="auto"/>
          <w:sz w:val="24"/>
          <w:szCs w:val="24"/>
        </w:rPr>
        <w:t>表7.</w:t>
      </w:r>
      <w:r>
        <w:rPr>
          <w:rFonts w:hint="eastAsia"/>
          <w:b/>
          <w:bCs/>
          <w:color w:val="auto"/>
          <w:sz w:val="24"/>
          <w:szCs w:val="24"/>
          <w:lang w:val="en-US" w:eastAsia="zh-CN"/>
        </w:rPr>
        <w:t>3</w:t>
      </w:r>
      <w:r>
        <w:rPr>
          <w:b/>
          <w:bCs/>
          <w:color w:val="auto"/>
          <w:sz w:val="24"/>
          <w:szCs w:val="24"/>
        </w:rPr>
        <w:t>-1</w:t>
      </w:r>
      <w:r>
        <w:rPr>
          <w:rFonts w:hint="eastAsia"/>
          <w:b/>
          <w:bCs/>
          <w:color w:val="auto"/>
          <w:sz w:val="24"/>
          <w:szCs w:val="24"/>
          <w:lang w:val="en-US" w:eastAsia="zh-CN"/>
        </w:rPr>
        <w:t>1</w:t>
      </w:r>
      <w:r>
        <w:rPr>
          <w:b/>
          <w:bCs/>
          <w:color w:val="auto"/>
          <w:sz w:val="24"/>
          <w:szCs w:val="24"/>
        </w:rPr>
        <w:t>环境敏感目标分级</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6"/>
        <w:gridCol w:w="7511"/>
      </w:tblGrid>
      <w:tr w14:paraId="677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606" w:type="pct"/>
            <w:shd w:val="clear" w:color="auto" w:fill="auto"/>
            <w:vAlign w:val="center"/>
          </w:tcPr>
          <w:p w14:paraId="626EAE8E">
            <w:pPr>
              <w:jc w:val="center"/>
              <w:rPr>
                <w:b/>
                <w:bCs/>
                <w:color w:val="auto"/>
              </w:rPr>
            </w:pPr>
            <w:r>
              <w:rPr>
                <w:b/>
                <w:bCs/>
                <w:color w:val="auto"/>
              </w:rPr>
              <w:t>分级</w:t>
            </w:r>
          </w:p>
        </w:tc>
        <w:tc>
          <w:tcPr>
            <w:tcW w:w="4393" w:type="pct"/>
            <w:shd w:val="clear" w:color="auto" w:fill="auto"/>
            <w:vAlign w:val="center"/>
          </w:tcPr>
          <w:p w14:paraId="0F991CE7">
            <w:pPr>
              <w:jc w:val="center"/>
              <w:rPr>
                <w:b/>
                <w:bCs/>
                <w:color w:val="auto"/>
              </w:rPr>
            </w:pPr>
            <w:r>
              <w:rPr>
                <w:b/>
                <w:bCs/>
                <w:color w:val="auto"/>
              </w:rPr>
              <w:t>包气带岩土的渗透性能</w:t>
            </w:r>
          </w:p>
        </w:tc>
      </w:tr>
      <w:tr w14:paraId="72E4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06" w:type="pct"/>
            <w:vAlign w:val="center"/>
          </w:tcPr>
          <w:p w14:paraId="50F5FCFE">
            <w:pPr>
              <w:jc w:val="center"/>
              <w:rPr>
                <w:color w:val="auto"/>
              </w:rPr>
            </w:pPr>
            <w:r>
              <w:rPr>
                <w:color w:val="auto"/>
              </w:rPr>
              <w:t>D3</w:t>
            </w:r>
          </w:p>
        </w:tc>
        <w:tc>
          <w:tcPr>
            <w:tcW w:w="4393" w:type="pct"/>
            <w:vAlign w:val="center"/>
          </w:tcPr>
          <w:p w14:paraId="2ABEF511">
            <w:pPr>
              <w:jc w:val="center"/>
              <w:rPr>
                <w:color w:val="auto"/>
              </w:rPr>
            </w:pPr>
            <w:r>
              <w:rPr>
                <w:color w:val="auto"/>
              </w:rPr>
              <w:t>Mb≥1.0m，K≤1.0×10-6cm/s，且分布连续、稳定</w:t>
            </w:r>
          </w:p>
        </w:tc>
      </w:tr>
      <w:tr w14:paraId="3FCE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606" w:type="pct"/>
            <w:vAlign w:val="center"/>
          </w:tcPr>
          <w:p w14:paraId="6A78D734">
            <w:pPr>
              <w:jc w:val="center"/>
              <w:rPr>
                <w:color w:val="auto"/>
              </w:rPr>
            </w:pPr>
            <w:r>
              <w:rPr>
                <w:color w:val="auto"/>
              </w:rPr>
              <w:t>D2</w:t>
            </w:r>
          </w:p>
        </w:tc>
        <w:tc>
          <w:tcPr>
            <w:tcW w:w="4393" w:type="pct"/>
            <w:vAlign w:val="center"/>
          </w:tcPr>
          <w:p w14:paraId="2BAD1C10">
            <w:pPr>
              <w:jc w:val="center"/>
              <w:rPr>
                <w:color w:val="auto"/>
              </w:rPr>
            </w:pPr>
            <w:r>
              <w:rPr>
                <w:color w:val="auto"/>
              </w:rPr>
              <w:t>0.5≤Mb＜1.0m，K≤1.0×10-6cm/s，且分布连续、稳定</w:t>
            </w:r>
          </w:p>
          <w:p w14:paraId="5FA8D743">
            <w:pPr>
              <w:jc w:val="center"/>
              <w:rPr>
                <w:color w:val="auto"/>
              </w:rPr>
            </w:pPr>
            <w:r>
              <w:rPr>
                <w:color w:val="auto"/>
              </w:rPr>
              <w:t>Mb≥1.0m，1.0×10-6cm/s＜K＜1.0×10-4cm/s，且分布连续、稳定</w:t>
            </w:r>
          </w:p>
        </w:tc>
      </w:tr>
      <w:tr w14:paraId="32FA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06" w:type="pct"/>
            <w:vAlign w:val="center"/>
          </w:tcPr>
          <w:p w14:paraId="0ED66760">
            <w:pPr>
              <w:jc w:val="center"/>
              <w:rPr>
                <w:color w:val="auto"/>
              </w:rPr>
            </w:pPr>
            <w:r>
              <w:rPr>
                <w:color w:val="auto"/>
              </w:rPr>
              <w:t>D1</w:t>
            </w:r>
          </w:p>
        </w:tc>
        <w:tc>
          <w:tcPr>
            <w:tcW w:w="4393" w:type="pct"/>
            <w:vAlign w:val="center"/>
          </w:tcPr>
          <w:p w14:paraId="6B5331B9">
            <w:pPr>
              <w:jc w:val="center"/>
              <w:rPr>
                <w:color w:val="auto"/>
              </w:rPr>
            </w:pPr>
            <w:r>
              <w:rPr>
                <w:color w:val="auto"/>
              </w:rPr>
              <w:t>岩（土）层不满足上述“D2”和“D3”条件</w:t>
            </w:r>
          </w:p>
        </w:tc>
      </w:tr>
      <w:tr w14:paraId="439D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000" w:type="pct"/>
            <w:gridSpan w:val="2"/>
            <w:vAlign w:val="center"/>
          </w:tcPr>
          <w:p w14:paraId="7A33112F">
            <w:pPr>
              <w:jc w:val="center"/>
              <w:rPr>
                <w:color w:val="auto"/>
              </w:rPr>
            </w:pPr>
            <w:r>
              <w:rPr>
                <w:color w:val="auto"/>
              </w:rPr>
              <w:t>Mb：岩土层单层厚度K：渗透系数</w:t>
            </w:r>
          </w:p>
        </w:tc>
      </w:tr>
    </w:tbl>
    <w:p w14:paraId="185DA3A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68" w:firstLineChars="200"/>
        <w:textAlignment w:val="auto"/>
        <w:outlineLvl w:val="9"/>
        <w:rPr>
          <w:rFonts w:ascii="宋体" w:hAnsi="宋体" w:eastAsia="宋体" w:cs="宋体"/>
          <w:color w:val="auto"/>
          <w:spacing w:val="-4"/>
          <w:sz w:val="24"/>
          <w:szCs w:val="24"/>
        </w:rPr>
      </w:pPr>
      <w:r>
        <w:rPr>
          <w:rFonts w:ascii="宋体" w:hAnsi="宋体" w:eastAsia="宋体" w:cs="宋体"/>
          <w:color w:val="auto"/>
          <w:spacing w:val="-3"/>
          <w:sz w:val="24"/>
          <w:szCs w:val="24"/>
        </w:rPr>
        <w:t>根据现场调查，项目周边无</w:t>
      </w:r>
      <w:r>
        <w:rPr>
          <w:rFonts w:ascii="Times New Roman" w:hAnsi="Times New Roman" w:eastAsia="Times New Roman" w:cs="Times New Roman"/>
          <w:color w:val="auto"/>
          <w:spacing w:val="-3"/>
          <w:sz w:val="24"/>
          <w:szCs w:val="24"/>
        </w:rPr>
        <w:t>G1</w:t>
      </w: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G2</w:t>
      </w:r>
      <w:r>
        <w:rPr>
          <w:rFonts w:ascii="宋体" w:hAnsi="宋体" w:eastAsia="宋体" w:cs="宋体"/>
          <w:color w:val="auto"/>
          <w:spacing w:val="-3"/>
          <w:sz w:val="24"/>
          <w:szCs w:val="24"/>
        </w:rPr>
        <w:t>所述地下水，地下水资源保护区功能敏</w:t>
      </w:r>
      <w:r>
        <w:rPr>
          <w:rFonts w:ascii="宋体" w:hAnsi="宋体" w:eastAsia="宋体" w:cs="宋体"/>
          <w:color w:val="auto"/>
          <w:spacing w:val="-7"/>
          <w:sz w:val="24"/>
          <w:szCs w:val="24"/>
        </w:rPr>
        <w:t>感性为</w:t>
      </w:r>
      <w:r>
        <w:rPr>
          <w:rFonts w:ascii="Times New Roman" w:hAnsi="Times New Roman" w:eastAsia="Times New Roman" w:cs="Times New Roman"/>
          <w:color w:val="auto"/>
          <w:spacing w:val="-7"/>
          <w:sz w:val="24"/>
          <w:szCs w:val="24"/>
        </w:rPr>
        <w:t>G3</w:t>
      </w:r>
      <w:r>
        <w:rPr>
          <w:rFonts w:ascii="宋体" w:hAnsi="宋体" w:eastAsia="宋体" w:cs="宋体"/>
          <w:color w:val="auto"/>
          <w:spacing w:val="-7"/>
          <w:sz w:val="24"/>
          <w:szCs w:val="24"/>
        </w:rPr>
        <w:t>，根据区域包气带调查，包气带渗透系数</w:t>
      </w:r>
      <w:r>
        <w:rPr>
          <w:rFonts w:ascii="Times New Roman" w:hAnsi="Times New Roman" w:eastAsia="Times New Roman" w:cs="Times New Roman"/>
          <w:color w:val="auto"/>
          <w:spacing w:val="-7"/>
          <w:sz w:val="24"/>
          <w:szCs w:val="24"/>
        </w:rPr>
        <w:t>K</w:t>
      </w:r>
      <w:r>
        <w:rPr>
          <w:rFonts w:ascii="宋体" w:hAnsi="宋体" w:eastAsia="宋体" w:cs="宋体"/>
          <w:color w:val="auto"/>
          <w:spacing w:val="-7"/>
          <w:sz w:val="24"/>
          <w:szCs w:val="24"/>
        </w:rPr>
        <w:t>为</w:t>
      </w:r>
      <w:r>
        <w:rPr>
          <w:rFonts w:ascii="Times New Roman" w:hAnsi="Times New Roman" w:eastAsia="Times New Roman" w:cs="Times New Roman"/>
          <w:color w:val="auto"/>
          <w:spacing w:val="-7"/>
          <w:sz w:val="24"/>
          <w:szCs w:val="24"/>
        </w:rPr>
        <w:t>7.90</w:t>
      </w:r>
      <w:r>
        <w:rPr>
          <w:rFonts w:ascii="宋体" w:hAnsi="宋体" w:eastAsia="宋体" w:cs="宋体"/>
          <w:color w:val="auto"/>
          <w:spacing w:val="-7"/>
          <w:sz w:val="24"/>
          <w:szCs w:val="24"/>
        </w:rPr>
        <w:t>×</w:t>
      </w:r>
      <w:r>
        <w:rPr>
          <w:rFonts w:ascii="Times New Roman" w:hAnsi="Times New Roman" w:eastAsia="Times New Roman" w:cs="Times New Roman"/>
          <w:color w:val="auto"/>
          <w:spacing w:val="-7"/>
          <w:sz w:val="24"/>
          <w:szCs w:val="24"/>
        </w:rPr>
        <w:t>10</w:t>
      </w:r>
      <w:r>
        <w:rPr>
          <w:rFonts w:ascii="Times New Roman" w:hAnsi="Times New Roman" w:eastAsia="Times New Roman" w:cs="Times New Roman"/>
          <w:color w:val="auto"/>
          <w:spacing w:val="-7"/>
          <w:position w:val="9"/>
          <w:sz w:val="16"/>
          <w:szCs w:val="16"/>
        </w:rPr>
        <w:t>-6</w:t>
      </w:r>
      <w:r>
        <w:rPr>
          <w:rFonts w:ascii="Times New Roman" w:hAnsi="Times New Roman" w:eastAsia="Times New Roman" w:cs="Times New Roman"/>
          <w:color w:val="auto"/>
          <w:spacing w:val="-7"/>
          <w:sz w:val="24"/>
          <w:szCs w:val="24"/>
        </w:rPr>
        <w:t>cm/s</w:t>
      </w:r>
      <w:r>
        <w:rPr>
          <w:rFonts w:ascii="宋体" w:hAnsi="宋体" w:eastAsia="宋体" w:cs="宋体"/>
          <w:color w:val="auto"/>
          <w:spacing w:val="-7"/>
          <w:sz w:val="24"/>
          <w:szCs w:val="24"/>
        </w:rPr>
        <w:t>，岩（土）</w:t>
      </w:r>
      <w:r>
        <w:rPr>
          <w:rFonts w:ascii="宋体" w:hAnsi="宋体" w:eastAsia="宋体" w:cs="宋体"/>
          <w:color w:val="auto"/>
          <w:spacing w:val="-3"/>
          <w:sz w:val="24"/>
          <w:szCs w:val="24"/>
        </w:rPr>
        <w:t>层单层厚度</w:t>
      </w:r>
      <w:r>
        <w:rPr>
          <w:rFonts w:ascii="Times New Roman" w:hAnsi="Times New Roman" w:eastAsia="Times New Roman" w:cs="Times New Roman"/>
          <w:color w:val="auto"/>
          <w:spacing w:val="-3"/>
          <w:sz w:val="24"/>
          <w:szCs w:val="24"/>
        </w:rPr>
        <w:t>Mb=3m</w:t>
      </w:r>
      <w:r>
        <w:rPr>
          <w:rFonts w:ascii="宋体" w:hAnsi="宋体" w:eastAsia="宋体" w:cs="宋体"/>
          <w:color w:val="auto"/>
          <w:spacing w:val="-3"/>
          <w:sz w:val="24"/>
          <w:szCs w:val="24"/>
        </w:rPr>
        <w:t>，地下水环境敏感目标分级为</w:t>
      </w:r>
      <w:r>
        <w:rPr>
          <w:rFonts w:ascii="Times New Roman" w:hAnsi="Times New Roman" w:eastAsia="Times New Roman" w:cs="Times New Roman"/>
          <w:color w:val="auto"/>
          <w:spacing w:val="-3"/>
          <w:sz w:val="24"/>
          <w:szCs w:val="24"/>
        </w:rPr>
        <w:t>D2</w:t>
      </w:r>
      <w:r>
        <w:rPr>
          <w:rFonts w:ascii="宋体" w:hAnsi="宋体" w:eastAsia="宋体" w:cs="宋体"/>
          <w:color w:val="auto"/>
          <w:spacing w:val="-3"/>
          <w:sz w:val="24"/>
          <w:szCs w:val="24"/>
        </w:rPr>
        <w:t>，则地下水环境敏感程度分</w:t>
      </w:r>
      <w:r>
        <w:rPr>
          <w:rFonts w:ascii="宋体" w:hAnsi="宋体" w:eastAsia="宋体" w:cs="宋体"/>
          <w:color w:val="auto"/>
          <w:spacing w:val="-4"/>
          <w:sz w:val="24"/>
          <w:szCs w:val="24"/>
        </w:rPr>
        <w:t>级</w:t>
      </w:r>
      <w:r>
        <w:rPr>
          <w:rFonts w:ascii="Times New Roman" w:hAnsi="Times New Roman" w:eastAsia="Times New Roman" w:cs="Times New Roman"/>
          <w:color w:val="auto"/>
          <w:spacing w:val="-4"/>
          <w:sz w:val="24"/>
          <w:szCs w:val="24"/>
        </w:rPr>
        <w:t>E3</w:t>
      </w:r>
      <w:r>
        <w:rPr>
          <w:rFonts w:ascii="宋体" w:hAnsi="宋体" w:eastAsia="宋体" w:cs="宋体"/>
          <w:color w:val="auto"/>
          <w:spacing w:val="-4"/>
          <w:sz w:val="24"/>
          <w:szCs w:val="24"/>
        </w:rPr>
        <w:t>。</w:t>
      </w:r>
    </w:p>
    <w:p w14:paraId="0889048B">
      <w:pPr>
        <w:rPr>
          <w:rFonts w:eastAsia="楷体"/>
          <w:b/>
          <w:color w:val="auto"/>
          <w:sz w:val="30"/>
          <w:szCs w:val="30"/>
        </w:rPr>
      </w:pPr>
      <w:r>
        <w:rPr>
          <w:rFonts w:eastAsia="楷体"/>
          <w:b/>
          <w:color w:val="auto"/>
          <w:sz w:val="30"/>
          <w:szCs w:val="30"/>
        </w:rPr>
        <w:br w:type="page"/>
      </w:r>
    </w:p>
    <w:p w14:paraId="7478B4C3">
      <w:pPr>
        <w:outlineLvl w:val="1"/>
        <w:rPr>
          <w:rFonts w:eastAsia="楷体"/>
          <w:b/>
          <w:color w:val="auto"/>
          <w:sz w:val="30"/>
          <w:szCs w:val="30"/>
        </w:rPr>
      </w:pPr>
      <w:r>
        <w:rPr>
          <w:rFonts w:eastAsia="楷体"/>
          <w:b/>
          <w:color w:val="auto"/>
          <w:sz w:val="30"/>
          <w:szCs w:val="30"/>
        </w:rPr>
        <w:t>7.3.4环境风险潜势判定</w:t>
      </w:r>
    </w:p>
    <w:p w14:paraId="4110D1AF">
      <w:pPr>
        <w:spacing w:before="184" w:line="335" w:lineRule="auto"/>
        <w:ind w:left="131" w:right="155" w:firstLine="511"/>
        <w:rPr>
          <w:rFonts w:ascii="宋体" w:hAnsi="宋体" w:eastAsia="宋体" w:cs="宋体"/>
          <w:color w:val="auto"/>
          <w:sz w:val="24"/>
          <w:szCs w:val="24"/>
        </w:rPr>
      </w:pPr>
      <w:r>
        <w:rPr>
          <w:rFonts w:ascii="宋体" w:hAnsi="宋体" w:eastAsia="宋体" w:cs="宋体"/>
          <w:color w:val="auto"/>
          <w:spacing w:val="5"/>
          <w:sz w:val="24"/>
          <w:szCs w:val="24"/>
        </w:rPr>
        <w:t>建设项目环境风险潜势划分为</w:t>
      </w:r>
      <w:r>
        <w:rPr>
          <w:rFonts w:ascii="Times New Roman" w:hAnsi="Times New Roman" w:eastAsia="Times New Roman" w:cs="Times New Roman"/>
          <w:color w:val="auto"/>
          <w:spacing w:val="5"/>
          <w:sz w:val="24"/>
          <w:szCs w:val="24"/>
        </w:rPr>
        <w:t>Ⅰ</w:t>
      </w: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Ⅱ</w:t>
      </w: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Ⅲ</w:t>
      </w: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Ⅳ/Ⅳ</w:t>
      </w:r>
      <w:r>
        <w:rPr>
          <w:rFonts w:ascii="Times New Roman" w:hAnsi="Times New Roman" w:eastAsia="Times New Roman" w:cs="Times New Roman"/>
          <w:color w:val="auto"/>
          <w:spacing w:val="5"/>
          <w:position w:val="8"/>
          <w:sz w:val="16"/>
          <w:szCs w:val="16"/>
        </w:rPr>
        <w:t>+</w:t>
      </w:r>
      <w:r>
        <w:rPr>
          <w:rFonts w:ascii="宋体" w:hAnsi="宋体" w:eastAsia="宋体" w:cs="宋体"/>
          <w:color w:val="auto"/>
          <w:spacing w:val="5"/>
          <w:sz w:val="24"/>
          <w:szCs w:val="24"/>
        </w:rPr>
        <w:t>级，按照表</w:t>
      </w:r>
      <w:r>
        <w:rPr>
          <w:rFonts w:ascii="Times New Roman" w:hAnsi="Times New Roman" w:eastAsia="Times New Roman" w:cs="Times New Roman"/>
          <w:color w:val="auto"/>
          <w:spacing w:val="5"/>
          <w:sz w:val="24"/>
          <w:szCs w:val="24"/>
        </w:rPr>
        <w:t>7.</w:t>
      </w:r>
      <w:r>
        <w:rPr>
          <w:rFonts w:hint="eastAsia" w:ascii="Times New Roman" w:hAnsi="Times New Roman" w:eastAsia="宋体" w:cs="Times New Roman"/>
          <w:color w:val="auto"/>
          <w:spacing w:val="5"/>
          <w:sz w:val="24"/>
          <w:szCs w:val="24"/>
          <w:lang w:val="en-US" w:eastAsia="zh-CN"/>
        </w:rPr>
        <w:t>3</w:t>
      </w:r>
      <w:r>
        <w:rPr>
          <w:rFonts w:ascii="Times New Roman" w:hAnsi="Times New Roman" w:eastAsia="Times New Roman" w:cs="Times New Roman"/>
          <w:color w:val="auto"/>
          <w:spacing w:val="5"/>
          <w:sz w:val="24"/>
          <w:szCs w:val="24"/>
        </w:rPr>
        <w:t>-1</w:t>
      </w:r>
      <w:r>
        <w:rPr>
          <w:rFonts w:hint="eastAsia" w:ascii="Times New Roman" w:hAnsi="Times New Roman" w:eastAsia="宋体" w:cs="Times New Roman"/>
          <w:color w:val="auto"/>
          <w:spacing w:val="5"/>
          <w:sz w:val="24"/>
          <w:szCs w:val="24"/>
          <w:lang w:val="en-US" w:eastAsia="zh-CN"/>
        </w:rPr>
        <w:t>2</w:t>
      </w:r>
      <w:r>
        <w:rPr>
          <w:rFonts w:ascii="宋体" w:hAnsi="宋体" w:eastAsia="宋体" w:cs="宋体"/>
          <w:color w:val="auto"/>
          <w:spacing w:val="5"/>
          <w:sz w:val="24"/>
          <w:szCs w:val="24"/>
        </w:rPr>
        <w:t>确定</w:t>
      </w:r>
      <w:r>
        <w:rPr>
          <w:rFonts w:ascii="宋体" w:hAnsi="宋体" w:eastAsia="宋体" w:cs="宋体"/>
          <w:color w:val="auto"/>
          <w:spacing w:val="6"/>
          <w:sz w:val="24"/>
          <w:szCs w:val="24"/>
        </w:rPr>
        <w:t>环境风险潜势。</w:t>
      </w:r>
    </w:p>
    <w:p w14:paraId="77988B6A">
      <w:pPr>
        <w:jc w:val="center"/>
        <w:rPr>
          <w:b/>
          <w:bCs/>
          <w:color w:val="auto"/>
          <w:sz w:val="24"/>
          <w:szCs w:val="24"/>
        </w:rPr>
      </w:pPr>
      <w:r>
        <w:rPr>
          <w:b/>
          <w:bCs/>
          <w:color w:val="auto"/>
          <w:sz w:val="24"/>
          <w:szCs w:val="24"/>
        </w:rPr>
        <w:t>表7.</w:t>
      </w:r>
      <w:r>
        <w:rPr>
          <w:rFonts w:hint="eastAsia"/>
          <w:b/>
          <w:bCs/>
          <w:color w:val="auto"/>
          <w:sz w:val="24"/>
          <w:szCs w:val="24"/>
          <w:lang w:val="en-US" w:eastAsia="zh-CN"/>
        </w:rPr>
        <w:t>3</w:t>
      </w:r>
      <w:r>
        <w:rPr>
          <w:b/>
          <w:bCs/>
          <w:color w:val="auto"/>
          <w:sz w:val="24"/>
          <w:szCs w:val="24"/>
        </w:rPr>
        <w:t>-1</w:t>
      </w:r>
      <w:r>
        <w:rPr>
          <w:rFonts w:hint="eastAsia"/>
          <w:b/>
          <w:bCs/>
          <w:color w:val="auto"/>
          <w:sz w:val="24"/>
          <w:szCs w:val="24"/>
          <w:lang w:val="en-US" w:eastAsia="zh-CN"/>
        </w:rPr>
        <w:t>2</w:t>
      </w:r>
      <w:r>
        <w:rPr>
          <w:b/>
          <w:bCs/>
          <w:color w:val="auto"/>
          <w:sz w:val="24"/>
          <w:szCs w:val="24"/>
        </w:rPr>
        <w:t>建设项目环境风险潜势划分</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33"/>
        <w:gridCol w:w="1600"/>
        <w:gridCol w:w="1504"/>
        <w:gridCol w:w="1648"/>
        <w:gridCol w:w="1662"/>
      </w:tblGrid>
      <w:tr w14:paraId="7A5D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248" w:type="pct"/>
            <w:vMerge w:val="restart"/>
            <w:shd w:val="clear" w:color="auto" w:fill="D9D9D9"/>
            <w:vAlign w:val="center"/>
          </w:tcPr>
          <w:p w14:paraId="75424A6B">
            <w:pPr>
              <w:jc w:val="center"/>
              <w:rPr>
                <w:color w:val="auto"/>
              </w:rPr>
            </w:pPr>
            <w:r>
              <w:rPr>
                <w:color w:val="auto"/>
              </w:rPr>
              <w:t>环境敏感程度（E）</w:t>
            </w:r>
          </w:p>
        </w:tc>
        <w:tc>
          <w:tcPr>
            <w:tcW w:w="3751" w:type="pct"/>
            <w:gridSpan w:val="4"/>
            <w:shd w:val="clear" w:color="auto" w:fill="D9D9D9"/>
            <w:vAlign w:val="center"/>
          </w:tcPr>
          <w:p w14:paraId="4E5BE40A">
            <w:pPr>
              <w:jc w:val="center"/>
              <w:rPr>
                <w:color w:val="auto"/>
              </w:rPr>
            </w:pPr>
            <w:r>
              <w:rPr>
                <w:color w:val="auto"/>
              </w:rPr>
              <w:t>危险物质及工艺系统危险性（P）</w:t>
            </w:r>
          </w:p>
        </w:tc>
      </w:tr>
      <w:tr w14:paraId="1523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248" w:type="pct"/>
            <w:vMerge w:val="continue"/>
            <w:vAlign w:val="center"/>
          </w:tcPr>
          <w:p w14:paraId="2CFBD791">
            <w:pPr>
              <w:jc w:val="center"/>
              <w:rPr>
                <w:color w:val="auto"/>
              </w:rPr>
            </w:pPr>
          </w:p>
        </w:tc>
        <w:tc>
          <w:tcPr>
            <w:tcW w:w="936" w:type="pct"/>
            <w:shd w:val="clear" w:color="auto" w:fill="D9D9D9"/>
            <w:vAlign w:val="center"/>
          </w:tcPr>
          <w:p w14:paraId="1A700415">
            <w:pPr>
              <w:jc w:val="center"/>
              <w:rPr>
                <w:color w:val="auto"/>
              </w:rPr>
            </w:pPr>
            <w:r>
              <w:rPr>
                <w:color w:val="auto"/>
              </w:rPr>
              <w:t>极高危害（P1）</w:t>
            </w:r>
          </w:p>
        </w:tc>
        <w:tc>
          <w:tcPr>
            <w:tcW w:w="880" w:type="pct"/>
            <w:shd w:val="clear" w:color="auto" w:fill="D9D9D9"/>
            <w:vAlign w:val="center"/>
          </w:tcPr>
          <w:p w14:paraId="2F3B36AA">
            <w:pPr>
              <w:jc w:val="center"/>
              <w:rPr>
                <w:color w:val="auto"/>
              </w:rPr>
            </w:pPr>
            <w:r>
              <w:rPr>
                <w:color w:val="auto"/>
              </w:rPr>
              <w:t>高度危害（P2）</w:t>
            </w:r>
          </w:p>
        </w:tc>
        <w:tc>
          <w:tcPr>
            <w:tcW w:w="964" w:type="pct"/>
            <w:shd w:val="clear" w:color="auto" w:fill="D9D9D9"/>
            <w:vAlign w:val="center"/>
          </w:tcPr>
          <w:p w14:paraId="1996EF6C">
            <w:pPr>
              <w:jc w:val="center"/>
              <w:rPr>
                <w:color w:val="auto"/>
              </w:rPr>
            </w:pPr>
            <w:r>
              <w:rPr>
                <w:color w:val="auto"/>
              </w:rPr>
              <w:t>中度危害（P3）</w:t>
            </w:r>
          </w:p>
        </w:tc>
        <w:tc>
          <w:tcPr>
            <w:tcW w:w="969" w:type="pct"/>
            <w:shd w:val="clear" w:color="auto" w:fill="D9D9D9"/>
            <w:vAlign w:val="center"/>
          </w:tcPr>
          <w:p w14:paraId="7002C7C6">
            <w:pPr>
              <w:jc w:val="center"/>
              <w:rPr>
                <w:color w:val="auto"/>
              </w:rPr>
            </w:pPr>
            <w:r>
              <w:rPr>
                <w:color w:val="auto"/>
              </w:rPr>
              <w:t>轻度危害（P4）</w:t>
            </w:r>
          </w:p>
        </w:tc>
      </w:tr>
      <w:tr w14:paraId="2BA3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248" w:type="pct"/>
            <w:vAlign w:val="center"/>
          </w:tcPr>
          <w:p w14:paraId="5266C7BA">
            <w:pPr>
              <w:jc w:val="center"/>
              <w:rPr>
                <w:color w:val="auto"/>
              </w:rPr>
            </w:pPr>
            <w:r>
              <w:rPr>
                <w:color w:val="auto"/>
              </w:rPr>
              <w:t>环境高度敏感区（E1）</w:t>
            </w:r>
          </w:p>
        </w:tc>
        <w:tc>
          <w:tcPr>
            <w:tcW w:w="936" w:type="pct"/>
            <w:vAlign w:val="center"/>
          </w:tcPr>
          <w:p w14:paraId="24E09755">
            <w:pPr>
              <w:jc w:val="center"/>
              <w:rPr>
                <w:color w:val="auto"/>
              </w:rPr>
            </w:pPr>
            <w:r>
              <w:rPr>
                <w:color w:val="auto"/>
              </w:rPr>
              <w:t>Ⅳ+</w:t>
            </w:r>
          </w:p>
        </w:tc>
        <w:tc>
          <w:tcPr>
            <w:tcW w:w="880" w:type="pct"/>
            <w:vAlign w:val="center"/>
          </w:tcPr>
          <w:p w14:paraId="3A43BE60">
            <w:pPr>
              <w:jc w:val="center"/>
              <w:rPr>
                <w:color w:val="auto"/>
              </w:rPr>
            </w:pPr>
            <w:r>
              <w:rPr>
                <w:color w:val="auto"/>
              </w:rPr>
              <w:t>Ⅳ</w:t>
            </w:r>
          </w:p>
        </w:tc>
        <w:tc>
          <w:tcPr>
            <w:tcW w:w="964" w:type="pct"/>
            <w:vAlign w:val="center"/>
          </w:tcPr>
          <w:p w14:paraId="67B27404">
            <w:pPr>
              <w:jc w:val="center"/>
              <w:rPr>
                <w:color w:val="auto"/>
              </w:rPr>
            </w:pPr>
            <w:r>
              <w:rPr>
                <w:color w:val="auto"/>
              </w:rPr>
              <w:t>Ⅲ</w:t>
            </w:r>
          </w:p>
        </w:tc>
        <w:tc>
          <w:tcPr>
            <w:tcW w:w="969" w:type="pct"/>
            <w:vAlign w:val="center"/>
          </w:tcPr>
          <w:p w14:paraId="59F04DE1">
            <w:pPr>
              <w:jc w:val="center"/>
              <w:rPr>
                <w:color w:val="auto"/>
              </w:rPr>
            </w:pPr>
            <w:r>
              <w:rPr>
                <w:color w:val="auto"/>
              </w:rPr>
              <w:t>Ⅲ</w:t>
            </w:r>
          </w:p>
        </w:tc>
      </w:tr>
      <w:tr w14:paraId="6A7C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248" w:type="pct"/>
            <w:vAlign w:val="center"/>
          </w:tcPr>
          <w:p w14:paraId="1CC522F5">
            <w:pPr>
              <w:jc w:val="center"/>
              <w:rPr>
                <w:color w:val="auto"/>
              </w:rPr>
            </w:pPr>
            <w:r>
              <w:rPr>
                <w:color w:val="auto"/>
              </w:rPr>
              <w:t>环境中度敏感区（E2）</w:t>
            </w:r>
          </w:p>
        </w:tc>
        <w:tc>
          <w:tcPr>
            <w:tcW w:w="936" w:type="pct"/>
            <w:vAlign w:val="center"/>
          </w:tcPr>
          <w:p w14:paraId="256ED2AD">
            <w:pPr>
              <w:jc w:val="center"/>
              <w:rPr>
                <w:color w:val="auto"/>
              </w:rPr>
            </w:pPr>
            <w:r>
              <w:rPr>
                <w:color w:val="auto"/>
              </w:rPr>
              <w:t>Ⅳ</w:t>
            </w:r>
          </w:p>
        </w:tc>
        <w:tc>
          <w:tcPr>
            <w:tcW w:w="880" w:type="pct"/>
            <w:vAlign w:val="center"/>
          </w:tcPr>
          <w:p w14:paraId="1E5BFC4B">
            <w:pPr>
              <w:jc w:val="center"/>
              <w:rPr>
                <w:color w:val="auto"/>
              </w:rPr>
            </w:pPr>
            <w:r>
              <w:rPr>
                <w:color w:val="auto"/>
              </w:rPr>
              <w:t>Ⅲ</w:t>
            </w:r>
          </w:p>
        </w:tc>
        <w:tc>
          <w:tcPr>
            <w:tcW w:w="964" w:type="pct"/>
            <w:vAlign w:val="center"/>
          </w:tcPr>
          <w:p w14:paraId="467B1AA8">
            <w:pPr>
              <w:jc w:val="center"/>
              <w:rPr>
                <w:color w:val="auto"/>
              </w:rPr>
            </w:pPr>
            <w:r>
              <w:rPr>
                <w:color w:val="auto"/>
              </w:rPr>
              <w:t>Ⅲ</w:t>
            </w:r>
          </w:p>
        </w:tc>
        <w:tc>
          <w:tcPr>
            <w:tcW w:w="969" w:type="pct"/>
            <w:vAlign w:val="center"/>
          </w:tcPr>
          <w:p w14:paraId="14861AC5">
            <w:pPr>
              <w:jc w:val="center"/>
              <w:rPr>
                <w:color w:val="auto"/>
              </w:rPr>
            </w:pPr>
            <w:r>
              <w:rPr>
                <w:color w:val="auto"/>
              </w:rPr>
              <w:t>Ⅱ</w:t>
            </w:r>
          </w:p>
        </w:tc>
      </w:tr>
      <w:tr w14:paraId="3EDF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248" w:type="pct"/>
            <w:vAlign w:val="center"/>
          </w:tcPr>
          <w:p w14:paraId="4F3368E0">
            <w:pPr>
              <w:jc w:val="center"/>
              <w:rPr>
                <w:color w:val="auto"/>
              </w:rPr>
            </w:pPr>
            <w:r>
              <w:rPr>
                <w:color w:val="auto"/>
              </w:rPr>
              <w:t>环境低度敏感区（E3）</w:t>
            </w:r>
          </w:p>
        </w:tc>
        <w:tc>
          <w:tcPr>
            <w:tcW w:w="936" w:type="pct"/>
            <w:vAlign w:val="center"/>
          </w:tcPr>
          <w:p w14:paraId="1C157132">
            <w:pPr>
              <w:jc w:val="center"/>
              <w:rPr>
                <w:color w:val="auto"/>
              </w:rPr>
            </w:pPr>
            <w:r>
              <w:rPr>
                <w:color w:val="auto"/>
              </w:rPr>
              <w:t>Ⅲ</w:t>
            </w:r>
          </w:p>
        </w:tc>
        <w:tc>
          <w:tcPr>
            <w:tcW w:w="880" w:type="pct"/>
            <w:vAlign w:val="center"/>
          </w:tcPr>
          <w:p w14:paraId="09E0BF5B">
            <w:pPr>
              <w:jc w:val="center"/>
              <w:rPr>
                <w:color w:val="auto"/>
              </w:rPr>
            </w:pPr>
            <w:r>
              <w:rPr>
                <w:color w:val="auto"/>
              </w:rPr>
              <w:t>Ⅲ</w:t>
            </w:r>
          </w:p>
        </w:tc>
        <w:tc>
          <w:tcPr>
            <w:tcW w:w="964" w:type="pct"/>
            <w:vAlign w:val="center"/>
          </w:tcPr>
          <w:p w14:paraId="51214D17">
            <w:pPr>
              <w:jc w:val="center"/>
              <w:rPr>
                <w:color w:val="auto"/>
              </w:rPr>
            </w:pPr>
            <w:r>
              <w:rPr>
                <w:color w:val="auto"/>
              </w:rPr>
              <w:t>Ⅱ</w:t>
            </w:r>
          </w:p>
        </w:tc>
        <w:tc>
          <w:tcPr>
            <w:tcW w:w="969" w:type="pct"/>
            <w:vAlign w:val="center"/>
          </w:tcPr>
          <w:p w14:paraId="21CD3F04">
            <w:pPr>
              <w:jc w:val="center"/>
              <w:rPr>
                <w:color w:val="auto"/>
              </w:rPr>
            </w:pPr>
            <w:r>
              <w:rPr>
                <w:color w:val="auto"/>
              </w:rPr>
              <w:t>Ⅰ</w:t>
            </w:r>
          </w:p>
        </w:tc>
      </w:tr>
      <w:tr w14:paraId="7C84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5000" w:type="pct"/>
            <w:gridSpan w:val="5"/>
            <w:vAlign w:val="center"/>
          </w:tcPr>
          <w:p w14:paraId="42DDEF62">
            <w:pPr>
              <w:spacing w:before="82" w:line="221" w:lineRule="auto"/>
              <w:ind w:left="130"/>
              <w:jc w:val="left"/>
              <w:rPr>
                <w:color w:val="auto"/>
              </w:rPr>
            </w:pPr>
            <w:r>
              <w:rPr>
                <w:rFonts w:ascii="宋体" w:hAnsi="宋体" w:eastAsia="宋体" w:cs="宋体"/>
                <w:color w:val="auto"/>
                <w:spacing w:val="-2"/>
                <w:sz w:val="21"/>
                <w:szCs w:val="21"/>
              </w:rPr>
              <w:t>注：</w:t>
            </w:r>
            <w:r>
              <w:rPr>
                <w:rFonts w:ascii="Times New Roman" w:hAnsi="Times New Roman" w:eastAsia="Times New Roman" w:cs="Times New Roman"/>
                <w:color w:val="auto"/>
                <w:spacing w:val="-2"/>
                <w:sz w:val="21"/>
                <w:szCs w:val="21"/>
              </w:rPr>
              <w:t>Ⅳ</w:t>
            </w:r>
            <w:r>
              <w:rPr>
                <w:rFonts w:ascii="Times New Roman" w:hAnsi="Times New Roman" w:eastAsia="Times New Roman" w:cs="Times New Roman"/>
                <w:color w:val="auto"/>
                <w:spacing w:val="-2"/>
                <w:position w:val="6"/>
                <w:sz w:val="13"/>
                <w:szCs w:val="13"/>
              </w:rPr>
              <w:t>+</w:t>
            </w:r>
            <w:r>
              <w:rPr>
                <w:rFonts w:ascii="宋体" w:hAnsi="宋体" w:eastAsia="宋体" w:cs="宋体"/>
                <w:color w:val="auto"/>
                <w:spacing w:val="-2"/>
                <w:sz w:val="21"/>
                <w:szCs w:val="21"/>
              </w:rPr>
              <w:t>为极高环境风险。</w:t>
            </w:r>
          </w:p>
        </w:tc>
      </w:tr>
    </w:tbl>
    <w:p w14:paraId="3E311824">
      <w:pPr>
        <w:spacing w:before="112" w:line="354" w:lineRule="auto"/>
        <w:ind w:left="130" w:right="20" w:firstLine="481"/>
        <w:jc w:val="both"/>
        <w:rPr>
          <w:rFonts w:ascii="宋体" w:hAnsi="宋体" w:eastAsia="宋体" w:cs="宋体"/>
          <w:color w:val="auto"/>
          <w:sz w:val="24"/>
          <w:szCs w:val="24"/>
        </w:rPr>
      </w:pPr>
      <w:r>
        <w:rPr>
          <w:rFonts w:ascii="宋体" w:hAnsi="宋体" w:eastAsia="宋体" w:cs="宋体"/>
          <w:color w:val="auto"/>
          <w:spacing w:val="-2"/>
          <w:sz w:val="24"/>
          <w:szCs w:val="24"/>
        </w:rPr>
        <w:t>本项目</w:t>
      </w:r>
      <w:r>
        <w:rPr>
          <w:rFonts w:ascii="Times New Roman" w:hAnsi="Times New Roman" w:eastAsia="Times New Roman" w:cs="Times New Roman"/>
          <w:color w:val="auto"/>
          <w:spacing w:val="-2"/>
          <w:sz w:val="24"/>
          <w:szCs w:val="24"/>
        </w:rPr>
        <w:t>P</w:t>
      </w:r>
      <w:r>
        <w:rPr>
          <w:rFonts w:ascii="宋体" w:hAnsi="宋体" w:eastAsia="宋体" w:cs="宋体"/>
          <w:color w:val="auto"/>
          <w:spacing w:val="-2"/>
          <w:sz w:val="24"/>
          <w:szCs w:val="24"/>
        </w:rPr>
        <w:t>分级为</w:t>
      </w:r>
      <w:r>
        <w:rPr>
          <w:rFonts w:ascii="Times New Roman" w:hAnsi="Times New Roman" w:eastAsia="Times New Roman" w:cs="Times New Roman"/>
          <w:color w:val="auto"/>
          <w:spacing w:val="-2"/>
          <w:sz w:val="24"/>
          <w:szCs w:val="24"/>
        </w:rPr>
        <w:t>P4</w:t>
      </w:r>
      <w:r>
        <w:rPr>
          <w:rFonts w:ascii="宋体" w:hAnsi="宋体" w:eastAsia="宋体" w:cs="宋体"/>
          <w:color w:val="auto"/>
          <w:spacing w:val="-2"/>
          <w:sz w:val="24"/>
          <w:szCs w:val="24"/>
        </w:rPr>
        <w:t>，大气环境敏感程度分级为</w:t>
      </w:r>
      <w:r>
        <w:rPr>
          <w:rFonts w:ascii="Times New Roman" w:hAnsi="Times New Roman" w:eastAsia="Times New Roman" w:cs="Times New Roman"/>
          <w:color w:val="auto"/>
          <w:spacing w:val="-2"/>
          <w:sz w:val="24"/>
          <w:szCs w:val="24"/>
        </w:rPr>
        <w:t>E1</w:t>
      </w:r>
      <w:r>
        <w:rPr>
          <w:rFonts w:ascii="宋体" w:hAnsi="宋体" w:eastAsia="宋体" w:cs="宋体"/>
          <w:color w:val="auto"/>
          <w:spacing w:val="-2"/>
          <w:sz w:val="24"/>
          <w:szCs w:val="24"/>
        </w:rPr>
        <w:t>，</w:t>
      </w:r>
      <w:r>
        <w:rPr>
          <w:rFonts w:ascii="宋体" w:hAnsi="宋体" w:eastAsia="宋体" w:cs="宋体"/>
          <w:color w:val="auto"/>
          <w:spacing w:val="-3"/>
          <w:sz w:val="24"/>
          <w:szCs w:val="24"/>
        </w:rPr>
        <w:t>地表水环境敏感程度分</w:t>
      </w:r>
      <w:r>
        <w:rPr>
          <w:rFonts w:ascii="宋体" w:hAnsi="宋体" w:eastAsia="宋体" w:cs="宋体"/>
          <w:color w:val="auto"/>
          <w:spacing w:val="-2"/>
          <w:sz w:val="24"/>
          <w:szCs w:val="24"/>
        </w:rPr>
        <w:t>级为</w:t>
      </w:r>
      <w:r>
        <w:rPr>
          <w:rFonts w:ascii="Times New Roman" w:hAnsi="Times New Roman" w:eastAsia="Times New Roman" w:cs="Times New Roman"/>
          <w:color w:val="auto"/>
          <w:spacing w:val="-2"/>
          <w:sz w:val="24"/>
          <w:szCs w:val="24"/>
        </w:rPr>
        <w:t>E2</w:t>
      </w:r>
      <w:r>
        <w:rPr>
          <w:rFonts w:ascii="宋体" w:hAnsi="宋体" w:eastAsia="宋体" w:cs="宋体"/>
          <w:color w:val="auto"/>
          <w:spacing w:val="-2"/>
          <w:sz w:val="24"/>
          <w:szCs w:val="24"/>
        </w:rPr>
        <w:t>，地下水环境敏感程度分级为</w:t>
      </w:r>
      <w:r>
        <w:rPr>
          <w:rFonts w:ascii="Times New Roman" w:hAnsi="Times New Roman" w:eastAsia="Times New Roman" w:cs="Times New Roman"/>
          <w:color w:val="auto"/>
          <w:spacing w:val="-2"/>
          <w:sz w:val="24"/>
          <w:szCs w:val="24"/>
        </w:rPr>
        <w:t>E3</w:t>
      </w:r>
      <w:r>
        <w:rPr>
          <w:rFonts w:ascii="宋体" w:hAnsi="宋体" w:eastAsia="宋体" w:cs="宋体"/>
          <w:color w:val="auto"/>
          <w:spacing w:val="-2"/>
          <w:sz w:val="24"/>
          <w:szCs w:val="24"/>
        </w:rPr>
        <w:t>，由表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3</w:t>
      </w:r>
      <w:r>
        <w:rPr>
          <w:rFonts w:ascii="Times New Roman" w:hAnsi="Times New Roman" w:eastAsia="Times New Roman" w:cs="Times New Roman"/>
          <w:color w:val="auto"/>
          <w:spacing w:val="-2"/>
          <w:sz w:val="24"/>
          <w:szCs w:val="24"/>
        </w:rPr>
        <w:t>-1</w:t>
      </w:r>
      <w:r>
        <w:rPr>
          <w:rFonts w:hint="eastAsia" w:ascii="Times New Roman" w:hAnsi="Times New Roman" w:eastAsia="宋体" w:cs="Times New Roman"/>
          <w:color w:val="auto"/>
          <w:spacing w:val="-2"/>
          <w:sz w:val="24"/>
          <w:szCs w:val="24"/>
          <w:lang w:val="en-US" w:eastAsia="zh-CN"/>
        </w:rPr>
        <w:t>2</w:t>
      </w:r>
      <w:r>
        <w:rPr>
          <w:rFonts w:ascii="宋体" w:hAnsi="宋体" w:eastAsia="宋体" w:cs="宋体"/>
          <w:color w:val="auto"/>
          <w:spacing w:val="-2"/>
          <w:sz w:val="24"/>
          <w:szCs w:val="24"/>
        </w:rPr>
        <w:t>可知，大气环境风险潜势</w:t>
      </w:r>
      <w:r>
        <w:rPr>
          <w:rFonts w:ascii="宋体" w:hAnsi="宋体" w:eastAsia="宋体" w:cs="宋体"/>
          <w:color w:val="auto"/>
          <w:sz w:val="24"/>
          <w:szCs w:val="24"/>
        </w:rPr>
        <w:t>分级为</w:t>
      </w:r>
      <w:r>
        <w:rPr>
          <w:rFonts w:ascii="Times New Roman" w:hAnsi="Times New Roman" w:eastAsia="Times New Roman" w:cs="Times New Roman"/>
          <w:color w:val="auto"/>
          <w:sz w:val="24"/>
          <w:szCs w:val="24"/>
        </w:rPr>
        <w:t>Ⅲ</w:t>
      </w:r>
      <w:r>
        <w:rPr>
          <w:rFonts w:ascii="宋体" w:hAnsi="宋体" w:eastAsia="宋体" w:cs="宋体"/>
          <w:color w:val="auto"/>
          <w:sz w:val="24"/>
          <w:szCs w:val="24"/>
        </w:rPr>
        <w:t>级，地表水环境风险潜势分级为</w:t>
      </w:r>
      <w:r>
        <w:rPr>
          <w:rFonts w:ascii="Times New Roman" w:hAnsi="Times New Roman" w:eastAsia="Times New Roman" w:cs="Times New Roman"/>
          <w:color w:val="auto"/>
          <w:sz w:val="24"/>
          <w:szCs w:val="24"/>
        </w:rPr>
        <w:t>Ⅱ</w:t>
      </w:r>
      <w:r>
        <w:rPr>
          <w:rFonts w:ascii="宋体" w:hAnsi="宋体" w:eastAsia="宋体" w:cs="宋体"/>
          <w:color w:val="auto"/>
          <w:sz w:val="24"/>
          <w:szCs w:val="24"/>
        </w:rPr>
        <w:t>级，地下水环境风险潜势分级为</w:t>
      </w:r>
      <w:r>
        <w:rPr>
          <w:rFonts w:ascii="Times New Roman" w:hAnsi="Times New Roman" w:eastAsia="Times New Roman" w:cs="Times New Roman"/>
          <w:color w:val="auto"/>
          <w:sz w:val="24"/>
          <w:szCs w:val="24"/>
        </w:rPr>
        <w:t>Ⅰ</w:t>
      </w:r>
      <w:r>
        <w:rPr>
          <w:rFonts w:ascii="宋体" w:hAnsi="宋体" w:eastAsia="宋体" w:cs="宋体"/>
          <w:color w:val="auto"/>
          <w:sz w:val="24"/>
          <w:szCs w:val="24"/>
        </w:rPr>
        <w:t>级。</w:t>
      </w:r>
      <w:r>
        <w:rPr>
          <w:rFonts w:ascii="宋体" w:hAnsi="宋体" w:eastAsia="宋体" w:cs="宋体"/>
          <w:color w:val="auto"/>
          <w:spacing w:val="-3"/>
          <w:sz w:val="24"/>
          <w:szCs w:val="24"/>
        </w:rPr>
        <w:t>建设项目环境风险潜势综合等级取各要素等级的相对高值，因此本项目环境风险</w:t>
      </w:r>
      <w:r>
        <w:rPr>
          <w:rFonts w:ascii="宋体" w:hAnsi="宋体" w:eastAsia="宋体" w:cs="宋体"/>
          <w:color w:val="auto"/>
          <w:spacing w:val="-2"/>
          <w:sz w:val="24"/>
          <w:szCs w:val="24"/>
        </w:rPr>
        <w:t>潜势综合等级为</w:t>
      </w:r>
      <w:r>
        <w:rPr>
          <w:rFonts w:ascii="Times New Roman" w:hAnsi="Times New Roman" w:eastAsia="Times New Roman" w:cs="Times New Roman"/>
          <w:color w:val="auto"/>
          <w:spacing w:val="-2"/>
          <w:sz w:val="24"/>
          <w:szCs w:val="24"/>
        </w:rPr>
        <w:t>Ⅲ</w:t>
      </w:r>
      <w:r>
        <w:rPr>
          <w:rFonts w:ascii="宋体" w:hAnsi="宋体" w:eastAsia="宋体" w:cs="宋体"/>
          <w:color w:val="auto"/>
          <w:spacing w:val="-2"/>
          <w:sz w:val="24"/>
          <w:szCs w:val="24"/>
        </w:rPr>
        <w:t>级。</w:t>
      </w:r>
    </w:p>
    <w:p w14:paraId="2E01C5ED">
      <w:pPr>
        <w:keepNext/>
        <w:keepLines/>
        <w:pageBreakBefore w:val="0"/>
        <w:widowControl w:val="0"/>
        <w:kinsoku/>
        <w:wordWrap/>
        <w:overflowPunct/>
        <w:topLinePunct w:val="0"/>
        <w:autoSpaceDE/>
        <w:autoSpaceDN/>
        <w:bidi w:val="0"/>
        <w:adjustRightInd/>
        <w:snapToGrid/>
        <w:spacing w:line="360" w:lineRule="auto"/>
        <w:textAlignment w:val="auto"/>
        <w:outlineLvl w:val="0"/>
        <w:rPr>
          <w:rFonts w:ascii="Times New Roman" w:hAnsi="Times New Roman" w:eastAsia="宋体" w:cs="黑体"/>
          <w:color w:val="auto"/>
          <w:sz w:val="28"/>
          <w:szCs w:val="28"/>
        </w:rPr>
      </w:pPr>
      <w:r>
        <w:rPr>
          <w:rFonts w:ascii="Times New Roman" w:hAnsi="Times New Roman" w:eastAsia="宋体"/>
          <w:b/>
          <w:bCs/>
          <w:color w:val="auto"/>
          <w:kern w:val="44"/>
          <w:sz w:val="32"/>
          <w:szCs w:val="32"/>
        </w:rPr>
        <w:t>7.</w:t>
      </w:r>
      <w:r>
        <w:rPr>
          <w:rFonts w:hint="eastAsia" w:ascii="Times New Roman" w:hAnsi="Times New Roman" w:eastAsia="宋体"/>
          <w:b/>
          <w:bCs/>
          <w:color w:val="auto"/>
          <w:kern w:val="44"/>
          <w:sz w:val="32"/>
          <w:szCs w:val="32"/>
          <w:lang w:val="en-US" w:eastAsia="zh-CN"/>
        </w:rPr>
        <w:t>4</w:t>
      </w:r>
      <w:r>
        <w:rPr>
          <w:rFonts w:ascii="Times New Roman" w:hAnsi="Times New Roman" w:eastAsia="宋体" w:cs="黑体"/>
          <w:color w:val="auto"/>
          <w:spacing w:val="-1"/>
          <w:sz w:val="28"/>
          <w:szCs w:val="28"/>
        </w:rPr>
        <w:t>评价工作等级的确定及评价范围</w:t>
      </w:r>
    </w:p>
    <w:p w14:paraId="3E6A1233">
      <w:pPr>
        <w:keepNext/>
        <w:keepLines/>
        <w:spacing w:line="360" w:lineRule="auto"/>
        <w:outlineLvl w:val="1"/>
        <w:rPr>
          <w:rFonts w:eastAsia="楷体"/>
          <w:b/>
          <w:color w:val="auto"/>
          <w:sz w:val="30"/>
          <w:szCs w:val="30"/>
        </w:rPr>
      </w:pPr>
      <w:r>
        <w:rPr>
          <w:rFonts w:eastAsia="楷体"/>
          <w:b/>
          <w:color w:val="auto"/>
          <w:sz w:val="30"/>
          <w:szCs w:val="30"/>
        </w:rPr>
        <w:t>7.4.1评价等级</w:t>
      </w:r>
    </w:p>
    <w:p w14:paraId="1028DF96">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）评价工作等级的确定</w:t>
      </w:r>
    </w:p>
    <w:p w14:paraId="0A564DD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ascii="宋体" w:hAnsi="宋体" w:eastAsia="宋体" w:cs="宋体"/>
          <w:color w:val="auto"/>
          <w:spacing w:val="-9"/>
          <w:sz w:val="24"/>
          <w:szCs w:val="24"/>
        </w:rPr>
      </w:pPr>
      <w:r>
        <w:rPr>
          <w:rFonts w:ascii="宋体" w:hAnsi="宋体" w:eastAsia="宋体" w:cs="宋体"/>
          <w:color w:val="auto"/>
          <w:sz w:val="24"/>
          <w:szCs w:val="24"/>
        </w:rPr>
        <w:t>环境风险评价工作等级划分为一级、二级、三级</w:t>
      </w:r>
      <w:r>
        <w:rPr>
          <w:rFonts w:ascii="宋体" w:hAnsi="宋体" w:eastAsia="宋体" w:cs="宋体"/>
          <w:color w:val="auto"/>
          <w:spacing w:val="-1"/>
          <w:sz w:val="24"/>
          <w:szCs w:val="24"/>
        </w:rPr>
        <w:t>，按照表</w:t>
      </w:r>
      <w:r>
        <w:rPr>
          <w:rFonts w:ascii="Times New Roman" w:hAnsi="Times New Roman" w:eastAsia="Times New Roman" w:cs="Times New Roman"/>
          <w:color w:val="auto"/>
          <w:spacing w:val="-1"/>
          <w:sz w:val="24"/>
          <w:szCs w:val="24"/>
        </w:rPr>
        <w:t>7.</w:t>
      </w:r>
      <w:r>
        <w:rPr>
          <w:rFonts w:hint="eastAsia" w:ascii="Times New Roman" w:hAnsi="Times New Roman" w:eastAsia="宋体" w:cs="Times New Roman"/>
          <w:color w:val="auto"/>
          <w:spacing w:val="-1"/>
          <w:sz w:val="24"/>
          <w:szCs w:val="24"/>
          <w:lang w:val="en-US" w:eastAsia="zh-CN"/>
        </w:rPr>
        <w:t>4</w:t>
      </w:r>
      <w:r>
        <w:rPr>
          <w:rFonts w:ascii="Times New Roman" w:hAnsi="Times New Roman" w:eastAsia="Times New Roman" w:cs="Times New Roman"/>
          <w:color w:val="auto"/>
          <w:spacing w:val="-1"/>
          <w:sz w:val="24"/>
          <w:szCs w:val="24"/>
        </w:rPr>
        <w:t>-1</w:t>
      </w:r>
      <w:r>
        <w:rPr>
          <w:rFonts w:ascii="宋体" w:hAnsi="宋体" w:eastAsia="宋体" w:cs="宋体"/>
          <w:color w:val="auto"/>
          <w:spacing w:val="-1"/>
          <w:sz w:val="24"/>
          <w:szCs w:val="24"/>
        </w:rPr>
        <w:t>确定评价工</w:t>
      </w:r>
      <w:r>
        <w:rPr>
          <w:rFonts w:ascii="宋体" w:hAnsi="宋体" w:eastAsia="宋体" w:cs="宋体"/>
          <w:color w:val="auto"/>
          <w:spacing w:val="-9"/>
          <w:sz w:val="24"/>
          <w:szCs w:val="24"/>
        </w:rPr>
        <w:t>作等级。</w:t>
      </w:r>
    </w:p>
    <w:p w14:paraId="191B5770">
      <w:pPr>
        <w:keepNext/>
        <w:keepLines/>
        <w:jc w:val="center"/>
        <w:rPr>
          <w:b/>
          <w:color w:val="auto"/>
          <w:sz w:val="24"/>
        </w:rPr>
      </w:pPr>
      <w:r>
        <w:rPr>
          <w:b/>
          <w:color w:val="auto"/>
          <w:sz w:val="24"/>
        </w:rPr>
        <w:t>表7.4</w:t>
      </w:r>
      <w:r>
        <w:rPr>
          <w:rFonts w:hint="eastAsia"/>
          <w:b/>
          <w:color w:val="auto"/>
          <w:sz w:val="24"/>
          <w:lang w:val="en-US" w:eastAsia="zh-CN"/>
        </w:rPr>
        <w:t>-</w:t>
      </w:r>
      <w:r>
        <w:rPr>
          <w:b/>
          <w:color w:val="auto"/>
          <w:sz w:val="24"/>
        </w:rPr>
        <w:t>1评价工作等级划分</w:t>
      </w:r>
    </w:p>
    <w:tbl>
      <w:tblPr>
        <w:tblStyle w:val="24"/>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750"/>
        <w:gridCol w:w="1748"/>
        <w:gridCol w:w="1750"/>
        <w:gridCol w:w="1754"/>
      </w:tblGrid>
      <w:tr w14:paraId="7A4A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9" w:type="pct"/>
            <w:noWrap w:val="0"/>
            <w:vAlign w:val="center"/>
          </w:tcPr>
          <w:p w14:paraId="3EEF3234">
            <w:pPr>
              <w:keepNext/>
              <w:keepLines/>
              <w:jc w:val="center"/>
              <w:rPr>
                <w:b/>
                <w:bCs w:val="0"/>
                <w:color w:val="auto"/>
                <w:szCs w:val="44"/>
              </w:rPr>
            </w:pPr>
            <w:r>
              <w:rPr>
                <w:b/>
                <w:bCs w:val="0"/>
                <w:color w:val="auto"/>
                <w:szCs w:val="44"/>
              </w:rPr>
              <w:t>环境风险潜势</w:t>
            </w:r>
          </w:p>
        </w:tc>
        <w:tc>
          <w:tcPr>
            <w:tcW w:w="1000" w:type="pct"/>
            <w:noWrap w:val="0"/>
            <w:vAlign w:val="center"/>
          </w:tcPr>
          <w:p w14:paraId="593F8F89">
            <w:pPr>
              <w:keepNext/>
              <w:keepLines/>
              <w:jc w:val="center"/>
              <w:rPr>
                <w:b/>
                <w:bCs w:val="0"/>
                <w:color w:val="auto"/>
                <w:szCs w:val="44"/>
              </w:rPr>
            </w:pPr>
            <w:r>
              <w:rPr>
                <w:b/>
                <w:bCs w:val="0"/>
                <w:color w:val="auto"/>
                <w:szCs w:val="44"/>
              </w:rPr>
              <w:t>IV、IV+</w:t>
            </w:r>
          </w:p>
        </w:tc>
        <w:tc>
          <w:tcPr>
            <w:tcW w:w="999" w:type="pct"/>
            <w:noWrap w:val="0"/>
            <w:vAlign w:val="center"/>
          </w:tcPr>
          <w:p w14:paraId="56BCF36E">
            <w:pPr>
              <w:keepNext/>
              <w:keepLines/>
              <w:jc w:val="center"/>
              <w:rPr>
                <w:b/>
                <w:bCs w:val="0"/>
                <w:color w:val="auto"/>
                <w:szCs w:val="44"/>
              </w:rPr>
            </w:pPr>
            <w:r>
              <w:rPr>
                <w:b/>
                <w:bCs w:val="0"/>
                <w:color w:val="auto"/>
                <w:szCs w:val="44"/>
              </w:rPr>
              <w:t>III</w:t>
            </w:r>
          </w:p>
        </w:tc>
        <w:tc>
          <w:tcPr>
            <w:tcW w:w="1000" w:type="pct"/>
            <w:noWrap w:val="0"/>
            <w:vAlign w:val="center"/>
          </w:tcPr>
          <w:p w14:paraId="1BD779F1">
            <w:pPr>
              <w:keepNext/>
              <w:keepLines/>
              <w:jc w:val="center"/>
              <w:rPr>
                <w:b/>
                <w:bCs w:val="0"/>
                <w:color w:val="auto"/>
                <w:szCs w:val="44"/>
              </w:rPr>
            </w:pPr>
            <w:r>
              <w:rPr>
                <w:b/>
                <w:bCs w:val="0"/>
                <w:color w:val="auto"/>
                <w:szCs w:val="44"/>
              </w:rPr>
              <w:t>Ⅱ</w:t>
            </w:r>
          </w:p>
        </w:tc>
        <w:tc>
          <w:tcPr>
            <w:tcW w:w="1000" w:type="pct"/>
            <w:noWrap w:val="0"/>
            <w:vAlign w:val="center"/>
          </w:tcPr>
          <w:p w14:paraId="663C2616">
            <w:pPr>
              <w:keepNext/>
              <w:keepLines/>
              <w:jc w:val="center"/>
              <w:rPr>
                <w:b/>
                <w:bCs w:val="0"/>
                <w:color w:val="auto"/>
                <w:szCs w:val="44"/>
              </w:rPr>
            </w:pPr>
            <w:r>
              <w:rPr>
                <w:b/>
                <w:bCs w:val="0"/>
                <w:color w:val="auto"/>
                <w:szCs w:val="44"/>
              </w:rPr>
              <w:t>I</w:t>
            </w:r>
          </w:p>
        </w:tc>
      </w:tr>
      <w:tr w14:paraId="1114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999" w:type="pct"/>
            <w:noWrap w:val="0"/>
            <w:vAlign w:val="center"/>
          </w:tcPr>
          <w:p w14:paraId="707DCC82">
            <w:pPr>
              <w:keepNext/>
              <w:keepLines/>
              <w:jc w:val="center"/>
              <w:rPr>
                <w:bCs/>
                <w:color w:val="auto"/>
                <w:szCs w:val="44"/>
              </w:rPr>
            </w:pPr>
            <w:r>
              <w:rPr>
                <w:bCs/>
                <w:color w:val="auto"/>
                <w:szCs w:val="44"/>
              </w:rPr>
              <w:t>评价工作等级</w:t>
            </w:r>
          </w:p>
        </w:tc>
        <w:tc>
          <w:tcPr>
            <w:tcW w:w="1000" w:type="pct"/>
            <w:noWrap w:val="0"/>
            <w:vAlign w:val="center"/>
          </w:tcPr>
          <w:p w14:paraId="59C57847">
            <w:pPr>
              <w:keepNext/>
              <w:keepLines/>
              <w:jc w:val="center"/>
              <w:rPr>
                <w:bCs/>
                <w:color w:val="auto"/>
                <w:szCs w:val="44"/>
              </w:rPr>
            </w:pPr>
            <w:r>
              <w:rPr>
                <w:bCs/>
                <w:color w:val="auto"/>
                <w:szCs w:val="44"/>
              </w:rPr>
              <w:t>一</w:t>
            </w:r>
          </w:p>
        </w:tc>
        <w:tc>
          <w:tcPr>
            <w:tcW w:w="999" w:type="pct"/>
            <w:noWrap w:val="0"/>
            <w:vAlign w:val="center"/>
          </w:tcPr>
          <w:p w14:paraId="5F4504CB">
            <w:pPr>
              <w:keepNext/>
              <w:keepLines/>
              <w:jc w:val="center"/>
              <w:rPr>
                <w:bCs/>
                <w:color w:val="auto"/>
                <w:szCs w:val="44"/>
              </w:rPr>
            </w:pPr>
            <w:r>
              <w:rPr>
                <w:bCs/>
                <w:color w:val="auto"/>
                <w:szCs w:val="44"/>
              </w:rPr>
              <w:t>二</w:t>
            </w:r>
          </w:p>
        </w:tc>
        <w:tc>
          <w:tcPr>
            <w:tcW w:w="1000" w:type="pct"/>
            <w:noWrap w:val="0"/>
            <w:vAlign w:val="center"/>
          </w:tcPr>
          <w:p w14:paraId="190069FC">
            <w:pPr>
              <w:keepNext/>
              <w:keepLines/>
              <w:jc w:val="center"/>
              <w:rPr>
                <w:bCs/>
                <w:color w:val="auto"/>
                <w:szCs w:val="44"/>
              </w:rPr>
            </w:pPr>
            <w:r>
              <w:rPr>
                <w:bCs/>
                <w:color w:val="auto"/>
                <w:szCs w:val="44"/>
              </w:rPr>
              <w:t>三</w:t>
            </w:r>
          </w:p>
        </w:tc>
        <w:tc>
          <w:tcPr>
            <w:tcW w:w="1000" w:type="pct"/>
            <w:noWrap w:val="0"/>
            <w:vAlign w:val="center"/>
          </w:tcPr>
          <w:p w14:paraId="45B0E785">
            <w:pPr>
              <w:keepNext/>
              <w:keepLines/>
              <w:jc w:val="center"/>
              <w:rPr>
                <w:bCs/>
                <w:color w:val="auto"/>
                <w:szCs w:val="44"/>
              </w:rPr>
            </w:pPr>
            <w:r>
              <w:rPr>
                <w:bCs/>
                <w:color w:val="auto"/>
                <w:szCs w:val="44"/>
              </w:rPr>
              <w:t>简单分析</w:t>
            </w:r>
            <w:r>
              <w:rPr>
                <w:bCs/>
                <w:color w:val="auto"/>
                <w:szCs w:val="44"/>
                <w:vertAlign w:val="superscript"/>
              </w:rPr>
              <w:t>a</w:t>
            </w:r>
          </w:p>
        </w:tc>
      </w:tr>
      <w:tr w14:paraId="5B1E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noWrap w:val="0"/>
            <w:vAlign w:val="center"/>
          </w:tcPr>
          <w:p w14:paraId="27708FA5">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bCs/>
                <w:color w:val="auto"/>
                <w:szCs w:val="44"/>
              </w:rPr>
            </w:pPr>
            <w:r>
              <w:rPr>
                <w:color w:val="auto"/>
              </w:rPr>
              <w:t>a是相对于详细评价工作内容而言，在描述危险物质、环境影响途径、环境危害后果、风险防范措施等方面给出定性的说明，见附录A</w:t>
            </w:r>
          </w:p>
        </w:tc>
      </w:tr>
    </w:tbl>
    <w:p w14:paraId="7560DA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本项目环境风险潜势综合等级为Ⅲ级，大气环境风险潜势分级为Ⅲ级，地表水环境风险潜势分级为Ⅱ级，地下水环境风险潜势分级为Ⅰ级，由表7.</w:t>
      </w:r>
      <w:r>
        <w:rPr>
          <w:rFonts w:hint="eastAsia"/>
          <w:color w:val="auto"/>
          <w:sz w:val="24"/>
          <w:szCs w:val="24"/>
          <w:lang w:val="en-US" w:eastAsia="zh-CN"/>
        </w:rPr>
        <w:t>4</w:t>
      </w:r>
      <w:r>
        <w:rPr>
          <w:rFonts w:hint="default"/>
          <w:color w:val="auto"/>
          <w:sz w:val="24"/>
          <w:szCs w:val="24"/>
          <w:lang w:val="en-US" w:eastAsia="zh-CN"/>
        </w:rPr>
        <w:t>-1可确定本项目环境风险评价工作等级为二级，其中大气环境风险评价等级为二级，地表水环境风险评价等级为三级，地下水环境风险评价等级为简单分析。</w:t>
      </w:r>
    </w:p>
    <w:p w14:paraId="502E6471">
      <w:pPr>
        <w:keepNext/>
        <w:keepLines/>
        <w:spacing w:line="360" w:lineRule="auto"/>
        <w:outlineLvl w:val="1"/>
        <w:rPr>
          <w:rFonts w:hint="default" w:eastAsia="楷体"/>
          <w:b/>
          <w:color w:val="auto"/>
          <w:sz w:val="30"/>
          <w:szCs w:val="30"/>
          <w:lang w:val="en-US" w:eastAsia="zh-CN"/>
        </w:rPr>
      </w:pPr>
      <w:r>
        <w:rPr>
          <w:rFonts w:hint="default" w:eastAsia="楷体"/>
          <w:b/>
          <w:color w:val="auto"/>
          <w:sz w:val="30"/>
          <w:szCs w:val="30"/>
          <w:lang w:val="en-US" w:eastAsia="zh-CN"/>
        </w:rPr>
        <w:t>7.4.2评价范围</w:t>
      </w:r>
    </w:p>
    <w:p w14:paraId="21DA9943">
      <w:pPr>
        <w:spacing w:line="360" w:lineRule="auto"/>
        <w:ind w:firstLine="480" w:firstLineChars="200"/>
        <w:rPr>
          <w:color w:val="auto"/>
          <w:sz w:val="24"/>
        </w:rPr>
      </w:pPr>
      <w:r>
        <w:rPr>
          <w:color w:val="auto"/>
          <w:sz w:val="24"/>
        </w:rPr>
        <w:t>（1）大气环境</w:t>
      </w:r>
    </w:p>
    <w:p w14:paraId="353242EF">
      <w:pPr>
        <w:spacing w:line="360" w:lineRule="auto"/>
        <w:ind w:firstLine="480" w:firstLineChars="200"/>
        <w:rPr>
          <w:color w:val="auto"/>
          <w:sz w:val="24"/>
        </w:rPr>
      </w:pPr>
      <w:r>
        <w:rPr>
          <w:color w:val="auto"/>
          <w:sz w:val="24"/>
        </w:rPr>
        <w:t>根据《建设项目环境风险评价技术导则》（HJ169-2018），确定本项目大气环境风险评价范围为距拟建项目边界外5km范围。</w:t>
      </w:r>
    </w:p>
    <w:p w14:paraId="546DD33D">
      <w:pPr>
        <w:spacing w:line="360" w:lineRule="auto"/>
        <w:ind w:firstLine="480" w:firstLineChars="200"/>
        <w:rPr>
          <w:color w:val="auto"/>
          <w:sz w:val="24"/>
        </w:rPr>
      </w:pPr>
      <w:r>
        <w:rPr>
          <w:color w:val="auto"/>
          <w:sz w:val="24"/>
        </w:rPr>
        <w:t>（2）地表水环境</w:t>
      </w:r>
    </w:p>
    <w:p w14:paraId="5D96A9C3">
      <w:pPr>
        <w:spacing w:line="360" w:lineRule="auto"/>
        <w:ind w:firstLine="480" w:firstLineChars="200"/>
        <w:rPr>
          <w:color w:val="auto"/>
          <w:sz w:val="24"/>
        </w:rPr>
      </w:pPr>
      <w:r>
        <w:rPr>
          <w:color w:val="auto"/>
          <w:sz w:val="24"/>
        </w:rPr>
        <w:t>地表水环境评价范围同HJ2.3-2018中三级B评价范围，覆盖环境风险影响范围所及的水环境保护目标水域。</w:t>
      </w:r>
    </w:p>
    <w:p w14:paraId="46C9D0F8">
      <w:pPr>
        <w:spacing w:line="360" w:lineRule="auto"/>
        <w:ind w:firstLine="480" w:firstLineChars="200"/>
        <w:rPr>
          <w:color w:val="auto"/>
          <w:sz w:val="24"/>
        </w:rPr>
      </w:pPr>
      <w:r>
        <w:rPr>
          <w:color w:val="auto"/>
          <w:sz w:val="24"/>
        </w:rPr>
        <w:t>（3）地下水环境</w:t>
      </w:r>
    </w:p>
    <w:p w14:paraId="71EC6E24">
      <w:pPr>
        <w:spacing w:line="360" w:lineRule="auto"/>
        <w:ind w:firstLine="480" w:firstLineChars="200"/>
        <w:rPr>
          <w:color w:val="auto"/>
          <w:sz w:val="24"/>
        </w:rPr>
      </w:pPr>
      <w:r>
        <w:rPr>
          <w:color w:val="auto"/>
          <w:sz w:val="24"/>
        </w:rPr>
        <w:t>项目所在地独立水文地质单元的地下水</w:t>
      </w:r>
      <w:r>
        <w:rPr>
          <w:rFonts w:hint="eastAsia"/>
          <w:color w:val="auto"/>
          <w:sz w:val="24"/>
          <w:lang w:eastAsia="zh-CN"/>
        </w:rPr>
        <w:t>，</w:t>
      </w:r>
      <w:r>
        <w:rPr>
          <w:rFonts w:hint="eastAsia"/>
          <w:color w:val="auto"/>
          <w:sz w:val="24"/>
          <w:lang w:val="en-US" w:eastAsia="zh-CN"/>
        </w:rPr>
        <w:t>同一期工程评价范围</w:t>
      </w:r>
      <w:r>
        <w:rPr>
          <w:rFonts w:ascii="Times New Roman" w:hAnsi="Times New Roman" w:eastAsia="Times New Roman" w:cs="Times New Roman"/>
          <w:color w:val="auto"/>
          <w:spacing w:val="-5"/>
          <w:sz w:val="24"/>
          <w:szCs w:val="24"/>
        </w:rPr>
        <w:t>41km</w:t>
      </w:r>
      <w:r>
        <w:rPr>
          <w:rFonts w:ascii="Times New Roman" w:hAnsi="Times New Roman" w:eastAsia="Times New Roman" w:cs="Times New Roman"/>
          <w:color w:val="auto"/>
          <w:spacing w:val="-5"/>
          <w:position w:val="9"/>
          <w:sz w:val="16"/>
          <w:szCs w:val="16"/>
        </w:rPr>
        <w:t>2</w:t>
      </w:r>
      <w:r>
        <w:rPr>
          <w:color w:val="auto"/>
          <w:sz w:val="24"/>
        </w:rPr>
        <w:t>。</w:t>
      </w:r>
    </w:p>
    <w:p w14:paraId="31E56F82">
      <w:pPr>
        <w:rPr>
          <w:rFonts w:eastAsia="楷体"/>
          <w:b/>
          <w:bCs/>
          <w:color w:val="auto"/>
          <w:kern w:val="44"/>
          <w:sz w:val="44"/>
          <w:szCs w:val="44"/>
        </w:rPr>
      </w:pPr>
      <w:r>
        <w:rPr>
          <w:rFonts w:eastAsia="楷体"/>
          <w:b/>
          <w:bCs/>
          <w:color w:val="auto"/>
          <w:kern w:val="44"/>
          <w:sz w:val="44"/>
          <w:szCs w:val="44"/>
        </w:rPr>
        <w:br w:type="page"/>
      </w:r>
    </w:p>
    <w:p w14:paraId="50E77ADE">
      <w:pPr>
        <w:keepNext/>
        <w:keepLines/>
        <w:pageBreakBefore w:val="0"/>
        <w:widowControl w:val="0"/>
        <w:kinsoku/>
        <w:wordWrap/>
        <w:overflowPunct/>
        <w:topLinePunct w:val="0"/>
        <w:autoSpaceDE/>
        <w:autoSpaceDN/>
        <w:bidi w:val="0"/>
        <w:adjustRightInd/>
        <w:snapToGrid/>
        <w:spacing w:line="360" w:lineRule="auto"/>
        <w:textAlignment w:val="auto"/>
        <w:outlineLvl w:val="0"/>
        <w:rPr>
          <w:rFonts w:eastAsia="楷体"/>
          <w:b/>
          <w:bCs/>
          <w:color w:val="auto"/>
          <w:kern w:val="44"/>
          <w:sz w:val="44"/>
          <w:szCs w:val="44"/>
        </w:rPr>
      </w:pPr>
      <w:r>
        <w:rPr>
          <w:rFonts w:eastAsia="楷体"/>
          <w:b/>
          <w:bCs/>
          <w:color w:val="auto"/>
          <w:kern w:val="44"/>
          <w:sz w:val="44"/>
          <w:szCs w:val="44"/>
        </w:rPr>
        <w:t>7.5风险识别</w:t>
      </w:r>
    </w:p>
    <w:p w14:paraId="2F99A315">
      <w:pPr>
        <w:pStyle w:val="4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olor w:val="auto"/>
          <w:sz w:val="24"/>
          <w:szCs w:val="24"/>
          <w:shd w:val="clear" w:color="auto" w:fill="auto"/>
          <w:lang w:val="en-US" w:eastAsia="zh-CN"/>
        </w:rPr>
      </w:pPr>
      <w:r>
        <w:rPr>
          <w:rFonts w:hint="default" w:ascii="Times New Roman" w:hAnsi="Times New Roman"/>
          <w:color w:val="auto"/>
          <w:sz w:val="24"/>
          <w:szCs w:val="24"/>
          <w:shd w:val="clear" w:color="auto" w:fill="auto"/>
          <w:lang w:val="en-US" w:eastAsia="zh-CN"/>
        </w:rPr>
        <w:t>在风险调查的基础上，给出本项目环境风险识别表，见表7.</w:t>
      </w:r>
      <w:r>
        <w:rPr>
          <w:rFonts w:hint="eastAsia" w:ascii="Times New Roman" w:hAnsi="Times New Roman"/>
          <w:color w:val="auto"/>
          <w:sz w:val="24"/>
          <w:szCs w:val="24"/>
          <w:shd w:val="clear" w:color="auto" w:fill="auto"/>
          <w:lang w:val="en-US" w:eastAsia="zh-CN"/>
        </w:rPr>
        <w:t>5</w:t>
      </w:r>
      <w:r>
        <w:rPr>
          <w:rFonts w:hint="default" w:ascii="Times New Roman" w:hAnsi="Times New Roman"/>
          <w:color w:val="auto"/>
          <w:sz w:val="24"/>
          <w:szCs w:val="24"/>
          <w:shd w:val="clear" w:color="auto" w:fill="auto"/>
          <w:lang w:val="en-US" w:eastAsia="zh-CN"/>
        </w:rPr>
        <w:t>-1。</w:t>
      </w:r>
    </w:p>
    <w:p w14:paraId="308F373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黑体" w:hAnsi="黑体" w:eastAsia="黑体" w:cs="黑体"/>
          <w:b/>
          <w:bCs/>
          <w:color w:val="auto"/>
          <w:sz w:val="24"/>
          <w:szCs w:val="24"/>
        </w:rPr>
      </w:pPr>
      <w:r>
        <w:rPr>
          <w:b/>
          <w:bCs/>
          <w:color w:val="auto"/>
          <w:sz w:val="24"/>
          <w:szCs w:val="24"/>
        </w:rPr>
        <w:t>表7.</w:t>
      </w:r>
      <w:r>
        <w:rPr>
          <w:rFonts w:hint="eastAsia"/>
          <w:b/>
          <w:bCs/>
          <w:color w:val="auto"/>
          <w:sz w:val="24"/>
          <w:szCs w:val="24"/>
          <w:lang w:val="en-US" w:eastAsia="zh-CN"/>
        </w:rPr>
        <w:t>5</w:t>
      </w:r>
      <w:r>
        <w:rPr>
          <w:b/>
          <w:bCs/>
          <w:color w:val="auto"/>
          <w:sz w:val="24"/>
          <w:szCs w:val="24"/>
        </w:rPr>
        <w:t>-1建设项目环境风险识别表</w:t>
      </w:r>
    </w:p>
    <w:tbl>
      <w:tblPr>
        <w:tblStyle w:val="75"/>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90"/>
        <w:gridCol w:w="987"/>
        <w:gridCol w:w="1044"/>
        <w:gridCol w:w="2219"/>
        <w:gridCol w:w="1045"/>
        <w:gridCol w:w="1181"/>
        <w:gridCol w:w="1397"/>
      </w:tblGrid>
      <w:tr w14:paraId="012C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0" w:hRule="atLeast"/>
        </w:trPr>
        <w:tc>
          <w:tcPr>
            <w:tcW w:w="403" w:type="pct"/>
            <w:shd w:val="clear" w:color="auto" w:fill="auto"/>
            <w:vAlign w:val="center"/>
          </w:tcPr>
          <w:p w14:paraId="531A0247">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576" w:type="pct"/>
            <w:shd w:val="clear" w:color="auto" w:fill="auto"/>
            <w:vAlign w:val="center"/>
          </w:tcPr>
          <w:p w14:paraId="23C92E28">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危险单元</w:t>
            </w:r>
          </w:p>
        </w:tc>
        <w:tc>
          <w:tcPr>
            <w:tcW w:w="609" w:type="pct"/>
            <w:shd w:val="clear" w:color="auto" w:fill="auto"/>
            <w:vAlign w:val="center"/>
          </w:tcPr>
          <w:p w14:paraId="3DA0D897">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风险源</w:t>
            </w:r>
          </w:p>
        </w:tc>
        <w:tc>
          <w:tcPr>
            <w:tcW w:w="1295" w:type="pct"/>
            <w:shd w:val="clear" w:color="auto" w:fill="auto"/>
            <w:vAlign w:val="center"/>
          </w:tcPr>
          <w:p w14:paraId="11C40796">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主要危险物质</w:t>
            </w:r>
          </w:p>
        </w:tc>
        <w:tc>
          <w:tcPr>
            <w:tcW w:w="610" w:type="pct"/>
            <w:shd w:val="clear" w:color="auto" w:fill="auto"/>
            <w:vAlign w:val="center"/>
          </w:tcPr>
          <w:p w14:paraId="1ACB828B">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环境风险类型</w:t>
            </w:r>
          </w:p>
        </w:tc>
        <w:tc>
          <w:tcPr>
            <w:tcW w:w="689" w:type="pct"/>
            <w:shd w:val="clear" w:color="auto" w:fill="auto"/>
            <w:vAlign w:val="center"/>
          </w:tcPr>
          <w:p w14:paraId="1B72E9FA">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环境影响途径</w:t>
            </w:r>
          </w:p>
        </w:tc>
        <w:tc>
          <w:tcPr>
            <w:tcW w:w="815" w:type="pct"/>
            <w:shd w:val="clear" w:color="auto" w:fill="auto"/>
            <w:vAlign w:val="center"/>
          </w:tcPr>
          <w:p w14:paraId="245EA513">
            <w:pPr>
              <w:jc w:val="center"/>
              <w:rPr>
                <w:rFonts w:ascii="Times New Roman" w:hAnsi="Times New Roman" w:eastAsia="宋体"/>
                <w:b/>
                <w:bCs/>
                <w:color w:val="auto"/>
                <w:sz w:val="21"/>
                <w:szCs w:val="21"/>
              </w:rPr>
            </w:pPr>
            <w:r>
              <w:rPr>
                <w:rFonts w:ascii="Times New Roman" w:hAnsi="Times New Roman" w:eastAsia="宋体"/>
                <w:b/>
                <w:bCs/>
                <w:color w:val="auto"/>
                <w:sz w:val="21"/>
                <w:szCs w:val="21"/>
              </w:rPr>
              <w:t>可能受影响的环境敏感目标</w:t>
            </w:r>
          </w:p>
        </w:tc>
      </w:tr>
      <w:tr w14:paraId="33C0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7" w:hRule="atLeast"/>
        </w:trPr>
        <w:tc>
          <w:tcPr>
            <w:tcW w:w="403" w:type="pct"/>
            <w:shd w:val="clear" w:color="auto" w:fill="auto"/>
            <w:vAlign w:val="center"/>
          </w:tcPr>
          <w:p w14:paraId="2D3D8D23">
            <w:pPr>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p>
        </w:tc>
        <w:tc>
          <w:tcPr>
            <w:tcW w:w="576" w:type="pct"/>
            <w:shd w:val="clear" w:color="auto" w:fill="auto"/>
            <w:vAlign w:val="center"/>
          </w:tcPr>
          <w:p w14:paraId="52B3F843">
            <w:pPr>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w:t>
            </w:r>
            <w:r>
              <w:rPr>
                <w:rFonts w:ascii="Times New Roman" w:hAnsi="Times New Roman" w:eastAsia="宋体"/>
                <w:color w:val="auto"/>
                <w:sz w:val="21"/>
                <w:szCs w:val="21"/>
              </w:rPr>
              <w:t>仓库</w:t>
            </w:r>
          </w:p>
        </w:tc>
        <w:tc>
          <w:tcPr>
            <w:tcW w:w="609" w:type="pct"/>
            <w:shd w:val="clear" w:color="auto" w:fill="auto"/>
            <w:vAlign w:val="center"/>
          </w:tcPr>
          <w:p w14:paraId="071E034E">
            <w:pPr>
              <w:jc w:val="center"/>
              <w:rPr>
                <w:rFonts w:ascii="Times New Roman" w:hAnsi="Times New Roman" w:eastAsia="宋体"/>
                <w:color w:val="auto"/>
                <w:sz w:val="21"/>
                <w:szCs w:val="21"/>
              </w:rPr>
            </w:pPr>
            <w:r>
              <w:rPr>
                <w:rFonts w:ascii="Times New Roman" w:hAnsi="Times New Roman" w:eastAsia="宋体"/>
                <w:color w:val="auto"/>
                <w:sz w:val="21"/>
                <w:szCs w:val="21"/>
              </w:rPr>
              <w:t>仓储区</w:t>
            </w:r>
          </w:p>
        </w:tc>
        <w:tc>
          <w:tcPr>
            <w:tcW w:w="1295" w:type="pct"/>
            <w:shd w:val="clear" w:color="auto" w:fill="auto"/>
            <w:vAlign w:val="center"/>
          </w:tcPr>
          <w:p w14:paraId="7D4C1E88">
            <w:pPr>
              <w:jc w:val="center"/>
              <w:rPr>
                <w:rFonts w:ascii="Times New Roman" w:hAnsi="Times New Roman" w:eastAsia="宋体"/>
                <w:color w:val="auto"/>
                <w:sz w:val="21"/>
                <w:szCs w:val="21"/>
              </w:rPr>
            </w:pPr>
            <w:r>
              <w:rPr>
                <w:rFonts w:ascii="Times New Roman" w:hAnsi="Times New Roman" w:eastAsia="宋体"/>
                <w:color w:val="auto"/>
                <w:sz w:val="21"/>
                <w:szCs w:val="21"/>
              </w:rPr>
              <w:t>硫酸镍、氯化镍、焦磷酸铜、钝化液、盐酸、硫酸、硝酸、喷涂漆等</w:t>
            </w:r>
          </w:p>
        </w:tc>
        <w:tc>
          <w:tcPr>
            <w:tcW w:w="610" w:type="pct"/>
            <w:shd w:val="clear" w:color="auto" w:fill="auto"/>
            <w:vAlign w:val="center"/>
          </w:tcPr>
          <w:p w14:paraId="36C44655">
            <w:pPr>
              <w:jc w:val="center"/>
              <w:rPr>
                <w:rFonts w:ascii="Times New Roman" w:hAnsi="Times New Roman" w:eastAsia="宋体"/>
                <w:color w:val="auto"/>
                <w:sz w:val="21"/>
                <w:szCs w:val="21"/>
              </w:rPr>
            </w:pPr>
            <w:r>
              <w:rPr>
                <w:rFonts w:ascii="Times New Roman" w:hAnsi="Times New Roman" w:eastAsia="宋体"/>
                <w:color w:val="auto"/>
                <w:sz w:val="21"/>
                <w:szCs w:val="21"/>
              </w:rPr>
              <w:t>泄漏</w:t>
            </w:r>
          </w:p>
        </w:tc>
        <w:tc>
          <w:tcPr>
            <w:tcW w:w="689" w:type="pct"/>
            <w:shd w:val="clear" w:color="auto" w:fill="auto"/>
            <w:vAlign w:val="center"/>
          </w:tcPr>
          <w:p w14:paraId="6D0E9652">
            <w:pPr>
              <w:jc w:val="center"/>
              <w:rPr>
                <w:rFonts w:ascii="Times New Roman" w:hAnsi="Times New Roman" w:eastAsia="宋体"/>
                <w:color w:val="auto"/>
                <w:sz w:val="21"/>
                <w:szCs w:val="21"/>
              </w:rPr>
            </w:pPr>
            <w:r>
              <w:rPr>
                <w:rFonts w:ascii="Times New Roman" w:hAnsi="Times New Roman" w:eastAsia="宋体"/>
                <w:color w:val="auto"/>
                <w:sz w:val="21"/>
                <w:szCs w:val="21"/>
              </w:rPr>
              <w:t>地表水、地下水、大气</w:t>
            </w:r>
          </w:p>
        </w:tc>
        <w:tc>
          <w:tcPr>
            <w:tcW w:w="815" w:type="pct"/>
            <w:shd w:val="clear" w:color="auto" w:fill="auto"/>
            <w:vAlign w:val="center"/>
          </w:tcPr>
          <w:p w14:paraId="5551EB60">
            <w:pPr>
              <w:jc w:val="center"/>
              <w:rPr>
                <w:rFonts w:ascii="Times New Roman" w:hAnsi="Times New Roman" w:eastAsia="宋体"/>
                <w:color w:val="auto"/>
                <w:sz w:val="21"/>
                <w:szCs w:val="21"/>
              </w:rPr>
            </w:pPr>
            <w:r>
              <w:rPr>
                <w:rFonts w:ascii="Times New Roman" w:hAnsi="Times New Roman" w:eastAsia="宋体"/>
                <w:color w:val="auto"/>
                <w:sz w:val="21"/>
                <w:szCs w:val="21"/>
              </w:rPr>
              <w:t>赣江、周边环境空气</w:t>
            </w:r>
          </w:p>
        </w:tc>
      </w:tr>
      <w:tr w14:paraId="1A08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6" w:hRule="atLeast"/>
        </w:trPr>
        <w:tc>
          <w:tcPr>
            <w:tcW w:w="403" w:type="pct"/>
            <w:shd w:val="clear" w:color="auto" w:fill="auto"/>
            <w:vAlign w:val="center"/>
          </w:tcPr>
          <w:p w14:paraId="459848D8">
            <w:pPr>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2</w:t>
            </w:r>
          </w:p>
        </w:tc>
        <w:tc>
          <w:tcPr>
            <w:tcW w:w="576" w:type="pct"/>
            <w:shd w:val="clear" w:color="auto" w:fill="auto"/>
            <w:vAlign w:val="center"/>
          </w:tcPr>
          <w:p w14:paraId="4B6B00F2">
            <w:pPr>
              <w:jc w:val="center"/>
              <w:rPr>
                <w:rFonts w:ascii="Times New Roman" w:hAnsi="Times New Roman" w:eastAsia="宋体"/>
                <w:color w:val="auto"/>
                <w:sz w:val="21"/>
                <w:szCs w:val="21"/>
              </w:rPr>
            </w:pPr>
            <w:r>
              <w:rPr>
                <w:rFonts w:ascii="Times New Roman" w:hAnsi="Times New Roman" w:eastAsia="宋体"/>
                <w:color w:val="auto"/>
                <w:sz w:val="21"/>
                <w:szCs w:val="21"/>
              </w:rPr>
              <w:t>污水处理站</w:t>
            </w:r>
          </w:p>
        </w:tc>
        <w:tc>
          <w:tcPr>
            <w:tcW w:w="609" w:type="pct"/>
            <w:shd w:val="clear" w:color="auto" w:fill="auto"/>
            <w:vAlign w:val="center"/>
          </w:tcPr>
          <w:p w14:paraId="185848B5">
            <w:pPr>
              <w:jc w:val="center"/>
              <w:rPr>
                <w:rFonts w:ascii="Times New Roman" w:hAnsi="Times New Roman" w:eastAsia="宋体"/>
                <w:color w:val="auto"/>
                <w:sz w:val="21"/>
                <w:szCs w:val="21"/>
              </w:rPr>
            </w:pPr>
            <w:r>
              <w:rPr>
                <w:rFonts w:ascii="Times New Roman" w:hAnsi="Times New Roman" w:eastAsia="宋体"/>
                <w:color w:val="auto"/>
                <w:sz w:val="21"/>
                <w:szCs w:val="21"/>
              </w:rPr>
              <w:t>废水处理设施</w:t>
            </w:r>
          </w:p>
        </w:tc>
        <w:tc>
          <w:tcPr>
            <w:tcW w:w="1295" w:type="pct"/>
            <w:shd w:val="clear" w:color="auto" w:fill="auto"/>
            <w:vAlign w:val="center"/>
          </w:tcPr>
          <w:p w14:paraId="10F07743">
            <w:pPr>
              <w:jc w:val="center"/>
              <w:rPr>
                <w:rFonts w:ascii="Times New Roman" w:hAnsi="Times New Roman" w:eastAsia="宋体"/>
                <w:color w:val="auto"/>
                <w:sz w:val="21"/>
                <w:szCs w:val="21"/>
              </w:rPr>
            </w:pPr>
            <w:r>
              <w:rPr>
                <w:rFonts w:ascii="Times New Roman" w:hAnsi="Times New Roman" w:eastAsia="宋体"/>
                <w:color w:val="auto"/>
                <w:sz w:val="21"/>
                <w:szCs w:val="21"/>
              </w:rPr>
              <w:t>锌、镍、铜、铬等</w:t>
            </w:r>
          </w:p>
        </w:tc>
        <w:tc>
          <w:tcPr>
            <w:tcW w:w="610" w:type="pct"/>
            <w:shd w:val="clear" w:color="auto" w:fill="auto"/>
            <w:vAlign w:val="center"/>
          </w:tcPr>
          <w:p w14:paraId="28A0DFD5">
            <w:pPr>
              <w:jc w:val="center"/>
              <w:rPr>
                <w:rFonts w:ascii="Times New Roman" w:hAnsi="Times New Roman" w:eastAsia="宋体"/>
                <w:color w:val="auto"/>
                <w:sz w:val="21"/>
                <w:szCs w:val="21"/>
              </w:rPr>
            </w:pPr>
            <w:r>
              <w:rPr>
                <w:rFonts w:ascii="Times New Roman" w:hAnsi="Times New Roman" w:eastAsia="宋体"/>
                <w:color w:val="auto"/>
                <w:sz w:val="21"/>
                <w:szCs w:val="21"/>
              </w:rPr>
              <w:t>泄漏</w:t>
            </w:r>
          </w:p>
        </w:tc>
        <w:tc>
          <w:tcPr>
            <w:tcW w:w="689" w:type="pct"/>
            <w:shd w:val="clear" w:color="auto" w:fill="auto"/>
            <w:vAlign w:val="center"/>
          </w:tcPr>
          <w:p w14:paraId="46796AA5">
            <w:pPr>
              <w:jc w:val="center"/>
              <w:rPr>
                <w:rFonts w:ascii="Times New Roman" w:hAnsi="Times New Roman" w:eastAsia="宋体"/>
                <w:color w:val="auto"/>
                <w:sz w:val="21"/>
                <w:szCs w:val="21"/>
              </w:rPr>
            </w:pPr>
            <w:r>
              <w:rPr>
                <w:rFonts w:ascii="Times New Roman" w:hAnsi="Times New Roman" w:eastAsia="宋体"/>
                <w:color w:val="auto"/>
                <w:sz w:val="21"/>
                <w:szCs w:val="21"/>
              </w:rPr>
              <w:t>地表水、地下水</w:t>
            </w:r>
          </w:p>
        </w:tc>
        <w:tc>
          <w:tcPr>
            <w:tcW w:w="815" w:type="pct"/>
            <w:shd w:val="clear" w:color="auto" w:fill="auto"/>
            <w:vAlign w:val="center"/>
          </w:tcPr>
          <w:p w14:paraId="27A855CC">
            <w:pPr>
              <w:jc w:val="center"/>
              <w:rPr>
                <w:rFonts w:ascii="Times New Roman" w:hAnsi="Times New Roman" w:eastAsia="宋体"/>
                <w:color w:val="auto"/>
                <w:sz w:val="21"/>
                <w:szCs w:val="21"/>
              </w:rPr>
            </w:pPr>
            <w:r>
              <w:rPr>
                <w:rFonts w:ascii="Times New Roman" w:hAnsi="Times New Roman" w:eastAsia="宋体"/>
                <w:color w:val="auto"/>
                <w:sz w:val="21"/>
                <w:szCs w:val="21"/>
              </w:rPr>
              <w:t>赣江</w:t>
            </w:r>
          </w:p>
        </w:tc>
      </w:tr>
      <w:tr w14:paraId="416B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6" w:hRule="atLeast"/>
        </w:trPr>
        <w:tc>
          <w:tcPr>
            <w:tcW w:w="403" w:type="pct"/>
            <w:shd w:val="clear" w:color="auto" w:fill="auto"/>
            <w:vAlign w:val="center"/>
          </w:tcPr>
          <w:p w14:paraId="3B53BD81">
            <w:pPr>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3</w:t>
            </w:r>
          </w:p>
        </w:tc>
        <w:tc>
          <w:tcPr>
            <w:tcW w:w="576" w:type="pct"/>
            <w:shd w:val="clear" w:color="auto" w:fill="auto"/>
            <w:vAlign w:val="center"/>
          </w:tcPr>
          <w:p w14:paraId="723C6DBF">
            <w:pPr>
              <w:jc w:val="center"/>
              <w:rPr>
                <w:rFonts w:ascii="Times New Roman" w:hAnsi="Times New Roman" w:eastAsia="宋体"/>
                <w:color w:val="auto"/>
                <w:sz w:val="21"/>
                <w:szCs w:val="21"/>
              </w:rPr>
            </w:pPr>
            <w:r>
              <w:rPr>
                <w:rFonts w:ascii="Times New Roman" w:hAnsi="Times New Roman" w:eastAsia="宋体"/>
                <w:color w:val="auto"/>
                <w:sz w:val="21"/>
                <w:szCs w:val="21"/>
              </w:rPr>
              <w:t>危险废物暂存间</w:t>
            </w:r>
          </w:p>
        </w:tc>
        <w:tc>
          <w:tcPr>
            <w:tcW w:w="609" w:type="pct"/>
            <w:shd w:val="clear" w:color="auto" w:fill="auto"/>
            <w:vAlign w:val="center"/>
          </w:tcPr>
          <w:p w14:paraId="1DC0D608">
            <w:pPr>
              <w:jc w:val="center"/>
              <w:rPr>
                <w:rFonts w:ascii="Times New Roman" w:hAnsi="Times New Roman" w:eastAsia="宋体"/>
                <w:color w:val="auto"/>
                <w:sz w:val="21"/>
                <w:szCs w:val="21"/>
              </w:rPr>
            </w:pPr>
            <w:r>
              <w:rPr>
                <w:rFonts w:ascii="Times New Roman" w:hAnsi="Times New Roman" w:eastAsia="宋体"/>
                <w:color w:val="auto"/>
                <w:sz w:val="21"/>
                <w:szCs w:val="21"/>
              </w:rPr>
              <w:t>危险废物盛装容器</w:t>
            </w:r>
          </w:p>
        </w:tc>
        <w:tc>
          <w:tcPr>
            <w:tcW w:w="1295" w:type="pct"/>
            <w:shd w:val="clear" w:color="auto" w:fill="auto"/>
            <w:vAlign w:val="center"/>
          </w:tcPr>
          <w:p w14:paraId="7FF0071F">
            <w:pPr>
              <w:jc w:val="center"/>
              <w:rPr>
                <w:rFonts w:ascii="Times New Roman" w:hAnsi="Times New Roman" w:eastAsia="宋体"/>
                <w:color w:val="auto"/>
                <w:sz w:val="21"/>
                <w:szCs w:val="21"/>
              </w:rPr>
            </w:pPr>
            <w:r>
              <w:rPr>
                <w:rFonts w:ascii="Times New Roman" w:hAnsi="Times New Roman" w:eastAsia="宋体"/>
                <w:color w:val="auto"/>
                <w:sz w:val="21"/>
                <w:szCs w:val="21"/>
              </w:rPr>
              <w:t>镀槽槽渣、漆渣、废化</w:t>
            </w:r>
          </w:p>
          <w:p w14:paraId="08A1700E">
            <w:pPr>
              <w:jc w:val="center"/>
              <w:rPr>
                <w:rFonts w:ascii="Times New Roman" w:hAnsi="Times New Roman" w:eastAsia="宋体"/>
                <w:color w:val="auto"/>
                <w:sz w:val="21"/>
                <w:szCs w:val="21"/>
              </w:rPr>
            </w:pPr>
            <w:r>
              <w:rPr>
                <w:rFonts w:ascii="Times New Roman" w:hAnsi="Times New Roman" w:eastAsia="宋体"/>
                <w:color w:val="auto"/>
                <w:sz w:val="21"/>
                <w:szCs w:val="21"/>
              </w:rPr>
              <w:t>学镀镍槽液、废退镀液</w:t>
            </w:r>
          </w:p>
          <w:p w14:paraId="383701DA">
            <w:pPr>
              <w:jc w:val="center"/>
              <w:rPr>
                <w:rFonts w:ascii="Times New Roman" w:hAnsi="Times New Roman" w:eastAsia="宋体"/>
                <w:color w:val="auto"/>
                <w:sz w:val="21"/>
                <w:szCs w:val="21"/>
              </w:rPr>
            </w:pPr>
            <w:r>
              <w:rPr>
                <w:rFonts w:ascii="Times New Roman" w:hAnsi="Times New Roman" w:eastAsia="宋体"/>
                <w:color w:val="auto"/>
                <w:sz w:val="21"/>
                <w:szCs w:val="21"/>
              </w:rPr>
              <w:t>（含渣）</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废切削液、废机油</w:t>
            </w:r>
            <w:r>
              <w:rPr>
                <w:rFonts w:ascii="Times New Roman" w:hAnsi="Times New Roman" w:eastAsia="宋体"/>
                <w:color w:val="auto"/>
                <w:sz w:val="21"/>
                <w:szCs w:val="21"/>
              </w:rPr>
              <w:t>等</w:t>
            </w:r>
          </w:p>
        </w:tc>
        <w:tc>
          <w:tcPr>
            <w:tcW w:w="610" w:type="pct"/>
            <w:shd w:val="clear" w:color="auto" w:fill="auto"/>
            <w:vAlign w:val="center"/>
          </w:tcPr>
          <w:p w14:paraId="064F4C4D">
            <w:pPr>
              <w:jc w:val="center"/>
              <w:rPr>
                <w:rFonts w:ascii="Times New Roman" w:hAnsi="Times New Roman" w:eastAsia="宋体"/>
                <w:color w:val="auto"/>
                <w:sz w:val="21"/>
                <w:szCs w:val="21"/>
              </w:rPr>
            </w:pPr>
            <w:r>
              <w:rPr>
                <w:rFonts w:ascii="Times New Roman" w:hAnsi="Times New Roman" w:eastAsia="宋体"/>
                <w:color w:val="auto"/>
                <w:sz w:val="21"/>
                <w:szCs w:val="21"/>
              </w:rPr>
              <w:t>泄漏</w:t>
            </w:r>
          </w:p>
        </w:tc>
        <w:tc>
          <w:tcPr>
            <w:tcW w:w="689" w:type="pct"/>
            <w:shd w:val="clear" w:color="auto" w:fill="auto"/>
            <w:vAlign w:val="center"/>
          </w:tcPr>
          <w:p w14:paraId="142392A4">
            <w:pPr>
              <w:jc w:val="center"/>
              <w:rPr>
                <w:rFonts w:ascii="Times New Roman" w:hAnsi="Times New Roman" w:eastAsia="宋体"/>
                <w:color w:val="auto"/>
                <w:sz w:val="21"/>
                <w:szCs w:val="21"/>
              </w:rPr>
            </w:pPr>
            <w:r>
              <w:rPr>
                <w:rFonts w:ascii="Times New Roman" w:hAnsi="Times New Roman" w:eastAsia="宋体"/>
                <w:color w:val="auto"/>
                <w:sz w:val="21"/>
                <w:szCs w:val="21"/>
              </w:rPr>
              <w:t>地表水、地下水</w:t>
            </w:r>
          </w:p>
        </w:tc>
        <w:tc>
          <w:tcPr>
            <w:tcW w:w="815" w:type="pct"/>
            <w:shd w:val="clear" w:color="auto" w:fill="auto"/>
            <w:vAlign w:val="center"/>
          </w:tcPr>
          <w:p w14:paraId="0B1F25AA">
            <w:pPr>
              <w:jc w:val="center"/>
              <w:rPr>
                <w:rFonts w:ascii="Times New Roman" w:hAnsi="Times New Roman" w:eastAsia="宋体"/>
                <w:color w:val="auto"/>
                <w:sz w:val="21"/>
                <w:szCs w:val="21"/>
              </w:rPr>
            </w:pPr>
            <w:r>
              <w:rPr>
                <w:rFonts w:ascii="Times New Roman" w:hAnsi="Times New Roman" w:eastAsia="宋体"/>
                <w:color w:val="auto"/>
                <w:sz w:val="21"/>
                <w:szCs w:val="21"/>
              </w:rPr>
              <w:t>赣江</w:t>
            </w:r>
          </w:p>
        </w:tc>
      </w:tr>
      <w:tr w14:paraId="31B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6" w:hRule="atLeast"/>
        </w:trPr>
        <w:tc>
          <w:tcPr>
            <w:tcW w:w="403" w:type="pct"/>
            <w:shd w:val="clear" w:color="auto" w:fill="auto"/>
            <w:vAlign w:val="center"/>
          </w:tcPr>
          <w:p w14:paraId="59115767">
            <w:pPr>
              <w:jc w:val="center"/>
              <w:rPr>
                <w:rFonts w:hint="eastAsia" w:ascii="Times New Roman" w:hAnsi="Times New Roman" w:eastAsia="宋体"/>
                <w:color w:val="auto"/>
                <w:sz w:val="21"/>
                <w:szCs w:val="21"/>
                <w:lang w:eastAsia="zh-CN"/>
              </w:rPr>
            </w:pPr>
            <w:r>
              <w:rPr>
                <w:rFonts w:hint="eastAsia"/>
                <w:color w:val="auto"/>
                <w:sz w:val="21"/>
                <w:szCs w:val="21"/>
                <w:lang w:val="en-US" w:eastAsia="zh-CN"/>
              </w:rPr>
              <w:t>5</w:t>
            </w:r>
          </w:p>
        </w:tc>
        <w:tc>
          <w:tcPr>
            <w:tcW w:w="576" w:type="pct"/>
            <w:shd w:val="clear" w:color="auto" w:fill="auto"/>
            <w:vAlign w:val="center"/>
          </w:tcPr>
          <w:p w14:paraId="7712D896">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2#危化品仓库</w:t>
            </w:r>
          </w:p>
        </w:tc>
        <w:tc>
          <w:tcPr>
            <w:tcW w:w="609" w:type="pct"/>
            <w:shd w:val="clear" w:color="auto" w:fill="auto"/>
            <w:vAlign w:val="center"/>
          </w:tcPr>
          <w:p w14:paraId="1B590A6F">
            <w:pPr>
              <w:jc w:val="center"/>
              <w:rPr>
                <w:rFonts w:ascii="Times New Roman" w:hAnsi="Times New Roman" w:eastAsia="宋体"/>
                <w:color w:val="auto"/>
                <w:sz w:val="21"/>
                <w:szCs w:val="21"/>
              </w:rPr>
            </w:pPr>
            <w:r>
              <w:rPr>
                <w:rFonts w:ascii="Times New Roman" w:hAnsi="Times New Roman" w:eastAsia="宋体"/>
                <w:color w:val="auto"/>
                <w:sz w:val="21"/>
                <w:szCs w:val="21"/>
              </w:rPr>
              <w:t>仓储区</w:t>
            </w:r>
          </w:p>
        </w:tc>
        <w:tc>
          <w:tcPr>
            <w:tcW w:w="1295" w:type="pct"/>
            <w:shd w:val="clear" w:color="auto" w:fill="auto"/>
            <w:vAlign w:val="center"/>
          </w:tcPr>
          <w:p w14:paraId="3C814647">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丙酮、无水乙醇、清洁酒精、硫酸、乙酸、乙二胺、硝酸</w:t>
            </w:r>
            <w:r>
              <w:rPr>
                <w:rFonts w:ascii="Times New Roman" w:hAnsi="Times New Roman" w:eastAsia="宋体"/>
                <w:color w:val="auto"/>
                <w:sz w:val="21"/>
                <w:szCs w:val="21"/>
              </w:rPr>
              <w:t>等</w:t>
            </w:r>
          </w:p>
        </w:tc>
        <w:tc>
          <w:tcPr>
            <w:tcW w:w="610" w:type="pct"/>
            <w:shd w:val="clear" w:color="auto" w:fill="auto"/>
            <w:vAlign w:val="center"/>
          </w:tcPr>
          <w:p w14:paraId="564D14FA">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泄漏</w:t>
            </w:r>
          </w:p>
        </w:tc>
        <w:tc>
          <w:tcPr>
            <w:tcW w:w="689" w:type="pct"/>
            <w:shd w:val="clear" w:color="auto" w:fill="auto"/>
            <w:vAlign w:val="center"/>
          </w:tcPr>
          <w:p w14:paraId="6CC6EFC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地表水、地下水</w:t>
            </w:r>
          </w:p>
        </w:tc>
        <w:tc>
          <w:tcPr>
            <w:tcW w:w="815" w:type="pct"/>
            <w:shd w:val="clear" w:color="auto" w:fill="auto"/>
            <w:vAlign w:val="center"/>
          </w:tcPr>
          <w:p w14:paraId="621B12C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赣江</w:t>
            </w:r>
          </w:p>
        </w:tc>
      </w:tr>
      <w:tr w14:paraId="6A96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2" w:hRule="atLeast"/>
        </w:trPr>
        <w:tc>
          <w:tcPr>
            <w:tcW w:w="403" w:type="pct"/>
            <w:shd w:val="clear" w:color="auto" w:fill="auto"/>
            <w:vAlign w:val="center"/>
          </w:tcPr>
          <w:p w14:paraId="57925972">
            <w:pPr>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576" w:type="pct"/>
            <w:shd w:val="clear" w:color="auto" w:fill="auto"/>
            <w:vAlign w:val="center"/>
          </w:tcPr>
          <w:p w14:paraId="4AA2AC59">
            <w:pPr>
              <w:jc w:val="center"/>
              <w:rPr>
                <w:rFonts w:ascii="Times New Roman" w:hAnsi="Times New Roman" w:eastAsia="宋体"/>
                <w:color w:val="auto"/>
                <w:sz w:val="21"/>
                <w:szCs w:val="21"/>
              </w:rPr>
            </w:pPr>
            <w:r>
              <w:rPr>
                <w:rFonts w:ascii="Times New Roman" w:hAnsi="Times New Roman" w:eastAsia="宋体"/>
                <w:color w:val="auto"/>
                <w:sz w:val="21"/>
                <w:szCs w:val="21"/>
              </w:rPr>
              <w:t>锅炉房</w:t>
            </w:r>
          </w:p>
        </w:tc>
        <w:tc>
          <w:tcPr>
            <w:tcW w:w="609" w:type="pct"/>
            <w:shd w:val="clear" w:color="auto" w:fill="auto"/>
            <w:vAlign w:val="center"/>
          </w:tcPr>
          <w:p w14:paraId="36854E8D">
            <w:pPr>
              <w:jc w:val="center"/>
              <w:rPr>
                <w:rFonts w:ascii="Times New Roman" w:hAnsi="Times New Roman" w:eastAsia="宋体"/>
                <w:color w:val="auto"/>
                <w:sz w:val="21"/>
                <w:szCs w:val="21"/>
              </w:rPr>
            </w:pPr>
            <w:r>
              <w:rPr>
                <w:rFonts w:ascii="Times New Roman" w:hAnsi="Times New Roman" w:eastAsia="宋体"/>
                <w:color w:val="auto"/>
                <w:sz w:val="21"/>
                <w:szCs w:val="21"/>
              </w:rPr>
              <w:t>天然气管道、锅炉</w:t>
            </w:r>
          </w:p>
        </w:tc>
        <w:tc>
          <w:tcPr>
            <w:tcW w:w="1295" w:type="pct"/>
            <w:shd w:val="clear" w:color="auto" w:fill="auto"/>
            <w:vAlign w:val="center"/>
          </w:tcPr>
          <w:p w14:paraId="4F4B3F3F">
            <w:pPr>
              <w:jc w:val="center"/>
              <w:rPr>
                <w:rFonts w:ascii="Times New Roman" w:hAnsi="Times New Roman" w:eastAsia="宋体"/>
                <w:color w:val="auto"/>
                <w:sz w:val="21"/>
                <w:szCs w:val="21"/>
              </w:rPr>
            </w:pPr>
            <w:r>
              <w:rPr>
                <w:rFonts w:ascii="Times New Roman" w:hAnsi="Times New Roman" w:eastAsia="宋体"/>
                <w:color w:val="auto"/>
                <w:sz w:val="21"/>
                <w:szCs w:val="21"/>
              </w:rPr>
              <w:t>天然气</w:t>
            </w:r>
          </w:p>
        </w:tc>
        <w:tc>
          <w:tcPr>
            <w:tcW w:w="610" w:type="pct"/>
            <w:shd w:val="clear" w:color="auto" w:fill="auto"/>
            <w:vAlign w:val="center"/>
          </w:tcPr>
          <w:p w14:paraId="56B832A3">
            <w:pPr>
              <w:jc w:val="center"/>
              <w:rPr>
                <w:rFonts w:ascii="Times New Roman" w:hAnsi="Times New Roman" w:eastAsia="宋体"/>
                <w:color w:val="auto"/>
                <w:sz w:val="21"/>
                <w:szCs w:val="21"/>
              </w:rPr>
            </w:pPr>
            <w:r>
              <w:rPr>
                <w:rFonts w:ascii="Times New Roman" w:hAnsi="Times New Roman" w:eastAsia="宋体"/>
                <w:color w:val="auto"/>
                <w:sz w:val="21"/>
                <w:szCs w:val="21"/>
              </w:rPr>
              <w:t>泄漏、火灾、爆炸</w:t>
            </w:r>
          </w:p>
        </w:tc>
        <w:tc>
          <w:tcPr>
            <w:tcW w:w="689" w:type="pct"/>
            <w:shd w:val="clear" w:color="auto" w:fill="auto"/>
            <w:vAlign w:val="center"/>
          </w:tcPr>
          <w:p w14:paraId="7A729CBB">
            <w:pPr>
              <w:jc w:val="center"/>
              <w:rPr>
                <w:rFonts w:ascii="Times New Roman" w:hAnsi="Times New Roman" w:eastAsia="宋体"/>
                <w:color w:val="auto"/>
                <w:sz w:val="21"/>
                <w:szCs w:val="21"/>
              </w:rPr>
            </w:pPr>
            <w:r>
              <w:rPr>
                <w:rFonts w:ascii="Times New Roman" w:hAnsi="Times New Roman" w:eastAsia="宋体"/>
                <w:color w:val="auto"/>
                <w:sz w:val="21"/>
                <w:szCs w:val="21"/>
              </w:rPr>
              <w:t>地表水、地下水、大气</w:t>
            </w:r>
          </w:p>
        </w:tc>
        <w:tc>
          <w:tcPr>
            <w:tcW w:w="815" w:type="pct"/>
            <w:shd w:val="clear" w:color="auto" w:fill="auto"/>
            <w:vAlign w:val="center"/>
          </w:tcPr>
          <w:p w14:paraId="0D4FB502">
            <w:pPr>
              <w:jc w:val="center"/>
              <w:rPr>
                <w:rFonts w:ascii="Times New Roman" w:hAnsi="Times New Roman" w:eastAsia="宋体"/>
                <w:color w:val="auto"/>
                <w:sz w:val="21"/>
                <w:szCs w:val="21"/>
              </w:rPr>
            </w:pPr>
            <w:r>
              <w:rPr>
                <w:rFonts w:ascii="Times New Roman" w:hAnsi="Times New Roman" w:eastAsia="宋体"/>
                <w:color w:val="auto"/>
                <w:sz w:val="21"/>
                <w:szCs w:val="21"/>
              </w:rPr>
              <w:t>赣江、周边环境空气</w:t>
            </w:r>
          </w:p>
        </w:tc>
      </w:tr>
    </w:tbl>
    <w:p w14:paraId="26F51485">
      <w:pPr>
        <w:keepNext/>
        <w:keepLines/>
        <w:pageBreakBefore w:val="0"/>
        <w:widowControl w:val="0"/>
        <w:kinsoku/>
        <w:wordWrap/>
        <w:overflowPunct/>
        <w:topLinePunct w:val="0"/>
        <w:autoSpaceDE/>
        <w:autoSpaceDN/>
        <w:bidi w:val="0"/>
        <w:adjustRightInd/>
        <w:snapToGrid/>
        <w:spacing w:line="360" w:lineRule="auto"/>
        <w:textAlignment w:val="auto"/>
        <w:outlineLvl w:val="0"/>
        <w:rPr>
          <w:rFonts w:hint="default" w:eastAsia="楷体"/>
          <w:b/>
          <w:bCs/>
          <w:color w:val="auto"/>
          <w:kern w:val="44"/>
          <w:sz w:val="44"/>
          <w:szCs w:val="44"/>
          <w:lang w:val="en-US" w:eastAsia="zh-CN"/>
        </w:rPr>
      </w:pPr>
      <w:r>
        <w:rPr>
          <w:rFonts w:hint="default" w:eastAsia="楷体"/>
          <w:b/>
          <w:bCs/>
          <w:color w:val="auto"/>
          <w:kern w:val="44"/>
          <w:sz w:val="44"/>
          <w:szCs w:val="44"/>
          <w:lang w:val="en-US" w:eastAsia="zh-CN"/>
        </w:rPr>
        <w:t>7.</w:t>
      </w:r>
      <w:r>
        <w:rPr>
          <w:rFonts w:hint="eastAsia" w:eastAsia="楷体"/>
          <w:b/>
          <w:bCs/>
          <w:color w:val="auto"/>
          <w:kern w:val="44"/>
          <w:sz w:val="44"/>
          <w:szCs w:val="44"/>
          <w:lang w:val="en-US" w:eastAsia="zh-CN"/>
        </w:rPr>
        <w:t>6</w:t>
      </w:r>
      <w:r>
        <w:rPr>
          <w:rFonts w:hint="default" w:eastAsia="楷体"/>
          <w:b/>
          <w:bCs/>
          <w:color w:val="auto"/>
          <w:kern w:val="44"/>
          <w:sz w:val="44"/>
          <w:szCs w:val="44"/>
          <w:lang w:val="en-US" w:eastAsia="zh-CN"/>
        </w:rPr>
        <w:t>风险事故情形分析</w:t>
      </w:r>
    </w:p>
    <w:p w14:paraId="1E81FF95">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eastAsia="楷体"/>
          <w:b/>
          <w:color w:val="auto"/>
          <w:sz w:val="30"/>
          <w:szCs w:val="30"/>
          <w:lang w:val="en-US" w:eastAsia="zh-CN"/>
        </w:rPr>
      </w:pPr>
      <w:r>
        <w:rPr>
          <w:rFonts w:hint="default" w:eastAsia="楷体"/>
          <w:b/>
          <w:color w:val="auto"/>
          <w:sz w:val="30"/>
          <w:szCs w:val="30"/>
          <w:lang w:val="en-US" w:eastAsia="zh-CN"/>
        </w:rPr>
        <w:t>7.</w:t>
      </w:r>
      <w:r>
        <w:rPr>
          <w:rFonts w:hint="eastAsia" w:eastAsia="楷体"/>
          <w:b/>
          <w:color w:val="auto"/>
          <w:sz w:val="30"/>
          <w:szCs w:val="30"/>
          <w:lang w:val="en-US" w:eastAsia="zh-CN"/>
        </w:rPr>
        <w:t>6</w:t>
      </w:r>
      <w:r>
        <w:rPr>
          <w:rFonts w:hint="default" w:eastAsia="楷体"/>
          <w:b/>
          <w:color w:val="auto"/>
          <w:sz w:val="30"/>
          <w:szCs w:val="30"/>
          <w:lang w:val="en-US" w:eastAsia="zh-CN"/>
        </w:rPr>
        <w:t>.1风险事故情形设定</w:t>
      </w:r>
    </w:p>
    <w:p w14:paraId="36E06775">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jc w:val="both"/>
        <w:textAlignment w:val="auto"/>
        <w:rPr>
          <w:rFonts w:ascii="宋体" w:hAnsi="宋体" w:eastAsia="宋体" w:cs="宋体"/>
          <w:color w:val="auto"/>
          <w:spacing w:val="-3"/>
          <w:sz w:val="24"/>
          <w:szCs w:val="24"/>
        </w:rPr>
      </w:pPr>
      <w:r>
        <w:rPr>
          <w:rFonts w:ascii="宋体" w:hAnsi="宋体" w:eastAsia="宋体" w:cs="宋体"/>
          <w:color w:val="auto"/>
          <w:spacing w:val="-2"/>
          <w:sz w:val="24"/>
          <w:szCs w:val="24"/>
        </w:rPr>
        <w:t>项目</w:t>
      </w:r>
      <w:r>
        <w:rPr>
          <w:rFonts w:hint="eastAsia" w:ascii="宋体" w:hAnsi="宋体" w:eastAsia="宋体" w:cs="宋体"/>
          <w:color w:val="auto"/>
          <w:spacing w:val="-2"/>
          <w:sz w:val="24"/>
          <w:szCs w:val="24"/>
          <w:lang w:val="en-US" w:eastAsia="zh-CN"/>
        </w:rPr>
        <w:t>在一期贮存中的</w:t>
      </w:r>
      <w:r>
        <w:rPr>
          <w:rFonts w:ascii="宋体" w:hAnsi="宋体" w:eastAsia="宋体" w:cs="宋体"/>
          <w:color w:val="auto"/>
          <w:spacing w:val="-2"/>
          <w:sz w:val="24"/>
          <w:szCs w:val="24"/>
        </w:rPr>
        <w:t>硫酸镍、氯化镍、焦磷酸铜、钝化液、盐酸、硫酸、</w:t>
      </w:r>
      <w:r>
        <w:rPr>
          <w:rFonts w:ascii="宋体" w:hAnsi="宋体" w:eastAsia="宋体" w:cs="宋体"/>
          <w:color w:val="auto"/>
          <w:spacing w:val="-3"/>
          <w:sz w:val="24"/>
          <w:szCs w:val="24"/>
        </w:rPr>
        <w:t>硝酸、丙酮、磷化液、剥离液、磁材漆、标准稀释剂、翡翠底漆、翡翠稀释剂</w:t>
      </w:r>
      <w:r>
        <w:rPr>
          <w:rFonts w:hint="eastAsia" w:ascii="宋体" w:hAnsi="宋体" w:eastAsia="宋体" w:cs="宋体"/>
          <w:color w:val="auto"/>
          <w:spacing w:val="-3"/>
          <w:sz w:val="24"/>
          <w:szCs w:val="24"/>
          <w:lang w:val="en-US" w:eastAsia="zh-CN"/>
        </w:rPr>
        <w:t>和二期使用切削液、M型单组份环氧胶粘剂</w:t>
      </w:r>
      <w:r>
        <w:rPr>
          <w:rFonts w:ascii="宋体" w:hAnsi="宋体" w:eastAsia="宋体" w:cs="宋体"/>
          <w:color w:val="auto"/>
          <w:spacing w:val="-3"/>
          <w:sz w:val="24"/>
          <w:szCs w:val="24"/>
        </w:rPr>
        <w:t>等化学品，同时还会产生</w:t>
      </w:r>
      <w:r>
        <w:rPr>
          <w:rFonts w:hint="eastAsia" w:ascii="宋体" w:hAnsi="宋体" w:eastAsia="宋体" w:cs="宋体"/>
          <w:color w:val="auto"/>
          <w:spacing w:val="-3"/>
          <w:sz w:val="24"/>
          <w:szCs w:val="24"/>
          <w:lang w:val="en-US" w:eastAsia="zh-CN"/>
        </w:rPr>
        <w:t>废切削液、废机油</w:t>
      </w:r>
      <w:r>
        <w:rPr>
          <w:rFonts w:ascii="宋体" w:hAnsi="宋体" w:eastAsia="宋体" w:cs="宋体"/>
          <w:color w:val="auto"/>
          <w:spacing w:val="-8"/>
          <w:sz w:val="24"/>
          <w:szCs w:val="24"/>
        </w:rPr>
        <w:t>等危险废物。危</w:t>
      </w:r>
      <w:r>
        <w:rPr>
          <w:rFonts w:ascii="宋体" w:hAnsi="宋体" w:eastAsia="宋体" w:cs="宋体"/>
          <w:color w:val="auto"/>
          <w:spacing w:val="-6"/>
          <w:sz w:val="24"/>
          <w:szCs w:val="24"/>
        </w:rPr>
        <w:t>化品及危险废物在运输、储存和使用过程中，均可能会因自然</w:t>
      </w:r>
      <w:r>
        <w:rPr>
          <w:rFonts w:ascii="宋体" w:hAnsi="宋体" w:eastAsia="宋体" w:cs="宋体"/>
          <w:color w:val="auto"/>
          <w:spacing w:val="-7"/>
          <w:sz w:val="24"/>
          <w:szCs w:val="24"/>
        </w:rPr>
        <w:t>或人为因素，出现</w:t>
      </w:r>
      <w:r>
        <w:rPr>
          <w:rFonts w:ascii="宋体" w:hAnsi="宋体" w:eastAsia="宋体" w:cs="宋体"/>
          <w:color w:val="auto"/>
          <w:spacing w:val="-3"/>
          <w:sz w:val="24"/>
          <w:szCs w:val="24"/>
        </w:rPr>
        <w:t>事故造成泄漏而排入周围环境。</w:t>
      </w:r>
    </w:p>
    <w:p w14:paraId="2BB0805E">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jc w:val="both"/>
        <w:textAlignment w:val="auto"/>
        <w:rPr>
          <w:rFonts w:ascii="宋体" w:hAnsi="宋体" w:eastAsia="宋体" w:cs="宋体"/>
          <w:color w:val="auto"/>
          <w:spacing w:val="-7"/>
          <w:sz w:val="24"/>
          <w:szCs w:val="24"/>
        </w:rPr>
      </w:pPr>
      <w:r>
        <w:rPr>
          <w:rFonts w:ascii="宋体" w:hAnsi="宋体" w:eastAsia="宋体" w:cs="宋体"/>
          <w:color w:val="auto"/>
          <w:spacing w:val="-3"/>
          <w:sz w:val="24"/>
          <w:szCs w:val="24"/>
        </w:rPr>
        <w:t>正常运营情况下，</w:t>
      </w:r>
      <w:r>
        <w:rPr>
          <w:rFonts w:hint="eastAsia" w:ascii="宋体" w:hAnsi="宋体" w:eastAsia="宋体" w:cs="宋体"/>
          <w:color w:val="auto"/>
          <w:spacing w:val="-3"/>
          <w:sz w:val="24"/>
          <w:szCs w:val="24"/>
          <w:lang w:val="en-US" w:eastAsia="zh-CN"/>
        </w:rPr>
        <w:t>一期</w:t>
      </w:r>
      <w:r>
        <w:rPr>
          <w:rFonts w:ascii="宋体" w:hAnsi="宋体" w:eastAsia="宋体" w:cs="宋体"/>
          <w:color w:val="auto"/>
          <w:spacing w:val="-3"/>
          <w:sz w:val="24"/>
          <w:szCs w:val="24"/>
        </w:rPr>
        <w:t>槽液为循环使用，定期更换，废液委</w:t>
      </w:r>
      <w:r>
        <w:rPr>
          <w:rFonts w:ascii="宋体" w:hAnsi="宋体" w:eastAsia="宋体" w:cs="宋体"/>
          <w:color w:val="auto"/>
          <w:spacing w:val="-4"/>
          <w:sz w:val="24"/>
          <w:szCs w:val="24"/>
        </w:rPr>
        <w:t>托有危险废物资质单</w:t>
      </w:r>
      <w:r>
        <w:rPr>
          <w:rFonts w:ascii="宋体" w:hAnsi="宋体" w:eastAsia="宋体" w:cs="宋体"/>
          <w:color w:val="auto"/>
          <w:spacing w:val="-3"/>
          <w:sz w:val="24"/>
          <w:szCs w:val="24"/>
        </w:rPr>
        <w:t>位处置不外排，但因技术人员的疏忽或贮槽发生破损将导致酸、碱、槽液的泄漏</w:t>
      </w:r>
      <w:r>
        <w:rPr>
          <w:rFonts w:ascii="宋体" w:hAnsi="宋体" w:eastAsia="宋体" w:cs="宋体"/>
          <w:color w:val="auto"/>
          <w:spacing w:val="-7"/>
          <w:sz w:val="24"/>
          <w:szCs w:val="24"/>
        </w:rPr>
        <w:t>或事故排放。</w:t>
      </w:r>
    </w:p>
    <w:p w14:paraId="03E04D46">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jc w:val="both"/>
        <w:textAlignment w:val="auto"/>
        <w:rPr>
          <w:rFonts w:ascii="宋体" w:hAnsi="宋体" w:eastAsia="宋体" w:cs="宋体"/>
          <w:color w:val="auto"/>
          <w:spacing w:val="-3"/>
          <w:sz w:val="24"/>
          <w:szCs w:val="24"/>
        </w:rPr>
      </w:pPr>
      <w:r>
        <w:rPr>
          <w:rFonts w:ascii="宋体" w:hAnsi="宋体" w:eastAsia="宋体" w:cs="宋体"/>
          <w:color w:val="auto"/>
          <w:spacing w:val="-3"/>
          <w:sz w:val="24"/>
          <w:szCs w:val="24"/>
        </w:rPr>
        <w:t>项目涉及的化学品众多，大多采用桶装，通过汽车运输</w:t>
      </w:r>
      <w:r>
        <w:rPr>
          <w:rFonts w:ascii="宋体" w:hAnsi="宋体" w:eastAsia="宋体" w:cs="宋体"/>
          <w:color w:val="auto"/>
          <w:spacing w:val="-4"/>
          <w:sz w:val="24"/>
          <w:szCs w:val="24"/>
        </w:rPr>
        <w:t>到厂区，原料桶在装</w:t>
      </w:r>
      <w:r>
        <w:rPr>
          <w:rFonts w:ascii="宋体" w:hAnsi="宋体" w:eastAsia="宋体" w:cs="宋体"/>
          <w:color w:val="auto"/>
          <w:spacing w:val="-3"/>
          <w:sz w:val="24"/>
          <w:szCs w:val="24"/>
        </w:rPr>
        <w:t>卸过程中可能发生碰撞破损，造成化学品泄漏。泄漏到地面的化学品可能渗</w:t>
      </w:r>
      <w:r>
        <w:rPr>
          <w:rFonts w:ascii="宋体" w:hAnsi="宋体" w:eastAsia="宋体" w:cs="宋体"/>
          <w:color w:val="auto"/>
          <w:spacing w:val="-4"/>
          <w:sz w:val="24"/>
          <w:szCs w:val="24"/>
        </w:rPr>
        <w:t>入地</w:t>
      </w:r>
      <w:r>
        <w:rPr>
          <w:rFonts w:ascii="宋体" w:hAnsi="宋体" w:eastAsia="宋体" w:cs="宋体"/>
          <w:color w:val="auto"/>
          <w:spacing w:val="-3"/>
          <w:sz w:val="24"/>
          <w:szCs w:val="24"/>
        </w:rPr>
        <w:t>下，污染土壤和地下水，也可能通过雨水管道进入附近的地表水。</w:t>
      </w:r>
      <w:r>
        <w:rPr>
          <w:rFonts w:ascii="宋体" w:hAnsi="宋体" w:eastAsia="宋体" w:cs="宋体"/>
          <w:color w:val="auto"/>
          <w:spacing w:val="-1"/>
          <w:sz w:val="24"/>
          <w:szCs w:val="24"/>
        </w:rPr>
        <w:t>当危化品泄漏，有毒物质进入人的</w:t>
      </w:r>
      <w:r>
        <w:rPr>
          <w:rFonts w:ascii="宋体" w:hAnsi="宋体" w:eastAsia="宋体" w:cs="宋体"/>
          <w:color w:val="auto"/>
          <w:spacing w:val="-2"/>
          <w:sz w:val="24"/>
          <w:szCs w:val="24"/>
        </w:rPr>
        <w:t>机体后，可能造成中毒。</w:t>
      </w:r>
      <w:r>
        <w:rPr>
          <w:rFonts w:ascii="宋体" w:hAnsi="宋体" w:eastAsia="宋体" w:cs="宋体"/>
          <w:color w:val="auto"/>
          <w:spacing w:val="4"/>
          <w:sz w:val="24"/>
          <w:szCs w:val="24"/>
        </w:rPr>
        <w:t>含重金属盐类化学品以及废液、废水污泥若在进入环境或生态系统后就会在土</w:t>
      </w:r>
      <w:r>
        <w:rPr>
          <w:rFonts w:ascii="宋体" w:hAnsi="宋体" w:eastAsia="宋体" w:cs="宋体"/>
          <w:color w:val="auto"/>
          <w:spacing w:val="-3"/>
          <w:sz w:val="24"/>
          <w:szCs w:val="24"/>
        </w:rPr>
        <w:t>壤、水体中存留、积累和迁移，造成危害。日常生活中，重金属多通过大气、水和食物进入人体，从而引起人体的慢性中毒。</w:t>
      </w:r>
    </w:p>
    <w:p w14:paraId="09932E47">
      <w:pPr>
        <w:keepNext/>
        <w:keepLines/>
        <w:pageBreakBefore w:val="0"/>
        <w:widowControl w:val="0"/>
        <w:kinsoku/>
        <w:wordWrap/>
        <w:overflowPunct/>
        <w:topLinePunct w:val="0"/>
        <w:autoSpaceDE/>
        <w:autoSpaceDN/>
        <w:bidi w:val="0"/>
        <w:adjustRightInd/>
        <w:snapToGrid/>
        <w:spacing w:line="360" w:lineRule="auto"/>
        <w:ind w:left="0"/>
        <w:textAlignment w:val="auto"/>
        <w:outlineLvl w:val="1"/>
        <w:rPr>
          <w:rFonts w:hint="default" w:eastAsia="楷体"/>
          <w:b/>
          <w:color w:val="auto"/>
          <w:sz w:val="30"/>
          <w:szCs w:val="30"/>
          <w:lang w:val="en-US" w:eastAsia="zh-CN"/>
        </w:rPr>
      </w:pPr>
      <w:r>
        <w:rPr>
          <w:rFonts w:hint="default" w:eastAsia="楷体"/>
          <w:b/>
          <w:color w:val="auto"/>
          <w:sz w:val="30"/>
          <w:szCs w:val="30"/>
          <w:lang w:val="en-US" w:eastAsia="zh-CN"/>
        </w:rPr>
        <w:t>7.</w:t>
      </w:r>
      <w:r>
        <w:rPr>
          <w:rFonts w:hint="eastAsia" w:eastAsia="楷体"/>
          <w:b/>
          <w:color w:val="auto"/>
          <w:sz w:val="30"/>
          <w:szCs w:val="30"/>
          <w:lang w:val="en-US" w:eastAsia="zh-CN"/>
        </w:rPr>
        <w:t>6</w:t>
      </w:r>
      <w:r>
        <w:rPr>
          <w:rFonts w:hint="default" w:eastAsia="楷体"/>
          <w:b/>
          <w:color w:val="auto"/>
          <w:sz w:val="30"/>
          <w:szCs w:val="30"/>
          <w:lang w:val="en-US" w:eastAsia="zh-CN"/>
        </w:rPr>
        <w:t>.2事故发生概率调查</w:t>
      </w:r>
    </w:p>
    <w:p w14:paraId="2C3D1055">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）重大事故发生概率</w:t>
      </w:r>
    </w:p>
    <w:p w14:paraId="1DA0904E">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ascii="宋体" w:hAnsi="宋体" w:eastAsia="宋体" w:cs="宋体"/>
          <w:color w:val="auto"/>
          <w:sz w:val="24"/>
          <w:szCs w:val="24"/>
        </w:rPr>
      </w:pPr>
      <w:r>
        <w:rPr>
          <w:rFonts w:ascii="宋体" w:hAnsi="宋体" w:eastAsia="宋体" w:cs="宋体"/>
          <w:color w:val="auto"/>
          <w:spacing w:val="-4"/>
          <w:sz w:val="24"/>
          <w:szCs w:val="24"/>
        </w:rPr>
        <w:t>国际工业界通常将重大事故的标准定义为：导致反应装置及其它经济损失超</w:t>
      </w:r>
      <w:r>
        <w:rPr>
          <w:rFonts w:ascii="宋体" w:hAnsi="宋体" w:eastAsia="宋体" w:cs="宋体"/>
          <w:color w:val="auto"/>
          <w:spacing w:val="-2"/>
          <w:sz w:val="24"/>
          <w:szCs w:val="24"/>
        </w:rPr>
        <w:t>过</w:t>
      </w:r>
      <w:r>
        <w:rPr>
          <w:rFonts w:ascii="Times New Roman" w:hAnsi="Times New Roman" w:eastAsia="Times New Roman" w:cs="Times New Roman"/>
          <w:color w:val="auto"/>
          <w:spacing w:val="-2"/>
          <w:sz w:val="24"/>
          <w:szCs w:val="24"/>
        </w:rPr>
        <w:t>2.5</w:t>
      </w:r>
      <w:r>
        <w:rPr>
          <w:rFonts w:ascii="宋体" w:hAnsi="宋体" w:eastAsia="宋体" w:cs="宋体"/>
          <w:color w:val="auto"/>
          <w:spacing w:val="-2"/>
          <w:sz w:val="24"/>
          <w:szCs w:val="24"/>
        </w:rPr>
        <w:t>万美元，或造成严重人员伤亡的事故。根据我国近年来各类化工设备事故</w:t>
      </w:r>
      <w:r>
        <w:rPr>
          <w:rFonts w:ascii="宋体" w:hAnsi="宋体" w:eastAsia="宋体" w:cs="宋体"/>
          <w:color w:val="auto"/>
          <w:spacing w:val="-1"/>
          <w:sz w:val="24"/>
          <w:szCs w:val="24"/>
        </w:rPr>
        <w:t>发生的概率（见表</w:t>
      </w:r>
      <w:r>
        <w:rPr>
          <w:rFonts w:ascii="Times New Roman" w:hAnsi="Times New Roman" w:eastAsia="Times New Roman" w:cs="Times New Roman"/>
          <w:color w:val="auto"/>
          <w:spacing w:val="-1"/>
          <w:sz w:val="24"/>
          <w:szCs w:val="24"/>
        </w:rPr>
        <w:t>7.</w:t>
      </w:r>
      <w:r>
        <w:rPr>
          <w:rFonts w:hint="eastAsia" w:ascii="Times New Roman" w:hAnsi="Times New Roman" w:eastAsia="宋体" w:cs="Times New Roman"/>
          <w:color w:val="auto"/>
          <w:spacing w:val="-1"/>
          <w:sz w:val="24"/>
          <w:szCs w:val="24"/>
          <w:lang w:val="en-US" w:eastAsia="zh-CN"/>
        </w:rPr>
        <w:t>6</w:t>
      </w:r>
      <w:r>
        <w:rPr>
          <w:rFonts w:ascii="Times New Roman" w:hAnsi="Times New Roman" w:eastAsia="Times New Roman" w:cs="Times New Roman"/>
          <w:color w:val="auto"/>
          <w:spacing w:val="-1"/>
          <w:sz w:val="24"/>
          <w:szCs w:val="24"/>
        </w:rPr>
        <w:t>-1</w:t>
      </w:r>
      <w:r>
        <w:rPr>
          <w:rFonts w:ascii="宋体" w:hAnsi="宋体" w:eastAsia="宋体" w:cs="宋体"/>
          <w:color w:val="auto"/>
          <w:spacing w:val="1"/>
          <w:sz w:val="24"/>
          <w:szCs w:val="24"/>
        </w:rPr>
        <w:t>），</w:t>
      </w:r>
      <w:r>
        <w:rPr>
          <w:rFonts w:ascii="宋体" w:hAnsi="宋体" w:eastAsia="宋体" w:cs="宋体"/>
          <w:color w:val="auto"/>
          <w:spacing w:val="-1"/>
          <w:sz w:val="24"/>
          <w:szCs w:val="24"/>
        </w:rPr>
        <w:t>同时考虑到维护和检修水平，本装置重大事故概率</w:t>
      </w:r>
      <w:r>
        <w:rPr>
          <w:rFonts w:ascii="宋体" w:hAnsi="宋体" w:eastAsia="宋体" w:cs="宋体"/>
          <w:color w:val="auto"/>
          <w:sz w:val="24"/>
          <w:szCs w:val="24"/>
        </w:rPr>
        <w:t>拟定为</w:t>
      </w:r>
      <w:r>
        <w:rPr>
          <w:rFonts w:ascii="Times New Roman" w:hAnsi="Times New Roman" w:eastAsia="Times New Roman" w:cs="Times New Roman"/>
          <w:color w:val="auto"/>
          <w:sz w:val="24"/>
          <w:szCs w:val="24"/>
        </w:rPr>
        <w:t>2</w:t>
      </w:r>
      <w:r>
        <w:rPr>
          <w:rFonts w:ascii="宋体" w:hAnsi="宋体" w:eastAsia="宋体" w:cs="宋体"/>
          <w:color w:val="auto"/>
          <w:sz w:val="24"/>
          <w:szCs w:val="24"/>
        </w:rPr>
        <w:t>类事故，概率为</w:t>
      </w:r>
      <w:r>
        <w:rPr>
          <w:rFonts w:ascii="Times New Roman" w:hAnsi="Times New Roman" w:eastAsia="Times New Roman" w:cs="Times New Roman"/>
          <w:color w:val="auto"/>
          <w:sz w:val="24"/>
          <w:szCs w:val="24"/>
        </w:rPr>
        <w:t>0.03125</w:t>
      </w:r>
      <w:r>
        <w:rPr>
          <w:rFonts w:ascii="宋体" w:hAnsi="宋体" w:eastAsia="宋体" w:cs="宋体"/>
          <w:color w:val="auto"/>
          <w:sz w:val="24"/>
          <w:szCs w:val="24"/>
        </w:rPr>
        <w:t>～</w:t>
      </w:r>
      <w:r>
        <w:rPr>
          <w:rFonts w:ascii="Times New Roman" w:hAnsi="Times New Roman" w:eastAsia="Times New Roman" w:cs="Times New Roman"/>
          <w:color w:val="auto"/>
          <w:sz w:val="24"/>
          <w:szCs w:val="24"/>
        </w:rPr>
        <w:t>0.01</w:t>
      </w:r>
      <w:r>
        <w:rPr>
          <w:rFonts w:ascii="宋体" w:hAnsi="宋体" w:eastAsia="宋体" w:cs="宋体"/>
          <w:color w:val="auto"/>
          <w:sz w:val="24"/>
          <w:szCs w:val="24"/>
        </w:rPr>
        <w:t>次</w:t>
      </w:r>
      <w:r>
        <w:rPr>
          <w:rFonts w:ascii="Times New Roman" w:hAnsi="Times New Roman" w:eastAsia="Times New Roman" w:cs="Times New Roman"/>
          <w:color w:val="auto"/>
          <w:sz w:val="24"/>
          <w:szCs w:val="24"/>
        </w:rPr>
        <w:t>/</w:t>
      </w:r>
      <w:r>
        <w:rPr>
          <w:rFonts w:ascii="宋体" w:hAnsi="宋体" w:eastAsia="宋体" w:cs="宋体"/>
          <w:color w:val="auto"/>
          <w:sz w:val="24"/>
          <w:szCs w:val="24"/>
        </w:rPr>
        <w:t>年，即在装置寿命内发生</w:t>
      </w:r>
      <w:r>
        <w:rPr>
          <w:rFonts w:ascii="宋体" w:hAnsi="宋体" w:eastAsia="宋体" w:cs="宋体"/>
          <w:color w:val="auto"/>
          <w:spacing w:val="-1"/>
          <w:sz w:val="24"/>
          <w:szCs w:val="24"/>
        </w:rPr>
        <w:t>一次事故。</w:t>
      </w:r>
    </w:p>
    <w:p w14:paraId="11F3BC5F">
      <w:pPr>
        <w:spacing w:before="8" w:line="218" w:lineRule="auto"/>
        <w:ind w:left="2778"/>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6</w:t>
      </w:r>
      <w:r>
        <w:rPr>
          <w:rFonts w:ascii="Times New Roman" w:hAnsi="Times New Roman" w:eastAsia="宋体" w:cs="Times New Roman"/>
          <w:b/>
          <w:bCs/>
          <w:color w:val="auto"/>
          <w:spacing w:val="-1"/>
          <w:sz w:val="24"/>
          <w:szCs w:val="24"/>
        </w:rPr>
        <w:t>-1</w:t>
      </w:r>
      <w:r>
        <w:rPr>
          <w:rFonts w:ascii="Times New Roman" w:hAnsi="Times New Roman" w:eastAsia="宋体" w:cs="黑体"/>
          <w:b/>
          <w:bCs/>
          <w:color w:val="auto"/>
          <w:spacing w:val="-1"/>
          <w:sz w:val="24"/>
          <w:szCs w:val="24"/>
        </w:rPr>
        <w:t>重大事故概率分类</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78"/>
        <w:gridCol w:w="1864"/>
        <w:gridCol w:w="3048"/>
        <w:gridCol w:w="2456"/>
      </w:tblGrid>
      <w:tr w14:paraId="711F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5" w:hRule="atLeast"/>
        </w:trPr>
        <w:tc>
          <w:tcPr>
            <w:tcW w:w="689" w:type="pct"/>
            <w:shd w:val="clear" w:color="auto" w:fill="auto"/>
            <w:vAlign w:val="top"/>
          </w:tcPr>
          <w:p w14:paraId="5D47E45E">
            <w:pPr>
              <w:pStyle w:val="97"/>
              <w:spacing w:before="83" w:line="221" w:lineRule="auto"/>
              <w:ind w:left="397"/>
              <w:rPr>
                <w:b/>
                <w:bCs/>
                <w:color w:val="auto"/>
                <w:sz w:val="21"/>
                <w:szCs w:val="21"/>
              </w:rPr>
            </w:pPr>
            <w:r>
              <w:rPr>
                <w:b/>
                <w:bCs/>
                <w:color w:val="auto"/>
                <w:spacing w:val="-3"/>
                <w:sz w:val="21"/>
                <w:szCs w:val="21"/>
              </w:rPr>
              <w:t>分类</w:t>
            </w:r>
          </w:p>
        </w:tc>
        <w:tc>
          <w:tcPr>
            <w:tcW w:w="1090" w:type="pct"/>
            <w:shd w:val="clear" w:color="auto" w:fill="auto"/>
            <w:vAlign w:val="top"/>
          </w:tcPr>
          <w:p w14:paraId="1B175A6A">
            <w:pPr>
              <w:pStyle w:val="97"/>
              <w:spacing w:before="83" w:line="221" w:lineRule="auto"/>
              <w:ind w:left="518"/>
              <w:rPr>
                <w:b/>
                <w:bCs/>
                <w:color w:val="auto"/>
                <w:sz w:val="21"/>
                <w:szCs w:val="21"/>
              </w:rPr>
            </w:pPr>
            <w:r>
              <w:rPr>
                <w:b/>
                <w:bCs/>
                <w:color w:val="auto"/>
                <w:spacing w:val="-2"/>
                <w:sz w:val="21"/>
                <w:szCs w:val="21"/>
              </w:rPr>
              <w:t>情况说明</w:t>
            </w:r>
          </w:p>
        </w:tc>
        <w:tc>
          <w:tcPr>
            <w:tcW w:w="1782" w:type="pct"/>
            <w:shd w:val="clear" w:color="auto" w:fill="auto"/>
            <w:vAlign w:val="top"/>
          </w:tcPr>
          <w:p w14:paraId="4289DC16">
            <w:pPr>
              <w:pStyle w:val="97"/>
              <w:spacing w:before="84" w:line="221" w:lineRule="auto"/>
              <w:ind w:left="1321"/>
              <w:rPr>
                <w:b/>
                <w:bCs/>
                <w:color w:val="auto"/>
                <w:sz w:val="21"/>
                <w:szCs w:val="21"/>
              </w:rPr>
            </w:pPr>
            <w:r>
              <w:rPr>
                <w:b/>
                <w:bCs/>
                <w:color w:val="auto"/>
                <w:spacing w:val="-3"/>
                <w:sz w:val="21"/>
                <w:szCs w:val="21"/>
              </w:rPr>
              <w:t>定义</w:t>
            </w:r>
          </w:p>
        </w:tc>
        <w:tc>
          <w:tcPr>
            <w:tcW w:w="1436" w:type="pct"/>
            <w:shd w:val="clear" w:color="auto" w:fill="auto"/>
            <w:vAlign w:val="top"/>
          </w:tcPr>
          <w:p w14:paraId="7AF14871">
            <w:pPr>
              <w:pStyle w:val="97"/>
              <w:spacing w:before="84" w:line="234" w:lineRule="auto"/>
              <w:ind w:left="363"/>
              <w:rPr>
                <w:b/>
                <w:bCs/>
                <w:color w:val="auto"/>
                <w:sz w:val="21"/>
                <w:szCs w:val="21"/>
              </w:rPr>
            </w:pPr>
            <w:r>
              <w:rPr>
                <w:b/>
                <w:bCs/>
                <w:color w:val="auto"/>
                <w:spacing w:val="-2"/>
                <w:sz w:val="21"/>
                <w:szCs w:val="21"/>
              </w:rPr>
              <w:t>事故概率（次</w:t>
            </w:r>
            <w:r>
              <w:rPr>
                <w:rFonts w:ascii="Times New Roman" w:hAnsi="Times New Roman" w:eastAsia="Times New Roman" w:cs="Times New Roman"/>
                <w:b/>
                <w:bCs/>
                <w:color w:val="auto"/>
                <w:spacing w:val="-2"/>
                <w:sz w:val="21"/>
                <w:szCs w:val="21"/>
              </w:rPr>
              <w:t>/</w:t>
            </w:r>
            <w:r>
              <w:rPr>
                <w:b/>
                <w:bCs/>
                <w:color w:val="auto"/>
                <w:spacing w:val="-2"/>
                <w:sz w:val="21"/>
                <w:szCs w:val="21"/>
              </w:rPr>
              <w:t>年）</w:t>
            </w:r>
          </w:p>
        </w:tc>
      </w:tr>
      <w:tr w14:paraId="1766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3ADB5135">
            <w:pPr>
              <w:spacing w:before="116" w:line="187" w:lineRule="auto"/>
              <w:ind w:left="54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0</w:t>
            </w:r>
          </w:p>
        </w:tc>
        <w:tc>
          <w:tcPr>
            <w:tcW w:w="1090" w:type="pct"/>
            <w:shd w:val="clear" w:color="auto" w:fill="auto"/>
            <w:vAlign w:val="top"/>
          </w:tcPr>
          <w:p w14:paraId="379E50D4">
            <w:pPr>
              <w:pStyle w:val="97"/>
              <w:spacing w:before="82" w:line="221" w:lineRule="auto"/>
              <w:ind w:left="731"/>
              <w:rPr>
                <w:color w:val="auto"/>
                <w:sz w:val="21"/>
                <w:szCs w:val="21"/>
              </w:rPr>
            </w:pPr>
            <w:r>
              <w:rPr>
                <w:color w:val="auto"/>
                <w:spacing w:val="-3"/>
                <w:sz w:val="21"/>
                <w:szCs w:val="21"/>
              </w:rPr>
              <w:t>极端</w:t>
            </w:r>
          </w:p>
        </w:tc>
        <w:tc>
          <w:tcPr>
            <w:tcW w:w="1782" w:type="pct"/>
            <w:shd w:val="clear" w:color="auto" w:fill="auto"/>
            <w:vAlign w:val="top"/>
          </w:tcPr>
          <w:p w14:paraId="72A5FCBD">
            <w:pPr>
              <w:pStyle w:val="97"/>
              <w:spacing w:before="83" w:line="221" w:lineRule="auto"/>
              <w:ind w:left="1110"/>
              <w:rPr>
                <w:color w:val="auto"/>
                <w:sz w:val="21"/>
                <w:szCs w:val="21"/>
              </w:rPr>
            </w:pPr>
            <w:r>
              <w:rPr>
                <w:color w:val="auto"/>
                <w:spacing w:val="-2"/>
                <w:sz w:val="21"/>
                <w:szCs w:val="21"/>
              </w:rPr>
              <w:t>从不发生</w:t>
            </w:r>
          </w:p>
        </w:tc>
        <w:tc>
          <w:tcPr>
            <w:tcW w:w="1436" w:type="pct"/>
            <w:shd w:val="clear" w:color="auto" w:fill="auto"/>
            <w:vAlign w:val="top"/>
          </w:tcPr>
          <w:p w14:paraId="6ECCD420">
            <w:pPr>
              <w:pStyle w:val="97"/>
              <w:spacing w:before="82" w:line="237" w:lineRule="auto"/>
              <w:ind w:left="684"/>
              <w:rPr>
                <w:rFonts w:ascii="Times New Roman" w:hAnsi="Times New Roman" w:eastAsia="Times New Roman" w:cs="Times New Roman"/>
                <w:color w:val="auto"/>
                <w:sz w:val="13"/>
                <w:szCs w:val="13"/>
              </w:rPr>
            </w:pPr>
            <w:r>
              <w:rPr>
                <w:color w:val="auto"/>
                <w:spacing w:val="-2"/>
                <w:sz w:val="21"/>
                <w:szCs w:val="21"/>
              </w:rPr>
              <w:t>＜</w:t>
            </w:r>
            <w:r>
              <w:rPr>
                <w:rFonts w:ascii="Times New Roman" w:hAnsi="Times New Roman" w:eastAsia="Times New Roman" w:cs="Times New Roman"/>
                <w:color w:val="auto"/>
                <w:spacing w:val="-2"/>
                <w:sz w:val="21"/>
                <w:szCs w:val="21"/>
              </w:rPr>
              <w:t>3.125×10</w:t>
            </w:r>
            <w:r>
              <w:rPr>
                <w:rFonts w:ascii="Times New Roman" w:hAnsi="Times New Roman" w:eastAsia="Times New Roman" w:cs="Times New Roman"/>
                <w:color w:val="auto"/>
                <w:spacing w:val="-2"/>
                <w:position w:val="6"/>
                <w:sz w:val="13"/>
                <w:szCs w:val="13"/>
              </w:rPr>
              <w:t>-3</w:t>
            </w:r>
          </w:p>
        </w:tc>
      </w:tr>
      <w:tr w14:paraId="3F10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442A3008">
            <w:pPr>
              <w:spacing w:before="117" w:line="187" w:lineRule="auto"/>
              <w:ind w:left="56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1090" w:type="pct"/>
            <w:shd w:val="clear" w:color="auto" w:fill="auto"/>
            <w:vAlign w:val="top"/>
          </w:tcPr>
          <w:p w14:paraId="1541DD42">
            <w:pPr>
              <w:pStyle w:val="97"/>
              <w:spacing w:before="83" w:line="223" w:lineRule="auto"/>
              <w:ind w:left="833"/>
              <w:rPr>
                <w:color w:val="auto"/>
                <w:sz w:val="21"/>
                <w:szCs w:val="21"/>
              </w:rPr>
            </w:pPr>
            <w:r>
              <w:rPr>
                <w:color w:val="auto"/>
                <w:sz w:val="21"/>
                <w:szCs w:val="21"/>
              </w:rPr>
              <w:t>少</w:t>
            </w:r>
          </w:p>
        </w:tc>
        <w:tc>
          <w:tcPr>
            <w:tcW w:w="1782" w:type="pct"/>
            <w:shd w:val="clear" w:color="auto" w:fill="auto"/>
            <w:vAlign w:val="top"/>
          </w:tcPr>
          <w:p w14:paraId="08DE84FC">
            <w:pPr>
              <w:pStyle w:val="97"/>
              <w:spacing w:before="83" w:line="221" w:lineRule="auto"/>
              <w:ind w:left="582"/>
              <w:rPr>
                <w:color w:val="auto"/>
                <w:sz w:val="21"/>
                <w:szCs w:val="21"/>
              </w:rPr>
            </w:pPr>
            <w:r>
              <w:rPr>
                <w:color w:val="auto"/>
                <w:spacing w:val="-1"/>
                <w:sz w:val="21"/>
                <w:szCs w:val="21"/>
              </w:rPr>
              <w:t>装置寿命内从不发生</w:t>
            </w:r>
          </w:p>
        </w:tc>
        <w:tc>
          <w:tcPr>
            <w:tcW w:w="1436" w:type="pct"/>
            <w:shd w:val="clear" w:color="auto" w:fill="auto"/>
            <w:vAlign w:val="top"/>
          </w:tcPr>
          <w:p w14:paraId="4219B22F">
            <w:pPr>
              <w:pStyle w:val="97"/>
              <w:spacing w:before="83" w:line="237" w:lineRule="auto"/>
              <w:ind w:left="408"/>
              <w:rPr>
                <w:rFonts w:ascii="Times New Roman" w:hAnsi="Times New Roman" w:eastAsia="Times New Roman" w:cs="Times New Roman"/>
                <w:color w:val="auto"/>
                <w:sz w:val="13"/>
                <w:szCs w:val="13"/>
              </w:rPr>
            </w:pPr>
            <w:r>
              <w:rPr>
                <w:rFonts w:ascii="Times New Roman" w:hAnsi="Times New Roman" w:eastAsia="Times New Roman" w:cs="Times New Roman"/>
                <w:color w:val="auto"/>
                <w:spacing w:val="-1"/>
                <w:sz w:val="21"/>
                <w:szCs w:val="21"/>
              </w:rPr>
              <w:t>1×10</w:t>
            </w:r>
            <w:r>
              <w:rPr>
                <w:rFonts w:ascii="Times New Roman" w:hAnsi="Times New Roman" w:eastAsia="Times New Roman" w:cs="Times New Roman"/>
                <w:color w:val="auto"/>
                <w:spacing w:val="-1"/>
                <w:position w:val="6"/>
                <w:sz w:val="13"/>
                <w:szCs w:val="13"/>
              </w:rPr>
              <w:t>-2</w:t>
            </w:r>
            <w:r>
              <w:rPr>
                <w:color w:val="auto"/>
                <w:spacing w:val="-1"/>
                <w:sz w:val="21"/>
                <w:szCs w:val="21"/>
              </w:rPr>
              <w:t>～</w:t>
            </w:r>
            <w:r>
              <w:rPr>
                <w:rFonts w:ascii="Times New Roman" w:hAnsi="Times New Roman" w:eastAsia="Times New Roman" w:cs="Times New Roman"/>
                <w:color w:val="auto"/>
                <w:spacing w:val="-1"/>
                <w:sz w:val="21"/>
                <w:szCs w:val="21"/>
              </w:rPr>
              <w:t>3.125×10</w:t>
            </w:r>
            <w:r>
              <w:rPr>
                <w:rFonts w:ascii="Times New Roman" w:hAnsi="Times New Roman" w:eastAsia="Times New Roman" w:cs="Times New Roman"/>
                <w:color w:val="auto"/>
                <w:spacing w:val="-1"/>
                <w:position w:val="6"/>
                <w:sz w:val="13"/>
                <w:szCs w:val="13"/>
              </w:rPr>
              <w:t>-3</w:t>
            </w:r>
          </w:p>
        </w:tc>
      </w:tr>
      <w:tr w14:paraId="62DF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25BD3C59">
            <w:pPr>
              <w:spacing w:before="121" w:line="187" w:lineRule="auto"/>
              <w:ind w:left="54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1090" w:type="pct"/>
            <w:shd w:val="clear" w:color="auto" w:fill="auto"/>
            <w:vAlign w:val="top"/>
          </w:tcPr>
          <w:p w14:paraId="4297555F">
            <w:pPr>
              <w:pStyle w:val="97"/>
              <w:spacing w:before="87" w:line="221" w:lineRule="auto"/>
              <w:ind w:left="520"/>
              <w:rPr>
                <w:color w:val="auto"/>
                <w:sz w:val="21"/>
                <w:szCs w:val="21"/>
              </w:rPr>
            </w:pPr>
            <w:r>
              <w:rPr>
                <w:color w:val="auto"/>
                <w:spacing w:val="-3"/>
                <w:sz w:val="21"/>
                <w:szCs w:val="21"/>
              </w:rPr>
              <w:t>不大可能</w:t>
            </w:r>
          </w:p>
        </w:tc>
        <w:tc>
          <w:tcPr>
            <w:tcW w:w="1782" w:type="pct"/>
            <w:shd w:val="clear" w:color="auto" w:fill="auto"/>
            <w:vAlign w:val="top"/>
          </w:tcPr>
          <w:p w14:paraId="2D29E886">
            <w:pPr>
              <w:pStyle w:val="97"/>
              <w:spacing w:before="86" w:line="221" w:lineRule="auto"/>
              <w:ind w:left="582"/>
              <w:rPr>
                <w:color w:val="auto"/>
                <w:sz w:val="21"/>
                <w:szCs w:val="21"/>
              </w:rPr>
            </w:pPr>
            <w:r>
              <w:rPr>
                <w:color w:val="auto"/>
                <w:spacing w:val="-1"/>
                <w:sz w:val="21"/>
                <w:szCs w:val="21"/>
              </w:rPr>
              <w:t>装置寿命内发生一次</w:t>
            </w:r>
          </w:p>
        </w:tc>
        <w:tc>
          <w:tcPr>
            <w:tcW w:w="1436" w:type="pct"/>
            <w:shd w:val="clear" w:color="auto" w:fill="auto"/>
            <w:vAlign w:val="top"/>
          </w:tcPr>
          <w:p w14:paraId="6F652776">
            <w:pPr>
              <w:pStyle w:val="97"/>
              <w:spacing w:before="86" w:line="237" w:lineRule="auto"/>
              <w:ind w:left="392"/>
              <w:rPr>
                <w:rFonts w:ascii="Times New Roman" w:hAnsi="Times New Roman" w:eastAsia="Times New Roman" w:cs="Times New Roman"/>
                <w:color w:val="auto"/>
                <w:sz w:val="13"/>
                <w:szCs w:val="13"/>
              </w:rPr>
            </w:pPr>
            <w:r>
              <w:rPr>
                <w:rFonts w:ascii="Times New Roman" w:hAnsi="Times New Roman" w:eastAsia="Times New Roman" w:cs="Times New Roman"/>
                <w:color w:val="auto"/>
                <w:sz w:val="21"/>
                <w:szCs w:val="21"/>
              </w:rPr>
              <w:t>3.125×10</w:t>
            </w:r>
            <w:r>
              <w:rPr>
                <w:rFonts w:ascii="Times New Roman" w:hAnsi="Times New Roman" w:eastAsia="Times New Roman" w:cs="Times New Roman"/>
                <w:color w:val="auto"/>
                <w:position w:val="6"/>
                <w:sz w:val="13"/>
                <w:szCs w:val="13"/>
              </w:rPr>
              <w:t>-2</w:t>
            </w:r>
            <w:r>
              <w:rPr>
                <w:color w:val="auto"/>
                <w:sz w:val="21"/>
                <w:szCs w:val="21"/>
              </w:rPr>
              <w:t>～</w:t>
            </w:r>
            <w:r>
              <w:rPr>
                <w:rFonts w:ascii="Times New Roman" w:hAnsi="Times New Roman" w:eastAsia="Times New Roman" w:cs="Times New Roman"/>
                <w:color w:val="auto"/>
                <w:sz w:val="21"/>
                <w:szCs w:val="21"/>
              </w:rPr>
              <w:t>1×10</w:t>
            </w:r>
            <w:r>
              <w:rPr>
                <w:rFonts w:ascii="Times New Roman" w:hAnsi="Times New Roman" w:eastAsia="Times New Roman" w:cs="Times New Roman"/>
                <w:color w:val="auto"/>
                <w:position w:val="6"/>
                <w:sz w:val="13"/>
                <w:szCs w:val="13"/>
              </w:rPr>
              <w:t>-2</w:t>
            </w:r>
          </w:p>
        </w:tc>
      </w:tr>
      <w:tr w14:paraId="28CD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438FFE7C">
            <w:pPr>
              <w:spacing w:before="124" w:line="187" w:lineRule="auto"/>
              <w:ind w:left="550"/>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1090" w:type="pct"/>
            <w:shd w:val="clear" w:color="auto" w:fill="auto"/>
            <w:vAlign w:val="top"/>
          </w:tcPr>
          <w:p w14:paraId="47CAB452">
            <w:pPr>
              <w:pStyle w:val="97"/>
              <w:spacing w:before="90" w:line="221" w:lineRule="auto"/>
              <w:ind w:left="521"/>
              <w:rPr>
                <w:color w:val="auto"/>
                <w:sz w:val="21"/>
                <w:szCs w:val="21"/>
              </w:rPr>
            </w:pPr>
            <w:r>
              <w:rPr>
                <w:color w:val="auto"/>
                <w:spacing w:val="-3"/>
                <w:sz w:val="21"/>
                <w:szCs w:val="21"/>
              </w:rPr>
              <w:t>也许可能</w:t>
            </w:r>
          </w:p>
        </w:tc>
        <w:tc>
          <w:tcPr>
            <w:tcW w:w="1782" w:type="pct"/>
            <w:shd w:val="clear" w:color="auto" w:fill="auto"/>
            <w:vAlign w:val="top"/>
          </w:tcPr>
          <w:p w14:paraId="56E0D937">
            <w:pPr>
              <w:pStyle w:val="97"/>
              <w:spacing w:before="89" w:line="221" w:lineRule="auto"/>
              <w:ind w:left="370"/>
              <w:rPr>
                <w:color w:val="auto"/>
                <w:sz w:val="21"/>
                <w:szCs w:val="21"/>
              </w:rPr>
            </w:pPr>
            <w:r>
              <w:rPr>
                <w:color w:val="auto"/>
                <w:spacing w:val="-1"/>
                <w:sz w:val="21"/>
                <w:szCs w:val="21"/>
              </w:rPr>
              <w:t>装置寿命内发生一次以上</w:t>
            </w:r>
          </w:p>
        </w:tc>
        <w:tc>
          <w:tcPr>
            <w:tcW w:w="1436" w:type="pct"/>
            <w:shd w:val="clear" w:color="auto" w:fill="auto"/>
            <w:vAlign w:val="top"/>
          </w:tcPr>
          <w:p w14:paraId="2D71F046">
            <w:pPr>
              <w:pStyle w:val="97"/>
              <w:spacing w:before="90" w:line="237" w:lineRule="auto"/>
              <w:ind w:left="600"/>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0.10</w:t>
            </w:r>
            <w:r>
              <w:rPr>
                <w:color w:val="auto"/>
                <w:spacing w:val="-1"/>
                <w:sz w:val="21"/>
                <w:szCs w:val="21"/>
              </w:rPr>
              <w:t>～</w:t>
            </w:r>
            <w:r>
              <w:rPr>
                <w:rFonts w:ascii="Times New Roman" w:hAnsi="Times New Roman" w:eastAsia="Times New Roman" w:cs="Times New Roman"/>
                <w:color w:val="auto"/>
                <w:spacing w:val="-1"/>
                <w:sz w:val="21"/>
                <w:szCs w:val="21"/>
              </w:rPr>
              <w:t>0.03125</w:t>
            </w:r>
          </w:p>
        </w:tc>
      </w:tr>
      <w:tr w14:paraId="683A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2249084D">
            <w:pPr>
              <w:spacing w:before="127" w:line="187" w:lineRule="auto"/>
              <w:ind w:left="545"/>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1090" w:type="pct"/>
            <w:shd w:val="clear" w:color="auto" w:fill="auto"/>
            <w:vAlign w:val="top"/>
          </w:tcPr>
          <w:p w14:paraId="2518A3DB">
            <w:pPr>
              <w:pStyle w:val="97"/>
              <w:spacing w:before="93" w:line="220" w:lineRule="auto"/>
              <w:ind w:left="729"/>
              <w:rPr>
                <w:color w:val="auto"/>
                <w:sz w:val="21"/>
                <w:szCs w:val="21"/>
              </w:rPr>
            </w:pPr>
            <w:r>
              <w:rPr>
                <w:color w:val="auto"/>
                <w:spacing w:val="-2"/>
                <w:sz w:val="21"/>
                <w:szCs w:val="21"/>
              </w:rPr>
              <w:t>偶然</w:t>
            </w:r>
          </w:p>
        </w:tc>
        <w:tc>
          <w:tcPr>
            <w:tcW w:w="1782" w:type="pct"/>
            <w:shd w:val="clear" w:color="auto" w:fill="auto"/>
            <w:vAlign w:val="top"/>
          </w:tcPr>
          <w:p w14:paraId="22446BE7">
            <w:pPr>
              <w:pStyle w:val="97"/>
              <w:spacing w:before="93" w:line="220" w:lineRule="auto"/>
              <w:ind w:left="582"/>
              <w:rPr>
                <w:color w:val="auto"/>
                <w:sz w:val="21"/>
                <w:szCs w:val="21"/>
              </w:rPr>
            </w:pPr>
            <w:r>
              <w:rPr>
                <w:color w:val="auto"/>
                <w:spacing w:val="-1"/>
                <w:sz w:val="21"/>
                <w:szCs w:val="21"/>
              </w:rPr>
              <w:t>装置寿命内发生几次</w:t>
            </w:r>
          </w:p>
        </w:tc>
        <w:tc>
          <w:tcPr>
            <w:tcW w:w="1436" w:type="pct"/>
            <w:shd w:val="clear" w:color="auto" w:fill="auto"/>
            <w:vAlign w:val="top"/>
          </w:tcPr>
          <w:p w14:paraId="264884C0">
            <w:pPr>
              <w:pStyle w:val="97"/>
              <w:spacing w:before="93" w:line="235" w:lineRule="auto"/>
              <w:ind w:left="65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0.3333</w:t>
            </w:r>
            <w:r>
              <w:rPr>
                <w:color w:val="auto"/>
                <w:spacing w:val="-1"/>
                <w:sz w:val="21"/>
                <w:szCs w:val="21"/>
              </w:rPr>
              <w:t>～</w:t>
            </w:r>
            <w:r>
              <w:rPr>
                <w:rFonts w:ascii="Times New Roman" w:hAnsi="Times New Roman" w:eastAsia="Times New Roman" w:cs="Times New Roman"/>
                <w:color w:val="auto"/>
                <w:spacing w:val="-1"/>
                <w:sz w:val="21"/>
                <w:szCs w:val="21"/>
              </w:rPr>
              <w:t>0.10</w:t>
            </w:r>
          </w:p>
        </w:tc>
      </w:tr>
      <w:tr w14:paraId="28C6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1" w:hRule="atLeast"/>
        </w:trPr>
        <w:tc>
          <w:tcPr>
            <w:tcW w:w="689" w:type="pct"/>
            <w:shd w:val="clear" w:color="auto" w:fill="auto"/>
            <w:vAlign w:val="top"/>
          </w:tcPr>
          <w:p w14:paraId="643B1076">
            <w:pPr>
              <w:spacing w:before="133" w:line="184" w:lineRule="auto"/>
              <w:ind w:left="55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1090" w:type="pct"/>
            <w:shd w:val="clear" w:color="auto" w:fill="auto"/>
            <w:vAlign w:val="top"/>
          </w:tcPr>
          <w:p w14:paraId="4ACDD783">
            <w:pPr>
              <w:pStyle w:val="97"/>
              <w:spacing w:before="96" w:line="222" w:lineRule="auto"/>
              <w:ind w:left="730"/>
              <w:rPr>
                <w:color w:val="auto"/>
                <w:sz w:val="21"/>
                <w:szCs w:val="21"/>
              </w:rPr>
            </w:pPr>
            <w:r>
              <w:rPr>
                <w:color w:val="auto"/>
                <w:spacing w:val="-2"/>
                <w:sz w:val="21"/>
                <w:szCs w:val="21"/>
              </w:rPr>
              <w:t>可能</w:t>
            </w:r>
          </w:p>
        </w:tc>
        <w:tc>
          <w:tcPr>
            <w:tcW w:w="1782" w:type="pct"/>
            <w:shd w:val="clear" w:color="auto" w:fill="auto"/>
            <w:vAlign w:val="top"/>
          </w:tcPr>
          <w:p w14:paraId="783A9094">
            <w:pPr>
              <w:pStyle w:val="97"/>
              <w:spacing w:before="96" w:line="221" w:lineRule="auto"/>
              <w:ind w:left="689"/>
              <w:rPr>
                <w:color w:val="auto"/>
                <w:sz w:val="21"/>
                <w:szCs w:val="21"/>
              </w:rPr>
            </w:pPr>
            <w:r>
              <w:rPr>
                <w:color w:val="auto"/>
                <w:spacing w:val="-1"/>
                <w:sz w:val="21"/>
                <w:szCs w:val="21"/>
              </w:rPr>
              <w:t>预计一年发生一次</w:t>
            </w:r>
          </w:p>
        </w:tc>
        <w:tc>
          <w:tcPr>
            <w:tcW w:w="1436" w:type="pct"/>
            <w:shd w:val="clear" w:color="auto" w:fill="auto"/>
            <w:vAlign w:val="top"/>
          </w:tcPr>
          <w:p w14:paraId="2317039C">
            <w:pPr>
              <w:pStyle w:val="97"/>
              <w:spacing w:before="97" w:line="232" w:lineRule="auto"/>
              <w:ind w:left="80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w:t>
            </w:r>
            <w:r>
              <w:rPr>
                <w:color w:val="auto"/>
                <w:spacing w:val="-3"/>
                <w:sz w:val="21"/>
                <w:szCs w:val="21"/>
              </w:rPr>
              <w:t>～</w:t>
            </w:r>
            <w:r>
              <w:rPr>
                <w:rFonts w:ascii="Times New Roman" w:hAnsi="Times New Roman" w:eastAsia="Times New Roman" w:cs="Times New Roman"/>
                <w:color w:val="auto"/>
                <w:spacing w:val="-3"/>
                <w:sz w:val="21"/>
                <w:szCs w:val="21"/>
              </w:rPr>
              <w:t>0.3333</w:t>
            </w:r>
          </w:p>
        </w:tc>
      </w:tr>
      <w:tr w14:paraId="3A90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6" w:hRule="atLeast"/>
        </w:trPr>
        <w:tc>
          <w:tcPr>
            <w:tcW w:w="689" w:type="pct"/>
            <w:shd w:val="clear" w:color="auto" w:fill="auto"/>
            <w:vAlign w:val="top"/>
          </w:tcPr>
          <w:p w14:paraId="0DD185DE">
            <w:pPr>
              <w:spacing w:before="134" w:line="187" w:lineRule="auto"/>
              <w:ind w:left="5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1090" w:type="pct"/>
            <w:shd w:val="clear" w:color="auto" w:fill="auto"/>
            <w:vAlign w:val="top"/>
          </w:tcPr>
          <w:p w14:paraId="347AF263">
            <w:pPr>
              <w:pStyle w:val="97"/>
              <w:spacing w:before="100" w:line="221" w:lineRule="auto"/>
              <w:ind w:left="729"/>
              <w:rPr>
                <w:color w:val="auto"/>
                <w:sz w:val="21"/>
                <w:szCs w:val="21"/>
              </w:rPr>
            </w:pPr>
            <w:r>
              <w:rPr>
                <w:color w:val="auto"/>
                <w:spacing w:val="-2"/>
                <w:sz w:val="21"/>
                <w:szCs w:val="21"/>
              </w:rPr>
              <w:t>频繁</w:t>
            </w:r>
          </w:p>
        </w:tc>
        <w:tc>
          <w:tcPr>
            <w:tcW w:w="1782" w:type="pct"/>
            <w:shd w:val="clear" w:color="auto" w:fill="auto"/>
            <w:vAlign w:val="top"/>
          </w:tcPr>
          <w:p w14:paraId="1D038D34">
            <w:pPr>
              <w:pStyle w:val="97"/>
              <w:spacing w:before="100" w:line="221" w:lineRule="auto"/>
              <w:ind w:left="478"/>
              <w:rPr>
                <w:color w:val="auto"/>
                <w:sz w:val="21"/>
                <w:szCs w:val="21"/>
              </w:rPr>
            </w:pPr>
            <w:r>
              <w:rPr>
                <w:color w:val="auto"/>
                <w:spacing w:val="-1"/>
                <w:sz w:val="21"/>
                <w:szCs w:val="21"/>
              </w:rPr>
              <w:t>预计一年发生一次以上</w:t>
            </w:r>
          </w:p>
        </w:tc>
        <w:tc>
          <w:tcPr>
            <w:tcW w:w="1436" w:type="pct"/>
            <w:shd w:val="clear" w:color="auto" w:fill="auto"/>
            <w:vAlign w:val="top"/>
          </w:tcPr>
          <w:p w14:paraId="68556471">
            <w:pPr>
              <w:pStyle w:val="97"/>
              <w:spacing w:before="100" w:line="239" w:lineRule="auto"/>
              <w:ind w:left="1093"/>
              <w:rPr>
                <w:rFonts w:ascii="Times New Roman" w:hAnsi="Times New Roman" w:eastAsia="Times New Roman" w:cs="Times New Roman"/>
                <w:color w:val="auto"/>
                <w:sz w:val="21"/>
                <w:szCs w:val="21"/>
              </w:rPr>
            </w:pPr>
            <w:r>
              <w:rPr>
                <w:color w:val="auto"/>
                <w:spacing w:val="37"/>
                <w:w w:val="102"/>
                <w:sz w:val="21"/>
                <w:szCs w:val="21"/>
              </w:rPr>
              <w:t>&gt;</w:t>
            </w:r>
            <w:r>
              <w:rPr>
                <w:rFonts w:ascii="Times New Roman" w:hAnsi="Times New Roman" w:eastAsia="Times New Roman" w:cs="Times New Roman"/>
                <w:color w:val="auto"/>
                <w:spacing w:val="37"/>
                <w:w w:val="102"/>
                <w:sz w:val="21"/>
                <w:szCs w:val="21"/>
              </w:rPr>
              <w:t>1</w:t>
            </w:r>
          </w:p>
        </w:tc>
      </w:tr>
    </w:tbl>
    <w:p w14:paraId="39B51111">
      <w:pPr>
        <w:spacing w:line="69" w:lineRule="exact"/>
        <w:rPr>
          <w:color w:val="auto"/>
        </w:rPr>
      </w:pPr>
    </w:p>
    <w:p w14:paraId="68837070">
      <w:pPr>
        <w:pageBreakBefore w:val="0"/>
        <w:widowControl w:val="0"/>
        <w:kinsoku/>
        <w:wordWrap/>
        <w:overflowPunct/>
        <w:topLinePunct w:val="0"/>
        <w:autoSpaceDE/>
        <w:autoSpaceDN/>
        <w:bidi w:val="0"/>
        <w:adjustRightInd/>
        <w:snapToGrid/>
        <w:spacing w:line="360" w:lineRule="auto"/>
        <w:ind w:left="0" w:firstLine="472" w:firstLineChars="200"/>
        <w:textAlignment w:val="auto"/>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）一般事故发生概率</w:t>
      </w:r>
    </w:p>
    <w:p w14:paraId="0EFA37C9">
      <w:pPr>
        <w:keepNext/>
        <w:keepLines/>
        <w:pageBreakBefore w:val="0"/>
        <w:widowControl w:val="0"/>
        <w:kinsoku/>
        <w:wordWrap/>
        <w:overflowPunct/>
        <w:topLinePunct w:val="0"/>
        <w:autoSpaceDE/>
        <w:autoSpaceDN/>
        <w:bidi w:val="0"/>
        <w:adjustRightInd/>
        <w:snapToGrid/>
        <w:spacing w:line="360" w:lineRule="auto"/>
        <w:ind w:left="0" w:firstLine="468" w:firstLineChars="200"/>
        <w:textAlignment w:val="auto"/>
        <w:outlineLvl w:val="9"/>
        <w:rPr>
          <w:rFonts w:ascii="宋体" w:hAnsi="宋体" w:eastAsia="宋体" w:cs="宋体"/>
          <w:color w:val="auto"/>
          <w:spacing w:val="-2"/>
          <w:sz w:val="24"/>
          <w:szCs w:val="24"/>
        </w:rPr>
      </w:pPr>
      <w:r>
        <w:rPr>
          <w:rFonts w:ascii="宋体" w:hAnsi="宋体" w:eastAsia="宋体" w:cs="宋体"/>
          <w:color w:val="auto"/>
          <w:spacing w:val="-3"/>
          <w:sz w:val="24"/>
          <w:szCs w:val="24"/>
        </w:rPr>
        <w:t>一般事故是指那些没有造成重大经济损失和人员伤亡的事</w:t>
      </w:r>
      <w:r>
        <w:rPr>
          <w:rFonts w:ascii="宋体" w:hAnsi="宋体" w:eastAsia="宋体" w:cs="宋体"/>
          <w:color w:val="auto"/>
          <w:spacing w:val="-4"/>
          <w:sz w:val="24"/>
          <w:szCs w:val="24"/>
        </w:rPr>
        <w:t>故，此类事故如处</w:t>
      </w:r>
      <w:r>
        <w:rPr>
          <w:rFonts w:ascii="宋体" w:hAnsi="宋体" w:eastAsia="宋体" w:cs="宋体"/>
          <w:color w:val="auto"/>
          <w:spacing w:val="-6"/>
          <w:sz w:val="24"/>
          <w:szCs w:val="24"/>
        </w:rPr>
        <w:t>置不当，将对环境产生不利影响。对同类化工生产装置事故调查统</w:t>
      </w:r>
      <w:r>
        <w:rPr>
          <w:rFonts w:ascii="宋体" w:hAnsi="宋体" w:eastAsia="宋体" w:cs="宋体"/>
          <w:color w:val="auto"/>
          <w:spacing w:val="-7"/>
          <w:sz w:val="24"/>
          <w:szCs w:val="24"/>
        </w:rPr>
        <w:t>计可知，因生</w:t>
      </w:r>
      <w:r>
        <w:rPr>
          <w:rFonts w:ascii="宋体" w:hAnsi="宋体" w:eastAsia="宋体" w:cs="宋体"/>
          <w:color w:val="auto"/>
          <w:spacing w:val="-6"/>
          <w:sz w:val="24"/>
          <w:szCs w:val="24"/>
        </w:rPr>
        <w:t>产装置原因造成的事故中以设备、管道、贮罐破损泄漏出现几率最</w:t>
      </w:r>
      <w:r>
        <w:rPr>
          <w:rFonts w:ascii="宋体" w:hAnsi="宋体" w:eastAsia="宋体" w:cs="宋体"/>
          <w:color w:val="auto"/>
          <w:spacing w:val="-7"/>
          <w:sz w:val="24"/>
          <w:szCs w:val="24"/>
        </w:rPr>
        <w:t>大；因人为因</w:t>
      </w:r>
      <w:r>
        <w:rPr>
          <w:rFonts w:ascii="宋体" w:hAnsi="宋体" w:eastAsia="宋体" w:cs="宋体"/>
          <w:color w:val="auto"/>
          <w:spacing w:val="-6"/>
          <w:sz w:val="24"/>
          <w:szCs w:val="24"/>
        </w:rPr>
        <w:t>素造成的事故中以操作失误、违章操作、维护不当出现几率最大。</w:t>
      </w:r>
      <w:r>
        <w:rPr>
          <w:rFonts w:ascii="宋体" w:hAnsi="宋体" w:eastAsia="宋体" w:cs="宋体"/>
          <w:color w:val="auto"/>
          <w:spacing w:val="-7"/>
          <w:sz w:val="24"/>
          <w:szCs w:val="24"/>
        </w:rPr>
        <w:t>一般事故发生</w:t>
      </w:r>
      <w:r>
        <w:rPr>
          <w:rFonts w:ascii="宋体" w:hAnsi="宋体" w:eastAsia="宋体" w:cs="宋体"/>
          <w:color w:val="auto"/>
          <w:spacing w:val="-2"/>
          <w:sz w:val="24"/>
          <w:szCs w:val="24"/>
        </w:rPr>
        <w:t>概率见表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6</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w:t>
      </w:r>
    </w:p>
    <w:p w14:paraId="6A076047">
      <w:pPr>
        <w:spacing w:before="78" w:line="218" w:lineRule="auto"/>
        <w:jc w:val="center"/>
        <w:rPr>
          <w:rFonts w:ascii="Times New Roman" w:hAnsi="Times New Roman" w:eastAsia="宋体" w:cs="黑体"/>
          <w:b/>
          <w:bCs/>
          <w:color w:val="auto"/>
          <w:sz w:val="24"/>
          <w:szCs w:val="24"/>
        </w:rPr>
      </w:pPr>
      <w:r>
        <w:rPr>
          <w:rFonts w:ascii="Times New Roman" w:hAnsi="Times New Roman" w:eastAsia="宋体" w:cs="黑体"/>
          <w:b/>
          <w:bCs/>
          <w:color w:val="auto"/>
          <w:spacing w:val="-1"/>
          <w:sz w:val="24"/>
          <w:szCs w:val="24"/>
        </w:rPr>
        <w:t>表</w:t>
      </w:r>
      <w:r>
        <w:rPr>
          <w:rFonts w:ascii="Times New Roman" w:hAnsi="Times New Roman" w:eastAsia="宋体" w:cs="Times New Roman"/>
          <w:b/>
          <w:bCs/>
          <w:color w:val="auto"/>
          <w:spacing w:val="-1"/>
          <w:sz w:val="24"/>
          <w:szCs w:val="24"/>
        </w:rPr>
        <w:t>7.</w:t>
      </w:r>
      <w:r>
        <w:rPr>
          <w:rFonts w:hint="eastAsia" w:ascii="Times New Roman" w:hAnsi="Times New Roman" w:eastAsia="宋体" w:cs="Times New Roman"/>
          <w:b/>
          <w:bCs/>
          <w:color w:val="auto"/>
          <w:spacing w:val="-1"/>
          <w:sz w:val="24"/>
          <w:szCs w:val="24"/>
          <w:lang w:val="en-US" w:eastAsia="zh-CN"/>
        </w:rPr>
        <w:t>6</w:t>
      </w:r>
      <w:r>
        <w:rPr>
          <w:rFonts w:ascii="Times New Roman" w:hAnsi="Times New Roman" w:eastAsia="宋体" w:cs="Times New Roman"/>
          <w:b/>
          <w:bCs/>
          <w:color w:val="auto"/>
          <w:spacing w:val="-1"/>
          <w:sz w:val="24"/>
          <w:szCs w:val="24"/>
        </w:rPr>
        <w:t>-2</w:t>
      </w:r>
      <w:r>
        <w:rPr>
          <w:rFonts w:ascii="Times New Roman" w:hAnsi="Times New Roman" w:eastAsia="宋体" w:cs="黑体"/>
          <w:b/>
          <w:bCs/>
          <w:color w:val="auto"/>
          <w:spacing w:val="-1"/>
          <w:sz w:val="24"/>
          <w:szCs w:val="24"/>
        </w:rPr>
        <w:t>一般事故原因统计表</w:t>
      </w: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095"/>
        <w:gridCol w:w="4452"/>
      </w:tblGrid>
      <w:tr w14:paraId="5D35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4" w:hRule="atLeast"/>
        </w:trPr>
        <w:tc>
          <w:tcPr>
            <w:tcW w:w="2395" w:type="pct"/>
            <w:shd w:val="clear" w:color="auto" w:fill="auto"/>
            <w:vAlign w:val="center"/>
          </w:tcPr>
          <w:p w14:paraId="7E896A08">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2"/>
                <w:sz w:val="21"/>
                <w:szCs w:val="21"/>
              </w:rPr>
              <w:t>事故原因</w:t>
            </w:r>
          </w:p>
        </w:tc>
        <w:tc>
          <w:tcPr>
            <w:tcW w:w="2604" w:type="pct"/>
            <w:shd w:val="clear" w:color="auto" w:fill="auto"/>
            <w:vAlign w:val="center"/>
          </w:tcPr>
          <w:p w14:paraId="53813570">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z w:val="21"/>
                <w:szCs w:val="21"/>
              </w:rPr>
            </w:pPr>
            <w:r>
              <w:rPr>
                <w:b/>
                <w:bCs/>
                <w:color w:val="auto"/>
                <w:spacing w:val="-4"/>
                <w:sz w:val="21"/>
                <w:szCs w:val="21"/>
              </w:rPr>
              <w:t>出现几率（</w:t>
            </w:r>
            <w:r>
              <w:rPr>
                <w:rFonts w:ascii="Times New Roman" w:hAnsi="Times New Roman" w:eastAsia="Times New Roman" w:cs="Times New Roman"/>
                <w:b/>
                <w:bCs/>
                <w:color w:val="auto"/>
                <w:spacing w:val="-4"/>
                <w:sz w:val="21"/>
                <w:szCs w:val="21"/>
              </w:rPr>
              <w:t>%</w:t>
            </w:r>
            <w:r>
              <w:rPr>
                <w:b/>
                <w:bCs/>
                <w:color w:val="auto"/>
                <w:spacing w:val="-4"/>
                <w:sz w:val="21"/>
                <w:szCs w:val="21"/>
              </w:rPr>
              <w:t>）</w:t>
            </w:r>
          </w:p>
        </w:tc>
      </w:tr>
      <w:tr w14:paraId="4665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0" w:hRule="atLeast"/>
        </w:trPr>
        <w:tc>
          <w:tcPr>
            <w:tcW w:w="2395" w:type="pct"/>
            <w:shd w:val="clear" w:color="auto" w:fill="auto"/>
            <w:vAlign w:val="center"/>
          </w:tcPr>
          <w:p w14:paraId="3AB1F666">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贮罐、管道和设备破损</w:t>
            </w:r>
          </w:p>
        </w:tc>
        <w:tc>
          <w:tcPr>
            <w:tcW w:w="2604" w:type="pct"/>
            <w:shd w:val="clear" w:color="auto" w:fill="auto"/>
            <w:vAlign w:val="center"/>
          </w:tcPr>
          <w:p w14:paraId="7840BE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52</w:t>
            </w:r>
          </w:p>
        </w:tc>
      </w:tr>
      <w:tr w14:paraId="0DF3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2395" w:type="pct"/>
            <w:shd w:val="clear" w:color="auto" w:fill="auto"/>
            <w:vAlign w:val="center"/>
          </w:tcPr>
          <w:p w14:paraId="5D882298">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操作失误</w:t>
            </w:r>
          </w:p>
        </w:tc>
        <w:tc>
          <w:tcPr>
            <w:tcW w:w="2604" w:type="pct"/>
            <w:shd w:val="clear" w:color="auto" w:fill="auto"/>
            <w:vAlign w:val="center"/>
          </w:tcPr>
          <w:p w14:paraId="319B86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11</w:t>
            </w:r>
          </w:p>
        </w:tc>
      </w:tr>
      <w:tr w14:paraId="7DD9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70" w:hRule="atLeast"/>
        </w:trPr>
        <w:tc>
          <w:tcPr>
            <w:tcW w:w="2395" w:type="pct"/>
            <w:shd w:val="clear" w:color="auto" w:fill="auto"/>
            <w:vAlign w:val="center"/>
          </w:tcPr>
          <w:p w14:paraId="0EFC96F6">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违反检修规程</w:t>
            </w:r>
          </w:p>
        </w:tc>
        <w:tc>
          <w:tcPr>
            <w:tcW w:w="2604" w:type="pct"/>
            <w:shd w:val="clear" w:color="auto" w:fill="auto"/>
            <w:vAlign w:val="center"/>
          </w:tcPr>
          <w:p w14:paraId="2D2B1C6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10</w:t>
            </w:r>
          </w:p>
        </w:tc>
      </w:tr>
      <w:tr w14:paraId="390C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2395" w:type="pct"/>
            <w:shd w:val="clear" w:color="auto" w:fill="auto"/>
            <w:vAlign w:val="center"/>
          </w:tcPr>
          <w:p w14:paraId="18134CD0">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处理系统故障</w:t>
            </w:r>
          </w:p>
        </w:tc>
        <w:tc>
          <w:tcPr>
            <w:tcW w:w="2604" w:type="pct"/>
            <w:shd w:val="clear" w:color="auto" w:fill="auto"/>
            <w:vAlign w:val="center"/>
          </w:tcPr>
          <w:p w14:paraId="7A1144A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15</w:t>
            </w:r>
          </w:p>
        </w:tc>
      </w:tr>
      <w:tr w14:paraId="670E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2395" w:type="pct"/>
            <w:shd w:val="clear" w:color="auto" w:fill="auto"/>
            <w:vAlign w:val="center"/>
          </w:tcPr>
          <w:p w14:paraId="3CF9A46F">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其它</w:t>
            </w:r>
          </w:p>
        </w:tc>
        <w:tc>
          <w:tcPr>
            <w:tcW w:w="2604" w:type="pct"/>
            <w:shd w:val="clear" w:color="auto" w:fill="auto"/>
            <w:vAlign w:val="center"/>
          </w:tcPr>
          <w:p w14:paraId="5AE97F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6"/>
                <w:sz w:val="21"/>
                <w:szCs w:val="21"/>
              </w:rPr>
              <w:t>12</w:t>
            </w:r>
          </w:p>
        </w:tc>
      </w:tr>
    </w:tbl>
    <w:p w14:paraId="1C608175">
      <w:pPr>
        <w:keepNext/>
        <w:keepLines/>
        <w:pageBreakBefore w:val="0"/>
        <w:widowControl w:val="0"/>
        <w:kinsoku/>
        <w:wordWrap/>
        <w:overflowPunct/>
        <w:topLinePunct w:val="0"/>
        <w:autoSpaceDE/>
        <w:autoSpaceDN/>
        <w:bidi w:val="0"/>
        <w:adjustRightInd/>
        <w:snapToGrid/>
        <w:spacing w:line="360" w:lineRule="auto"/>
        <w:ind w:left="0" w:firstLine="472" w:firstLineChars="200"/>
        <w:textAlignment w:val="auto"/>
        <w:outlineLvl w:val="9"/>
        <w:rPr>
          <w:rFonts w:ascii="宋体" w:hAnsi="宋体" w:eastAsia="宋体" w:cs="宋体"/>
          <w:color w:val="auto"/>
          <w:spacing w:val="-4"/>
          <w:sz w:val="24"/>
          <w:szCs w:val="24"/>
        </w:rPr>
      </w:pPr>
      <w:r>
        <w:rPr>
          <w:rFonts w:ascii="宋体" w:hAnsi="宋体" w:eastAsia="宋体" w:cs="宋体"/>
          <w:color w:val="auto"/>
          <w:spacing w:val="-2"/>
          <w:sz w:val="24"/>
          <w:szCs w:val="24"/>
        </w:rPr>
        <w:t>国际上先进化工生产装置一般性泄漏事故发生概率为</w:t>
      </w:r>
      <w:r>
        <w:rPr>
          <w:rFonts w:ascii="Times New Roman" w:hAnsi="Times New Roman" w:eastAsia="Times New Roman" w:cs="Times New Roman"/>
          <w:color w:val="auto"/>
          <w:spacing w:val="-2"/>
          <w:sz w:val="24"/>
          <w:szCs w:val="24"/>
        </w:rPr>
        <w:t>0.06</w:t>
      </w:r>
      <w:r>
        <w:rPr>
          <w:rFonts w:ascii="宋体" w:hAnsi="宋体" w:eastAsia="宋体" w:cs="宋体"/>
          <w:color w:val="auto"/>
          <w:spacing w:val="-3"/>
          <w:sz w:val="24"/>
          <w:szCs w:val="24"/>
        </w:rPr>
        <w:t>次</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年，非泄漏事</w:t>
      </w:r>
      <w:r>
        <w:rPr>
          <w:rFonts w:ascii="宋体" w:hAnsi="宋体" w:eastAsia="宋体" w:cs="宋体"/>
          <w:color w:val="auto"/>
          <w:spacing w:val="-1"/>
          <w:sz w:val="24"/>
          <w:szCs w:val="24"/>
        </w:rPr>
        <w:t>故发生概率为</w:t>
      </w:r>
      <w:r>
        <w:rPr>
          <w:rFonts w:ascii="Times New Roman" w:hAnsi="Times New Roman" w:eastAsia="Times New Roman" w:cs="Times New Roman"/>
          <w:color w:val="auto"/>
          <w:spacing w:val="-1"/>
          <w:sz w:val="24"/>
          <w:szCs w:val="24"/>
        </w:rPr>
        <w:t>0.0083</w:t>
      </w:r>
      <w:r>
        <w:rPr>
          <w:rFonts w:ascii="宋体" w:hAnsi="宋体" w:eastAsia="宋体" w:cs="宋体"/>
          <w:color w:val="auto"/>
          <w:spacing w:val="-1"/>
          <w:sz w:val="24"/>
          <w:szCs w:val="24"/>
        </w:rPr>
        <w:t>次</w:t>
      </w:r>
      <w:r>
        <w:rPr>
          <w:rFonts w:ascii="Times New Roman" w:hAnsi="Times New Roman" w:eastAsia="Times New Roman" w:cs="Times New Roman"/>
          <w:color w:val="auto"/>
          <w:spacing w:val="-1"/>
          <w:sz w:val="24"/>
          <w:szCs w:val="24"/>
        </w:rPr>
        <w:t>/</w:t>
      </w:r>
      <w:r>
        <w:rPr>
          <w:rFonts w:ascii="宋体" w:hAnsi="宋体" w:eastAsia="宋体" w:cs="宋体"/>
          <w:color w:val="auto"/>
          <w:spacing w:val="-1"/>
          <w:sz w:val="24"/>
          <w:szCs w:val="24"/>
        </w:rPr>
        <w:t>年。参照国内化工企业生产和管理水平，本项目一般事</w:t>
      </w:r>
      <w:r>
        <w:rPr>
          <w:rFonts w:ascii="宋体" w:hAnsi="宋体" w:eastAsia="宋体" w:cs="宋体"/>
          <w:color w:val="auto"/>
          <w:spacing w:val="-4"/>
          <w:sz w:val="24"/>
          <w:szCs w:val="24"/>
        </w:rPr>
        <w:t>故发生概率约为</w:t>
      </w:r>
      <w:r>
        <w:rPr>
          <w:rFonts w:ascii="Times New Roman" w:hAnsi="Times New Roman" w:eastAsia="Times New Roman" w:cs="Times New Roman"/>
          <w:color w:val="auto"/>
          <w:spacing w:val="-4"/>
          <w:sz w:val="24"/>
          <w:szCs w:val="24"/>
        </w:rPr>
        <w:t>0.15</w:t>
      </w:r>
      <w:r>
        <w:rPr>
          <w:rFonts w:ascii="宋体" w:hAnsi="宋体" w:eastAsia="宋体" w:cs="宋体"/>
          <w:color w:val="auto"/>
          <w:spacing w:val="-4"/>
          <w:sz w:val="24"/>
          <w:szCs w:val="24"/>
        </w:rPr>
        <w:t>次</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年。</w:t>
      </w:r>
    </w:p>
    <w:p w14:paraId="56CFAF30">
      <w:pPr>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cs="宋体"/>
          <w:color w:val="auto"/>
          <w:spacing w:val="-3"/>
          <w:sz w:val="24"/>
          <w:szCs w:val="24"/>
          <w:lang w:eastAsia="zh-CN"/>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3</w:t>
      </w:r>
      <w:r>
        <w:rPr>
          <w:rFonts w:ascii="宋体" w:hAnsi="宋体" w:eastAsia="宋体" w:cs="宋体"/>
          <w:color w:val="auto"/>
          <w:spacing w:val="-3"/>
          <w:sz w:val="24"/>
          <w:szCs w:val="24"/>
        </w:rPr>
        <w:t>）最大可信事故发生概率</w:t>
      </w:r>
      <w:r>
        <w:rPr>
          <w:rFonts w:hint="eastAsia" w:ascii="宋体" w:hAnsi="宋体" w:cs="宋体"/>
          <w:color w:val="auto"/>
          <w:spacing w:val="-3"/>
          <w:sz w:val="24"/>
          <w:szCs w:val="24"/>
          <w:lang w:eastAsia="zh-CN"/>
        </w:rPr>
        <w:t>、</w:t>
      </w:r>
    </w:p>
    <w:p w14:paraId="26C551FC">
      <w:pPr>
        <w:pageBreakBefore w:val="0"/>
        <w:widowControl w:val="0"/>
        <w:kinsoku/>
        <w:wordWrap/>
        <w:overflowPunct/>
        <w:topLinePunct w:val="0"/>
        <w:autoSpaceDE/>
        <w:autoSpaceDN/>
        <w:bidi w:val="0"/>
        <w:adjustRightInd/>
        <w:snapToGrid/>
        <w:spacing w:line="360" w:lineRule="auto"/>
        <w:ind w:left="0" w:firstLine="468" w:firstLineChars="200"/>
        <w:textAlignment w:val="auto"/>
        <w:rPr>
          <w:rFonts w:ascii="宋体" w:hAnsi="宋体" w:eastAsia="宋体" w:cs="宋体"/>
          <w:color w:val="auto"/>
          <w:spacing w:val="-1"/>
          <w:sz w:val="24"/>
          <w:szCs w:val="24"/>
        </w:rPr>
      </w:pPr>
      <w:r>
        <w:rPr>
          <w:rFonts w:ascii="宋体" w:hAnsi="宋体" w:eastAsia="宋体" w:cs="宋体"/>
          <w:color w:val="auto"/>
          <w:spacing w:val="-3"/>
          <w:sz w:val="24"/>
          <w:szCs w:val="24"/>
        </w:rPr>
        <w:t>事故概率可以通过事故树分析，确定顶上事件后用概率计</w:t>
      </w:r>
      <w:r>
        <w:rPr>
          <w:rFonts w:ascii="宋体" w:hAnsi="宋体" w:eastAsia="宋体" w:cs="宋体"/>
          <w:color w:val="auto"/>
          <w:spacing w:val="-4"/>
          <w:sz w:val="24"/>
          <w:szCs w:val="24"/>
        </w:rPr>
        <w:t>算法求得，亦可以</w:t>
      </w:r>
      <w:r>
        <w:rPr>
          <w:rFonts w:ascii="宋体" w:hAnsi="宋体" w:eastAsia="宋体" w:cs="宋体"/>
          <w:color w:val="auto"/>
          <w:spacing w:val="-3"/>
          <w:sz w:val="24"/>
          <w:szCs w:val="24"/>
        </w:rPr>
        <w:t>通过统计资料及国内、外同类装置事故情况调查资料给出概率统计值。本项</w:t>
      </w:r>
      <w:r>
        <w:rPr>
          <w:rFonts w:ascii="宋体" w:hAnsi="宋体" w:eastAsia="宋体" w:cs="宋体"/>
          <w:color w:val="auto"/>
          <w:spacing w:val="-4"/>
          <w:sz w:val="24"/>
          <w:szCs w:val="24"/>
        </w:rPr>
        <w:t>目结合两种手段综合，同时参考于立见等人发表的《定量风险评价中泄漏概率的确定</w:t>
      </w:r>
      <w:r>
        <w:rPr>
          <w:rFonts w:ascii="宋体" w:hAnsi="宋体" w:eastAsia="宋体" w:cs="宋体"/>
          <w:color w:val="auto"/>
          <w:spacing w:val="-1"/>
          <w:sz w:val="24"/>
          <w:szCs w:val="24"/>
        </w:rPr>
        <w:t>方法探讨》中的统计资料分析得出该项目最大可信事故概率，见表</w:t>
      </w:r>
      <w:r>
        <w:rPr>
          <w:rFonts w:ascii="Times New Roman" w:hAnsi="Times New Roman" w:eastAsia="Times New Roman" w:cs="Times New Roman"/>
          <w:color w:val="auto"/>
          <w:spacing w:val="-1"/>
          <w:sz w:val="24"/>
          <w:szCs w:val="24"/>
        </w:rPr>
        <w:t>7.</w:t>
      </w:r>
      <w:r>
        <w:rPr>
          <w:rFonts w:hint="eastAsia" w:ascii="Times New Roman" w:hAnsi="Times New Roman" w:eastAsia="宋体" w:cs="Times New Roman"/>
          <w:color w:val="auto"/>
          <w:spacing w:val="-1"/>
          <w:sz w:val="24"/>
          <w:szCs w:val="24"/>
          <w:lang w:val="en-US" w:eastAsia="zh-CN"/>
        </w:rPr>
        <w:t>6</w:t>
      </w:r>
      <w:r>
        <w:rPr>
          <w:rFonts w:ascii="Times New Roman" w:hAnsi="Times New Roman" w:eastAsia="Times New Roman" w:cs="Times New Roman"/>
          <w:color w:val="auto"/>
          <w:spacing w:val="-1"/>
          <w:sz w:val="24"/>
          <w:szCs w:val="24"/>
        </w:rPr>
        <w:t>-3</w:t>
      </w:r>
      <w:r>
        <w:rPr>
          <w:rFonts w:ascii="宋体" w:hAnsi="宋体" w:eastAsia="宋体" w:cs="宋体"/>
          <w:color w:val="auto"/>
          <w:spacing w:val="-1"/>
          <w:sz w:val="24"/>
          <w:szCs w:val="24"/>
        </w:rPr>
        <w:t>。</w:t>
      </w:r>
    </w:p>
    <w:p w14:paraId="23BA298F">
      <w:pPr>
        <w:jc w:val="center"/>
        <w:rPr>
          <w:b/>
          <w:bCs/>
          <w:color w:val="auto"/>
          <w:sz w:val="24"/>
          <w:szCs w:val="24"/>
        </w:rPr>
      </w:pPr>
      <w:r>
        <w:rPr>
          <w:b/>
          <w:bCs/>
          <w:color w:val="auto"/>
          <w:sz w:val="24"/>
          <w:szCs w:val="24"/>
        </w:rPr>
        <w:t>表7.</w:t>
      </w:r>
      <w:r>
        <w:rPr>
          <w:rFonts w:hint="eastAsia"/>
          <w:b/>
          <w:bCs/>
          <w:color w:val="auto"/>
          <w:sz w:val="24"/>
          <w:szCs w:val="24"/>
          <w:lang w:val="en-US" w:eastAsia="zh-CN"/>
        </w:rPr>
        <w:t>6</w:t>
      </w:r>
      <w:r>
        <w:rPr>
          <w:b/>
          <w:bCs/>
          <w:color w:val="auto"/>
          <w:sz w:val="24"/>
          <w:szCs w:val="24"/>
        </w:rPr>
        <w:t>-3最大可信事故概率统计表</w:t>
      </w:r>
    </w:p>
    <w:p w14:paraId="18F0AB61">
      <w:pPr>
        <w:spacing w:line="69" w:lineRule="exact"/>
        <w:rPr>
          <w:color w:val="auto"/>
        </w:rPr>
      </w:pPr>
    </w:p>
    <w:tbl>
      <w:tblPr>
        <w:tblStyle w:val="7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2"/>
        <w:gridCol w:w="3896"/>
        <w:gridCol w:w="3140"/>
      </w:tblGrid>
      <w:tr w14:paraId="4A97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1502" w:type="dxa"/>
            <w:shd w:val="clear" w:color="auto" w:fill="auto"/>
            <w:vAlign w:val="top"/>
          </w:tcPr>
          <w:p w14:paraId="259A6922">
            <w:pPr>
              <w:pStyle w:val="97"/>
              <w:spacing w:before="81" w:line="222" w:lineRule="auto"/>
              <w:ind w:left="554"/>
              <w:rPr>
                <w:rFonts w:ascii="Times New Roman" w:hAnsi="Times New Roman" w:eastAsia="宋体"/>
                <w:b/>
                <w:bCs/>
                <w:color w:val="auto"/>
                <w:sz w:val="21"/>
                <w:szCs w:val="21"/>
              </w:rPr>
            </w:pPr>
            <w:r>
              <w:rPr>
                <w:rFonts w:ascii="Times New Roman" w:hAnsi="Times New Roman" w:eastAsia="宋体"/>
                <w:b/>
                <w:bCs/>
                <w:color w:val="auto"/>
                <w:spacing w:val="-2"/>
                <w:sz w:val="21"/>
                <w:szCs w:val="21"/>
              </w:rPr>
              <w:t>序号</w:t>
            </w:r>
          </w:p>
        </w:tc>
        <w:tc>
          <w:tcPr>
            <w:tcW w:w="3896" w:type="dxa"/>
            <w:shd w:val="clear" w:color="auto" w:fill="auto"/>
            <w:vAlign w:val="top"/>
          </w:tcPr>
          <w:p w14:paraId="2BD3BCA2">
            <w:pPr>
              <w:pStyle w:val="97"/>
              <w:spacing w:before="81" w:line="221" w:lineRule="auto"/>
              <w:ind w:left="1115"/>
              <w:rPr>
                <w:rFonts w:ascii="Times New Roman" w:hAnsi="Times New Roman" w:eastAsia="宋体"/>
                <w:b/>
                <w:bCs/>
                <w:color w:val="auto"/>
                <w:sz w:val="21"/>
                <w:szCs w:val="21"/>
              </w:rPr>
            </w:pPr>
            <w:r>
              <w:rPr>
                <w:rFonts w:ascii="Times New Roman" w:hAnsi="Times New Roman" w:eastAsia="宋体"/>
                <w:b/>
                <w:bCs/>
                <w:color w:val="auto"/>
                <w:spacing w:val="-1"/>
                <w:sz w:val="21"/>
                <w:szCs w:val="21"/>
              </w:rPr>
              <w:t>最大可信事故类别</w:t>
            </w:r>
          </w:p>
        </w:tc>
        <w:tc>
          <w:tcPr>
            <w:tcW w:w="3140" w:type="dxa"/>
            <w:shd w:val="clear" w:color="auto" w:fill="auto"/>
            <w:vAlign w:val="top"/>
          </w:tcPr>
          <w:p w14:paraId="476800F7">
            <w:pPr>
              <w:pStyle w:val="97"/>
              <w:spacing w:before="82" w:line="234" w:lineRule="auto"/>
              <w:ind w:left="704"/>
              <w:rPr>
                <w:rFonts w:ascii="Times New Roman" w:hAnsi="Times New Roman" w:eastAsia="宋体"/>
                <w:b/>
                <w:bCs/>
                <w:color w:val="auto"/>
                <w:sz w:val="21"/>
                <w:szCs w:val="21"/>
              </w:rPr>
            </w:pPr>
            <w:r>
              <w:rPr>
                <w:rFonts w:ascii="Times New Roman" w:hAnsi="Times New Roman" w:eastAsia="宋体"/>
                <w:b/>
                <w:bCs/>
                <w:color w:val="auto"/>
                <w:spacing w:val="-2"/>
                <w:sz w:val="21"/>
                <w:szCs w:val="21"/>
              </w:rPr>
              <w:t>事故概率（次</w:t>
            </w:r>
            <w:r>
              <w:rPr>
                <w:rFonts w:ascii="Times New Roman" w:hAnsi="Times New Roman" w:eastAsia="宋体" w:cs="Times New Roman"/>
                <w:b/>
                <w:bCs/>
                <w:color w:val="auto"/>
                <w:spacing w:val="-2"/>
                <w:sz w:val="21"/>
                <w:szCs w:val="21"/>
              </w:rPr>
              <w:t>/</w:t>
            </w:r>
            <w:r>
              <w:rPr>
                <w:rFonts w:ascii="Times New Roman" w:hAnsi="Times New Roman" w:eastAsia="宋体"/>
                <w:b/>
                <w:bCs/>
                <w:color w:val="auto"/>
                <w:spacing w:val="-2"/>
                <w:sz w:val="21"/>
                <w:szCs w:val="21"/>
              </w:rPr>
              <w:t>年）</w:t>
            </w:r>
          </w:p>
        </w:tc>
      </w:tr>
      <w:tr w14:paraId="2D51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1502" w:type="dxa"/>
            <w:vAlign w:val="top"/>
          </w:tcPr>
          <w:p w14:paraId="54078D33">
            <w:pPr>
              <w:spacing w:before="119" w:line="187" w:lineRule="auto"/>
              <w:ind w:left="73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3896" w:type="dxa"/>
            <w:vAlign w:val="top"/>
          </w:tcPr>
          <w:p w14:paraId="286756E0">
            <w:pPr>
              <w:pStyle w:val="97"/>
              <w:spacing w:before="85" w:line="219" w:lineRule="auto"/>
              <w:ind w:left="1009"/>
              <w:rPr>
                <w:rFonts w:ascii="Times New Roman" w:hAnsi="Times New Roman" w:eastAsia="宋体"/>
                <w:color w:val="auto"/>
                <w:sz w:val="21"/>
                <w:szCs w:val="21"/>
              </w:rPr>
            </w:pPr>
            <w:r>
              <w:rPr>
                <w:rFonts w:ascii="Times New Roman" w:hAnsi="Times New Roman" w:eastAsia="宋体"/>
                <w:color w:val="auto"/>
                <w:spacing w:val="-1"/>
                <w:sz w:val="21"/>
                <w:szCs w:val="21"/>
              </w:rPr>
              <w:t>生产装置泄漏、爆炸</w:t>
            </w:r>
          </w:p>
        </w:tc>
        <w:tc>
          <w:tcPr>
            <w:tcW w:w="3140" w:type="dxa"/>
            <w:vAlign w:val="top"/>
          </w:tcPr>
          <w:p w14:paraId="62EDADD1">
            <w:pPr>
              <w:spacing w:before="98" w:line="208" w:lineRule="auto"/>
              <w:ind w:left="110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0.5~1×10</w:t>
            </w:r>
            <w:r>
              <w:rPr>
                <w:rFonts w:ascii="Times New Roman" w:hAnsi="Times New Roman" w:eastAsia="宋体" w:cs="Times New Roman"/>
                <w:color w:val="auto"/>
                <w:position w:val="6"/>
                <w:sz w:val="21"/>
                <w:szCs w:val="21"/>
              </w:rPr>
              <w:t>-6</w:t>
            </w:r>
          </w:p>
        </w:tc>
      </w:tr>
      <w:tr w14:paraId="06B4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1502" w:type="dxa"/>
            <w:vAlign w:val="top"/>
          </w:tcPr>
          <w:p w14:paraId="6567B707">
            <w:pPr>
              <w:spacing w:before="127" w:line="187" w:lineRule="auto"/>
              <w:ind w:left="70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3896" w:type="dxa"/>
            <w:vAlign w:val="top"/>
          </w:tcPr>
          <w:p w14:paraId="27EBF61B">
            <w:pPr>
              <w:pStyle w:val="97"/>
              <w:spacing w:before="93" w:line="221" w:lineRule="auto"/>
              <w:ind w:left="1532"/>
              <w:rPr>
                <w:rFonts w:ascii="Times New Roman" w:hAnsi="Times New Roman" w:eastAsia="宋体"/>
                <w:color w:val="auto"/>
                <w:sz w:val="21"/>
                <w:szCs w:val="21"/>
              </w:rPr>
            </w:pPr>
            <w:r>
              <w:rPr>
                <w:rFonts w:ascii="Times New Roman" w:hAnsi="Times New Roman" w:eastAsia="宋体"/>
                <w:color w:val="auto"/>
                <w:spacing w:val="-1"/>
                <w:sz w:val="21"/>
                <w:szCs w:val="21"/>
              </w:rPr>
              <w:t>储罐泄漏</w:t>
            </w:r>
          </w:p>
        </w:tc>
        <w:tc>
          <w:tcPr>
            <w:tcW w:w="3140" w:type="dxa"/>
            <w:vAlign w:val="top"/>
          </w:tcPr>
          <w:p w14:paraId="1D1080C1">
            <w:pPr>
              <w:spacing w:before="106" w:line="208" w:lineRule="auto"/>
              <w:ind w:left="110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0.5~1×10</w:t>
            </w:r>
            <w:r>
              <w:rPr>
                <w:rFonts w:ascii="Times New Roman" w:hAnsi="Times New Roman" w:eastAsia="宋体" w:cs="Times New Roman"/>
                <w:color w:val="auto"/>
                <w:position w:val="6"/>
                <w:sz w:val="21"/>
                <w:szCs w:val="21"/>
              </w:rPr>
              <w:t>-6</w:t>
            </w:r>
          </w:p>
        </w:tc>
      </w:tr>
    </w:tbl>
    <w:p w14:paraId="3E7C41C6">
      <w:pPr>
        <w:spacing w:before="193" w:line="356" w:lineRule="auto"/>
        <w:ind w:left="133" w:right="112" w:firstLine="480"/>
        <w:rPr>
          <w:rFonts w:ascii="宋体" w:hAnsi="宋体" w:eastAsia="宋体" w:cs="宋体"/>
          <w:color w:val="auto"/>
          <w:sz w:val="24"/>
          <w:szCs w:val="24"/>
        </w:rPr>
      </w:pPr>
      <w:r>
        <w:rPr>
          <w:rFonts w:ascii="宋体" w:hAnsi="宋体" w:eastAsia="宋体" w:cs="宋体"/>
          <w:color w:val="auto"/>
          <w:spacing w:val="-3"/>
          <w:sz w:val="24"/>
          <w:szCs w:val="24"/>
        </w:rPr>
        <w:t>从事故发生后果和机率分析，参照国内化工企业生</w:t>
      </w:r>
      <w:r>
        <w:rPr>
          <w:rFonts w:ascii="宋体" w:hAnsi="宋体" w:eastAsia="宋体" w:cs="宋体"/>
          <w:color w:val="auto"/>
          <w:spacing w:val="-4"/>
          <w:sz w:val="24"/>
          <w:szCs w:val="24"/>
        </w:rPr>
        <w:t>产和管理水平，本项目储</w:t>
      </w:r>
      <w:r>
        <w:rPr>
          <w:rFonts w:ascii="宋体" w:hAnsi="宋体" w:eastAsia="宋体" w:cs="宋体"/>
          <w:color w:val="auto"/>
          <w:spacing w:val="-3"/>
          <w:sz w:val="24"/>
          <w:szCs w:val="24"/>
        </w:rPr>
        <w:t>罐泄漏事故概率约为</w:t>
      </w:r>
      <w:r>
        <w:rPr>
          <w:rFonts w:ascii="Times New Roman" w:hAnsi="Times New Roman" w:eastAsia="Times New Roman" w:cs="Times New Roman"/>
          <w:color w:val="auto"/>
          <w:spacing w:val="-3"/>
          <w:sz w:val="24"/>
          <w:szCs w:val="24"/>
        </w:rPr>
        <w:t>1×10</w:t>
      </w:r>
      <w:r>
        <w:rPr>
          <w:rFonts w:ascii="Times New Roman" w:hAnsi="Times New Roman" w:eastAsia="Times New Roman" w:cs="Times New Roman"/>
          <w:color w:val="auto"/>
          <w:spacing w:val="-3"/>
          <w:position w:val="9"/>
          <w:sz w:val="16"/>
          <w:szCs w:val="16"/>
        </w:rPr>
        <w:t>-6</w:t>
      </w:r>
      <w:r>
        <w:rPr>
          <w:rFonts w:ascii="宋体" w:hAnsi="宋体" w:eastAsia="宋体" w:cs="宋体"/>
          <w:color w:val="auto"/>
          <w:spacing w:val="-3"/>
          <w:sz w:val="24"/>
          <w:szCs w:val="24"/>
        </w:rPr>
        <w:t>次</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年，属于社会可接受风险水平。</w:t>
      </w:r>
    </w:p>
    <w:p w14:paraId="5257979C">
      <w:pPr>
        <w:keepNext/>
        <w:keepLines/>
        <w:pageBreakBefore w:val="0"/>
        <w:widowControl w:val="0"/>
        <w:kinsoku/>
        <w:wordWrap/>
        <w:overflowPunct/>
        <w:topLinePunct w:val="0"/>
        <w:autoSpaceDE/>
        <w:autoSpaceDN/>
        <w:bidi w:val="0"/>
        <w:adjustRightInd/>
        <w:snapToGrid/>
        <w:spacing w:line="360" w:lineRule="auto"/>
        <w:ind w:left="0"/>
        <w:textAlignment w:val="auto"/>
        <w:outlineLvl w:val="1"/>
        <w:rPr>
          <w:rFonts w:hint="default" w:eastAsia="楷体"/>
          <w:b/>
          <w:color w:val="auto"/>
          <w:sz w:val="30"/>
          <w:szCs w:val="30"/>
          <w:lang w:val="en-US" w:eastAsia="zh-CN"/>
        </w:rPr>
      </w:pPr>
      <w:r>
        <w:rPr>
          <w:rFonts w:hint="default" w:eastAsia="楷体"/>
          <w:b/>
          <w:color w:val="auto"/>
          <w:sz w:val="30"/>
          <w:szCs w:val="30"/>
          <w:lang w:val="en-US" w:eastAsia="zh-CN"/>
        </w:rPr>
        <w:t>7.</w:t>
      </w:r>
      <w:r>
        <w:rPr>
          <w:rFonts w:hint="eastAsia" w:eastAsia="楷体"/>
          <w:b/>
          <w:color w:val="auto"/>
          <w:sz w:val="30"/>
          <w:szCs w:val="30"/>
          <w:lang w:val="en-US" w:eastAsia="zh-CN"/>
        </w:rPr>
        <w:t>6</w:t>
      </w:r>
      <w:r>
        <w:rPr>
          <w:rFonts w:hint="default" w:eastAsia="楷体"/>
          <w:b/>
          <w:color w:val="auto"/>
          <w:sz w:val="30"/>
          <w:szCs w:val="30"/>
          <w:lang w:val="en-US" w:eastAsia="zh-CN"/>
        </w:rPr>
        <w:t>.3源项分析</w:t>
      </w:r>
    </w:p>
    <w:p w14:paraId="6BE86E2E">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color w:val="auto"/>
          <w:sz w:val="24"/>
          <w:szCs w:val="24"/>
        </w:rPr>
      </w:pPr>
      <w:r>
        <w:rPr>
          <w:rFonts w:hint="eastAsia" w:ascii="宋体" w:hAnsi="宋体" w:eastAsia="宋体" w:cs="宋体"/>
          <w:color w:val="auto"/>
          <w:spacing w:val="-3"/>
          <w:sz w:val="24"/>
          <w:szCs w:val="24"/>
          <w:lang w:val="en-US" w:eastAsia="zh-CN"/>
        </w:rPr>
        <w:t>项目</w:t>
      </w:r>
      <w:r>
        <w:rPr>
          <w:rFonts w:ascii="宋体" w:hAnsi="宋体" w:eastAsia="宋体" w:cs="宋体"/>
          <w:color w:val="auto"/>
          <w:spacing w:val="-3"/>
          <w:sz w:val="24"/>
          <w:szCs w:val="24"/>
        </w:rPr>
        <w:t>厂区设置了事故池，一旦发生事故，废水进入应急事故</w:t>
      </w:r>
      <w:r>
        <w:rPr>
          <w:rFonts w:ascii="宋体" w:hAnsi="宋体" w:eastAsia="宋体" w:cs="宋体"/>
          <w:color w:val="auto"/>
          <w:spacing w:val="-4"/>
          <w:sz w:val="24"/>
          <w:szCs w:val="24"/>
        </w:rPr>
        <w:t>池，可杜绝废</w:t>
      </w:r>
      <w:r>
        <w:rPr>
          <w:rFonts w:ascii="宋体" w:hAnsi="宋体" w:eastAsia="宋体" w:cs="宋体"/>
          <w:color w:val="auto"/>
          <w:spacing w:val="-3"/>
          <w:sz w:val="24"/>
          <w:szCs w:val="24"/>
        </w:rPr>
        <w:t>水事故排放；项目废水属于间接排放，一旦发生事故导致超标排放，废水可进入</w:t>
      </w:r>
      <w:r>
        <w:rPr>
          <w:rFonts w:ascii="宋体" w:hAnsi="宋体" w:eastAsia="宋体" w:cs="宋体"/>
          <w:color w:val="auto"/>
          <w:spacing w:val="-6"/>
          <w:sz w:val="24"/>
          <w:szCs w:val="24"/>
        </w:rPr>
        <w:t>污水处理厂应急事故池；本项目引发地表水、地下水污染的可行</w:t>
      </w:r>
      <w:r>
        <w:rPr>
          <w:rFonts w:ascii="宋体" w:hAnsi="宋体" w:eastAsia="宋体" w:cs="宋体"/>
          <w:color w:val="auto"/>
          <w:spacing w:val="-7"/>
          <w:sz w:val="24"/>
          <w:szCs w:val="24"/>
        </w:rPr>
        <w:t>性极小。根据</w:t>
      </w:r>
      <w:r>
        <w:rPr>
          <w:rFonts w:ascii="宋体" w:hAnsi="宋体" w:eastAsia="宋体" w:cs="宋体"/>
          <w:color w:val="auto"/>
          <w:spacing w:val="-6"/>
          <w:sz w:val="24"/>
          <w:szCs w:val="24"/>
        </w:rPr>
        <w:t>项目物质理化性质、储存量及大气毒性终点浓度值，</w:t>
      </w:r>
      <w:r>
        <w:rPr>
          <w:rFonts w:ascii="宋体" w:hAnsi="宋体" w:eastAsia="宋体" w:cs="宋体"/>
          <w:color w:val="auto"/>
          <w:spacing w:val="-7"/>
          <w:sz w:val="24"/>
          <w:szCs w:val="24"/>
        </w:rPr>
        <w:t>本次环境风险主</w:t>
      </w:r>
      <w:r>
        <w:rPr>
          <w:rFonts w:ascii="宋体" w:hAnsi="宋体" w:eastAsia="宋体" w:cs="宋体"/>
          <w:color w:val="auto"/>
          <w:spacing w:val="-3"/>
          <w:sz w:val="24"/>
          <w:szCs w:val="24"/>
        </w:rPr>
        <w:t>要考虑硝酸泄漏对大气环境造成影响。</w:t>
      </w:r>
    </w:p>
    <w:p w14:paraId="6597275B">
      <w:pPr>
        <w:spacing w:before="36" w:line="356" w:lineRule="auto"/>
        <w:ind w:left="126" w:right="127" w:firstLine="486"/>
        <w:rPr>
          <w:rFonts w:ascii="宋体" w:hAnsi="宋体" w:eastAsia="宋体" w:cs="宋体"/>
          <w:color w:val="auto"/>
          <w:sz w:val="24"/>
          <w:szCs w:val="24"/>
        </w:rPr>
      </w:pPr>
      <w:r>
        <w:rPr>
          <w:rFonts w:ascii="宋体" w:hAnsi="宋体" w:eastAsia="宋体" w:cs="宋体"/>
          <w:color w:val="auto"/>
          <w:spacing w:val="-3"/>
          <w:sz w:val="24"/>
          <w:szCs w:val="24"/>
        </w:rPr>
        <w:t>本次预测假定硝酸原料桶破裂造成硝酸泄漏，泄漏时间设定为</w:t>
      </w:r>
      <w:r>
        <w:rPr>
          <w:rFonts w:ascii="Times New Roman" w:hAnsi="Times New Roman" w:eastAsia="Times New Roman" w:cs="Times New Roman"/>
          <w:color w:val="auto"/>
          <w:spacing w:val="-3"/>
          <w:sz w:val="24"/>
          <w:szCs w:val="24"/>
        </w:rPr>
        <w:t>10min</w:t>
      </w:r>
      <w:r>
        <w:rPr>
          <w:rFonts w:ascii="宋体" w:hAnsi="宋体" w:eastAsia="宋体" w:cs="宋体"/>
          <w:color w:val="auto"/>
          <w:spacing w:val="-3"/>
          <w:sz w:val="24"/>
          <w:szCs w:val="24"/>
        </w:rPr>
        <w:t>，参照</w:t>
      </w:r>
      <w:r>
        <w:rPr>
          <w:rFonts w:ascii="Times New Roman" w:hAnsi="Times New Roman" w:eastAsia="Times New Roman" w:cs="Times New Roman"/>
          <w:color w:val="auto"/>
          <w:spacing w:val="-2"/>
          <w:sz w:val="24"/>
          <w:szCs w:val="24"/>
        </w:rPr>
        <w:t>HJ169-2018</w:t>
      </w:r>
      <w:r>
        <w:rPr>
          <w:rFonts w:ascii="宋体" w:hAnsi="宋体" w:eastAsia="宋体" w:cs="宋体"/>
          <w:color w:val="auto"/>
          <w:spacing w:val="-2"/>
          <w:sz w:val="24"/>
          <w:szCs w:val="24"/>
        </w:rPr>
        <w:t>中附录</w:t>
      </w:r>
      <w:r>
        <w:rPr>
          <w:rFonts w:ascii="Times New Roman" w:hAnsi="Times New Roman" w:eastAsia="Times New Roman" w:cs="Times New Roman"/>
          <w:color w:val="auto"/>
          <w:spacing w:val="-2"/>
          <w:sz w:val="24"/>
          <w:szCs w:val="24"/>
        </w:rPr>
        <w:t>E</w:t>
      </w:r>
      <w:r>
        <w:rPr>
          <w:rFonts w:ascii="宋体" w:hAnsi="宋体" w:eastAsia="宋体" w:cs="宋体"/>
          <w:color w:val="auto"/>
          <w:spacing w:val="-2"/>
          <w:sz w:val="24"/>
          <w:szCs w:val="24"/>
        </w:rPr>
        <w:t>，泄漏频率</w:t>
      </w:r>
      <w:r>
        <w:rPr>
          <w:rFonts w:ascii="Times New Roman" w:hAnsi="Times New Roman" w:eastAsia="Times New Roman" w:cs="Times New Roman"/>
          <w:color w:val="auto"/>
          <w:spacing w:val="-2"/>
          <w:sz w:val="24"/>
          <w:szCs w:val="24"/>
        </w:rPr>
        <w:t>5.00×10</w:t>
      </w:r>
      <w:r>
        <w:rPr>
          <w:rFonts w:ascii="Times New Roman" w:hAnsi="Times New Roman" w:eastAsia="Times New Roman" w:cs="Times New Roman"/>
          <w:color w:val="auto"/>
          <w:spacing w:val="-2"/>
          <w:position w:val="9"/>
          <w:sz w:val="16"/>
          <w:szCs w:val="16"/>
        </w:rPr>
        <w:t>-6</w:t>
      </w:r>
      <w:r>
        <w:rPr>
          <w:rFonts w:ascii="Times New Roman" w:hAnsi="Times New Roman" w:eastAsia="Times New Roman" w:cs="Times New Roman"/>
          <w:color w:val="auto"/>
          <w:spacing w:val="-2"/>
          <w:sz w:val="24"/>
          <w:szCs w:val="24"/>
        </w:rPr>
        <w:t>/a</w:t>
      </w:r>
      <w:r>
        <w:rPr>
          <w:rFonts w:ascii="宋体" w:hAnsi="宋体" w:eastAsia="宋体" w:cs="宋体"/>
          <w:color w:val="auto"/>
          <w:spacing w:val="-2"/>
          <w:sz w:val="24"/>
          <w:szCs w:val="24"/>
        </w:rPr>
        <w:t>。</w:t>
      </w:r>
    </w:p>
    <w:p w14:paraId="1F5A2EAF">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ascii="宋体" w:hAnsi="宋体" w:eastAsia="宋体" w:cs="宋体"/>
          <w:color w:val="auto"/>
          <w:spacing w:val="-2"/>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）硝酸泄漏量计算</w:t>
      </w:r>
    </w:p>
    <w:p w14:paraId="5F3A788D">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ascii="宋体" w:hAnsi="宋体" w:eastAsia="宋体" w:cs="宋体"/>
          <w:color w:val="auto"/>
          <w:spacing w:val="-3"/>
          <w:sz w:val="24"/>
          <w:szCs w:val="24"/>
        </w:rPr>
      </w:pPr>
      <w:r>
        <w:rPr>
          <w:rFonts w:ascii="宋体" w:hAnsi="宋体" w:eastAsia="宋体" w:cs="宋体"/>
          <w:color w:val="auto"/>
          <w:spacing w:val="-3"/>
          <w:sz w:val="24"/>
          <w:szCs w:val="24"/>
        </w:rPr>
        <w:t>液体泄漏速率</w:t>
      </w:r>
      <w:r>
        <w:rPr>
          <w:rFonts w:ascii="Times New Roman" w:hAnsi="Times New Roman" w:eastAsia="Times New Roman" w:cs="Times New Roman"/>
          <w:color w:val="auto"/>
          <w:spacing w:val="-3"/>
          <w:sz w:val="24"/>
          <w:szCs w:val="24"/>
        </w:rPr>
        <w:t>Q</w:t>
      </w:r>
      <w:r>
        <w:rPr>
          <w:rFonts w:ascii="Times New Roman" w:hAnsi="Times New Roman" w:eastAsia="Times New Roman" w:cs="Times New Roman"/>
          <w:color w:val="auto"/>
          <w:spacing w:val="-3"/>
          <w:position w:val="-1"/>
          <w:sz w:val="16"/>
          <w:szCs w:val="16"/>
        </w:rPr>
        <w:t>L</w:t>
      </w:r>
      <w:r>
        <w:rPr>
          <w:rFonts w:ascii="宋体" w:hAnsi="宋体" w:eastAsia="宋体" w:cs="宋体"/>
          <w:color w:val="auto"/>
          <w:spacing w:val="-3"/>
          <w:sz w:val="24"/>
          <w:szCs w:val="24"/>
        </w:rPr>
        <w:t>采用</w:t>
      </w:r>
      <w:r>
        <w:rPr>
          <w:rFonts w:ascii="Times New Roman" w:hAnsi="Times New Roman" w:eastAsia="Times New Roman" w:cs="Times New Roman"/>
          <w:color w:val="auto"/>
          <w:spacing w:val="-3"/>
          <w:sz w:val="24"/>
          <w:szCs w:val="24"/>
        </w:rPr>
        <w:t>HJ169-2018</w:t>
      </w:r>
      <w:r>
        <w:rPr>
          <w:rFonts w:ascii="宋体" w:hAnsi="宋体" w:eastAsia="宋体" w:cs="宋体"/>
          <w:color w:val="auto"/>
          <w:spacing w:val="-3"/>
          <w:sz w:val="24"/>
          <w:szCs w:val="24"/>
        </w:rPr>
        <w:t>中附录</w:t>
      </w:r>
      <w:r>
        <w:rPr>
          <w:rFonts w:ascii="Times New Roman" w:hAnsi="Times New Roman" w:eastAsia="Times New Roman" w:cs="Times New Roman"/>
          <w:color w:val="auto"/>
          <w:spacing w:val="-3"/>
          <w:sz w:val="24"/>
          <w:szCs w:val="24"/>
        </w:rPr>
        <w:t>F.1.1</w:t>
      </w:r>
      <w:r>
        <w:rPr>
          <w:rFonts w:ascii="宋体" w:hAnsi="宋体" w:eastAsia="宋体" w:cs="宋体"/>
          <w:color w:val="auto"/>
          <w:spacing w:val="-3"/>
          <w:sz w:val="24"/>
          <w:szCs w:val="24"/>
        </w:rPr>
        <w:t>伯努利方程计算：</w:t>
      </w:r>
    </w:p>
    <w:p w14:paraId="39D9A37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center"/>
        <w:textAlignment w:val="auto"/>
        <w:rPr>
          <w:rFonts w:ascii="宋体" w:hAnsi="宋体" w:eastAsia="宋体" w:cs="宋体"/>
          <w:color w:val="auto"/>
          <w:spacing w:val="-3"/>
          <w:sz w:val="24"/>
          <w:szCs w:val="24"/>
        </w:rPr>
      </w:pPr>
      <w:r>
        <w:rPr>
          <w:color w:val="auto"/>
          <w:position w:val="-14"/>
        </w:rPr>
        <w:drawing>
          <wp:inline distT="0" distB="0" distL="0" distR="0">
            <wp:extent cx="1676400" cy="455295"/>
            <wp:effectExtent l="0" t="0" r="0" b="1905"/>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46"/>
                    <a:stretch>
                      <a:fillRect/>
                    </a:stretch>
                  </pic:blipFill>
                  <pic:spPr>
                    <a:xfrm>
                      <a:off x="0" y="0"/>
                      <a:ext cx="1676400" cy="455704"/>
                    </a:xfrm>
                    <a:prstGeom prst="rect">
                      <a:avLst/>
                    </a:prstGeom>
                  </pic:spPr>
                </pic:pic>
              </a:graphicData>
            </a:graphic>
          </wp:inline>
        </w:drawing>
      </w:r>
    </w:p>
    <w:p w14:paraId="63214E53">
      <w:pPr>
        <w:keepNext w:val="0"/>
        <w:keepLines w:val="0"/>
        <w:pageBreakBefore w:val="0"/>
        <w:widowControl w:val="0"/>
        <w:kinsoku/>
        <w:wordWrap/>
        <w:overflowPunct/>
        <w:topLinePunct w:val="0"/>
        <w:autoSpaceDE/>
        <w:autoSpaceDN/>
        <w:bidi w:val="0"/>
        <w:adjustRightInd/>
        <w:snapToGrid/>
        <w:spacing w:line="360" w:lineRule="auto"/>
        <w:ind w:left="0" w:right="4156" w:firstLine="0"/>
        <w:textAlignment w:val="auto"/>
        <w:rPr>
          <w:rFonts w:ascii="宋体" w:hAnsi="宋体" w:eastAsia="宋体" w:cs="宋体"/>
          <w:color w:val="auto"/>
          <w:spacing w:val="3"/>
          <w:sz w:val="24"/>
          <w:szCs w:val="24"/>
        </w:rPr>
      </w:pPr>
      <w:r>
        <w:rPr>
          <w:rFonts w:ascii="宋体" w:hAnsi="宋体" w:eastAsia="宋体" w:cs="宋体"/>
          <w:color w:val="auto"/>
          <w:spacing w:val="-4"/>
          <w:sz w:val="24"/>
          <w:szCs w:val="24"/>
        </w:rPr>
        <w:t>式中：</w:t>
      </w:r>
      <w:r>
        <w:rPr>
          <w:rFonts w:ascii="Times New Roman" w:hAnsi="Times New Roman" w:eastAsia="Times New Roman" w:cs="Times New Roman"/>
          <w:color w:val="auto"/>
          <w:spacing w:val="-4"/>
          <w:sz w:val="24"/>
          <w:szCs w:val="24"/>
        </w:rPr>
        <w:t>Q</w:t>
      </w:r>
      <w:r>
        <w:rPr>
          <w:rFonts w:ascii="Times New Roman" w:hAnsi="Times New Roman" w:eastAsia="Times New Roman" w:cs="Times New Roman"/>
          <w:color w:val="auto"/>
          <w:spacing w:val="-4"/>
          <w:position w:val="-1"/>
          <w:sz w:val="16"/>
          <w:szCs w:val="16"/>
        </w:rPr>
        <w:t>L</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液体泄漏速率，</w:t>
      </w:r>
      <w:r>
        <w:rPr>
          <w:rFonts w:ascii="Times New Roman" w:hAnsi="Times New Roman" w:eastAsia="Times New Roman" w:cs="Times New Roman"/>
          <w:color w:val="auto"/>
          <w:spacing w:val="-4"/>
          <w:sz w:val="24"/>
          <w:szCs w:val="24"/>
        </w:rPr>
        <w:t>kg/s</w:t>
      </w:r>
      <w:r>
        <w:rPr>
          <w:rFonts w:ascii="宋体" w:hAnsi="宋体" w:eastAsia="宋体" w:cs="宋体"/>
          <w:color w:val="auto"/>
          <w:spacing w:val="-4"/>
          <w:sz w:val="24"/>
          <w:szCs w:val="24"/>
        </w:rPr>
        <w:t>；</w:t>
      </w:r>
    </w:p>
    <w:p w14:paraId="3B48135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pacing w:val="-1"/>
          <w:sz w:val="24"/>
          <w:szCs w:val="24"/>
        </w:rPr>
      </w:pPr>
      <w:r>
        <w:rPr>
          <w:rFonts w:ascii="Times New Roman" w:hAnsi="Times New Roman" w:eastAsia="Times New Roman" w:cs="Times New Roman"/>
          <w:color w:val="auto"/>
          <w:spacing w:val="-1"/>
          <w:sz w:val="24"/>
          <w:szCs w:val="24"/>
        </w:rPr>
        <w:t>P——</w:t>
      </w:r>
      <w:r>
        <w:rPr>
          <w:rFonts w:ascii="宋体" w:hAnsi="宋体" w:eastAsia="宋体" w:cs="宋体"/>
          <w:color w:val="auto"/>
          <w:spacing w:val="-1"/>
          <w:sz w:val="24"/>
          <w:szCs w:val="24"/>
        </w:rPr>
        <w:t>容器内介质压力，</w:t>
      </w:r>
      <w:r>
        <w:rPr>
          <w:rFonts w:ascii="Times New Roman" w:hAnsi="Times New Roman" w:eastAsia="Times New Roman" w:cs="Times New Roman"/>
          <w:color w:val="auto"/>
          <w:spacing w:val="-1"/>
          <w:sz w:val="24"/>
          <w:szCs w:val="24"/>
        </w:rPr>
        <w:t>Pa</w:t>
      </w:r>
      <w:r>
        <w:rPr>
          <w:rFonts w:ascii="宋体" w:hAnsi="宋体" w:eastAsia="宋体" w:cs="宋体"/>
          <w:color w:val="auto"/>
          <w:spacing w:val="-1"/>
          <w:sz w:val="24"/>
          <w:szCs w:val="24"/>
        </w:rPr>
        <w:t>；</w:t>
      </w:r>
    </w:p>
    <w:p w14:paraId="4A54904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P</w:t>
      </w:r>
      <w:r>
        <w:rPr>
          <w:rFonts w:ascii="Times New Roman" w:hAnsi="Times New Roman" w:eastAsia="Times New Roman" w:cs="Times New Roman"/>
          <w:color w:val="auto"/>
          <w:position w:val="-1"/>
          <w:sz w:val="16"/>
          <w:szCs w:val="16"/>
        </w:rPr>
        <w:t>0</w:t>
      </w:r>
      <w:r>
        <w:rPr>
          <w:rFonts w:ascii="Times New Roman" w:hAnsi="Times New Roman" w:eastAsia="Times New Roman" w:cs="Times New Roman"/>
          <w:color w:val="auto"/>
          <w:sz w:val="24"/>
          <w:szCs w:val="24"/>
        </w:rPr>
        <w:t>——</w:t>
      </w:r>
      <w:r>
        <w:rPr>
          <w:rFonts w:ascii="宋体" w:hAnsi="宋体" w:eastAsia="宋体" w:cs="宋体"/>
          <w:color w:val="auto"/>
          <w:sz w:val="24"/>
          <w:szCs w:val="24"/>
        </w:rPr>
        <w:t>环境压力，</w:t>
      </w:r>
      <w:r>
        <w:rPr>
          <w:rFonts w:ascii="Times New Roman" w:hAnsi="Times New Roman" w:eastAsia="Times New Roman" w:cs="Times New Roman"/>
          <w:color w:val="auto"/>
          <w:sz w:val="24"/>
          <w:szCs w:val="24"/>
        </w:rPr>
        <w:t>Pa</w:t>
      </w:r>
      <w:r>
        <w:rPr>
          <w:rFonts w:ascii="宋体" w:hAnsi="宋体" w:eastAsia="宋体" w:cs="宋体"/>
          <w:color w:val="auto"/>
          <w:sz w:val="24"/>
          <w:szCs w:val="24"/>
        </w:rPr>
        <w:t>；</w:t>
      </w:r>
    </w:p>
    <w:p w14:paraId="10BE09FB">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pacing w:val="-1"/>
          <w:sz w:val="24"/>
          <w:szCs w:val="24"/>
        </w:rPr>
      </w:pPr>
      <w:r>
        <w:rPr>
          <w:rFonts w:ascii="Times New Roman" w:hAnsi="Times New Roman" w:eastAsia="Times New Roman" w:cs="Times New Roman"/>
          <w:color w:val="auto"/>
          <w:spacing w:val="-1"/>
          <w:sz w:val="24"/>
          <w:szCs w:val="24"/>
        </w:rPr>
        <w:t>ρ——</w:t>
      </w:r>
      <w:r>
        <w:rPr>
          <w:rFonts w:ascii="宋体" w:hAnsi="宋体" w:eastAsia="宋体" w:cs="宋体"/>
          <w:color w:val="auto"/>
          <w:spacing w:val="-1"/>
          <w:sz w:val="24"/>
          <w:szCs w:val="24"/>
        </w:rPr>
        <w:t>泄漏液体密度，</w:t>
      </w:r>
      <w:r>
        <w:rPr>
          <w:rFonts w:ascii="Times New Roman" w:hAnsi="Times New Roman" w:eastAsia="Times New Roman" w:cs="Times New Roman"/>
          <w:color w:val="auto"/>
          <w:spacing w:val="-1"/>
          <w:sz w:val="24"/>
          <w:szCs w:val="24"/>
        </w:rPr>
        <w:t>kg/m</w:t>
      </w:r>
      <w:r>
        <w:rPr>
          <w:rFonts w:ascii="Times New Roman" w:hAnsi="Times New Roman" w:eastAsia="Times New Roman" w:cs="Times New Roman"/>
          <w:color w:val="auto"/>
          <w:spacing w:val="-1"/>
          <w:position w:val="8"/>
          <w:sz w:val="16"/>
          <w:szCs w:val="16"/>
        </w:rPr>
        <w:t>3</w:t>
      </w:r>
      <w:r>
        <w:rPr>
          <w:rFonts w:ascii="宋体" w:hAnsi="宋体" w:eastAsia="宋体" w:cs="宋体"/>
          <w:color w:val="auto"/>
          <w:spacing w:val="-1"/>
          <w:sz w:val="24"/>
          <w:szCs w:val="24"/>
        </w:rPr>
        <w:t>；</w:t>
      </w:r>
    </w:p>
    <w:p w14:paraId="008400F5">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color w:val="auto"/>
          <w:spacing w:val="-2"/>
          <w:sz w:val="24"/>
          <w:szCs w:val="24"/>
        </w:rPr>
      </w:pPr>
      <w:r>
        <w:rPr>
          <w:rFonts w:ascii="Times New Roman" w:hAnsi="Times New Roman" w:eastAsia="Times New Roman" w:cs="Times New Roman"/>
          <w:color w:val="auto"/>
          <w:spacing w:val="-2"/>
          <w:sz w:val="24"/>
          <w:szCs w:val="24"/>
        </w:rPr>
        <w:t>g——</w:t>
      </w:r>
      <w:r>
        <w:rPr>
          <w:rFonts w:ascii="宋体" w:hAnsi="宋体" w:eastAsia="宋体" w:cs="宋体"/>
          <w:color w:val="auto"/>
          <w:spacing w:val="-2"/>
          <w:sz w:val="24"/>
          <w:szCs w:val="24"/>
        </w:rPr>
        <w:t>重力加速度，</w:t>
      </w:r>
      <w:r>
        <w:rPr>
          <w:rFonts w:ascii="Times New Roman" w:hAnsi="Times New Roman" w:eastAsia="Times New Roman" w:cs="Times New Roman"/>
          <w:color w:val="auto"/>
          <w:spacing w:val="-2"/>
          <w:sz w:val="24"/>
          <w:szCs w:val="24"/>
        </w:rPr>
        <w:t>9.81m/s</w:t>
      </w:r>
      <w:r>
        <w:rPr>
          <w:rFonts w:ascii="Times New Roman" w:hAnsi="Times New Roman" w:eastAsia="Times New Roman" w:cs="Times New Roman"/>
          <w:color w:val="auto"/>
          <w:spacing w:val="-2"/>
          <w:position w:val="8"/>
          <w:sz w:val="16"/>
          <w:szCs w:val="16"/>
        </w:rPr>
        <w:t>2</w:t>
      </w:r>
      <w:r>
        <w:rPr>
          <w:rFonts w:ascii="宋体" w:hAnsi="宋体" w:eastAsia="宋体" w:cs="宋体"/>
          <w:color w:val="auto"/>
          <w:spacing w:val="-2"/>
          <w:sz w:val="24"/>
          <w:szCs w:val="24"/>
        </w:rPr>
        <w:t>；</w:t>
      </w:r>
    </w:p>
    <w:p w14:paraId="704EFCE7">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rFonts w:ascii="宋体" w:hAnsi="宋体" w:eastAsia="宋体" w:cs="宋体"/>
          <w:color w:val="auto"/>
          <w:spacing w:val="-5"/>
          <w:sz w:val="24"/>
          <w:szCs w:val="24"/>
        </w:rPr>
      </w:pPr>
      <w:r>
        <w:rPr>
          <w:rFonts w:ascii="Times New Roman" w:hAnsi="Times New Roman" w:eastAsia="Times New Roman" w:cs="Times New Roman"/>
          <w:color w:val="auto"/>
          <w:spacing w:val="-5"/>
          <w:sz w:val="24"/>
          <w:szCs w:val="24"/>
        </w:rPr>
        <w:t>h——</w:t>
      </w:r>
      <w:r>
        <w:rPr>
          <w:rFonts w:ascii="宋体" w:hAnsi="宋体" w:eastAsia="宋体" w:cs="宋体"/>
          <w:color w:val="auto"/>
          <w:spacing w:val="-5"/>
          <w:sz w:val="24"/>
          <w:szCs w:val="24"/>
        </w:rPr>
        <w:t>裂口之上液位高度，</w:t>
      </w:r>
      <w:r>
        <w:rPr>
          <w:rFonts w:ascii="Times New Roman" w:hAnsi="Times New Roman" w:eastAsia="Times New Roman" w:cs="Times New Roman"/>
          <w:color w:val="auto"/>
          <w:spacing w:val="-5"/>
          <w:sz w:val="24"/>
          <w:szCs w:val="24"/>
        </w:rPr>
        <w:t>m</w:t>
      </w:r>
      <w:r>
        <w:rPr>
          <w:rFonts w:ascii="宋体" w:hAnsi="宋体" w:eastAsia="宋体" w:cs="宋体"/>
          <w:color w:val="auto"/>
          <w:spacing w:val="-5"/>
          <w:sz w:val="24"/>
          <w:szCs w:val="24"/>
        </w:rPr>
        <w:t>；</w:t>
      </w:r>
    </w:p>
    <w:p w14:paraId="79C2B0BD">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C</w:t>
      </w:r>
      <w:r>
        <w:rPr>
          <w:rFonts w:ascii="Times New Roman" w:hAnsi="Times New Roman" w:eastAsia="Times New Roman" w:cs="Times New Roman"/>
          <w:color w:val="auto"/>
          <w:spacing w:val="-5"/>
          <w:position w:val="-1"/>
          <w:sz w:val="16"/>
          <w:szCs w:val="16"/>
        </w:rPr>
        <w:t>d</w:t>
      </w:r>
      <w:r>
        <w:rPr>
          <w:rFonts w:ascii="Times New Roman" w:hAnsi="Times New Roman" w:eastAsia="Times New Roman" w:cs="Times New Roman"/>
          <w:color w:val="auto"/>
          <w:spacing w:val="-5"/>
          <w:sz w:val="24"/>
          <w:szCs w:val="24"/>
        </w:rPr>
        <w:t>——</w:t>
      </w:r>
      <w:r>
        <w:rPr>
          <w:rFonts w:ascii="宋体" w:hAnsi="宋体" w:eastAsia="宋体" w:cs="宋体"/>
          <w:color w:val="auto"/>
          <w:spacing w:val="-5"/>
          <w:sz w:val="24"/>
          <w:szCs w:val="24"/>
        </w:rPr>
        <w:t>液体泄漏系数；</w:t>
      </w:r>
    </w:p>
    <w:p w14:paraId="1B79566A">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A——</w:t>
      </w:r>
      <w:r>
        <w:rPr>
          <w:rFonts w:ascii="宋体" w:hAnsi="宋体" w:eastAsia="宋体" w:cs="宋体"/>
          <w:color w:val="auto"/>
          <w:spacing w:val="-1"/>
          <w:sz w:val="24"/>
          <w:szCs w:val="24"/>
        </w:rPr>
        <w:t>裂口面积，</w:t>
      </w:r>
      <w:r>
        <w:rPr>
          <w:rFonts w:ascii="Times New Roman" w:hAnsi="Times New Roman" w:eastAsia="Times New Roman" w:cs="Times New Roman"/>
          <w:color w:val="auto"/>
          <w:spacing w:val="-1"/>
          <w:sz w:val="24"/>
          <w:szCs w:val="24"/>
        </w:rPr>
        <w:t>m</w:t>
      </w:r>
      <w:r>
        <w:rPr>
          <w:rFonts w:ascii="Times New Roman" w:hAnsi="Times New Roman" w:eastAsia="Times New Roman" w:cs="Times New Roman"/>
          <w:color w:val="auto"/>
          <w:spacing w:val="-1"/>
          <w:position w:val="8"/>
          <w:sz w:val="16"/>
          <w:szCs w:val="16"/>
        </w:rPr>
        <w:t>2</w:t>
      </w:r>
      <w:r>
        <w:rPr>
          <w:rFonts w:ascii="宋体" w:hAnsi="宋体" w:eastAsia="宋体" w:cs="宋体"/>
          <w:color w:val="auto"/>
          <w:spacing w:val="-1"/>
          <w:sz w:val="24"/>
          <w:szCs w:val="24"/>
        </w:rPr>
        <w:t>。</w:t>
      </w:r>
    </w:p>
    <w:p w14:paraId="72073E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本项目不设储罐，所使用的硝酸为桶装，采用20L包装桶储存，评价按照单个包装桶破损、物料全部泄漏考虑，则硝酸泄漏量</w:t>
      </w:r>
      <w:r>
        <w:rPr>
          <w:rFonts w:hint="eastAsia"/>
          <w:color w:val="auto"/>
          <w:sz w:val="24"/>
          <w:szCs w:val="24"/>
          <w:lang w:val="en-US" w:eastAsia="zh-CN"/>
        </w:rPr>
        <w:t>约</w:t>
      </w:r>
      <w:r>
        <w:rPr>
          <w:color w:val="auto"/>
          <w:sz w:val="24"/>
          <w:szCs w:val="24"/>
        </w:rPr>
        <w:t>为0.03t，事故泄漏时间按10min计。</w:t>
      </w:r>
    </w:p>
    <w:p w14:paraId="0514EF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（2）硝酸蒸发量计算</w:t>
      </w:r>
    </w:p>
    <w:p w14:paraId="513DC1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环境风险评价主要是考虑泄漏液体蒸发成气体后，气体扩散至环境空气中，对环境空气及周围环境保护敏感目标的影响。因此，除了要计算硝酸泄漏量外，更重要的是计算出泄漏出的液体在多长时间内有多少蒸发成气体。一般泄漏液体的蒸发分为闪蒸蒸发、热量蒸发和质量蒸发三种，其蒸发总量为这三种蒸发之和，本项目所使用的硝酸在常温下为液体，本次评价计算蒸发量仅考虑质量蒸发。</w:t>
      </w:r>
    </w:p>
    <w:p w14:paraId="6D7075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质量蒸发是指液池表面气流运动使液体蒸发，采用HJ169-2018中附录F.1.4.3公示计算：</w:t>
      </w:r>
    </w:p>
    <w:p w14:paraId="11A28A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szCs w:val="24"/>
        </w:rPr>
      </w:pPr>
      <w:r>
        <w:rPr>
          <w:color w:val="auto"/>
          <w:position w:val="-20"/>
        </w:rPr>
        <w:drawing>
          <wp:inline distT="0" distB="0" distL="0" distR="0">
            <wp:extent cx="1843405" cy="635635"/>
            <wp:effectExtent l="0" t="0" r="4445" b="12065"/>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7"/>
                    <a:stretch>
                      <a:fillRect/>
                    </a:stretch>
                  </pic:blipFill>
                  <pic:spPr>
                    <a:xfrm>
                      <a:off x="0" y="0"/>
                      <a:ext cx="1844039" cy="635635"/>
                    </a:xfrm>
                    <a:prstGeom prst="rect">
                      <a:avLst/>
                    </a:prstGeom>
                  </pic:spPr>
                </pic:pic>
              </a:graphicData>
            </a:graphic>
          </wp:inline>
        </w:drawing>
      </w:r>
    </w:p>
    <w:p w14:paraId="34685C29">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pacing w:val="-4"/>
          <w:sz w:val="24"/>
          <w:szCs w:val="24"/>
        </w:rPr>
      </w:pPr>
      <w:r>
        <w:rPr>
          <w:rFonts w:ascii="宋体" w:hAnsi="宋体" w:eastAsia="宋体" w:cs="宋体"/>
          <w:color w:val="auto"/>
          <w:spacing w:val="-4"/>
          <w:sz w:val="24"/>
          <w:szCs w:val="24"/>
        </w:rPr>
        <w:t>式中：</w:t>
      </w:r>
      <w:r>
        <w:rPr>
          <w:rFonts w:ascii="Times New Roman" w:hAnsi="Times New Roman" w:eastAsia="Times New Roman" w:cs="Times New Roman"/>
          <w:color w:val="auto"/>
          <w:spacing w:val="-4"/>
          <w:sz w:val="24"/>
          <w:szCs w:val="24"/>
        </w:rPr>
        <w:t>Q</w:t>
      </w:r>
      <w:r>
        <w:rPr>
          <w:rFonts w:ascii="Times New Roman" w:hAnsi="Times New Roman" w:eastAsia="Times New Roman" w:cs="Times New Roman"/>
          <w:color w:val="auto"/>
          <w:spacing w:val="-4"/>
          <w:position w:val="-1"/>
          <w:sz w:val="16"/>
          <w:szCs w:val="16"/>
        </w:rPr>
        <w:t>3</w:t>
      </w:r>
      <w:r>
        <w:rPr>
          <w:rFonts w:ascii="Times New Roman" w:hAnsi="Times New Roman" w:eastAsia="Times New Roman" w:cs="Times New Roman"/>
          <w:color w:val="auto"/>
          <w:spacing w:val="-4"/>
          <w:sz w:val="24"/>
          <w:szCs w:val="24"/>
        </w:rPr>
        <w:t>——</w:t>
      </w:r>
      <w:r>
        <w:rPr>
          <w:rFonts w:ascii="宋体" w:hAnsi="宋体" w:eastAsia="宋体" w:cs="宋体"/>
          <w:color w:val="auto"/>
          <w:spacing w:val="-4"/>
          <w:sz w:val="24"/>
          <w:szCs w:val="24"/>
        </w:rPr>
        <w:t>质量蒸发速率，</w:t>
      </w:r>
      <w:r>
        <w:rPr>
          <w:rFonts w:ascii="Times New Roman" w:hAnsi="Times New Roman" w:eastAsia="Times New Roman" w:cs="Times New Roman"/>
          <w:color w:val="auto"/>
          <w:spacing w:val="-4"/>
          <w:sz w:val="24"/>
          <w:szCs w:val="24"/>
        </w:rPr>
        <w:t>kg/s</w:t>
      </w:r>
      <w:r>
        <w:rPr>
          <w:rFonts w:ascii="宋体" w:hAnsi="宋体" w:eastAsia="宋体" w:cs="宋体"/>
          <w:color w:val="auto"/>
          <w:spacing w:val="-4"/>
          <w:sz w:val="24"/>
          <w:szCs w:val="24"/>
        </w:rPr>
        <w:t>；</w:t>
      </w:r>
    </w:p>
    <w:p w14:paraId="11F826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p——</w:t>
      </w:r>
      <w:r>
        <w:rPr>
          <w:rFonts w:ascii="宋体" w:hAnsi="宋体" w:eastAsia="宋体" w:cs="宋体"/>
          <w:color w:val="auto"/>
          <w:sz w:val="24"/>
          <w:szCs w:val="24"/>
        </w:rPr>
        <w:t>液体表面蒸气压，</w:t>
      </w:r>
      <w:r>
        <w:rPr>
          <w:rFonts w:ascii="Times New Roman" w:hAnsi="Times New Roman" w:eastAsia="Times New Roman" w:cs="Times New Roman"/>
          <w:color w:val="auto"/>
          <w:sz w:val="24"/>
          <w:szCs w:val="24"/>
        </w:rPr>
        <w:t>Pa</w:t>
      </w:r>
      <w:r>
        <w:rPr>
          <w:rFonts w:ascii="宋体" w:hAnsi="宋体" w:eastAsia="宋体" w:cs="宋体"/>
          <w:color w:val="auto"/>
          <w:sz w:val="24"/>
          <w:szCs w:val="24"/>
        </w:rPr>
        <w:t>；</w:t>
      </w:r>
    </w:p>
    <w:p w14:paraId="186099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R——</w:t>
      </w:r>
      <w:r>
        <w:rPr>
          <w:rFonts w:ascii="宋体" w:hAnsi="宋体" w:eastAsia="宋体" w:cs="宋体"/>
          <w:color w:val="auto"/>
          <w:sz w:val="24"/>
          <w:szCs w:val="24"/>
        </w:rPr>
        <w:t>气体常数，</w:t>
      </w:r>
      <w:r>
        <w:rPr>
          <w:rFonts w:ascii="Times New Roman" w:hAnsi="Times New Roman" w:eastAsia="Times New Roman" w:cs="Times New Roman"/>
          <w:color w:val="auto"/>
          <w:sz w:val="24"/>
          <w:szCs w:val="24"/>
        </w:rPr>
        <w:t>J/(mol•k)</w:t>
      </w:r>
      <w:r>
        <w:rPr>
          <w:rFonts w:ascii="宋体" w:hAnsi="宋体" w:eastAsia="宋体" w:cs="宋体"/>
          <w:color w:val="auto"/>
          <w:sz w:val="24"/>
          <w:szCs w:val="24"/>
        </w:rPr>
        <w:t>；</w:t>
      </w:r>
    </w:p>
    <w:p w14:paraId="4366AA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z w:val="24"/>
          <w:szCs w:val="24"/>
        </w:rPr>
        <w:t>T</w:t>
      </w:r>
      <w:r>
        <w:rPr>
          <w:rFonts w:ascii="Times New Roman" w:hAnsi="Times New Roman" w:eastAsia="Times New Roman" w:cs="Times New Roman"/>
          <w:color w:val="auto"/>
          <w:position w:val="-1"/>
          <w:sz w:val="16"/>
          <w:szCs w:val="16"/>
        </w:rPr>
        <w:t>0</w:t>
      </w:r>
      <w:r>
        <w:rPr>
          <w:rFonts w:ascii="Times New Roman" w:hAnsi="Times New Roman" w:eastAsia="Times New Roman" w:cs="Times New Roman"/>
          <w:color w:val="auto"/>
          <w:sz w:val="24"/>
          <w:szCs w:val="24"/>
        </w:rPr>
        <w:t>——</w:t>
      </w:r>
      <w:r>
        <w:rPr>
          <w:rFonts w:ascii="宋体" w:hAnsi="宋体" w:eastAsia="宋体" w:cs="宋体"/>
          <w:color w:val="auto"/>
          <w:sz w:val="24"/>
          <w:szCs w:val="24"/>
        </w:rPr>
        <w:t>环境温度，</w:t>
      </w:r>
      <w:r>
        <w:rPr>
          <w:rFonts w:ascii="Times New Roman" w:hAnsi="Times New Roman" w:eastAsia="Times New Roman" w:cs="Times New Roman"/>
          <w:color w:val="auto"/>
          <w:sz w:val="24"/>
          <w:szCs w:val="24"/>
        </w:rPr>
        <w:t>K</w:t>
      </w:r>
      <w:r>
        <w:rPr>
          <w:rFonts w:ascii="宋体" w:hAnsi="宋体" w:eastAsia="宋体" w:cs="宋体"/>
          <w:color w:val="auto"/>
          <w:sz w:val="24"/>
          <w:szCs w:val="24"/>
        </w:rPr>
        <w:t>；</w:t>
      </w:r>
    </w:p>
    <w:p w14:paraId="037C72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M——物质的摩尔质量，kg/mol；</w:t>
      </w:r>
    </w:p>
    <w:p w14:paraId="3C7A04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u——风速，m/s；</w:t>
      </w:r>
    </w:p>
    <w:p w14:paraId="13DF2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ascii="Times New Roman" w:hAnsi="Times New Roman" w:eastAsia="Times New Roman" w:cs="Times New Roman"/>
          <w:color w:val="auto"/>
          <w:sz w:val="24"/>
          <w:szCs w:val="24"/>
        </w:rPr>
        <w:t>r——液池半径，m；</w:t>
      </w:r>
    </w:p>
    <w:p w14:paraId="696649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a，n——大气稳定系数，取值见表7.</w:t>
      </w:r>
      <w:r>
        <w:rPr>
          <w:rFonts w:hint="eastAsia" w:eastAsia="宋体" w:cs="Times New Roman"/>
          <w:color w:val="auto"/>
          <w:sz w:val="24"/>
          <w:szCs w:val="24"/>
          <w:lang w:val="en-US" w:eastAsia="zh-CN"/>
        </w:rPr>
        <w:t>6</w:t>
      </w:r>
      <w:r>
        <w:rPr>
          <w:rFonts w:ascii="Times New Roman" w:hAnsi="Times New Roman" w:eastAsia="Times New Roman" w:cs="Times New Roman"/>
          <w:color w:val="auto"/>
          <w:sz w:val="24"/>
          <w:szCs w:val="24"/>
        </w:rPr>
        <w:t>-4。</w:t>
      </w:r>
    </w:p>
    <w:p w14:paraId="5905B018">
      <w:pPr>
        <w:jc w:val="center"/>
        <w:rPr>
          <w:b/>
          <w:bCs/>
          <w:color w:val="auto"/>
          <w:sz w:val="24"/>
          <w:szCs w:val="24"/>
        </w:rPr>
      </w:pPr>
      <w:r>
        <w:rPr>
          <w:b/>
          <w:bCs/>
          <w:color w:val="auto"/>
          <w:sz w:val="24"/>
          <w:szCs w:val="24"/>
        </w:rPr>
        <w:t>表7.</w:t>
      </w:r>
      <w:r>
        <w:rPr>
          <w:rFonts w:hint="eastAsia"/>
          <w:b/>
          <w:bCs/>
          <w:color w:val="auto"/>
          <w:sz w:val="24"/>
          <w:szCs w:val="24"/>
          <w:lang w:val="en-US" w:eastAsia="zh-CN"/>
        </w:rPr>
        <w:t>6</w:t>
      </w:r>
      <w:r>
        <w:rPr>
          <w:b/>
          <w:bCs/>
          <w:color w:val="auto"/>
          <w:sz w:val="24"/>
          <w:szCs w:val="24"/>
        </w:rPr>
        <w:t>-4液池蒸发模式参数</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830"/>
        <w:gridCol w:w="3093"/>
        <w:gridCol w:w="2623"/>
      </w:tblGrid>
      <w:tr w14:paraId="2E45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trPr>
        <w:tc>
          <w:tcPr>
            <w:tcW w:w="1655" w:type="pct"/>
            <w:shd w:val="clear" w:color="auto" w:fill="auto"/>
            <w:vAlign w:val="top"/>
          </w:tcPr>
          <w:p w14:paraId="78A88213">
            <w:pPr>
              <w:pStyle w:val="97"/>
              <w:spacing w:before="85" w:line="221" w:lineRule="auto"/>
              <w:ind w:left="761"/>
              <w:rPr>
                <w:b/>
                <w:bCs/>
                <w:color w:val="auto"/>
                <w:sz w:val="21"/>
                <w:szCs w:val="21"/>
              </w:rPr>
            </w:pPr>
            <w:r>
              <w:rPr>
                <w:b/>
                <w:bCs/>
                <w:color w:val="auto"/>
                <w:spacing w:val="-2"/>
                <w:sz w:val="21"/>
                <w:szCs w:val="21"/>
              </w:rPr>
              <w:t>大气稳定状况</w:t>
            </w:r>
          </w:p>
        </w:tc>
        <w:tc>
          <w:tcPr>
            <w:tcW w:w="1809" w:type="pct"/>
            <w:shd w:val="clear" w:color="auto" w:fill="auto"/>
            <w:vAlign w:val="top"/>
          </w:tcPr>
          <w:p w14:paraId="129A4338">
            <w:pPr>
              <w:spacing w:before="118" w:line="236" w:lineRule="auto"/>
              <w:ind w:left="1450"/>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z w:val="21"/>
                <w:szCs w:val="21"/>
              </w:rPr>
              <w:t>n</w:t>
            </w:r>
          </w:p>
        </w:tc>
        <w:tc>
          <w:tcPr>
            <w:tcW w:w="1534" w:type="pct"/>
            <w:shd w:val="clear" w:color="auto" w:fill="auto"/>
            <w:vAlign w:val="top"/>
          </w:tcPr>
          <w:p w14:paraId="678C01C3">
            <w:pPr>
              <w:spacing w:before="119" w:line="234" w:lineRule="auto"/>
              <w:ind w:left="1237"/>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z w:val="21"/>
                <w:szCs w:val="21"/>
              </w:rPr>
              <w:t>a</w:t>
            </w:r>
          </w:p>
        </w:tc>
      </w:tr>
      <w:tr w14:paraId="01BA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8" w:hRule="atLeast"/>
        </w:trPr>
        <w:tc>
          <w:tcPr>
            <w:tcW w:w="1655" w:type="pct"/>
            <w:shd w:val="clear" w:color="auto" w:fill="auto"/>
            <w:vAlign w:val="top"/>
          </w:tcPr>
          <w:p w14:paraId="16531D57">
            <w:pPr>
              <w:pStyle w:val="97"/>
              <w:spacing w:before="88" w:line="221" w:lineRule="auto"/>
              <w:ind w:left="616"/>
              <w:rPr>
                <w:color w:val="auto"/>
                <w:sz w:val="21"/>
                <w:szCs w:val="21"/>
              </w:rPr>
            </w:pPr>
            <w:r>
              <w:rPr>
                <w:color w:val="auto"/>
                <w:spacing w:val="-5"/>
                <w:sz w:val="21"/>
                <w:szCs w:val="21"/>
              </w:rPr>
              <w:t>不稳定（</w:t>
            </w:r>
            <w:r>
              <w:rPr>
                <w:rFonts w:ascii="Times New Roman" w:hAnsi="Times New Roman" w:eastAsia="Times New Roman" w:cs="Times New Roman"/>
                <w:color w:val="auto"/>
                <w:spacing w:val="-5"/>
                <w:sz w:val="21"/>
                <w:szCs w:val="21"/>
              </w:rPr>
              <w:t>A</w:t>
            </w:r>
            <w:r>
              <w:rPr>
                <w:color w:val="auto"/>
                <w:spacing w:val="-5"/>
                <w:sz w:val="21"/>
                <w:szCs w:val="21"/>
              </w:rPr>
              <w:t>，</w:t>
            </w:r>
            <w:r>
              <w:rPr>
                <w:rFonts w:ascii="Times New Roman" w:hAnsi="Times New Roman" w:eastAsia="Times New Roman" w:cs="Times New Roman"/>
                <w:color w:val="auto"/>
                <w:spacing w:val="-5"/>
                <w:sz w:val="21"/>
                <w:szCs w:val="21"/>
              </w:rPr>
              <w:t>B</w:t>
            </w:r>
            <w:r>
              <w:rPr>
                <w:color w:val="auto"/>
                <w:spacing w:val="-5"/>
                <w:sz w:val="21"/>
                <w:szCs w:val="21"/>
              </w:rPr>
              <w:t>）</w:t>
            </w:r>
          </w:p>
        </w:tc>
        <w:tc>
          <w:tcPr>
            <w:tcW w:w="1809" w:type="pct"/>
            <w:shd w:val="clear" w:color="auto" w:fill="auto"/>
            <w:vAlign w:val="top"/>
          </w:tcPr>
          <w:p w14:paraId="6E33E845">
            <w:pPr>
              <w:spacing w:before="124" w:line="187" w:lineRule="auto"/>
              <w:ind w:left="1380"/>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0.2</w:t>
            </w:r>
          </w:p>
        </w:tc>
        <w:tc>
          <w:tcPr>
            <w:tcW w:w="1534" w:type="pct"/>
            <w:shd w:val="clear" w:color="auto" w:fill="auto"/>
            <w:vAlign w:val="top"/>
          </w:tcPr>
          <w:p w14:paraId="28452D04">
            <w:pPr>
              <w:spacing w:before="103" w:line="208" w:lineRule="auto"/>
              <w:ind w:left="832"/>
              <w:rPr>
                <w:rFonts w:ascii="Times New Roman" w:hAnsi="Times New Roman" w:eastAsia="Times New Roman" w:cs="Times New Roman"/>
                <w:color w:val="auto"/>
                <w:sz w:val="13"/>
                <w:szCs w:val="13"/>
              </w:rPr>
            </w:pPr>
            <w:r>
              <w:rPr>
                <w:rFonts w:ascii="Times New Roman" w:hAnsi="Times New Roman" w:eastAsia="Times New Roman" w:cs="Times New Roman"/>
                <w:color w:val="auto"/>
                <w:spacing w:val="-1"/>
                <w:sz w:val="21"/>
                <w:szCs w:val="21"/>
              </w:rPr>
              <w:t>3.846×10</w:t>
            </w:r>
            <w:r>
              <w:rPr>
                <w:rFonts w:ascii="Times New Roman" w:hAnsi="Times New Roman" w:eastAsia="Times New Roman" w:cs="Times New Roman"/>
                <w:color w:val="auto"/>
                <w:spacing w:val="-1"/>
                <w:position w:val="6"/>
                <w:sz w:val="13"/>
                <w:szCs w:val="13"/>
              </w:rPr>
              <w:t>-3</w:t>
            </w:r>
          </w:p>
        </w:tc>
      </w:tr>
      <w:tr w14:paraId="2443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655" w:type="pct"/>
            <w:shd w:val="clear" w:color="auto" w:fill="auto"/>
            <w:vAlign w:val="top"/>
          </w:tcPr>
          <w:p w14:paraId="0BC1057D">
            <w:pPr>
              <w:pStyle w:val="97"/>
              <w:spacing w:before="95" w:line="221" w:lineRule="auto"/>
              <w:ind w:left="913"/>
              <w:rPr>
                <w:color w:val="auto"/>
                <w:sz w:val="21"/>
                <w:szCs w:val="21"/>
              </w:rPr>
            </w:pPr>
            <w:r>
              <w:rPr>
                <w:color w:val="auto"/>
                <w:spacing w:val="-6"/>
                <w:sz w:val="21"/>
                <w:szCs w:val="21"/>
              </w:rPr>
              <w:t>中性（</w:t>
            </w:r>
            <w:r>
              <w:rPr>
                <w:rFonts w:ascii="Times New Roman" w:hAnsi="Times New Roman" w:eastAsia="Times New Roman" w:cs="Times New Roman"/>
                <w:color w:val="auto"/>
                <w:spacing w:val="-6"/>
                <w:sz w:val="21"/>
                <w:szCs w:val="21"/>
              </w:rPr>
              <w:t>D</w:t>
            </w:r>
            <w:r>
              <w:rPr>
                <w:color w:val="auto"/>
                <w:spacing w:val="-6"/>
                <w:sz w:val="21"/>
                <w:szCs w:val="21"/>
              </w:rPr>
              <w:t>）</w:t>
            </w:r>
          </w:p>
        </w:tc>
        <w:tc>
          <w:tcPr>
            <w:tcW w:w="1809" w:type="pct"/>
            <w:shd w:val="clear" w:color="auto" w:fill="auto"/>
            <w:vAlign w:val="top"/>
          </w:tcPr>
          <w:p w14:paraId="1138DC23">
            <w:pPr>
              <w:spacing w:before="130" w:line="187" w:lineRule="auto"/>
              <w:ind w:left="132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0.25</w:t>
            </w:r>
          </w:p>
        </w:tc>
        <w:tc>
          <w:tcPr>
            <w:tcW w:w="1534" w:type="pct"/>
            <w:shd w:val="clear" w:color="auto" w:fill="auto"/>
            <w:vAlign w:val="top"/>
          </w:tcPr>
          <w:p w14:paraId="58C3B9B6">
            <w:pPr>
              <w:spacing w:before="109" w:line="208" w:lineRule="auto"/>
              <w:ind w:left="827"/>
              <w:rPr>
                <w:rFonts w:ascii="Times New Roman" w:hAnsi="Times New Roman" w:eastAsia="Times New Roman" w:cs="Times New Roman"/>
                <w:color w:val="auto"/>
                <w:sz w:val="13"/>
                <w:szCs w:val="13"/>
              </w:rPr>
            </w:pPr>
            <w:r>
              <w:rPr>
                <w:rFonts w:ascii="Times New Roman" w:hAnsi="Times New Roman" w:eastAsia="Times New Roman" w:cs="Times New Roman"/>
                <w:color w:val="auto"/>
                <w:spacing w:val="-1"/>
                <w:sz w:val="21"/>
                <w:szCs w:val="21"/>
              </w:rPr>
              <w:t>4.685×10</w:t>
            </w:r>
            <w:r>
              <w:rPr>
                <w:rFonts w:ascii="Times New Roman" w:hAnsi="Times New Roman" w:eastAsia="Times New Roman" w:cs="Times New Roman"/>
                <w:color w:val="auto"/>
                <w:spacing w:val="-1"/>
                <w:position w:val="6"/>
                <w:sz w:val="13"/>
                <w:szCs w:val="13"/>
              </w:rPr>
              <w:t>-3</w:t>
            </w:r>
          </w:p>
        </w:tc>
      </w:tr>
      <w:tr w14:paraId="7260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2" w:hRule="atLeast"/>
        </w:trPr>
        <w:tc>
          <w:tcPr>
            <w:tcW w:w="1655" w:type="pct"/>
            <w:shd w:val="clear" w:color="auto" w:fill="auto"/>
            <w:vAlign w:val="top"/>
          </w:tcPr>
          <w:p w14:paraId="1468ECC0">
            <w:pPr>
              <w:pStyle w:val="97"/>
              <w:spacing w:before="101" w:line="221" w:lineRule="auto"/>
              <w:ind w:left="743"/>
              <w:rPr>
                <w:color w:val="auto"/>
                <w:sz w:val="21"/>
                <w:szCs w:val="21"/>
              </w:rPr>
            </w:pPr>
            <w:r>
              <w:rPr>
                <w:color w:val="auto"/>
                <w:spacing w:val="-5"/>
                <w:sz w:val="21"/>
                <w:szCs w:val="21"/>
              </w:rPr>
              <w:t>稳定（</w:t>
            </w:r>
            <w:r>
              <w:rPr>
                <w:rFonts w:ascii="Times New Roman" w:hAnsi="Times New Roman" w:eastAsia="Times New Roman" w:cs="Times New Roman"/>
                <w:color w:val="auto"/>
                <w:spacing w:val="-5"/>
                <w:sz w:val="21"/>
                <w:szCs w:val="21"/>
              </w:rPr>
              <w:t>E</w:t>
            </w:r>
            <w:r>
              <w:rPr>
                <w:color w:val="auto"/>
                <w:spacing w:val="-5"/>
                <w:sz w:val="21"/>
                <w:szCs w:val="21"/>
              </w:rPr>
              <w:t>，</w:t>
            </w:r>
            <w:r>
              <w:rPr>
                <w:rFonts w:ascii="Times New Roman" w:hAnsi="Times New Roman" w:eastAsia="Times New Roman" w:cs="Times New Roman"/>
                <w:color w:val="auto"/>
                <w:spacing w:val="-5"/>
                <w:sz w:val="21"/>
                <w:szCs w:val="21"/>
              </w:rPr>
              <w:t>F</w:t>
            </w:r>
            <w:r>
              <w:rPr>
                <w:color w:val="auto"/>
                <w:spacing w:val="-5"/>
                <w:sz w:val="21"/>
                <w:szCs w:val="21"/>
              </w:rPr>
              <w:t>）</w:t>
            </w:r>
          </w:p>
        </w:tc>
        <w:tc>
          <w:tcPr>
            <w:tcW w:w="1809" w:type="pct"/>
            <w:shd w:val="clear" w:color="auto" w:fill="auto"/>
            <w:vAlign w:val="top"/>
          </w:tcPr>
          <w:p w14:paraId="2581BF32">
            <w:pPr>
              <w:spacing w:before="137" w:line="187" w:lineRule="auto"/>
              <w:ind w:left="1380"/>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0.3</w:t>
            </w:r>
          </w:p>
        </w:tc>
        <w:tc>
          <w:tcPr>
            <w:tcW w:w="1534" w:type="pct"/>
            <w:shd w:val="clear" w:color="auto" w:fill="auto"/>
            <w:vAlign w:val="top"/>
          </w:tcPr>
          <w:p w14:paraId="367F85EC">
            <w:pPr>
              <w:spacing w:before="116" w:line="208" w:lineRule="auto"/>
              <w:ind w:left="833"/>
              <w:rPr>
                <w:rFonts w:ascii="Times New Roman" w:hAnsi="Times New Roman" w:eastAsia="Times New Roman" w:cs="Times New Roman"/>
                <w:color w:val="auto"/>
                <w:sz w:val="13"/>
                <w:szCs w:val="13"/>
              </w:rPr>
            </w:pPr>
            <w:r>
              <w:rPr>
                <w:rFonts w:ascii="Times New Roman" w:hAnsi="Times New Roman" w:eastAsia="Times New Roman" w:cs="Times New Roman"/>
                <w:color w:val="auto"/>
                <w:spacing w:val="-1"/>
                <w:sz w:val="21"/>
                <w:szCs w:val="21"/>
              </w:rPr>
              <w:t>5.285×10</w:t>
            </w:r>
            <w:r>
              <w:rPr>
                <w:rFonts w:ascii="Times New Roman" w:hAnsi="Times New Roman" w:eastAsia="Times New Roman" w:cs="Times New Roman"/>
                <w:color w:val="auto"/>
                <w:spacing w:val="-1"/>
                <w:position w:val="6"/>
                <w:sz w:val="13"/>
                <w:szCs w:val="13"/>
              </w:rPr>
              <w:t>-3</w:t>
            </w:r>
          </w:p>
        </w:tc>
      </w:tr>
    </w:tbl>
    <w:p w14:paraId="22400B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根据上述经验公式及相关参数，估算出在F稳定度条件下，硝酸的质量蒸发速率见表7.</w:t>
      </w:r>
      <w:r>
        <w:rPr>
          <w:rFonts w:hint="eastAsia"/>
          <w:color w:val="auto"/>
          <w:sz w:val="24"/>
          <w:szCs w:val="24"/>
          <w:lang w:val="en-US" w:eastAsia="zh-CN"/>
        </w:rPr>
        <w:t>6</w:t>
      </w:r>
      <w:r>
        <w:rPr>
          <w:color w:val="auto"/>
          <w:sz w:val="24"/>
          <w:szCs w:val="24"/>
        </w:rPr>
        <w:t>-5。</w:t>
      </w:r>
    </w:p>
    <w:p w14:paraId="7DFDA692">
      <w:pPr>
        <w:jc w:val="center"/>
        <w:rPr>
          <w:b/>
          <w:bCs/>
          <w:color w:val="auto"/>
          <w:sz w:val="24"/>
          <w:szCs w:val="24"/>
        </w:rPr>
      </w:pPr>
      <w:r>
        <w:rPr>
          <w:b/>
          <w:bCs/>
          <w:color w:val="auto"/>
          <w:sz w:val="24"/>
          <w:szCs w:val="24"/>
        </w:rPr>
        <w:t>表7.</w:t>
      </w:r>
      <w:r>
        <w:rPr>
          <w:rFonts w:hint="eastAsia"/>
          <w:b/>
          <w:bCs/>
          <w:color w:val="auto"/>
          <w:sz w:val="24"/>
          <w:szCs w:val="24"/>
          <w:lang w:val="en-US" w:eastAsia="zh-CN"/>
        </w:rPr>
        <w:t>6</w:t>
      </w:r>
      <w:r>
        <w:rPr>
          <w:b/>
          <w:bCs/>
          <w:color w:val="auto"/>
          <w:sz w:val="24"/>
          <w:szCs w:val="24"/>
        </w:rPr>
        <w:t>-5硝酸质量蒸发速率一览表</w:t>
      </w:r>
    </w:p>
    <w:p w14:paraId="2282276D">
      <w:pPr>
        <w:spacing w:line="69" w:lineRule="exact"/>
        <w:rPr>
          <w:color w:val="auto"/>
        </w:rPr>
      </w:pP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39"/>
        <w:gridCol w:w="849"/>
        <w:gridCol w:w="1423"/>
        <w:gridCol w:w="790"/>
        <w:gridCol w:w="1233"/>
        <w:gridCol w:w="943"/>
        <w:gridCol w:w="802"/>
        <w:gridCol w:w="763"/>
        <w:gridCol w:w="805"/>
      </w:tblGrid>
      <w:tr w14:paraId="12CE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26" w:hRule="atLeast"/>
          <w:jc w:val="center"/>
        </w:trPr>
        <w:tc>
          <w:tcPr>
            <w:tcW w:w="549" w:type="pct"/>
            <w:shd w:val="clear" w:color="auto" w:fill="auto"/>
            <w:vAlign w:val="center"/>
          </w:tcPr>
          <w:p w14:paraId="74BC1A4A">
            <w:pPr>
              <w:jc w:val="center"/>
              <w:rPr>
                <w:b/>
                <w:bCs/>
                <w:color w:val="auto"/>
              </w:rPr>
            </w:pPr>
            <w:r>
              <w:rPr>
                <w:b/>
                <w:bCs/>
                <w:color w:val="auto"/>
              </w:rPr>
              <w:t>物质</w:t>
            </w:r>
          </w:p>
        </w:tc>
        <w:tc>
          <w:tcPr>
            <w:tcW w:w="496" w:type="pct"/>
            <w:shd w:val="clear" w:color="auto" w:fill="auto"/>
            <w:vAlign w:val="center"/>
          </w:tcPr>
          <w:p w14:paraId="23C9F004">
            <w:pPr>
              <w:jc w:val="center"/>
              <w:rPr>
                <w:b/>
                <w:bCs/>
                <w:color w:val="auto"/>
              </w:rPr>
            </w:pPr>
            <w:r>
              <w:rPr>
                <w:b/>
                <w:bCs/>
                <w:color w:val="auto"/>
              </w:rPr>
              <w:t>液体表面蒸气压（Pa）</w:t>
            </w:r>
          </w:p>
        </w:tc>
        <w:tc>
          <w:tcPr>
            <w:tcW w:w="832" w:type="pct"/>
            <w:shd w:val="clear" w:color="auto" w:fill="auto"/>
            <w:vAlign w:val="center"/>
          </w:tcPr>
          <w:p w14:paraId="0C3AB88F">
            <w:pPr>
              <w:jc w:val="center"/>
              <w:rPr>
                <w:b/>
                <w:bCs/>
                <w:color w:val="auto"/>
              </w:rPr>
            </w:pPr>
            <w:r>
              <w:rPr>
                <w:b/>
                <w:bCs/>
                <w:color w:val="auto"/>
              </w:rPr>
              <w:t>气体常数（J/(mol•k)）</w:t>
            </w:r>
          </w:p>
        </w:tc>
        <w:tc>
          <w:tcPr>
            <w:tcW w:w="462" w:type="pct"/>
            <w:shd w:val="clear" w:color="auto" w:fill="auto"/>
            <w:vAlign w:val="center"/>
          </w:tcPr>
          <w:p w14:paraId="66ED42E6">
            <w:pPr>
              <w:jc w:val="center"/>
              <w:rPr>
                <w:b/>
                <w:bCs/>
                <w:color w:val="auto"/>
              </w:rPr>
            </w:pPr>
            <w:r>
              <w:rPr>
                <w:b/>
                <w:bCs/>
                <w:color w:val="auto"/>
              </w:rPr>
              <w:t>环境温度（K）</w:t>
            </w:r>
          </w:p>
        </w:tc>
        <w:tc>
          <w:tcPr>
            <w:tcW w:w="721" w:type="pct"/>
            <w:shd w:val="clear" w:color="auto" w:fill="auto"/>
            <w:vAlign w:val="center"/>
          </w:tcPr>
          <w:p w14:paraId="493DFDEF">
            <w:pPr>
              <w:jc w:val="center"/>
              <w:rPr>
                <w:b/>
                <w:bCs/>
                <w:color w:val="auto"/>
              </w:rPr>
            </w:pPr>
            <w:r>
              <w:rPr>
                <w:b/>
                <w:bCs/>
                <w:color w:val="auto"/>
              </w:rPr>
              <w:t>物质的摩</w:t>
            </w:r>
          </w:p>
          <w:p w14:paraId="32C10DB9">
            <w:pPr>
              <w:jc w:val="center"/>
              <w:rPr>
                <w:b/>
                <w:bCs/>
                <w:color w:val="auto"/>
              </w:rPr>
            </w:pPr>
            <w:r>
              <w:rPr>
                <w:b/>
                <w:bCs/>
                <w:color w:val="auto"/>
              </w:rPr>
              <w:t>尔质量</w:t>
            </w:r>
          </w:p>
          <w:p w14:paraId="2BC0DD80">
            <w:pPr>
              <w:jc w:val="center"/>
              <w:rPr>
                <w:b/>
                <w:bCs/>
                <w:color w:val="auto"/>
              </w:rPr>
            </w:pPr>
            <w:r>
              <w:rPr>
                <w:b/>
                <w:bCs/>
                <w:color w:val="auto"/>
              </w:rPr>
              <w:t>（kg/mol）</w:t>
            </w:r>
          </w:p>
        </w:tc>
        <w:tc>
          <w:tcPr>
            <w:tcW w:w="551" w:type="pct"/>
            <w:shd w:val="clear" w:color="auto" w:fill="auto"/>
            <w:vAlign w:val="center"/>
          </w:tcPr>
          <w:p w14:paraId="277E9687">
            <w:pPr>
              <w:jc w:val="center"/>
              <w:rPr>
                <w:b/>
                <w:bCs/>
                <w:color w:val="auto"/>
              </w:rPr>
            </w:pPr>
            <w:r>
              <w:rPr>
                <w:b/>
                <w:bCs/>
                <w:color w:val="auto"/>
              </w:rPr>
              <w:t>风速（m/s）</w:t>
            </w:r>
          </w:p>
        </w:tc>
        <w:tc>
          <w:tcPr>
            <w:tcW w:w="469" w:type="pct"/>
            <w:shd w:val="clear" w:color="auto" w:fill="auto"/>
            <w:vAlign w:val="center"/>
          </w:tcPr>
          <w:p w14:paraId="0AEFFE3C">
            <w:pPr>
              <w:jc w:val="center"/>
              <w:rPr>
                <w:b/>
                <w:bCs/>
                <w:color w:val="auto"/>
              </w:rPr>
            </w:pPr>
            <w:r>
              <w:rPr>
                <w:b/>
                <w:bCs/>
                <w:color w:val="auto"/>
              </w:rPr>
              <w:t>液池半径（m）</w:t>
            </w:r>
          </w:p>
        </w:tc>
        <w:tc>
          <w:tcPr>
            <w:tcW w:w="446" w:type="pct"/>
            <w:shd w:val="clear" w:color="auto" w:fill="auto"/>
            <w:vAlign w:val="center"/>
          </w:tcPr>
          <w:p w14:paraId="52321F80">
            <w:pPr>
              <w:jc w:val="center"/>
              <w:rPr>
                <w:b/>
                <w:bCs/>
                <w:color w:val="auto"/>
              </w:rPr>
            </w:pPr>
            <w:r>
              <w:rPr>
                <w:b/>
                <w:bCs/>
                <w:color w:val="auto"/>
              </w:rPr>
              <w:t>质量蒸发速率kg/s</w:t>
            </w:r>
          </w:p>
        </w:tc>
        <w:tc>
          <w:tcPr>
            <w:tcW w:w="470" w:type="pct"/>
            <w:shd w:val="clear" w:color="auto" w:fill="auto"/>
            <w:vAlign w:val="center"/>
          </w:tcPr>
          <w:p w14:paraId="7E5E27D5">
            <w:pPr>
              <w:jc w:val="center"/>
              <w:rPr>
                <w:b/>
                <w:bCs/>
                <w:color w:val="auto"/>
              </w:rPr>
            </w:pPr>
            <w:r>
              <w:rPr>
                <w:b/>
                <w:bCs/>
                <w:color w:val="auto"/>
              </w:rPr>
              <w:t>质量蒸发量kg</w:t>
            </w:r>
          </w:p>
        </w:tc>
      </w:tr>
      <w:tr w14:paraId="2075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4" w:hRule="atLeast"/>
          <w:jc w:val="center"/>
        </w:trPr>
        <w:tc>
          <w:tcPr>
            <w:tcW w:w="549" w:type="pct"/>
            <w:shd w:val="clear" w:color="auto" w:fill="auto"/>
            <w:vAlign w:val="center"/>
          </w:tcPr>
          <w:p w14:paraId="661CDADC">
            <w:pPr>
              <w:jc w:val="center"/>
              <w:rPr>
                <w:color w:val="auto"/>
              </w:rPr>
            </w:pPr>
            <w:r>
              <w:rPr>
                <w:rFonts w:hint="eastAsia"/>
                <w:color w:val="auto"/>
                <w:lang w:val="en-US" w:eastAsia="zh-CN"/>
              </w:rPr>
              <w:t>68%</w:t>
            </w:r>
            <w:r>
              <w:rPr>
                <w:color w:val="auto"/>
              </w:rPr>
              <w:t>硝酸</w:t>
            </w:r>
          </w:p>
        </w:tc>
        <w:tc>
          <w:tcPr>
            <w:tcW w:w="496" w:type="pct"/>
            <w:shd w:val="clear" w:color="auto" w:fill="auto"/>
            <w:vAlign w:val="center"/>
          </w:tcPr>
          <w:p w14:paraId="31217F51">
            <w:pPr>
              <w:jc w:val="center"/>
              <w:rPr>
                <w:color w:val="auto"/>
              </w:rPr>
            </w:pPr>
            <w:r>
              <w:rPr>
                <w:color w:val="auto"/>
              </w:rPr>
              <w:t>4400</w:t>
            </w:r>
          </w:p>
        </w:tc>
        <w:tc>
          <w:tcPr>
            <w:tcW w:w="832" w:type="pct"/>
            <w:shd w:val="clear" w:color="auto" w:fill="auto"/>
            <w:vAlign w:val="center"/>
          </w:tcPr>
          <w:p w14:paraId="7CD02638">
            <w:pPr>
              <w:jc w:val="center"/>
              <w:rPr>
                <w:color w:val="auto"/>
              </w:rPr>
            </w:pPr>
            <w:r>
              <w:rPr>
                <w:color w:val="auto"/>
              </w:rPr>
              <w:t>8.314</w:t>
            </w:r>
          </w:p>
        </w:tc>
        <w:tc>
          <w:tcPr>
            <w:tcW w:w="462" w:type="pct"/>
            <w:shd w:val="clear" w:color="auto" w:fill="auto"/>
            <w:vAlign w:val="center"/>
          </w:tcPr>
          <w:p w14:paraId="182C1A26">
            <w:pPr>
              <w:jc w:val="center"/>
              <w:rPr>
                <w:color w:val="auto"/>
              </w:rPr>
            </w:pPr>
            <w:r>
              <w:rPr>
                <w:color w:val="auto"/>
              </w:rPr>
              <w:t>298</w:t>
            </w:r>
          </w:p>
        </w:tc>
        <w:tc>
          <w:tcPr>
            <w:tcW w:w="721" w:type="pct"/>
            <w:shd w:val="clear" w:color="auto" w:fill="auto"/>
            <w:vAlign w:val="center"/>
          </w:tcPr>
          <w:p w14:paraId="204BB181">
            <w:pPr>
              <w:jc w:val="center"/>
              <w:rPr>
                <w:color w:val="auto"/>
              </w:rPr>
            </w:pPr>
            <w:r>
              <w:rPr>
                <w:color w:val="auto"/>
              </w:rPr>
              <w:t>0.063</w:t>
            </w:r>
          </w:p>
        </w:tc>
        <w:tc>
          <w:tcPr>
            <w:tcW w:w="551" w:type="pct"/>
            <w:shd w:val="clear" w:color="auto" w:fill="auto"/>
            <w:vAlign w:val="center"/>
          </w:tcPr>
          <w:p w14:paraId="61F8DC4C">
            <w:pPr>
              <w:jc w:val="center"/>
              <w:rPr>
                <w:color w:val="auto"/>
              </w:rPr>
            </w:pPr>
            <w:r>
              <w:rPr>
                <w:color w:val="auto"/>
              </w:rPr>
              <w:t>1.5</w:t>
            </w:r>
          </w:p>
        </w:tc>
        <w:tc>
          <w:tcPr>
            <w:tcW w:w="469" w:type="pct"/>
            <w:shd w:val="clear" w:color="auto" w:fill="auto"/>
            <w:vAlign w:val="center"/>
          </w:tcPr>
          <w:p w14:paraId="166B2335">
            <w:pPr>
              <w:jc w:val="center"/>
              <w:rPr>
                <w:rFonts w:hint="default" w:eastAsia="宋体"/>
                <w:color w:val="auto"/>
                <w:lang w:val="en-US" w:eastAsia="zh-CN"/>
              </w:rPr>
            </w:pPr>
            <w:r>
              <w:rPr>
                <w:rFonts w:hint="eastAsia"/>
                <w:color w:val="auto"/>
                <w:lang w:val="en-US" w:eastAsia="zh-CN"/>
              </w:rPr>
              <w:t>3.8</w:t>
            </w:r>
          </w:p>
        </w:tc>
        <w:tc>
          <w:tcPr>
            <w:tcW w:w="446" w:type="pct"/>
            <w:shd w:val="clear" w:color="auto" w:fill="auto"/>
            <w:vAlign w:val="center"/>
          </w:tcPr>
          <w:p w14:paraId="0D7002C8">
            <w:pPr>
              <w:jc w:val="center"/>
              <w:rPr>
                <w:rFonts w:hint="default" w:eastAsia="宋体"/>
                <w:color w:val="auto"/>
                <w:lang w:val="en-US" w:eastAsia="zh-CN"/>
              </w:rPr>
            </w:pPr>
            <w:r>
              <w:rPr>
                <w:rFonts w:hint="eastAsia"/>
                <w:color w:val="auto"/>
                <w:lang w:val="en-US" w:eastAsia="zh-CN"/>
              </w:rPr>
              <w:t>0.01</w:t>
            </w:r>
          </w:p>
        </w:tc>
        <w:tc>
          <w:tcPr>
            <w:tcW w:w="470" w:type="pct"/>
            <w:shd w:val="clear" w:color="auto" w:fill="auto"/>
            <w:vAlign w:val="center"/>
          </w:tcPr>
          <w:p w14:paraId="1A9FB450">
            <w:pPr>
              <w:jc w:val="center"/>
              <w:rPr>
                <w:rFonts w:hint="default" w:eastAsia="宋体"/>
                <w:color w:val="auto"/>
                <w:lang w:val="en-US" w:eastAsia="zh-CN"/>
              </w:rPr>
            </w:pPr>
            <w:r>
              <w:rPr>
                <w:rFonts w:hint="eastAsia"/>
                <w:color w:val="auto"/>
                <w:lang w:val="en-US" w:eastAsia="zh-CN"/>
              </w:rPr>
              <w:t>6</w:t>
            </w:r>
          </w:p>
        </w:tc>
      </w:tr>
    </w:tbl>
    <w:p w14:paraId="30DDBE91">
      <w:pPr>
        <w:keepNext/>
        <w:keepLines/>
        <w:pageBreakBefore w:val="0"/>
        <w:widowControl w:val="0"/>
        <w:kinsoku/>
        <w:wordWrap/>
        <w:overflowPunct/>
        <w:topLinePunct w:val="0"/>
        <w:autoSpaceDE/>
        <w:autoSpaceDN/>
        <w:bidi w:val="0"/>
        <w:adjustRightInd/>
        <w:snapToGrid/>
        <w:spacing w:line="360" w:lineRule="auto"/>
        <w:textAlignment w:val="auto"/>
        <w:outlineLvl w:val="0"/>
        <w:rPr>
          <w:rFonts w:hint="default" w:eastAsia="楷体"/>
          <w:b/>
          <w:bCs/>
          <w:color w:val="auto"/>
          <w:kern w:val="44"/>
          <w:sz w:val="44"/>
          <w:szCs w:val="44"/>
          <w:lang w:val="en-US" w:eastAsia="zh-CN"/>
        </w:rPr>
      </w:pPr>
      <w:r>
        <w:rPr>
          <w:rFonts w:hint="default" w:eastAsia="楷体"/>
          <w:b/>
          <w:bCs/>
          <w:color w:val="auto"/>
          <w:kern w:val="44"/>
          <w:sz w:val="44"/>
          <w:szCs w:val="44"/>
          <w:lang w:val="en-US" w:eastAsia="zh-CN"/>
        </w:rPr>
        <w:t>7.</w:t>
      </w:r>
      <w:r>
        <w:rPr>
          <w:rFonts w:hint="eastAsia" w:eastAsia="楷体"/>
          <w:b/>
          <w:bCs/>
          <w:color w:val="auto"/>
          <w:kern w:val="44"/>
          <w:sz w:val="44"/>
          <w:szCs w:val="44"/>
          <w:lang w:val="en-US" w:eastAsia="zh-CN"/>
        </w:rPr>
        <w:t>7</w:t>
      </w:r>
      <w:r>
        <w:rPr>
          <w:rFonts w:hint="default" w:eastAsia="楷体"/>
          <w:b/>
          <w:bCs/>
          <w:color w:val="auto"/>
          <w:kern w:val="44"/>
          <w:sz w:val="44"/>
          <w:szCs w:val="44"/>
          <w:lang w:val="en-US" w:eastAsia="zh-CN"/>
        </w:rPr>
        <w:t>风险预测与评价</w:t>
      </w:r>
    </w:p>
    <w:p w14:paraId="29E80192">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eastAsia="楷体"/>
          <w:b/>
          <w:color w:val="auto"/>
          <w:sz w:val="30"/>
          <w:szCs w:val="30"/>
          <w:lang w:val="en-US" w:eastAsia="zh-CN"/>
        </w:rPr>
      </w:pPr>
      <w:r>
        <w:rPr>
          <w:rFonts w:hint="default" w:eastAsia="楷体"/>
          <w:b/>
          <w:color w:val="auto"/>
          <w:sz w:val="30"/>
          <w:szCs w:val="30"/>
          <w:lang w:val="en-US" w:eastAsia="zh-CN"/>
        </w:rPr>
        <w:t>7.</w:t>
      </w:r>
      <w:r>
        <w:rPr>
          <w:rFonts w:hint="eastAsia" w:eastAsia="楷体"/>
          <w:b/>
          <w:color w:val="auto"/>
          <w:sz w:val="30"/>
          <w:szCs w:val="30"/>
          <w:lang w:val="en-US" w:eastAsia="zh-CN"/>
        </w:rPr>
        <w:t>7</w:t>
      </w:r>
      <w:r>
        <w:rPr>
          <w:rFonts w:hint="default" w:eastAsia="楷体"/>
          <w:b/>
          <w:color w:val="auto"/>
          <w:sz w:val="30"/>
          <w:szCs w:val="30"/>
          <w:lang w:val="en-US" w:eastAsia="zh-CN"/>
        </w:rPr>
        <w:t>.1风险预测</w:t>
      </w:r>
    </w:p>
    <w:p w14:paraId="4ED5F7B4">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pacing w:val="-2"/>
          <w:sz w:val="24"/>
          <w:szCs w:val="24"/>
        </w:rPr>
        <w:t>（</w:t>
      </w:r>
      <w:r>
        <w:rPr>
          <w:rFonts w:ascii="Times New Roman" w:hAnsi="Times New Roman" w:eastAsia="宋体" w:cs="Times New Roman"/>
          <w:color w:val="auto"/>
          <w:spacing w:val="-2"/>
          <w:sz w:val="24"/>
          <w:szCs w:val="24"/>
        </w:rPr>
        <w:t>1</w:t>
      </w:r>
      <w:r>
        <w:rPr>
          <w:rFonts w:ascii="Times New Roman" w:hAnsi="Times New Roman" w:eastAsia="宋体" w:cs="宋体"/>
          <w:color w:val="auto"/>
          <w:spacing w:val="-2"/>
          <w:sz w:val="24"/>
          <w:szCs w:val="24"/>
        </w:rPr>
        <w:t>）预测模型筛选</w:t>
      </w:r>
    </w:p>
    <w:p w14:paraId="0F55948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kern w:val="0"/>
          <w:sz w:val="24"/>
          <w:szCs w:val="24"/>
        </w:rPr>
      </w:pPr>
      <w:r>
        <w:rPr>
          <w:snapToGrid w:val="0"/>
          <w:color w:val="auto"/>
          <w:sz w:val="24"/>
          <w:szCs w:val="24"/>
        </w:rPr>
        <w:t>根据《建设项目环境风险评价技术导则》（HJ169-2018）筛选模型要求，需根据气体性质及模型的适用范围、参数等共同确定。根据HJ169-2018附录G，大气风险预测推荐模型有</w:t>
      </w:r>
      <w:r>
        <w:rPr>
          <w:color w:val="auto"/>
          <w:kern w:val="0"/>
          <w:sz w:val="24"/>
          <w:szCs w:val="24"/>
        </w:rPr>
        <w:t>SLAB模型和AFTOX模型</w:t>
      </w:r>
      <w:r>
        <w:rPr>
          <w:snapToGrid w:val="0"/>
          <w:color w:val="auto"/>
          <w:sz w:val="24"/>
          <w:szCs w:val="24"/>
        </w:rPr>
        <w:t>。</w:t>
      </w:r>
    </w:p>
    <w:p w14:paraId="6130F9F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kern w:val="0"/>
          <w:sz w:val="24"/>
          <w:szCs w:val="24"/>
        </w:rPr>
      </w:pPr>
      <w:r>
        <w:rPr>
          <w:color w:val="auto"/>
          <w:kern w:val="0"/>
          <w:sz w:val="24"/>
          <w:szCs w:val="24"/>
        </w:rPr>
        <w:t>SLAB模型适用于平坦地形下重质气体排放的扩算模拟。</w:t>
      </w:r>
    </w:p>
    <w:p w14:paraId="2EF1F4D6">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auto"/>
          <w:sz w:val="24"/>
          <w:szCs w:val="24"/>
        </w:rPr>
      </w:pPr>
      <w:r>
        <w:rPr>
          <w:color w:val="auto"/>
          <w:kern w:val="0"/>
          <w:sz w:val="24"/>
          <w:szCs w:val="24"/>
        </w:rPr>
        <w:t>AFTOX模型适用于平坦地行下中性气体和轻质气体排放以及液池蒸发气体的扩散模拟。</w:t>
      </w:r>
    </w:p>
    <w:p w14:paraId="134A7E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（1）气体性质</w:t>
      </w:r>
    </w:p>
    <w:p w14:paraId="2BE3B6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判定烟团/烟羽是否为重质气体，通常采用理查德森数(Ri)作为标准进行判断。理查德森数(Ri)计算及气体判断标准见</w:t>
      </w:r>
      <w:r>
        <w:rPr>
          <w:rFonts w:hint="eastAsia" w:eastAsia="宋体"/>
          <w:color w:val="auto"/>
          <w:kern w:val="0"/>
          <w:sz w:val="24"/>
          <w:szCs w:val="24"/>
        </w:rPr>
        <w:t>表</w:t>
      </w:r>
      <w:r>
        <w:rPr>
          <w:rFonts w:hint="eastAsia"/>
          <w:color w:val="auto"/>
          <w:kern w:val="0"/>
          <w:sz w:val="24"/>
          <w:szCs w:val="24"/>
          <w:lang w:val="en-US" w:eastAsia="zh-CN"/>
        </w:rPr>
        <w:t>7.7</w:t>
      </w:r>
      <w:r>
        <w:rPr>
          <w:rFonts w:eastAsia="宋体"/>
          <w:color w:val="auto"/>
          <w:kern w:val="0"/>
          <w:sz w:val="24"/>
          <w:szCs w:val="24"/>
        </w:rPr>
        <w:t>-1。</w:t>
      </w:r>
    </w:p>
    <w:p w14:paraId="59D4FACA">
      <w:pPr>
        <w:adjustRightInd w:val="0"/>
        <w:snapToGrid w:val="0"/>
        <w:spacing w:line="240" w:lineRule="auto"/>
        <w:ind w:firstLine="0" w:firstLineChars="0"/>
        <w:jc w:val="center"/>
        <w:rPr>
          <w:b/>
          <w:bCs/>
          <w:color w:val="auto"/>
          <w:sz w:val="24"/>
          <w:szCs w:val="24"/>
          <w:lang w:val="zh-CN"/>
        </w:rPr>
      </w:pPr>
      <w:r>
        <w:rPr>
          <w:rFonts w:hint="eastAsia"/>
          <w:b/>
          <w:bCs/>
          <w:color w:val="auto"/>
          <w:sz w:val="24"/>
          <w:szCs w:val="24"/>
          <w:lang w:val="zh-CN"/>
        </w:rPr>
        <w:t>表</w:t>
      </w:r>
      <w:r>
        <w:rPr>
          <w:rFonts w:hint="eastAsia"/>
          <w:b/>
          <w:bCs/>
          <w:color w:val="auto"/>
          <w:sz w:val="24"/>
          <w:szCs w:val="24"/>
          <w:lang w:val="en-US" w:eastAsia="zh-CN"/>
        </w:rPr>
        <w:t>7.7</w:t>
      </w:r>
      <w:r>
        <w:rPr>
          <w:b/>
          <w:bCs/>
          <w:color w:val="auto"/>
          <w:sz w:val="24"/>
          <w:szCs w:val="24"/>
          <w:lang w:val="zh-CN"/>
        </w:rPr>
        <w:t>-1气体轻重判断标准表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99"/>
        <w:gridCol w:w="1164"/>
        <w:gridCol w:w="1166"/>
        <w:gridCol w:w="4422"/>
      </w:tblGrid>
      <w:tr w14:paraId="3C27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Align w:val="center"/>
          </w:tcPr>
          <w:p w14:paraId="5AA6034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序号</w:t>
            </w:r>
          </w:p>
        </w:tc>
        <w:tc>
          <w:tcPr>
            <w:tcW w:w="685" w:type="pct"/>
            <w:vAlign w:val="center"/>
          </w:tcPr>
          <w:p w14:paraId="2DD8AA3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排放方式</w:t>
            </w:r>
          </w:p>
        </w:tc>
        <w:tc>
          <w:tcPr>
            <w:tcW w:w="665" w:type="pct"/>
            <w:vAlign w:val="center"/>
          </w:tcPr>
          <w:p w14:paraId="6C06B74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Ri</w:t>
            </w:r>
          </w:p>
        </w:tc>
        <w:tc>
          <w:tcPr>
            <w:tcW w:w="666" w:type="pct"/>
            <w:vAlign w:val="center"/>
          </w:tcPr>
          <w:p w14:paraId="58B1FA94">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气体轻重</w:t>
            </w:r>
          </w:p>
        </w:tc>
        <w:tc>
          <w:tcPr>
            <w:tcW w:w="2525" w:type="pct"/>
            <w:vAlign w:val="center"/>
          </w:tcPr>
          <w:p w14:paraId="3EE6ED3C">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备注</w:t>
            </w:r>
          </w:p>
        </w:tc>
      </w:tr>
      <w:tr w14:paraId="3291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Align w:val="center"/>
          </w:tcPr>
          <w:p w14:paraId="657235E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w:t>
            </w:r>
          </w:p>
        </w:tc>
        <w:tc>
          <w:tcPr>
            <w:tcW w:w="685" w:type="pct"/>
            <w:vMerge w:val="restart"/>
            <w:vAlign w:val="center"/>
          </w:tcPr>
          <w:p w14:paraId="698BA8C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连续排放</w:t>
            </w:r>
          </w:p>
        </w:tc>
        <w:tc>
          <w:tcPr>
            <w:tcW w:w="665" w:type="pct"/>
            <w:vAlign w:val="center"/>
          </w:tcPr>
          <w:p w14:paraId="2DD5BDE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Ri≥1/6</w:t>
            </w:r>
          </w:p>
        </w:tc>
        <w:tc>
          <w:tcPr>
            <w:tcW w:w="666" w:type="pct"/>
            <w:vAlign w:val="center"/>
          </w:tcPr>
          <w:p w14:paraId="7BE3B6F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重质气体</w:t>
            </w:r>
          </w:p>
        </w:tc>
        <w:tc>
          <w:tcPr>
            <w:tcW w:w="2525" w:type="pct"/>
            <w:vMerge w:val="restart"/>
            <w:vAlign w:val="center"/>
          </w:tcPr>
          <w:p w14:paraId="69EFE0D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当Ri处于临界值附近时，说明烟团/烟羽既不是典型的重质气体扩散，也不是典型的轻质气体扩散。可以进行敏感性分析，分别采用重质气体模型和轻质气体模型进行模拟，选取影响范围最大的结果。</w:t>
            </w:r>
          </w:p>
        </w:tc>
      </w:tr>
      <w:tr w14:paraId="27A3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Align w:val="center"/>
          </w:tcPr>
          <w:p w14:paraId="1FCD75C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2</w:t>
            </w:r>
          </w:p>
        </w:tc>
        <w:tc>
          <w:tcPr>
            <w:tcW w:w="0" w:type="auto"/>
            <w:vMerge w:val="continue"/>
            <w:vAlign w:val="center"/>
          </w:tcPr>
          <w:p w14:paraId="282D4BCF">
            <w:pPr>
              <w:keepNext w:val="0"/>
              <w:keepLines w:val="0"/>
              <w:widowControl/>
              <w:suppressLineNumbers w:val="0"/>
              <w:spacing w:before="0" w:beforeAutospacing="0" w:after="0" w:afterAutospacing="0" w:line="240" w:lineRule="auto"/>
              <w:ind w:left="0" w:right="0" w:firstLine="0" w:firstLineChars="0"/>
              <w:jc w:val="left"/>
              <w:rPr>
                <w:rFonts w:hint="eastAsia"/>
                <w:color w:val="auto"/>
                <w:sz w:val="21"/>
                <w:szCs w:val="21"/>
              </w:rPr>
            </w:pPr>
          </w:p>
        </w:tc>
        <w:tc>
          <w:tcPr>
            <w:tcW w:w="665" w:type="pct"/>
            <w:vAlign w:val="center"/>
          </w:tcPr>
          <w:p w14:paraId="6CC2143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Ri＜1/6</w:t>
            </w:r>
          </w:p>
        </w:tc>
        <w:tc>
          <w:tcPr>
            <w:tcW w:w="666" w:type="pct"/>
            <w:vAlign w:val="center"/>
          </w:tcPr>
          <w:p w14:paraId="6C8EA83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轻质气体</w:t>
            </w:r>
          </w:p>
        </w:tc>
        <w:tc>
          <w:tcPr>
            <w:tcW w:w="0" w:type="auto"/>
            <w:vMerge w:val="continue"/>
            <w:vAlign w:val="center"/>
          </w:tcPr>
          <w:p w14:paraId="37D95520">
            <w:pPr>
              <w:keepNext w:val="0"/>
              <w:keepLines w:val="0"/>
              <w:widowControl/>
              <w:suppressLineNumbers w:val="0"/>
              <w:spacing w:before="0" w:beforeAutospacing="0" w:after="0" w:afterAutospacing="0" w:line="240" w:lineRule="auto"/>
              <w:ind w:left="0" w:right="0" w:firstLine="0" w:firstLineChars="0"/>
              <w:jc w:val="left"/>
              <w:rPr>
                <w:rFonts w:hint="eastAsia"/>
                <w:color w:val="auto"/>
                <w:sz w:val="21"/>
                <w:szCs w:val="21"/>
              </w:rPr>
            </w:pPr>
          </w:p>
        </w:tc>
      </w:tr>
      <w:tr w14:paraId="0355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Align w:val="center"/>
          </w:tcPr>
          <w:p w14:paraId="451FEF4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w:t>
            </w:r>
          </w:p>
        </w:tc>
        <w:tc>
          <w:tcPr>
            <w:tcW w:w="685" w:type="pct"/>
            <w:vMerge w:val="restart"/>
            <w:vAlign w:val="center"/>
          </w:tcPr>
          <w:p w14:paraId="752B999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瞬时排放</w:t>
            </w:r>
          </w:p>
        </w:tc>
        <w:tc>
          <w:tcPr>
            <w:tcW w:w="665" w:type="pct"/>
            <w:vAlign w:val="center"/>
          </w:tcPr>
          <w:p w14:paraId="24B0EA9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Ri＞0.04</w:t>
            </w:r>
          </w:p>
        </w:tc>
        <w:tc>
          <w:tcPr>
            <w:tcW w:w="666" w:type="pct"/>
            <w:vAlign w:val="center"/>
          </w:tcPr>
          <w:p w14:paraId="3223579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重质气体</w:t>
            </w:r>
          </w:p>
        </w:tc>
        <w:tc>
          <w:tcPr>
            <w:tcW w:w="0" w:type="auto"/>
            <w:vMerge w:val="continue"/>
            <w:vAlign w:val="center"/>
          </w:tcPr>
          <w:p w14:paraId="10E38443">
            <w:pPr>
              <w:keepNext w:val="0"/>
              <w:keepLines w:val="0"/>
              <w:widowControl/>
              <w:suppressLineNumbers w:val="0"/>
              <w:spacing w:before="0" w:beforeAutospacing="0" w:after="0" w:afterAutospacing="0" w:line="240" w:lineRule="auto"/>
              <w:ind w:left="0" w:right="0" w:firstLine="0" w:firstLineChars="0"/>
              <w:jc w:val="left"/>
              <w:rPr>
                <w:rFonts w:hint="eastAsia"/>
                <w:color w:val="auto"/>
                <w:sz w:val="21"/>
                <w:szCs w:val="21"/>
              </w:rPr>
            </w:pPr>
          </w:p>
        </w:tc>
      </w:tr>
      <w:tr w14:paraId="5C7D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Align w:val="center"/>
          </w:tcPr>
          <w:p w14:paraId="0ADB21D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4</w:t>
            </w:r>
          </w:p>
        </w:tc>
        <w:tc>
          <w:tcPr>
            <w:tcW w:w="0" w:type="auto"/>
            <w:vMerge w:val="continue"/>
            <w:vAlign w:val="center"/>
          </w:tcPr>
          <w:p w14:paraId="13AE9E83">
            <w:pPr>
              <w:keepNext w:val="0"/>
              <w:keepLines w:val="0"/>
              <w:widowControl/>
              <w:suppressLineNumbers w:val="0"/>
              <w:spacing w:before="0" w:beforeAutospacing="0" w:after="0" w:afterAutospacing="0" w:line="240" w:lineRule="auto"/>
              <w:ind w:left="0" w:right="0" w:firstLine="0" w:firstLineChars="0"/>
              <w:jc w:val="left"/>
              <w:rPr>
                <w:rFonts w:hint="eastAsia"/>
                <w:color w:val="auto"/>
                <w:sz w:val="21"/>
                <w:szCs w:val="21"/>
              </w:rPr>
            </w:pPr>
          </w:p>
        </w:tc>
        <w:tc>
          <w:tcPr>
            <w:tcW w:w="665" w:type="pct"/>
            <w:vAlign w:val="center"/>
          </w:tcPr>
          <w:p w14:paraId="2D03B3C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Ri≤0.04</w:t>
            </w:r>
          </w:p>
        </w:tc>
        <w:tc>
          <w:tcPr>
            <w:tcW w:w="666" w:type="pct"/>
            <w:vAlign w:val="center"/>
          </w:tcPr>
          <w:p w14:paraId="0215796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轻质气体</w:t>
            </w:r>
          </w:p>
        </w:tc>
        <w:tc>
          <w:tcPr>
            <w:tcW w:w="0" w:type="auto"/>
            <w:vMerge w:val="continue"/>
            <w:vAlign w:val="center"/>
          </w:tcPr>
          <w:p w14:paraId="0CDEDAD5">
            <w:pPr>
              <w:keepNext w:val="0"/>
              <w:keepLines w:val="0"/>
              <w:widowControl/>
              <w:suppressLineNumbers w:val="0"/>
              <w:spacing w:before="0" w:beforeAutospacing="0" w:after="0" w:afterAutospacing="0" w:line="240" w:lineRule="auto"/>
              <w:ind w:left="0" w:right="0" w:firstLine="0" w:firstLineChars="0"/>
              <w:jc w:val="left"/>
              <w:rPr>
                <w:rFonts w:hint="eastAsia"/>
                <w:color w:val="auto"/>
                <w:sz w:val="21"/>
                <w:szCs w:val="21"/>
              </w:rPr>
            </w:pPr>
          </w:p>
        </w:tc>
      </w:tr>
    </w:tbl>
    <w:p w14:paraId="60525A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1）理查德森数定义及计算公式</w:t>
      </w:r>
    </w:p>
    <w:p w14:paraId="527162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判定烟团/烟羽是否为重质气体，取决于它相对空气的“过剩密度”和环境条件等因素。通常采用理查德森数（Ri）作为标准进行判断。Ri的概念公式为：</w:t>
      </w:r>
    </w:p>
    <w:p w14:paraId="62CD692B">
      <w:pPr>
        <w:ind w:firstLine="480"/>
        <w:jc w:val="center"/>
        <w:rPr>
          <w:color w:val="auto"/>
        </w:rPr>
      </w:pPr>
      <w:r>
        <w:rPr>
          <w:color w:val="auto"/>
        </w:rPr>
        <w:drawing>
          <wp:inline distT="0" distB="0" distL="114300" distR="114300">
            <wp:extent cx="1409700" cy="561975"/>
            <wp:effectExtent l="0" t="0" r="0" b="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8">
                      <a:clrChange>
                        <a:clrFrom>
                          <a:srgbClr val="FFFFFF"/>
                        </a:clrFrom>
                        <a:clrTo>
                          <a:srgbClr val="FFFFFF">
                            <a:alpha val="0"/>
                          </a:srgbClr>
                        </a:clrTo>
                      </a:clrChange>
                    </a:blip>
                    <a:stretch>
                      <a:fillRect/>
                    </a:stretch>
                  </pic:blipFill>
                  <pic:spPr>
                    <a:xfrm>
                      <a:off x="0" y="0"/>
                      <a:ext cx="1409700" cy="561975"/>
                    </a:xfrm>
                    <a:prstGeom prst="rect">
                      <a:avLst/>
                    </a:prstGeom>
                    <a:noFill/>
                    <a:ln>
                      <a:noFill/>
                    </a:ln>
                  </pic:spPr>
                </pic:pic>
              </a:graphicData>
            </a:graphic>
          </wp:inline>
        </w:drawing>
      </w:r>
    </w:p>
    <w:p w14:paraId="7D487BC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Ri是个流体动力学参数。根据不同的排放性质，理查德森数的计算公式不同。一般地，依据排放类型，理查德森数的计算分为连续排放、瞬时排放两种形式。</w:t>
      </w:r>
    </w:p>
    <w:p w14:paraId="60C13D0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连续排放：</w:t>
      </w:r>
    </w:p>
    <w:p w14:paraId="704E6D16">
      <w:pPr>
        <w:ind w:firstLine="480"/>
        <w:jc w:val="center"/>
        <w:rPr>
          <w:color w:val="auto"/>
        </w:rPr>
      </w:pPr>
      <w:r>
        <w:rPr>
          <w:color w:val="auto"/>
        </w:rPr>
        <w:drawing>
          <wp:inline distT="0" distB="0" distL="114300" distR="114300">
            <wp:extent cx="1914525" cy="628650"/>
            <wp:effectExtent l="0" t="0" r="9525"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9">
                      <a:clrChange>
                        <a:clrFrom>
                          <a:srgbClr val="FFFFFF"/>
                        </a:clrFrom>
                        <a:clrTo>
                          <a:srgbClr val="FFFFFF">
                            <a:alpha val="0"/>
                          </a:srgbClr>
                        </a:clrTo>
                      </a:clrChange>
                    </a:blip>
                    <a:stretch>
                      <a:fillRect/>
                    </a:stretch>
                  </pic:blipFill>
                  <pic:spPr>
                    <a:xfrm>
                      <a:off x="0" y="0"/>
                      <a:ext cx="1914525" cy="628650"/>
                    </a:xfrm>
                    <a:prstGeom prst="rect">
                      <a:avLst/>
                    </a:prstGeom>
                    <a:noFill/>
                    <a:ln>
                      <a:noFill/>
                    </a:ln>
                  </pic:spPr>
                </pic:pic>
              </a:graphicData>
            </a:graphic>
          </wp:inline>
        </w:drawing>
      </w:r>
    </w:p>
    <w:p w14:paraId="0BBBCC66">
      <w:pPr>
        <w:ind w:firstLine="480"/>
        <w:rPr>
          <w:color w:val="auto"/>
          <w:sz w:val="24"/>
          <w:szCs w:val="24"/>
        </w:rPr>
      </w:pPr>
      <w:r>
        <w:rPr>
          <w:color w:val="auto"/>
          <w:sz w:val="24"/>
          <w:szCs w:val="24"/>
        </w:rPr>
        <w:t>瞬时排放：</w:t>
      </w:r>
    </w:p>
    <w:p w14:paraId="04F7E623">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ascii="Times New Roman" w:hAnsi="Times New Roman" w:eastAsia="宋体" w:cs="宋体"/>
          <w:color w:val="auto"/>
          <w:sz w:val="24"/>
          <w:szCs w:val="24"/>
        </w:rPr>
      </w:pPr>
      <w:r>
        <w:rPr>
          <w:color w:val="auto"/>
        </w:rPr>
        <w:drawing>
          <wp:inline distT="0" distB="0" distL="114300" distR="114300">
            <wp:extent cx="2400300" cy="609600"/>
            <wp:effectExtent l="0" t="0" r="0" b="0"/>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pic:cNvPicPr>
                  </pic:nvPicPr>
                  <pic:blipFill>
                    <a:blip r:embed="rId50">
                      <a:clrChange>
                        <a:clrFrom>
                          <a:srgbClr val="FFFFFF"/>
                        </a:clrFrom>
                        <a:clrTo>
                          <a:srgbClr val="FFFFFF">
                            <a:alpha val="0"/>
                          </a:srgbClr>
                        </a:clrTo>
                      </a:clrChange>
                    </a:blip>
                    <a:stretch>
                      <a:fillRect/>
                    </a:stretch>
                  </pic:blipFill>
                  <pic:spPr>
                    <a:xfrm>
                      <a:off x="0" y="0"/>
                      <a:ext cx="2400300" cy="609600"/>
                    </a:xfrm>
                    <a:prstGeom prst="rect">
                      <a:avLst/>
                    </a:prstGeom>
                    <a:noFill/>
                    <a:ln>
                      <a:noFill/>
                    </a:ln>
                  </pic:spPr>
                </pic:pic>
              </a:graphicData>
            </a:graphic>
          </wp:inline>
        </w:drawing>
      </w:r>
    </w:p>
    <w:p w14:paraId="515842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式中：ρrel—排放物质进入大气的初始密度，kg/m</w:t>
      </w:r>
      <w:r>
        <w:rPr>
          <w:rFonts w:eastAsia="宋体"/>
          <w:color w:val="auto"/>
          <w:kern w:val="0"/>
          <w:sz w:val="24"/>
          <w:szCs w:val="24"/>
          <w:vertAlign w:val="superscript"/>
        </w:rPr>
        <w:t>3</w:t>
      </w:r>
      <w:r>
        <w:rPr>
          <w:rFonts w:eastAsia="宋体"/>
          <w:color w:val="auto"/>
          <w:kern w:val="0"/>
          <w:sz w:val="24"/>
          <w:szCs w:val="24"/>
        </w:rPr>
        <w:t>；</w:t>
      </w:r>
    </w:p>
    <w:p w14:paraId="69ABFC9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ρa—环境空气密度，kg/m</w:t>
      </w:r>
      <w:r>
        <w:rPr>
          <w:rFonts w:eastAsia="宋体"/>
          <w:color w:val="auto"/>
          <w:kern w:val="0"/>
          <w:sz w:val="24"/>
          <w:szCs w:val="24"/>
          <w:vertAlign w:val="superscript"/>
        </w:rPr>
        <w:t>3</w:t>
      </w:r>
      <w:r>
        <w:rPr>
          <w:rFonts w:eastAsia="宋体"/>
          <w:color w:val="auto"/>
          <w:kern w:val="0"/>
          <w:sz w:val="24"/>
          <w:szCs w:val="24"/>
        </w:rPr>
        <w:t>；</w:t>
      </w:r>
    </w:p>
    <w:p w14:paraId="26D3ED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Q—连续排放烟羽的排放速率，kg/s；</w:t>
      </w:r>
    </w:p>
    <w:p w14:paraId="5C5ED48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Qt—瞬时排放的物质质量，kg；</w:t>
      </w:r>
    </w:p>
    <w:p w14:paraId="7782C8F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Drel—初始的烟团宽度，即源直径，m；</w:t>
      </w:r>
    </w:p>
    <w:p w14:paraId="692EC37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z w:val="24"/>
          <w:szCs w:val="24"/>
        </w:rPr>
      </w:pPr>
      <w:r>
        <w:rPr>
          <w:i/>
          <w:color w:val="auto"/>
          <w:sz w:val="24"/>
          <w:szCs w:val="24"/>
        </w:rPr>
        <w:t>Ur</w:t>
      </w:r>
      <w:r>
        <w:rPr>
          <w:color w:val="auto"/>
          <w:sz w:val="24"/>
          <w:szCs w:val="24"/>
        </w:rPr>
        <w:t>—10m高处风速，m/s；</w:t>
      </w:r>
    </w:p>
    <w:p w14:paraId="14DCF9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2）排放方式判定</w:t>
      </w:r>
    </w:p>
    <w:p w14:paraId="7C678C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根据HJ169-2018附录G，判断连续排放还是瞬时排放，可以通过对比排放时间Td和污染物到达最近受体点的时间T确定：T确定：</w:t>
      </w:r>
    </w:p>
    <w:p w14:paraId="2B8EAD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eastAsia="宋体"/>
          <w:color w:val="auto"/>
          <w:kern w:val="0"/>
          <w:sz w:val="24"/>
          <w:szCs w:val="24"/>
        </w:rPr>
      </w:pPr>
      <w:r>
        <w:rPr>
          <w:rFonts w:eastAsia="宋体"/>
          <w:color w:val="auto"/>
          <w:kern w:val="0"/>
          <w:sz w:val="24"/>
          <w:szCs w:val="24"/>
        </w:rPr>
        <w:t>T=2X/Ur</w:t>
      </w:r>
    </w:p>
    <w:p w14:paraId="1B9BA5B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宋体"/>
          <w:color w:val="auto"/>
          <w:kern w:val="0"/>
          <w:sz w:val="24"/>
          <w:szCs w:val="24"/>
          <w:lang w:eastAsia="zh-CN"/>
        </w:rPr>
      </w:pPr>
      <w:r>
        <w:rPr>
          <w:rFonts w:eastAsia="宋体"/>
          <w:color w:val="auto"/>
          <w:kern w:val="0"/>
          <w:sz w:val="24"/>
          <w:szCs w:val="24"/>
        </w:rPr>
        <w:t>式中：X—事故发生地与最近敏感点m；</w:t>
      </w:r>
    </w:p>
    <w:p w14:paraId="3D31142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Ur—10m高处风速，m/s。</w:t>
      </w:r>
    </w:p>
    <w:p w14:paraId="1EDFF31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宋体"/>
          <w:color w:val="auto"/>
          <w:kern w:val="0"/>
          <w:sz w:val="24"/>
          <w:szCs w:val="24"/>
        </w:rPr>
      </w:pPr>
      <w:r>
        <w:rPr>
          <w:rFonts w:eastAsia="宋体"/>
          <w:color w:val="auto"/>
          <w:kern w:val="0"/>
          <w:sz w:val="24"/>
          <w:szCs w:val="24"/>
        </w:rPr>
        <w:t>当Td＞T时，可被认为是连续排放；当Td≤T时，可被认为是瞬时排放。</w:t>
      </w:r>
    </w:p>
    <w:p w14:paraId="107E87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kern w:val="0"/>
          <w:sz w:val="24"/>
          <w:szCs w:val="24"/>
        </w:rPr>
      </w:pPr>
      <w:r>
        <w:rPr>
          <w:rFonts w:hint="eastAsia" w:eastAsia="宋体"/>
          <w:color w:val="auto"/>
          <w:kern w:val="0"/>
          <w:sz w:val="24"/>
          <w:szCs w:val="24"/>
        </w:rPr>
        <w:t>本项目最近的敏感点为652m处大岭村。风速取值</w:t>
      </w:r>
      <w:r>
        <w:rPr>
          <w:rFonts w:hint="eastAsia" w:eastAsia="宋体"/>
          <w:color w:val="auto"/>
          <w:kern w:val="0"/>
          <w:sz w:val="24"/>
          <w:szCs w:val="24"/>
          <w:lang w:val="en-US" w:eastAsia="zh-CN"/>
        </w:rPr>
        <w:t>1.5</w:t>
      </w:r>
      <w:r>
        <w:rPr>
          <w:rFonts w:eastAsia="宋体"/>
          <w:color w:val="auto"/>
          <w:kern w:val="0"/>
          <w:sz w:val="24"/>
          <w:szCs w:val="24"/>
        </w:rPr>
        <w:t>m/s。</w:t>
      </w:r>
    </w:p>
    <w:p w14:paraId="6122711A">
      <w:pPr>
        <w:adjustRightInd w:val="0"/>
        <w:snapToGrid w:val="0"/>
        <w:spacing w:line="240" w:lineRule="auto"/>
        <w:ind w:firstLine="422"/>
        <w:jc w:val="center"/>
        <w:rPr>
          <w:b/>
          <w:color w:val="auto"/>
          <w:sz w:val="24"/>
          <w:szCs w:val="24"/>
        </w:rPr>
      </w:pPr>
      <w:r>
        <w:rPr>
          <w:rFonts w:hint="eastAsia"/>
          <w:b/>
          <w:color w:val="auto"/>
          <w:sz w:val="24"/>
          <w:szCs w:val="24"/>
        </w:rPr>
        <w:t>表</w:t>
      </w:r>
      <w:r>
        <w:rPr>
          <w:rFonts w:hint="eastAsia"/>
          <w:b/>
          <w:color w:val="auto"/>
          <w:sz w:val="24"/>
          <w:szCs w:val="24"/>
          <w:lang w:val="en-US" w:eastAsia="zh-CN"/>
        </w:rPr>
        <w:t>7.7</w:t>
      </w:r>
      <w:r>
        <w:rPr>
          <w:b/>
          <w:color w:val="auto"/>
          <w:sz w:val="24"/>
          <w:szCs w:val="24"/>
        </w:rPr>
        <w:t>-2排放性质一览表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249"/>
        <w:gridCol w:w="2253"/>
        <w:gridCol w:w="2141"/>
      </w:tblGrid>
      <w:tr w14:paraId="79B7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Align w:val="center"/>
          </w:tcPr>
          <w:p w14:paraId="0159E69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T</w:t>
            </w:r>
            <w:r>
              <w:rPr>
                <w:rFonts w:hint="eastAsia"/>
                <w:b/>
                <w:color w:val="auto"/>
                <w:sz w:val="21"/>
                <w:szCs w:val="21"/>
                <w:vertAlign w:val="subscript"/>
              </w:rPr>
              <w:t>d</w:t>
            </w:r>
          </w:p>
        </w:tc>
        <w:tc>
          <w:tcPr>
            <w:tcW w:w="1284" w:type="pct"/>
            <w:vAlign w:val="center"/>
          </w:tcPr>
          <w:p w14:paraId="70EFD0C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X</w:t>
            </w:r>
          </w:p>
        </w:tc>
        <w:tc>
          <w:tcPr>
            <w:tcW w:w="1286" w:type="pct"/>
            <w:vAlign w:val="center"/>
          </w:tcPr>
          <w:p w14:paraId="3B2A06D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Ur</w:t>
            </w:r>
          </w:p>
        </w:tc>
        <w:tc>
          <w:tcPr>
            <w:tcW w:w="1222" w:type="pct"/>
            <w:vAlign w:val="center"/>
          </w:tcPr>
          <w:p w14:paraId="565443B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T</w:t>
            </w:r>
          </w:p>
        </w:tc>
      </w:tr>
      <w:tr w14:paraId="1F4A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Align w:val="center"/>
          </w:tcPr>
          <w:p w14:paraId="0CB31FE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10</w:t>
            </w:r>
            <w:r>
              <w:rPr>
                <w:rFonts w:hint="eastAsia"/>
                <w:color w:val="auto"/>
                <w:sz w:val="21"/>
                <w:szCs w:val="21"/>
              </w:rPr>
              <w:t>min</w:t>
            </w:r>
          </w:p>
        </w:tc>
        <w:tc>
          <w:tcPr>
            <w:tcW w:w="1284" w:type="pct"/>
            <w:vAlign w:val="center"/>
          </w:tcPr>
          <w:p w14:paraId="4EDC00E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652</w:t>
            </w:r>
            <w:r>
              <w:rPr>
                <w:rFonts w:hint="eastAsia"/>
                <w:color w:val="auto"/>
                <w:sz w:val="21"/>
                <w:szCs w:val="21"/>
              </w:rPr>
              <w:t>m</w:t>
            </w:r>
          </w:p>
        </w:tc>
        <w:tc>
          <w:tcPr>
            <w:tcW w:w="1286" w:type="pct"/>
            <w:vAlign w:val="center"/>
          </w:tcPr>
          <w:p w14:paraId="691AFD1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15</w:t>
            </w:r>
            <w:r>
              <w:rPr>
                <w:rFonts w:hint="eastAsia"/>
                <w:color w:val="auto"/>
                <w:sz w:val="21"/>
                <w:szCs w:val="21"/>
              </w:rPr>
              <w:t>m/s</w:t>
            </w:r>
          </w:p>
        </w:tc>
        <w:tc>
          <w:tcPr>
            <w:tcW w:w="1222" w:type="pct"/>
            <w:vAlign w:val="center"/>
          </w:tcPr>
          <w:p w14:paraId="4B6C92D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14</w:t>
            </w:r>
            <w:r>
              <w:rPr>
                <w:rFonts w:hint="eastAsia"/>
                <w:color w:val="auto"/>
                <w:sz w:val="21"/>
                <w:szCs w:val="21"/>
              </w:rPr>
              <w:t>min</w:t>
            </w:r>
          </w:p>
        </w:tc>
      </w:tr>
    </w:tbl>
    <w:p w14:paraId="4B18488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由上表可知，</w:t>
      </w:r>
      <w:r>
        <w:rPr>
          <w:rFonts w:ascii="Times New Roman" w:hAnsi="Times New Roman" w:eastAsia="Times New Roman" w:cs="Times New Roman"/>
          <w:i/>
          <w:iCs/>
          <w:color w:val="auto"/>
          <w:spacing w:val="-3"/>
          <w:position w:val="1"/>
          <w:sz w:val="24"/>
          <w:szCs w:val="24"/>
        </w:rPr>
        <w:t>T</w:t>
      </w:r>
      <w:r>
        <w:rPr>
          <w:rFonts w:ascii="Times New Roman" w:hAnsi="Times New Roman" w:eastAsia="Times New Roman" w:cs="Times New Roman"/>
          <w:color w:val="auto"/>
          <w:spacing w:val="-3"/>
          <w:position w:val="-2"/>
          <w:sz w:val="16"/>
          <w:szCs w:val="16"/>
        </w:rPr>
        <w:t>d</w:t>
      </w:r>
      <w:r>
        <w:rPr>
          <w:rFonts w:ascii="Times New Roman" w:hAnsi="Times New Roman" w:eastAsia="Times New Roman" w:cs="Times New Roman"/>
          <w:color w:val="auto"/>
          <w:spacing w:val="-3"/>
          <w:position w:val="1"/>
          <w:sz w:val="24"/>
          <w:szCs w:val="24"/>
        </w:rPr>
        <w:t>≤</w:t>
      </w:r>
      <w:r>
        <w:rPr>
          <w:rFonts w:ascii="Times New Roman" w:hAnsi="Times New Roman" w:eastAsia="Times New Roman" w:cs="Times New Roman"/>
          <w:i/>
          <w:iCs/>
          <w:color w:val="auto"/>
          <w:spacing w:val="-3"/>
          <w:position w:val="1"/>
          <w:sz w:val="24"/>
          <w:szCs w:val="24"/>
        </w:rPr>
        <w:t>T</w:t>
      </w:r>
      <w:r>
        <w:rPr>
          <w:rFonts w:hint="eastAsia" w:ascii="Times New Roman" w:hAnsi="Times New Roman" w:eastAsia="宋体" w:cs="宋体"/>
          <w:color w:val="auto"/>
          <w:sz w:val="24"/>
          <w:szCs w:val="24"/>
        </w:rPr>
        <w:t>，则气体排放性质为瞬时排放。</w:t>
      </w:r>
    </w:p>
    <w:p w14:paraId="23AEF30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3）气体性质判定</w:t>
      </w:r>
    </w:p>
    <w:p w14:paraId="09AE75C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本项目气体排放性质为瞬时排放，选择瞬时排放公式计算气体性质，气体性质计算参数见表</w:t>
      </w:r>
      <w:r>
        <w:rPr>
          <w:rFonts w:hint="eastAsia" w:cs="宋体"/>
          <w:color w:val="auto"/>
          <w:sz w:val="24"/>
          <w:szCs w:val="24"/>
          <w:lang w:val="en-US" w:eastAsia="zh-CN"/>
        </w:rPr>
        <w:t>7.7</w:t>
      </w:r>
      <w:r>
        <w:rPr>
          <w:rFonts w:hint="eastAsia" w:ascii="Times New Roman" w:hAnsi="Times New Roman" w:eastAsia="宋体" w:cs="宋体"/>
          <w:color w:val="auto"/>
          <w:sz w:val="24"/>
          <w:szCs w:val="24"/>
        </w:rPr>
        <w:t>-3。</w:t>
      </w:r>
    </w:p>
    <w:p w14:paraId="04E89D59">
      <w:pPr>
        <w:adjustRightInd w:val="0"/>
        <w:snapToGrid w:val="0"/>
        <w:spacing w:line="240" w:lineRule="auto"/>
        <w:ind w:firstLine="0" w:firstLineChars="0"/>
        <w:jc w:val="center"/>
        <w:rPr>
          <w:b/>
          <w:color w:val="auto"/>
          <w:sz w:val="24"/>
          <w:szCs w:val="24"/>
        </w:rPr>
      </w:pPr>
      <w:r>
        <w:rPr>
          <w:rFonts w:hint="eastAsia"/>
          <w:b/>
          <w:color w:val="auto"/>
          <w:sz w:val="24"/>
          <w:szCs w:val="24"/>
        </w:rPr>
        <w:t>表</w:t>
      </w:r>
      <w:r>
        <w:rPr>
          <w:rFonts w:hint="eastAsia"/>
          <w:b/>
          <w:color w:val="auto"/>
          <w:sz w:val="24"/>
          <w:szCs w:val="24"/>
          <w:lang w:val="en-US" w:eastAsia="zh-CN"/>
        </w:rPr>
        <w:t>7.7</w:t>
      </w:r>
      <w:r>
        <w:rPr>
          <w:b/>
          <w:color w:val="auto"/>
          <w:sz w:val="24"/>
          <w:szCs w:val="24"/>
        </w:rPr>
        <w:t>-3气体性质计算参数一览表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508"/>
        <w:gridCol w:w="1823"/>
        <w:gridCol w:w="1709"/>
        <w:gridCol w:w="757"/>
        <w:gridCol w:w="690"/>
        <w:gridCol w:w="893"/>
      </w:tblGrid>
      <w:tr w14:paraId="0204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Align w:val="center"/>
          </w:tcPr>
          <w:p w14:paraId="6AE91B3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物质</w:t>
            </w:r>
          </w:p>
        </w:tc>
        <w:tc>
          <w:tcPr>
            <w:tcW w:w="861" w:type="pct"/>
            <w:vAlign w:val="center"/>
          </w:tcPr>
          <w:p w14:paraId="0BC5526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Q（kg）</w:t>
            </w:r>
          </w:p>
        </w:tc>
        <w:tc>
          <w:tcPr>
            <w:tcW w:w="1041" w:type="pct"/>
            <w:vAlign w:val="center"/>
          </w:tcPr>
          <w:p w14:paraId="2BF6784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ρ</w:t>
            </w:r>
            <w:r>
              <w:rPr>
                <w:rFonts w:hint="eastAsia"/>
                <w:b/>
                <w:color w:val="auto"/>
                <w:sz w:val="21"/>
                <w:szCs w:val="21"/>
                <w:vertAlign w:val="subscript"/>
              </w:rPr>
              <w:t>rel</w:t>
            </w:r>
            <w:r>
              <w:rPr>
                <w:rFonts w:hint="eastAsia"/>
                <w:b/>
                <w:color w:val="auto"/>
                <w:sz w:val="21"/>
                <w:szCs w:val="21"/>
              </w:rPr>
              <w:t>（kg/m</w:t>
            </w:r>
            <w:r>
              <w:rPr>
                <w:rFonts w:hint="eastAsia"/>
                <w:b/>
                <w:color w:val="auto"/>
                <w:sz w:val="21"/>
                <w:szCs w:val="21"/>
                <w:vertAlign w:val="superscript"/>
              </w:rPr>
              <w:t>3</w:t>
            </w:r>
            <w:r>
              <w:rPr>
                <w:rFonts w:hint="eastAsia"/>
                <w:b/>
                <w:color w:val="auto"/>
                <w:sz w:val="21"/>
                <w:szCs w:val="21"/>
              </w:rPr>
              <w:t>）</w:t>
            </w:r>
          </w:p>
        </w:tc>
        <w:tc>
          <w:tcPr>
            <w:tcW w:w="976" w:type="pct"/>
            <w:vAlign w:val="center"/>
          </w:tcPr>
          <w:p w14:paraId="2972281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ρ</w:t>
            </w:r>
            <w:r>
              <w:rPr>
                <w:rFonts w:hint="eastAsia"/>
                <w:b/>
                <w:color w:val="auto"/>
                <w:sz w:val="21"/>
                <w:szCs w:val="21"/>
                <w:vertAlign w:val="subscript"/>
              </w:rPr>
              <w:t>a</w:t>
            </w:r>
            <w:r>
              <w:rPr>
                <w:rFonts w:hint="eastAsia"/>
                <w:b/>
                <w:color w:val="auto"/>
                <w:sz w:val="21"/>
                <w:szCs w:val="21"/>
              </w:rPr>
              <w:t>（kg/m</w:t>
            </w:r>
            <w:r>
              <w:rPr>
                <w:rFonts w:hint="eastAsia"/>
                <w:b/>
                <w:color w:val="auto"/>
                <w:sz w:val="21"/>
                <w:szCs w:val="21"/>
                <w:vertAlign w:val="superscript"/>
              </w:rPr>
              <w:t>3</w:t>
            </w:r>
            <w:r>
              <w:rPr>
                <w:rFonts w:hint="eastAsia"/>
                <w:b/>
                <w:color w:val="auto"/>
                <w:sz w:val="21"/>
                <w:szCs w:val="21"/>
              </w:rPr>
              <w:t>）</w:t>
            </w:r>
          </w:p>
        </w:tc>
        <w:tc>
          <w:tcPr>
            <w:tcW w:w="432" w:type="pct"/>
            <w:vAlign w:val="center"/>
          </w:tcPr>
          <w:p w14:paraId="1B78FFC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Ur</w:t>
            </w:r>
          </w:p>
        </w:tc>
        <w:tc>
          <w:tcPr>
            <w:tcW w:w="394" w:type="pct"/>
            <w:vAlign w:val="center"/>
          </w:tcPr>
          <w:p w14:paraId="0BFA489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D</w:t>
            </w:r>
            <w:r>
              <w:rPr>
                <w:rFonts w:hint="eastAsia"/>
                <w:b/>
                <w:color w:val="auto"/>
                <w:vertAlign w:val="subscript"/>
              </w:rPr>
              <w:t>rel</w:t>
            </w:r>
          </w:p>
        </w:tc>
        <w:tc>
          <w:tcPr>
            <w:tcW w:w="510" w:type="pct"/>
            <w:vAlign w:val="center"/>
          </w:tcPr>
          <w:p w14:paraId="1BBECE8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21"/>
                <w:szCs w:val="21"/>
              </w:rPr>
            </w:pPr>
            <w:r>
              <w:rPr>
                <w:rFonts w:hint="eastAsia"/>
                <w:b/>
                <w:color w:val="auto"/>
                <w:sz w:val="21"/>
                <w:szCs w:val="21"/>
              </w:rPr>
              <w:t>Ri</w:t>
            </w:r>
          </w:p>
        </w:tc>
      </w:tr>
      <w:tr w14:paraId="72E9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Align w:val="center"/>
          </w:tcPr>
          <w:p w14:paraId="0C434A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68%硝酸</w:t>
            </w:r>
          </w:p>
        </w:tc>
        <w:tc>
          <w:tcPr>
            <w:tcW w:w="861" w:type="pct"/>
            <w:vAlign w:val="center"/>
          </w:tcPr>
          <w:p w14:paraId="0C853A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w:t>
            </w:r>
          </w:p>
        </w:tc>
        <w:tc>
          <w:tcPr>
            <w:tcW w:w="1041" w:type="pct"/>
            <w:vAlign w:val="center"/>
          </w:tcPr>
          <w:p w14:paraId="6E2F520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1500</w:t>
            </w:r>
          </w:p>
        </w:tc>
        <w:tc>
          <w:tcPr>
            <w:tcW w:w="976" w:type="pct"/>
            <w:vAlign w:val="center"/>
          </w:tcPr>
          <w:p w14:paraId="286A411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1.29</w:t>
            </w:r>
          </w:p>
        </w:tc>
        <w:tc>
          <w:tcPr>
            <w:tcW w:w="432" w:type="pct"/>
            <w:vAlign w:val="center"/>
          </w:tcPr>
          <w:p w14:paraId="0F4F056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1.5</w:t>
            </w:r>
          </w:p>
        </w:tc>
        <w:tc>
          <w:tcPr>
            <w:tcW w:w="394" w:type="pct"/>
            <w:vAlign w:val="center"/>
          </w:tcPr>
          <w:p w14:paraId="658F7DF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510" w:type="pct"/>
            <w:vAlign w:val="center"/>
          </w:tcPr>
          <w:p w14:paraId="4CE11B8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774</w:t>
            </w:r>
          </w:p>
        </w:tc>
      </w:tr>
    </w:tbl>
    <w:p w14:paraId="22423523">
      <w:pPr>
        <w:spacing w:before="1" w:line="342" w:lineRule="auto"/>
        <w:ind w:left="38" w:right="67" w:firstLine="481"/>
        <w:rPr>
          <w:rFonts w:ascii="宋体" w:hAnsi="宋体" w:eastAsia="宋体" w:cs="宋体"/>
          <w:color w:val="auto"/>
          <w:sz w:val="24"/>
          <w:szCs w:val="24"/>
        </w:rPr>
      </w:pPr>
      <w:r>
        <w:rPr>
          <w:rFonts w:ascii="宋体" w:hAnsi="宋体" w:eastAsia="宋体" w:cs="宋体"/>
          <w:color w:val="auto"/>
          <w:spacing w:val="-1"/>
          <w:sz w:val="24"/>
          <w:szCs w:val="24"/>
        </w:rPr>
        <w:t>经计算：理查德森数</w:t>
      </w:r>
      <w:r>
        <w:rPr>
          <w:rFonts w:ascii="Times New Roman" w:hAnsi="Times New Roman" w:eastAsia="Times New Roman" w:cs="Times New Roman"/>
          <w:color w:val="auto"/>
          <w:spacing w:val="-1"/>
          <w:sz w:val="24"/>
          <w:szCs w:val="24"/>
        </w:rPr>
        <w:t>Ri</w:t>
      </w:r>
      <w:r>
        <w:rPr>
          <w:rFonts w:ascii="宋体" w:hAnsi="宋体" w:eastAsia="宋体" w:cs="宋体"/>
          <w:color w:val="auto"/>
          <w:spacing w:val="-1"/>
          <w:sz w:val="24"/>
          <w:szCs w:val="24"/>
        </w:rPr>
        <w:t>（硝酸）</w:t>
      </w:r>
      <w:r>
        <w:rPr>
          <w:rFonts w:hint="eastAsia" w:ascii="宋体" w:hAnsi="宋体" w:eastAsia="宋体" w:cs="宋体"/>
          <w:color w:val="auto"/>
          <w:spacing w:val="-1"/>
          <w:sz w:val="24"/>
          <w:szCs w:val="24"/>
          <w:lang w:val="en-US" w:eastAsia="zh-CN"/>
        </w:rPr>
        <w:t>=</w:t>
      </w:r>
      <w:r>
        <w:rPr>
          <w:rFonts w:hint="eastAsia" w:ascii="Times New Roman" w:hAnsi="Times New Roman" w:eastAsia="宋体" w:cs="Times New Roman"/>
          <w:color w:val="auto"/>
          <w:spacing w:val="-1"/>
          <w:sz w:val="24"/>
          <w:szCs w:val="24"/>
          <w:lang w:val="en-US" w:eastAsia="zh-CN"/>
        </w:rPr>
        <w:t>803</w:t>
      </w:r>
      <w:r>
        <w:rPr>
          <w:rFonts w:ascii="宋体" w:hAnsi="宋体" w:eastAsia="宋体" w:cs="宋体"/>
          <w:color w:val="auto"/>
          <w:spacing w:val="-1"/>
          <w:sz w:val="24"/>
          <w:szCs w:val="24"/>
        </w:rPr>
        <w:t>对于瞬时排放，</w:t>
      </w:r>
      <w:r>
        <w:rPr>
          <w:rFonts w:ascii="Times New Roman" w:hAnsi="Times New Roman" w:eastAsia="Times New Roman" w:cs="Times New Roman"/>
          <w:color w:val="auto"/>
          <w:spacing w:val="-1"/>
          <w:sz w:val="24"/>
          <w:szCs w:val="24"/>
        </w:rPr>
        <w:t>R</w:t>
      </w:r>
      <w:r>
        <w:rPr>
          <w:rFonts w:ascii="Times New Roman" w:hAnsi="Times New Roman" w:eastAsia="Times New Roman" w:cs="Times New Roman"/>
          <w:color w:val="auto"/>
          <w:spacing w:val="-1"/>
          <w:position w:val="-1"/>
          <w:sz w:val="16"/>
          <w:szCs w:val="16"/>
        </w:rPr>
        <w:t>i</w:t>
      </w:r>
      <w:r>
        <w:rPr>
          <w:rFonts w:ascii="宋体" w:hAnsi="宋体" w:eastAsia="宋体" w:cs="宋体"/>
          <w:color w:val="auto"/>
          <w:spacing w:val="-1"/>
          <w:sz w:val="24"/>
          <w:szCs w:val="24"/>
        </w:rPr>
        <w:t>＞</w:t>
      </w:r>
      <w:r>
        <w:rPr>
          <w:rFonts w:ascii="Times New Roman" w:hAnsi="Times New Roman" w:eastAsia="Times New Roman" w:cs="Times New Roman"/>
          <w:color w:val="auto"/>
          <w:spacing w:val="-2"/>
          <w:sz w:val="24"/>
          <w:szCs w:val="24"/>
        </w:rPr>
        <w:t>0.04</w:t>
      </w:r>
      <w:r>
        <w:rPr>
          <w:rFonts w:ascii="宋体" w:hAnsi="宋体" w:eastAsia="宋体" w:cs="宋体"/>
          <w:color w:val="auto"/>
          <w:spacing w:val="-2"/>
          <w:sz w:val="24"/>
          <w:szCs w:val="24"/>
        </w:rPr>
        <w:t>为重质气</w:t>
      </w:r>
      <w:r>
        <w:rPr>
          <w:rFonts w:ascii="宋体" w:hAnsi="宋体" w:eastAsia="宋体" w:cs="宋体"/>
          <w:color w:val="auto"/>
          <w:spacing w:val="-1"/>
          <w:sz w:val="24"/>
          <w:szCs w:val="24"/>
        </w:rPr>
        <w:t>体，</w:t>
      </w:r>
      <w:r>
        <w:rPr>
          <w:rFonts w:ascii="Times New Roman" w:hAnsi="Times New Roman" w:eastAsia="Times New Roman" w:cs="Times New Roman"/>
          <w:color w:val="auto"/>
          <w:spacing w:val="-1"/>
          <w:sz w:val="24"/>
          <w:szCs w:val="24"/>
        </w:rPr>
        <w:t>R</w:t>
      </w:r>
      <w:r>
        <w:rPr>
          <w:rFonts w:ascii="Times New Roman" w:hAnsi="Times New Roman" w:eastAsia="Times New Roman" w:cs="Times New Roman"/>
          <w:color w:val="auto"/>
          <w:spacing w:val="-1"/>
          <w:position w:val="-1"/>
          <w:sz w:val="16"/>
          <w:szCs w:val="16"/>
        </w:rPr>
        <w:t>i</w:t>
      </w:r>
      <w:r>
        <w:rPr>
          <w:rFonts w:ascii="Times New Roman" w:hAnsi="Times New Roman" w:eastAsia="Times New Roman" w:cs="Times New Roman"/>
          <w:color w:val="auto"/>
          <w:spacing w:val="-1"/>
          <w:sz w:val="24"/>
          <w:szCs w:val="24"/>
        </w:rPr>
        <w:t>≤0.04</w:t>
      </w:r>
      <w:r>
        <w:rPr>
          <w:rFonts w:ascii="宋体" w:hAnsi="宋体" w:eastAsia="宋体" w:cs="宋体"/>
          <w:color w:val="auto"/>
          <w:spacing w:val="-1"/>
          <w:sz w:val="24"/>
          <w:szCs w:val="24"/>
        </w:rPr>
        <w:t>为轻质气体，判断蒸发至空气中的硝酸为重质气体，采用</w:t>
      </w:r>
      <w:r>
        <w:rPr>
          <w:rFonts w:ascii="Times New Roman" w:hAnsi="Times New Roman" w:eastAsia="Times New Roman" w:cs="Times New Roman"/>
          <w:color w:val="auto"/>
          <w:spacing w:val="-1"/>
          <w:sz w:val="24"/>
          <w:szCs w:val="24"/>
        </w:rPr>
        <w:t>SLAB</w:t>
      </w:r>
      <w:r>
        <w:rPr>
          <w:rFonts w:ascii="宋体" w:hAnsi="宋体" w:eastAsia="宋体" w:cs="宋体"/>
          <w:color w:val="auto"/>
          <w:spacing w:val="-1"/>
          <w:sz w:val="24"/>
          <w:szCs w:val="24"/>
        </w:rPr>
        <w:t>模</w:t>
      </w:r>
      <w:r>
        <w:rPr>
          <w:rFonts w:ascii="宋体" w:hAnsi="宋体" w:eastAsia="宋体" w:cs="宋体"/>
          <w:color w:val="auto"/>
          <w:spacing w:val="-4"/>
          <w:sz w:val="24"/>
          <w:szCs w:val="24"/>
        </w:rPr>
        <w:t>型开展进一步预测计算。</w:t>
      </w:r>
    </w:p>
    <w:p w14:paraId="3645F5A5">
      <w:pPr>
        <w:spacing w:before="69" w:line="220" w:lineRule="auto"/>
        <w:ind w:left="524"/>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）气象参数</w:t>
      </w:r>
    </w:p>
    <w:p w14:paraId="1A0FDC27">
      <w:pPr>
        <w:spacing w:before="182" w:line="347" w:lineRule="auto"/>
        <w:ind w:left="39" w:right="176" w:firstLine="479"/>
        <w:rPr>
          <w:rFonts w:ascii="宋体" w:hAnsi="宋体" w:eastAsia="宋体" w:cs="宋体"/>
          <w:color w:val="auto"/>
          <w:sz w:val="24"/>
          <w:szCs w:val="24"/>
        </w:rPr>
      </w:pPr>
      <w:r>
        <w:rPr>
          <w:rFonts w:ascii="宋体" w:hAnsi="宋体" w:eastAsia="宋体" w:cs="宋体"/>
          <w:color w:val="auto"/>
          <w:sz w:val="24"/>
          <w:szCs w:val="24"/>
        </w:rPr>
        <w:t>本项目大气环境风险评价等级为二级，需选取最</w:t>
      </w:r>
      <w:r>
        <w:rPr>
          <w:rFonts w:ascii="宋体" w:hAnsi="宋体" w:eastAsia="宋体" w:cs="宋体"/>
          <w:color w:val="auto"/>
          <w:spacing w:val="-1"/>
          <w:sz w:val="24"/>
          <w:szCs w:val="24"/>
        </w:rPr>
        <w:t>不利气象条件进行后果预</w:t>
      </w:r>
      <w:r>
        <w:rPr>
          <w:rFonts w:ascii="宋体" w:hAnsi="宋体" w:eastAsia="宋体" w:cs="宋体"/>
          <w:color w:val="auto"/>
          <w:spacing w:val="-2"/>
          <w:sz w:val="24"/>
          <w:szCs w:val="24"/>
        </w:rPr>
        <w:t>测，相关参数设定见表</w:t>
      </w:r>
      <w:r>
        <w:rPr>
          <w:rFonts w:ascii="Times New Roman" w:hAnsi="Times New Roman" w:eastAsia="Times New Roman" w:cs="Times New Roman"/>
          <w:color w:val="auto"/>
          <w:spacing w:val="-2"/>
          <w:sz w:val="24"/>
          <w:szCs w:val="24"/>
        </w:rPr>
        <w:t>7.</w:t>
      </w:r>
      <w:r>
        <w:rPr>
          <w:rFonts w:hint="eastAsia" w:ascii="Times New Roman" w:hAnsi="Times New Roman" w:eastAsia="宋体" w:cs="Times New Roman"/>
          <w:color w:val="auto"/>
          <w:spacing w:val="-2"/>
          <w:sz w:val="24"/>
          <w:szCs w:val="24"/>
          <w:lang w:val="en-US" w:eastAsia="zh-CN"/>
        </w:rPr>
        <w:t>7</w:t>
      </w:r>
      <w:r>
        <w:rPr>
          <w:rFonts w:ascii="Times New Roman" w:hAnsi="Times New Roman" w:eastAsia="Times New Roman" w:cs="Times New Roman"/>
          <w:color w:val="auto"/>
          <w:spacing w:val="-2"/>
          <w:sz w:val="24"/>
          <w:szCs w:val="24"/>
        </w:rPr>
        <w:t>-</w:t>
      </w:r>
      <w:r>
        <w:rPr>
          <w:rFonts w:hint="eastAsia" w:cs="Times New Roman"/>
          <w:color w:val="auto"/>
          <w:spacing w:val="-2"/>
          <w:sz w:val="24"/>
          <w:szCs w:val="24"/>
          <w:lang w:val="en-US" w:eastAsia="zh-CN"/>
        </w:rPr>
        <w:t>4</w:t>
      </w:r>
      <w:r>
        <w:rPr>
          <w:rFonts w:ascii="宋体" w:hAnsi="宋体" w:eastAsia="宋体" w:cs="宋体"/>
          <w:color w:val="auto"/>
          <w:spacing w:val="-2"/>
          <w:sz w:val="24"/>
          <w:szCs w:val="24"/>
        </w:rPr>
        <w:t>。</w:t>
      </w:r>
    </w:p>
    <w:p w14:paraId="1BAB5CEA">
      <w:pPr>
        <w:jc w:val="center"/>
        <w:rPr>
          <w:b/>
          <w:bCs/>
          <w:color w:val="auto"/>
          <w:sz w:val="24"/>
          <w:szCs w:val="24"/>
        </w:rPr>
      </w:pPr>
      <w:r>
        <w:rPr>
          <w:b/>
          <w:bCs/>
          <w:color w:val="auto"/>
          <w:sz w:val="24"/>
          <w:szCs w:val="24"/>
        </w:rPr>
        <w:t>表7.</w:t>
      </w:r>
      <w:r>
        <w:rPr>
          <w:rFonts w:hint="eastAsia"/>
          <w:b/>
          <w:bCs/>
          <w:color w:val="auto"/>
          <w:sz w:val="24"/>
          <w:szCs w:val="24"/>
          <w:lang w:val="en-US" w:eastAsia="zh-CN"/>
        </w:rPr>
        <w:t>7</w:t>
      </w:r>
      <w:r>
        <w:rPr>
          <w:b/>
          <w:bCs/>
          <w:color w:val="auto"/>
          <w:sz w:val="24"/>
          <w:szCs w:val="24"/>
        </w:rPr>
        <w:t>-</w:t>
      </w:r>
      <w:r>
        <w:rPr>
          <w:rFonts w:hint="eastAsia"/>
          <w:b/>
          <w:bCs/>
          <w:color w:val="auto"/>
          <w:sz w:val="24"/>
          <w:szCs w:val="24"/>
          <w:lang w:val="en-US" w:eastAsia="zh-CN"/>
        </w:rPr>
        <w:t>4</w:t>
      </w:r>
      <w:r>
        <w:rPr>
          <w:b/>
          <w:bCs/>
          <w:color w:val="auto"/>
          <w:sz w:val="24"/>
          <w:szCs w:val="24"/>
        </w:rPr>
        <w:t>大气风险预测模型主要参数表</w:t>
      </w:r>
    </w:p>
    <w:tbl>
      <w:tblPr>
        <w:tblStyle w:val="75"/>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63"/>
        <w:gridCol w:w="3509"/>
        <w:gridCol w:w="3735"/>
      </w:tblGrid>
      <w:tr w14:paraId="77F7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jc w:val="center"/>
        </w:trPr>
        <w:tc>
          <w:tcPr>
            <w:tcW w:w="1063" w:type="dxa"/>
            <w:shd w:val="clear" w:color="auto" w:fill="auto"/>
            <w:vAlign w:val="center"/>
          </w:tcPr>
          <w:p w14:paraId="4395829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z w:val="21"/>
                <w:szCs w:val="21"/>
              </w:rPr>
            </w:pPr>
            <w:r>
              <w:rPr>
                <w:b/>
                <w:bCs/>
                <w:color w:val="auto"/>
                <w:spacing w:val="-2"/>
                <w:sz w:val="21"/>
                <w:szCs w:val="21"/>
              </w:rPr>
              <w:t>参数类型</w:t>
            </w:r>
          </w:p>
        </w:tc>
        <w:tc>
          <w:tcPr>
            <w:tcW w:w="3509" w:type="dxa"/>
            <w:shd w:val="clear" w:color="auto" w:fill="auto"/>
            <w:vAlign w:val="center"/>
          </w:tcPr>
          <w:p w14:paraId="275081A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z w:val="21"/>
                <w:szCs w:val="21"/>
              </w:rPr>
            </w:pPr>
            <w:r>
              <w:rPr>
                <w:b/>
                <w:bCs/>
                <w:color w:val="auto"/>
                <w:spacing w:val="-2"/>
                <w:sz w:val="21"/>
                <w:szCs w:val="21"/>
              </w:rPr>
              <w:t>选项</w:t>
            </w:r>
          </w:p>
        </w:tc>
        <w:tc>
          <w:tcPr>
            <w:tcW w:w="3735" w:type="dxa"/>
            <w:shd w:val="clear" w:color="auto" w:fill="auto"/>
            <w:vAlign w:val="center"/>
          </w:tcPr>
          <w:p w14:paraId="667D653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z w:val="21"/>
                <w:szCs w:val="21"/>
              </w:rPr>
            </w:pPr>
            <w:r>
              <w:rPr>
                <w:b/>
                <w:bCs/>
                <w:color w:val="auto"/>
                <w:spacing w:val="-2"/>
                <w:sz w:val="21"/>
                <w:szCs w:val="21"/>
              </w:rPr>
              <w:t>参数</w:t>
            </w:r>
          </w:p>
        </w:tc>
      </w:tr>
      <w:tr w14:paraId="0551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restart"/>
            <w:shd w:val="clear" w:color="auto" w:fill="auto"/>
            <w:vAlign w:val="center"/>
          </w:tcPr>
          <w:p w14:paraId="22E53EA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基本情况</w:t>
            </w:r>
          </w:p>
        </w:tc>
        <w:tc>
          <w:tcPr>
            <w:tcW w:w="3509" w:type="dxa"/>
            <w:shd w:val="clear" w:color="auto" w:fill="auto"/>
            <w:vAlign w:val="center"/>
          </w:tcPr>
          <w:p w14:paraId="2517A8C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8"/>
                <w:sz w:val="21"/>
                <w:szCs w:val="21"/>
              </w:rPr>
              <w:t>事故源经度</w:t>
            </w:r>
            <w:r>
              <w:rPr>
                <w:rFonts w:ascii="Times New Roman" w:hAnsi="Times New Roman" w:eastAsia="Times New Roman" w:cs="Times New Roman"/>
                <w:color w:val="auto"/>
                <w:spacing w:val="8"/>
                <w:sz w:val="21"/>
                <w:szCs w:val="21"/>
              </w:rPr>
              <w:t>/(°)</w:t>
            </w:r>
          </w:p>
        </w:tc>
        <w:tc>
          <w:tcPr>
            <w:tcW w:w="3735" w:type="dxa"/>
            <w:shd w:val="clear" w:color="auto" w:fill="auto"/>
            <w:vAlign w:val="center"/>
          </w:tcPr>
          <w:p w14:paraId="5DDD11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hint="eastAsia" w:ascii="Times New Roman" w:hAnsi="Times New Roman" w:eastAsia="Times New Roman" w:cs="Times New Roman"/>
                <w:color w:val="auto"/>
                <w:spacing w:val="-3"/>
                <w:sz w:val="21"/>
                <w:szCs w:val="21"/>
              </w:rPr>
              <w:t>114.747517490</w:t>
            </w:r>
          </w:p>
        </w:tc>
      </w:tr>
      <w:tr w14:paraId="1BAB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6F310BE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22DB2AD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8"/>
                <w:sz w:val="21"/>
                <w:szCs w:val="21"/>
              </w:rPr>
              <w:t>事故源纬度</w:t>
            </w:r>
            <w:r>
              <w:rPr>
                <w:rFonts w:ascii="Times New Roman" w:hAnsi="Times New Roman" w:eastAsia="Times New Roman" w:cs="Times New Roman"/>
                <w:color w:val="auto"/>
                <w:spacing w:val="8"/>
                <w:sz w:val="21"/>
                <w:szCs w:val="21"/>
              </w:rPr>
              <w:t>/(°)</w:t>
            </w:r>
          </w:p>
        </w:tc>
        <w:tc>
          <w:tcPr>
            <w:tcW w:w="3735" w:type="dxa"/>
            <w:shd w:val="clear" w:color="auto" w:fill="auto"/>
            <w:vAlign w:val="center"/>
          </w:tcPr>
          <w:p w14:paraId="054ED99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hint="eastAsia" w:ascii="Times New Roman" w:hAnsi="Times New Roman" w:eastAsia="Times New Roman" w:cs="Times New Roman"/>
                <w:color w:val="auto"/>
                <w:spacing w:val="-1"/>
                <w:sz w:val="21"/>
                <w:szCs w:val="21"/>
              </w:rPr>
              <w:t>25.777692504</w:t>
            </w:r>
          </w:p>
        </w:tc>
      </w:tr>
      <w:tr w14:paraId="18CC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4698018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75D3C02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1"/>
                <w:sz w:val="21"/>
                <w:szCs w:val="21"/>
              </w:rPr>
              <w:t>事故源类型</w:t>
            </w:r>
          </w:p>
        </w:tc>
        <w:tc>
          <w:tcPr>
            <w:tcW w:w="3735" w:type="dxa"/>
            <w:shd w:val="clear" w:color="auto" w:fill="auto"/>
            <w:vAlign w:val="center"/>
          </w:tcPr>
          <w:p w14:paraId="551F4E2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1"/>
                <w:sz w:val="21"/>
                <w:szCs w:val="21"/>
              </w:rPr>
              <w:t>硝酸原料桶泄漏</w:t>
            </w:r>
          </w:p>
        </w:tc>
      </w:tr>
      <w:tr w14:paraId="2E66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restart"/>
            <w:shd w:val="clear" w:color="auto" w:fill="auto"/>
            <w:vAlign w:val="center"/>
          </w:tcPr>
          <w:p w14:paraId="29CDB97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气象参数</w:t>
            </w:r>
          </w:p>
        </w:tc>
        <w:tc>
          <w:tcPr>
            <w:tcW w:w="3509" w:type="dxa"/>
            <w:shd w:val="clear" w:color="auto" w:fill="auto"/>
            <w:vAlign w:val="center"/>
          </w:tcPr>
          <w:p w14:paraId="07FAEFF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1"/>
                <w:sz w:val="21"/>
                <w:szCs w:val="21"/>
              </w:rPr>
              <w:t>气象条件类型</w:t>
            </w:r>
          </w:p>
        </w:tc>
        <w:tc>
          <w:tcPr>
            <w:tcW w:w="3735" w:type="dxa"/>
            <w:shd w:val="clear" w:color="auto" w:fill="auto"/>
            <w:vAlign w:val="center"/>
          </w:tcPr>
          <w:p w14:paraId="4EEB12D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最不利气象</w:t>
            </w:r>
          </w:p>
        </w:tc>
      </w:tr>
      <w:tr w14:paraId="5B6A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3" w:hRule="atLeast"/>
          <w:jc w:val="center"/>
        </w:trPr>
        <w:tc>
          <w:tcPr>
            <w:tcW w:w="1063" w:type="dxa"/>
            <w:vMerge w:val="continue"/>
            <w:shd w:val="clear" w:color="auto" w:fill="auto"/>
            <w:vAlign w:val="center"/>
          </w:tcPr>
          <w:p w14:paraId="170A263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6BEAEED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2"/>
                <w:sz w:val="21"/>
                <w:szCs w:val="21"/>
              </w:rPr>
              <w:t>风速</w:t>
            </w:r>
            <w:r>
              <w:rPr>
                <w:rFonts w:ascii="Times New Roman" w:hAnsi="Times New Roman" w:eastAsia="Times New Roman" w:cs="Times New Roman"/>
                <w:color w:val="auto"/>
                <w:spacing w:val="-2"/>
                <w:sz w:val="21"/>
                <w:szCs w:val="21"/>
              </w:rPr>
              <w:t>/(m/s)</w:t>
            </w:r>
          </w:p>
        </w:tc>
        <w:tc>
          <w:tcPr>
            <w:tcW w:w="3735" w:type="dxa"/>
            <w:shd w:val="clear" w:color="auto" w:fill="auto"/>
            <w:vAlign w:val="center"/>
          </w:tcPr>
          <w:p w14:paraId="3412E2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1.5</w:t>
            </w:r>
          </w:p>
        </w:tc>
      </w:tr>
      <w:tr w14:paraId="5BFC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1EB2740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1FE1C85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1"/>
                <w:sz w:val="21"/>
                <w:szCs w:val="21"/>
              </w:rPr>
              <w:t>环境温度</w:t>
            </w:r>
            <w:r>
              <w:rPr>
                <w:rFonts w:ascii="Times New Roman" w:hAnsi="Times New Roman" w:eastAsia="Times New Roman" w:cs="Times New Roman"/>
                <w:color w:val="auto"/>
                <w:spacing w:val="-1"/>
                <w:sz w:val="21"/>
                <w:szCs w:val="21"/>
              </w:rPr>
              <w:t>/</w:t>
            </w:r>
            <w:r>
              <w:rPr>
                <w:color w:val="auto"/>
                <w:spacing w:val="-1"/>
                <w:sz w:val="21"/>
                <w:szCs w:val="21"/>
              </w:rPr>
              <w:t>℃</w:t>
            </w:r>
          </w:p>
        </w:tc>
        <w:tc>
          <w:tcPr>
            <w:tcW w:w="3735" w:type="dxa"/>
            <w:shd w:val="clear" w:color="auto" w:fill="auto"/>
            <w:vAlign w:val="center"/>
          </w:tcPr>
          <w:p w14:paraId="1A1FEA1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25</w:t>
            </w:r>
          </w:p>
        </w:tc>
      </w:tr>
      <w:tr w14:paraId="1D2E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70561F7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726D39C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1"/>
                <w:sz w:val="21"/>
                <w:szCs w:val="21"/>
              </w:rPr>
              <w:t>相对湿度</w:t>
            </w:r>
            <w:r>
              <w:rPr>
                <w:rFonts w:ascii="Times New Roman" w:hAnsi="Times New Roman" w:eastAsia="Times New Roman" w:cs="Times New Roman"/>
                <w:color w:val="auto"/>
                <w:spacing w:val="-1"/>
                <w:sz w:val="21"/>
                <w:szCs w:val="21"/>
              </w:rPr>
              <w:t>/%</w:t>
            </w:r>
          </w:p>
        </w:tc>
        <w:tc>
          <w:tcPr>
            <w:tcW w:w="3735" w:type="dxa"/>
            <w:shd w:val="clear" w:color="auto" w:fill="auto"/>
            <w:vAlign w:val="center"/>
          </w:tcPr>
          <w:p w14:paraId="2A59456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50</w:t>
            </w:r>
          </w:p>
        </w:tc>
      </w:tr>
      <w:tr w14:paraId="2465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1EE6F7F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19219D8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稳定度</w:t>
            </w:r>
          </w:p>
        </w:tc>
        <w:tc>
          <w:tcPr>
            <w:tcW w:w="3735" w:type="dxa"/>
            <w:shd w:val="clear" w:color="auto" w:fill="auto"/>
            <w:vAlign w:val="center"/>
          </w:tcPr>
          <w:p w14:paraId="6EA7B02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F</w:t>
            </w:r>
          </w:p>
        </w:tc>
      </w:tr>
      <w:tr w14:paraId="7DD2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0" w:hRule="atLeast"/>
          <w:jc w:val="center"/>
        </w:trPr>
        <w:tc>
          <w:tcPr>
            <w:tcW w:w="1063" w:type="dxa"/>
            <w:vMerge w:val="restart"/>
            <w:shd w:val="clear" w:color="auto" w:fill="auto"/>
            <w:vAlign w:val="center"/>
          </w:tcPr>
          <w:p w14:paraId="6279621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其他参数</w:t>
            </w:r>
          </w:p>
        </w:tc>
        <w:tc>
          <w:tcPr>
            <w:tcW w:w="3509" w:type="dxa"/>
            <w:shd w:val="clear" w:color="auto" w:fill="auto"/>
            <w:vAlign w:val="center"/>
          </w:tcPr>
          <w:p w14:paraId="5DA2D3C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1"/>
                <w:sz w:val="21"/>
                <w:szCs w:val="21"/>
              </w:rPr>
              <w:t>地表粗糙度</w:t>
            </w:r>
            <w:r>
              <w:rPr>
                <w:rFonts w:ascii="Times New Roman" w:hAnsi="Times New Roman" w:eastAsia="Times New Roman" w:cs="Times New Roman"/>
                <w:color w:val="auto"/>
                <w:spacing w:val="-1"/>
                <w:sz w:val="21"/>
                <w:szCs w:val="21"/>
              </w:rPr>
              <w:t>/m</w:t>
            </w:r>
          </w:p>
        </w:tc>
        <w:tc>
          <w:tcPr>
            <w:tcW w:w="3735" w:type="dxa"/>
            <w:shd w:val="clear" w:color="auto" w:fill="auto"/>
            <w:vAlign w:val="center"/>
          </w:tcPr>
          <w:p w14:paraId="222243E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r>
      <w:tr w14:paraId="5A3F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2" w:hRule="atLeast"/>
          <w:jc w:val="center"/>
        </w:trPr>
        <w:tc>
          <w:tcPr>
            <w:tcW w:w="1063" w:type="dxa"/>
            <w:vMerge w:val="continue"/>
            <w:shd w:val="clear" w:color="auto" w:fill="auto"/>
            <w:vAlign w:val="center"/>
          </w:tcPr>
          <w:p w14:paraId="02B78A1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39B1624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pacing w:val="-2"/>
                <w:sz w:val="21"/>
                <w:szCs w:val="21"/>
              </w:rPr>
              <w:t>是否考虑地形</w:t>
            </w:r>
          </w:p>
        </w:tc>
        <w:tc>
          <w:tcPr>
            <w:tcW w:w="3735" w:type="dxa"/>
            <w:shd w:val="clear" w:color="auto" w:fill="auto"/>
            <w:vAlign w:val="center"/>
          </w:tcPr>
          <w:p w14:paraId="10A330B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szCs w:val="21"/>
              </w:rPr>
            </w:pPr>
            <w:r>
              <w:rPr>
                <w:color w:val="auto"/>
                <w:sz w:val="21"/>
                <w:szCs w:val="21"/>
              </w:rPr>
              <w:t>是</w:t>
            </w:r>
          </w:p>
        </w:tc>
      </w:tr>
      <w:tr w14:paraId="485B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9" w:hRule="atLeast"/>
          <w:jc w:val="center"/>
        </w:trPr>
        <w:tc>
          <w:tcPr>
            <w:tcW w:w="1063" w:type="dxa"/>
            <w:vMerge w:val="continue"/>
            <w:shd w:val="clear" w:color="auto" w:fill="auto"/>
            <w:vAlign w:val="center"/>
          </w:tcPr>
          <w:p w14:paraId="622A01B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color w:val="auto"/>
                <w:sz w:val="21"/>
              </w:rPr>
            </w:pPr>
          </w:p>
        </w:tc>
        <w:tc>
          <w:tcPr>
            <w:tcW w:w="3509" w:type="dxa"/>
            <w:shd w:val="clear" w:color="auto" w:fill="auto"/>
            <w:vAlign w:val="center"/>
          </w:tcPr>
          <w:p w14:paraId="7052369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color w:val="auto"/>
                <w:spacing w:val="-1"/>
                <w:sz w:val="21"/>
                <w:szCs w:val="21"/>
              </w:rPr>
              <w:t>地形数据精度</w:t>
            </w:r>
            <w:r>
              <w:rPr>
                <w:rFonts w:ascii="Times New Roman" w:hAnsi="Times New Roman" w:eastAsia="Times New Roman" w:cs="Times New Roman"/>
                <w:color w:val="auto"/>
                <w:spacing w:val="-1"/>
                <w:sz w:val="21"/>
                <w:szCs w:val="21"/>
              </w:rPr>
              <w:t>/m</w:t>
            </w:r>
          </w:p>
        </w:tc>
        <w:tc>
          <w:tcPr>
            <w:tcW w:w="3735" w:type="dxa"/>
            <w:shd w:val="clear" w:color="auto" w:fill="auto"/>
            <w:vAlign w:val="center"/>
          </w:tcPr>
          <w:p w14:paraId="46D09F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90</w:t>
            </w:r>
          </w:p>
        </w:tc>
      </w:tr>
    </w:tbl>
    <w:p w14:paraId="65C97D9B">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ascii="宋体" w:hAnsi="宋体" w:eastAsia="宋体" w:cs="宋体"/>
          <w:color w:val="auto"/>
          <w:spacing w:val="11"/>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w:t>
      </w:r>
      <w:r>
        <w:rPr>
          <w:rFonts w:ascii="宋体" w:hAnsi="宋体" w:eastAsia="宋体" w:cs="宋体"/>
          <w:color w:val="auto"/>
          <w:spacing w:val="-2"/>
          <w:sz w:val="24"/>
          <w:szCs w:val="24"/>
        </w:rPr>
        <w:t>）大气毒性终点浓度值选取</w:t>
      </w:r>
    </w:p>
    <w:p w14:paraId="7E8C90D4">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both"/>
        <w:textAlignment w:val="auto"/>
        <w:rPr>
          <w:rFonts w:ascii="宋体" w:hAnsi="宋体" w:eastAsia="宋体" w:cs="宋体"/>
          <w:color w:val="auto"/>
          <w:spacing w:val="-5"/>
          <w:sz w:val="24"/>
          <w:szCs w:val="24"/>
        </w:rPr>
      </w:pPr>
      <w:r>
        <w:rPr>
          <w:rFonts w:ascii="宋体" w:hAnsi="宋体" w:eastAsia="宋体" w:cs="宋体"/>
          <w:color w:val="auto"/>
          <w:spacing w:val="-5"/>
          <w:sz w:val="24"/>
          <w:szCs w:val="24"/>
        </w:rPr>
        <w:t>本风险评价按以下阈值进行：</w:t>
      </w:r>
    </w:p>
    <w:p w14:paraId="7D2F6FE7">
      <w:pPr>
        <w:spacing w:before="78" w:line="240" w:lineRule="auto"/>
        <w:ind w:left="2656"/>
        <w:rPr>
          <w:rFonts w:ascii="Times New Roman" w:hAnsi="Times New Roman" w:eastAsia="宋体" w:cs="黑体"/>
          <w:b/>
          <w:bCs/>
          <w:color w:val="auto"/>
          <w:sz w:val="24"/>
          <w:szCs w:val="24"/>
        </w:rPr>
      </w:pPr>
      <w:r>
        <w:rPr>
          <w:rFonts w:ascii="Times New Roman" w:hAnsi="Times New Roman" w:eastAsia="宋体" w:cs="黑体"/>
          <w:b/>
          <w:bCs/>
          <w:color w:val="auto"/>
          <w:spacing w:val="-2"/>
          <w:sz w:val="24"/>
          <w:szCs w:val="24"/>
        </w:rPr>
        <w:t>表</w:t>
      </w:r>
      <w:r>
        <w:rPr>
          <w:rFonts w:ascii="Times New Roman" w:hAnsi="Times New Roman" w:eastAsia="宋体" w:cs="Times New Roman"/>
          <w:b/>
          <w:bCs/>
          <w:color w:val="auto"/>
          <w:spacing w:val="-2"/>
          <w:sz w:val="24"/>
          <w:szCs w:val="24"/>
        </w:rPr>
        <w:t>7.</w:t>
      </w:r>
      <w:r>
        <w:rPr>
          <w:rFonts w:hint="eastAsia" w:ascii="Times New Roman" w:hAnsi="Times New Roman" w:eastAsia="宋体" w:cs="Times New Roman"/>
          <w:b/>
          <w:bCs/>
          <w:color w:val="auto"/>
          <w:spacing w:val="-2"/>
          <w:sz w:val="24"/>
          <w:szCs w:val="24"/>
          <w:lang w:val="en-US" w:eastAsia="zh-CN"/>
        </w:rPr>
        <w:t>7</w:t>
      </w:r>
      <w:r>
        <w:rPr>
          <w:rFonts w:ascii="Times New Roman" w:hAnsi="Times New Roman" w:eastAsia="宋体" w:cs="Times New Roman"/>
          <w:b/>
          <w:bCs/>
          <w:color w:val="auto"/>
          <w:spacing w:val="-2"/>
          <w:sz w:val="24"/>
          <w:szCs w:val="24"/>
        </w:rPr>
        <w:t>-</w:t>
      </w:r>
      <w:r>
        <w:rPr>
          <w:rFonts w:hint="eastAsia" w:cs="Times New Roman"/>
          <w:b/>
          <w:bCs/>
          <w:color w:val="auto"/>
          <w:spacing w:val="-2"/>
          <w:sz w:val="24"/>
          <w:szCs w:val="24"/>
          <w:lang w:val="en-US" w:eastAsia="zh-CN"/>
        </w:rPr>
        <w:t>5</w:t>
      </w:r>
      <w:r>
        <w:rPr>
          <w:rFonts w:ascii="Times New Roman" w:hAnsi="Times New Roman" w:eastAsia="宋体" w:cs="黑体"/>
          <w:b/>
          <w:bCs/>
          <w:color w:val="auto"/>
          <w:spacing w:val="-2"/>
          <w:sz w:val="24"/>
          <w:szCs w:val="24"/>
        </w:rPr>
        <w:t>大气毒性终点浓度值</w:t>
      </w:r>
    </w:p>
    <w:p w14:paraId="691967CD">
      <w:pPr>
        <w:spacing w:line="68" w:lineRule="exact"/>
        <w:rPr>
          <w:color w:val="auto"/>
        </w:rPr>
      </w:pPr>
    </w:p>
    <w:tbl>
      <w:tblPr>
        <w:tblStyle w:val="75"/>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42"/>
        <w:gridCol w:w="1688"/>
        <w:gridCol w:w="2727"/>
        <w:gridCol w:w="2465"/>
      </w:tblGrid>
      <w:tr w14:paraId="455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442" w:type="dxa"/>
            <w:shd w:val="clear" w:color="auto" w:fill="auto"/>
            <w:vAlign w:val="center"/>
          </w:tcPr>
          <w:p w14:paraId="43848D10">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物质名称</w:t>
            </w:r>
          </w:p>
        </w:tc>
        <w:tc>
          <w:tcPr>
            <w:tcW w:w="1688" w:type="dxa"/>
            <w:shd w:val="clear" w:color="auto" w:fill="auto"/>
            <w:vAlign w:val="center"/>
          </w:tcPr>
          <w:p w14:paraId="587E8D8B">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rFonts w:ascii="Times New Roman" w:hAnsi="Times New Roman" w:eastAsia="Times New Roman" w:cs="Times New Roman"/>
                <w:color w:val="auto"/>
                <w:spacing w:val="-2"/>
                <w:sz w:val="21"/>
                <w:szCs w:val="21"/>
              </w:rPr>
              <w:t>CAS</w:t>
            </w:r>
            <w:r>
              <w:rPr>
                <w:color w:val="auto"/>
                <w:spacing w:val="-2"/>
                <w:sz w:val="21"/>
                <w:szCs w:val="21"/>
              </w:rPr>
              <w:t>号</w:t>
            </w:r>
          </w:p>
        </w:tc>
        <w:tc>
          <w:tcPr>
            <w:tcW w:w="2727" w:type="dxa"/>
            <w:shd w:val="clear" w:color="auto" w:fill="auto"/>
            <w:vAlign w:val="center"/>
          </w:tcPr>
          <w:p w14:paraId="6A688CFA">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1"/>
                <w:sz w:val="21"/>
                <w:szCs w:val="21"/>
              </w:rPr>
              <w:t>毒性终点浓度</w:t>
            </w:r>
            <w:r>
              <w:rPr>
                <w:rFonts w:ascii="Times New Roman" w:hAnsi="Times New Roman" w:eastAsia="Times New Roman" w:cs="Times New Roman"/>
                <w:color w:val="auto"/>
                <w:spacing w:val="-1"/>
                <w:sz w:val="21"/>
                <w:szCs w:val="21"/>
              </w:rPr>
              <w:t>-1/</w:t>
            </w:r>
            <w:r>
              <w:rPr>
                <w:color w:val="auto"/>
                <w:spacing w:val="-1"/>
                <w:sz w:val="21"/>
                <w:szCs w:val="21"/>
              </w:rPr>
              <w:t>（</w:t>
            </w:r>
            <w:r>
              <w:rPr>
                <w:rFonts w:ascii="Times New Roman" w:hAnsi="Times New Roman" w:eastAsia="Times New Roman" w:cs="Times New Roman"/>
                <w:color w:val="auto"/>
                <w:spacing w:val="-1"/>
                <w:sz w:val="21"/>
                <w:szCs w:val="21"/>
              </w:rPr>
              <w:t>mg/m</w:t>
            </w:r>
            <w:r>
              <w:rPr>
                <w:rFonts w:hint="eastAsia" w:ascii="Times New Roman" w:hAnsi="Times New Roman" w:eastAsia="宋体" w:cs="Times New Roman"/>
                <w:color w:val="auto"/>
                <w:spacing w:val="-1"/>
                <w:position w:val="6"/>
                <w:sz w:val="21"/>
                <w:szCs w:val="21"/>
                <w:vertAlign w:val="superscript"/>
                <w:lang w:val="en-US" w:eastAsia="zh-CN"/>
              </w:rPr>
              <w:t>3</w:t>
            </w:r>
            <w:r>
              <w:rPr>
                <w:color w:val="auto"/>
                <w:spacing w:val="-1"/>
                <w:sz w:val="21"/>
                <w:szCs w:val="21"/>
              </w:rPr>
              <w:t>）</w:t>
            </w:r>
          </w:p>
        </w:tc>
        <w:tc>
          <w:tcPr>
            <w:tcW w:w="2465" w:type="dxa"/>
            <w:shd w:val="clear" w:color="auto" w:fill="auto"/>
            <w:vAlign w:val="center"/>
          </w:tcPr>
          <w:p w14:paraId="0BF2613C">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毒性终点浓度</w:t>
            </w:r>
            <w:r>
              <w:rPr>
                <w:rFonts w:ascii="Times New Roman" w:hAnsi="Times New Roman" w:eastAsia="Times New Roman" w:cs="Times New Roman"/>
                <w:color w:val="auto"/>
                <w:spacing w:val="-2"/>
                <w:sz w:val="21"/>
                <w:szCs w:val="21"/>
              </w:rPr>
              <w:t>-2/</w:t>
            </w:r>
            <w:r>
              <w:rPr>
                <w:color w:val="auto"/>
                <w:spacing w:val="-2"/>
                <w:sz w:val="21"/>
                <w:szCs w:val="21"/>
              </w:rPr>
              <w:t>（</w:t>
            </w:r>
            <w:r>
              <w:rPr>
                <w:rFonts w:ascii="Times New Roman" w:hAnsi="Times New Roman" w:eastAsia="Times New Roman" w:cs="Times New Roman"/>
                <w:color w:val="auto"/>
                <w:spacing w:val="-2"/>
                <w:sz w:val="21"/>
                <w:szCs w:val="21"/>
              </w:rPr>
              <w:t>mg/m</w:t>
            </w:r>
            <w:r>
              <w:rPr>
                <w:rFonts w:ascii="Times New Roman" w:hAnsi="Times New Roman" w:eastAsia="Times New Roman" w:cs="Times New Roman"/>
                <w:color w:val="auto"/>
                <w:spacing w:val="-2"/>
                <w:position w:val="6"/>
                <w:sz w:val="21"/>
                <w:szCs w:val="21"/>
                <w:vertAlign w:val="superscript"/>
              </w:rPr>
              <w:t>3</w:t>
            </w:r>
            <w:r>
              <w:rPr>
                <w:color w:val="auto"/>
                <w:spacing w:val="-2"/>
                <w:sz w:val="21"/>
                <w:szCs w:val="21"/>
              </w:rPr>
              <w:t>）</w:t>
            </w:r>
          </w:p>
        </w:tc>
      </w:tr>
      <w:tr w14:paraId="1671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8" w:hRule="atLeast"/>
          <w:jc w:val="center"/>
        </w:trPr>
        <w:tc>
          <w:tcPr>
            <w:tcW w:w="1442" w:type="dxa"/>
            <w:shd w:val="clear" w:color="auto" w:fill="auto"/>
            <w:vAlign w:val="center"/>
          </w:tcPr>
          <w:p w14:paraId="4B42089A">
            <w:pPr>
              <w:pStyle w:val="9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z w:val="21"/>
                <w:szCs w:val="21"/>
              </w:rPr>
            </w:pPr>
            <w:r>
              <w:rPr>
                <w:color w:val="auto"/>
                <w:spacing w:val="-2"/>
                <w:sz w:val="21"/>
                <w:szCs w:val="21"/>
              </w:rPr>
              <w:t>硝酸</w:t>
            </w:r>
          </w:p>
        </w:tc>
        <w:tc>
          <w:tcPr>
            <w:tcW w:w="1688" w:type="dxa"/>
            <w:shd w:val="clear" w:color="auto" w:fill="auto"/>
            <w:vAlign w:val="center"/>
          </w:tcPr>
          <w:p w14:paraId="46B4CA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7697-37-2</w:t>
            </w:r>
          </w:p>
        </w:tc>
        <w:tc>
          <w:tcPr>
            <w:tcW w:w="2727" w:type="dxa"/>
            <w:shd w:val="clear" w:color="auto" w:fill="auto"/>
            <w:vAlign w:val="center"/>
          </w:tcPr>
          <w:p w14:paraId="251867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240</w:t>
            </w:r>
          </w:p>
        </w:tc>
        <w:tc>
          <w:tcPr>
            <w:tcW w:w="2465" w:type="dxa"/>
            <w:shd w:val="clear" w:color="auto" w:fill="auto"/>
            <w:vAlign w:val="center"/>
          </w:tcPr>
          <w:p w14:paraId="632D5F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62</w:t>
            </w:r>
          </w:p>
        </w:tc>
      </w:tr>
    </w:tbl>
    <w:p w14:paraId="186E6E5B">
      <w:pPr>
        <w:spacing w:before="115" w:line="220" w:lineRule="auto"/>
        <w:ind w:left="524"/>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4</w:t>
      </w:r>
      <w:r>
        <w:rPr>
          <w:rFonts w:ascii="宋体" w:hAnsi="宋体" w:eastAsia="宋体" w:cs="宋体"/>
          <w:color w:val="auto"/>
          <w:spacing w:val="-2"/>
          <w:sz w:val="24"/>
          <w:szCs w:val="24"/>
        </w:rPr>
        <w:t>）预测结果表述</w:t>
      </w:r>
    </w:p>
    <w:p w14:paraId="793DFE8B">
      <w:pPr>
        <w:spacing w:before="181" w:line="290" w:lineRule="auto"/>
        <w:ind w:left="37" w:right="33" w:firstLine="499"/>
        <w:rPr>
          <w:rFonts w:ascii="宋体" w:hAnsi="宋体" w:eastAsia="宋体" w:cs="宋体"/>
          <w:color w:val="auto"/>
          <w:sz w:val="24"/>
          <w:szCs w:val="24"/>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）下风向不同距离处硝酸的最大浓度，以及预测浓度达到</w:t>
      </w:r>
      <w:r>
        <w:rPr>
          <w:rFonts w:ascii="宋体" w:hAnsi="宋体" w:eastAsia="宋体" w:cs="宋体"/>
          <w:color w:val="auto"/>
          <w:spacing w:val="-1"/>
          <w:sz w:val="24"/>
          <w:szCs w:val="24"/>
        </w:rPr>
        <w:t>硝酸毒性终点浓度的最大影响范围</w:t>
      </w:r>
    </w:p>
    <w:p w14:paraId="73E4A910">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rPr>
      </w:pPr>
      <w:r>
        <w:rPr>
          <w:color w:val="auto"/>
        </w:rPr>
        <w:drawing>
          <wp:inline distT="0" distB="0" distL="114300" distR="114300">
            <wp:extent cx="5421630" cy="2923540"/>
            <wp:effectExtent l="0" t="0" r="7620" b="1016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51"/>
                    <a:stretch>
                      <a:fillRect/>
                    </a:stretch>
                  </pic:blipFill>
                  <pic:spPr>
                    <a:xfrm>
                      <a:off x="0" y="0"/>
                      <a:ext cx="5421630" cy="2923540"/>
                    </a:xfrm>
                    <a:prstGeom prst="rect">
                      <a:avLst/>
                    </a:prstGeom>
                    <a:noFill/>
                    <a:ln>
                      <a:noFill/>
                    </a:ln>
                  </pic:spPr>
                </pic:pic>
              </a:graphicData>
            </a:graphic>
          </wp:inline>
        </w:drawing>
      </w:r>
    </w:p>
    <w:p w14:paraId="60695D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rPr>
      </w:pPr>
      <w:r>
        <w:rPr>
          <w:rFonts w:hint="eastAsia"/>
          <w:b/>
          <w:bCs/>
          <w:color w:val="auto"/>
          <w:sz w:val="24"/>
          <w:szCs w:val="24"/>
        </w:rPr>
        <w:t>图7.</w:t>
      </w:r>
      <w:r>
        <w:rPr>
          <w:rFonts w:hint="eastAsia"/>
          <w:b/>
          <w:bCs/>
          <w:color w:val="auto"/>
          <w:sz w:val="24"/>
          <w:szCs w:val="24"/>
          <w:lang w:val="en-US" w:eastAsia="zh-CN"/>
        </w:rPr>
        <w:t>7</w:t>
      </w:r>
      <w:r>
        <w:rPr>
          <w:rFonts w:hint="eastAsia"/>
          <w:b/>
          <w:bCs/>
          <w:color w:val="auto"/>
          <w:sz w:val="24"/>
          <w:szCs w:val="24"/>
        </w:rPr>
        <w:t>-1下风向不同距离处硝酸的最大浓度结果</w:t>
      </w:r>
    </w:p>
    <w:p w14:paraId="0482A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hint="eastAsia" w:ascii="Times New Roman" w:hAnsi="Times New Roman" w:eastAsia="宋体" w:cs="Times New Roman"/>
          <w:color w:val="auto"/>
          <w:kern w:val="0"/>
          <w:sz w:val="24"/>
          <w:szCs w:val="21"/>
        </w:rPr>
        <w:t>最不利气象条件下，</w:t>
      </w:r>
      <w:r>
        <w:rPr>
          <w:rFonts w:hint="eastAsia" w:cs="Times New Roman"/>
          <w:color w:val="auto"/>
          <w:kern w:val="0"/>
          <w:sz w:val="24"/>
          <w:szCs w:val="21"/>
          <w:lang w:val="en-US" w:eastAsia="zh-CN"/>
        </w:rPr>
        <w:t>预测结果显示位于</w:t>
      </w:r>
      <w:r>
        <w:rPr>
          <w:rFonts w:hint="eastAsia" w:ascii="Times New Roman" w:hAnsi="Times New Roman" w:eastAsia="宋体" w:cs="Times New Roman"/>
          <w:color w:val="auto"/>
          <w:kern w:val="0"/>
          <w:sz w:val="24"/>
          <w:szCs w:val="21"/>
        </w:rPr>
        <w:t>事故源</w:t>
      </w:r>
      <w:r>
        <w:rPr>
          <w:rFonts w:hint="eastAsia" w:cs="Times New Roman"/>
          <w:color w:val="auto"/>
          <w:kern w:val="0"/>
          <w:sz w:val="24"/>
          <w:szCs w:val="21"/>
          <w:lang w:val="en-US" w:eastAsia="zh-CN"/>
        </w:rPr>
        <w:t>东南侧约241m处为</w:t>
      </w:r>
      <w:r>
        <w:rPr>
          <w:rFonts w:hint="eastAsia" w:ascii="Times New Roman" w:hAnsi="Times New Roman" w:eastAsia="宋体" w:cs="Times New Roman"/>
          <w:color w:val="auto"/>
          <w:kern w:val="0"/>
          <w:sz w:val="24"/>
          <w:szCs w:val="21"/>
          <w:lang w:val="en-US" w:eastAsia="zh-CN"/>
        </w:rPr>
        <w:t>硝酸</w:t>
      </w:r>
      <w:r>
        <w:rPr>
          <w:rFonts w:hint="eastAsia" w:ascii="Times New Roman" w:hAnsi="Times New Roman" w:eastAsia="宋体" w:cs="Times New Roman"/>
          <w:color w:val="auto"/>
          <w:kern w:val="0"/>
          <w:sz w:val="24"/>
          <w:szCs w:val="21"/>
        </w:rPr>
        <w:t>浓度最大值</w:t>
      </w:r>
      <w:r>
        <w:rPr>
          <w:rFonts w:hint="eastAsia" w:cs="Times New Roman"/>
          <w:color w:val="auto"/>
          <w:kern w:val="0"/>
          <w:sz w:val="24"/>
          <w:szCs w:val="21"/>
          <w:lang w:eastAsia="zh-CN"/>
        </w:rPr>
        <w:t>，</w:t>
      </w:r>
      <w:r>
        <w:rPr>
          <w:rFonts w:hint="eastAsia" w:ascii="Times New Roman" w:hAnsi="Times New Roman" w:eastAsia="宋体" w:cs="Times New Roman"/>
          <w:color w:val="auto"/>
          <w:kern w:val="0"/>
          <w:sz w:val="24"/>
          <w:szCs w:val="21"/>
        </w:rPr>
        <w:t>泄漏发生后</w:t>
      </w:r>
      <w:r>
        <w:rPr>
          <w:rFonts w:ascii="Times New Roman" w:hAnsi="Times New Roman" w:eastAsia="宋体" w:cs="Times New Roman"/>
          <w:color w:val="auto"/>
          <w:kern w:val="0"/>
          <w:sz w:val="24"/>
          <w:szCs w:val="21"/>
        </w:rPr>
        <w:t>5</w:t>
      </w:r>
      <w:r>
        <w:rPr>
          <w:rFonts w:hint="eastAsia" w:ascii="Times New Roman" w:hAnsi="Times New Roman" w:eastAsia="宋体" w:cs="Times New Roman"/>
          <w:color w:val="auto"/>
          <w:kern w:val="0"/>
          <w:sz w:val="24"/>
          <w:szCs w:val="21"/>
        </w:rPr>
        <w:t>分钟时</w:t>
      </w:r>
      <w:r>
        <w:rPr>
          <w:rFonts w:hint="eastAsia" w:cs="Times New Roman"/>
          <w:color w:val="auto"/>
          <w:kern w:val="0"/>
          <w:sz w:val="24"/>
          <w:szCs w:val="21"/>
          <w:lang w:val="en-US" w:eastAsia="zh-CN"/>
        </w:rPr>
        <w:t>预测</w:t>
      </w:r>
      <w:r>
        <w:rPr>
          <w:rFonts w:hint="eastAsia" w:ascii="Times New Roman" w:hAnsi="Times New Roman" w:eastAsia="宋体" w:cs="Times New Roman"/>
          <w:color w:val="auto"/>
          <w:kern w:val="0"/>
          <w:sz w:val="24"/>
          <w:szCs w:val="21"/>
        </w:rPr>
        <w:t>浓度为</w:t>
      </w:r>
      <w:r>
        <w:rPr>
          <w:rFonts w:hint="eastAsia" w:cs="Times New Roman"/>
          <w:color w:val="auto"/>
          <w:kern w:val="0"/>
          <w:sz w:val="24"/>
          <w:szCs w:val="21"/>
          <w:lang w:val="en-US" w:eastAsia="zh-CN"/>
        </w:rPr>
        <w:t>0.46</w:t>
      </w:r>
      <w:r>
        <w:rPr>
          <w:rFonts w:hint="eastAsia" w:ascii="Times New Roman" w:hAnsi="Times New Roman" w:eastAsia="宋体" w:cs="Times New Roman"/>
          <w:color w:val="auto"/>
          <w:kern w:val="0"/>
          <w:sz w:val="24"/>
          <w:szCs w:val="21"/>
        </w:rPr>
        <w:t>mg/m</w:t>
      </w:r>
      <w:r>
        <w:rPr>
          <w:rFonts w:hint="eastAsia" w:ascii="Times New Roman" w:hAnsi="Times New Roman" w:eastAsia="宋体" w:cs="Times New Roman"/>
          <w:color w:val="auto"/>
          <w:kern w:val="0"/>
          <w:sz w:val="24"/>
          <w:szCs w:val="21"/>
          <w:vertAlign w:val="superscript"/>
        </w:rPr>
        <w:t>3</w:t>
      </w:r>
      <w:r>
        <w:rPr>
          <w:rFonts w:hint="eastAsia" w:ascii="Times New Roman" w:hAnsi="Times New Roman" w:eastAsia="宋体" w:cs="Times New Roman"/>
          <w:color w:val="auto"/>
          <w:kern w:val="0"/>
          <w:sz w:val="24"/>
          <w:szCs w:val="21"/>
        </w:rPr>
        <w:t>，</w:t>
      </w:r>
      <w:r>
        <w:rPr>
          <w:rFonts w:ascii="Times New Roman" w:hAnsi="Times New Roman" w:eastAsia="宋体" w:cs="Times New Roman"/>
          <w:color w:val="auto"/>
          <w:kern w:val="0"/>
          <w:sz w:val="24"/>
          <w:szCs w:val="21"/>
        </w:rPr>
        <w:t>预测点</w:t>
      </w:r>
      <w:r>
        <w:rPr>
          <w:rFonts w:hint="eastAsia" w:ascii="Times New Roman" w:hAnsi="Times New Roman" w:eastAsia="宋体" w:cs="Times New Roman"/>
          <w:color w:val="auto"/>
          <w:kern w:val="0"/>
          <w:sz w:val="24"/>
          <w:szCs w:val="21"/>
        </w:rPr>
        <w:t>浓度未</w:t>
      </w:r>
      <w:r>
        <w:rPr>
          <w:rFonts w:ascii="Times New Roman" w:hAnsi="Times New Roman" w:eastAsia="宋体" w:cs="Times New Roman"/>
          <w:color w:val="auto"/>
          <w:kern w:val="0"/>
          <w:sz w:val="24"/>
          <w:szCs w:val="21"/>
        </w:rPr>
        <w:t>达1级毒性终点浓度</w:t>
      </w:r>
      <w:r>
        <w:rPr>
          <w:rFonts w:hint="eastAsia" w:ascii="Times New Roman" w:hAnsi="Times New Roman" w:eastAsia="宋体" w:cs="Times New Roman"/>
          <w:color w:val="auto"/>
          <w:kern w:val="0"/>
          <w:sz w:val="24"/>
          <w:szCs w:val="21"/>
        </w:rPr>
        <w:t>（</w:t>
      </w:r>
      <w:r>
        <w:rPr>
          <w:rFonts w:hint="eastAsia" w:cs="Times New Roman"/>
          <w:color w:val="auto"/>
          <w:kern w:val="0"/>
          <w:sz w:val="24"/>
          <w:szCs w:val="21"/>
          <w:lang w:val="en-US" w:eastAsia="zh-CN"/>
        </w:rPr>
        <w:t>240</w:t>
      </w:r>
      <w:r>
        <w:rPr>
          <w:rFonts w:ascii="Times New Roman" w:hAnsi="Times New Roman" w:eastAsia="宋体" w:cs="Times New Roman"/>
          <w:color w:val="auto"/>
          <w:kern w:val="0"/>
          <w:sz w:val="24"/>
          <w:szCs w:val="21"/>
        </w:rPr>
        <w:t>mg/m</w:t>
      </w:r>
      <w:r>
        <w:rPr>
          <w:rFonts w:ascii="Times New Roman" w:hAnsi="Times New Roman" w:eastAsia="宋体" w:cs="Times New Roman"/>
          <w:color w:val="auto"/>
          <w:kern w:val="0"/>
          <w:sz w:val="24"/>
          <w:szCs w:val="21"/>
          <w:vertAlign w:val="superscript"/>
        </w:rPr>
        <w:t>3</w:t>
      </w:r>
      <w:r>
        <w:rPr>
          <w:rFonts w:hint="eastAsia" w:ascii="Times New Roman" w:hAnsi="Times New Roman" w:eastAsia="宋体" w:cs="Times New Roman"/>
          <w:color w:val="auto"/>
          <w:kern w:val="0"/>
          <w:sz w:val="24"/>
          <w:szCs w:val="21"/>
        </w:rPr>
        <w:t>）</w:t>
      </w:r>
      <w:r>
        <w:rPr>
          <w:rFonts w:ascii="Times New Roman" w:hAnsi="Times New Roman" w:eastAsia="宋体" w:cs="Times New Roman"/>
          <w:color w:val="auto"/>
          <w:kern w:val="0"/>
          <w:sz w:val="24"/>
          <w:szCs w:val="21"/>
        </w:rPr>
        <w:t>、2级终点浓度</w:t>
      </w:r>
      <w:r>
        <w:rPr>
          <w:rFonts w:hint="eastAsia" w:ascii="Times New Roman" w:hAnsi="Times New Roman" w:eastAsia="宋体" w:cs="Times New Roman"/>
          <w:color w:val="auto"/>
          <w:kern w:val="0"/>
          <w:sz w:val="24"/>
          <w:szCs w:val="21"/>
        </w:rPr>
        <w:t>（</w:t>
      </w:r>
      <w:r>
        <w:rPr>
          <w:rFonts w:hint="eastAsia" w:cs="Times New Roman"/>
          <w:color w:val="auto"/>
          <w:kern w:val="0"/>
          <w:sz w:val="24"/>
          <w:szCs w:val="21"/>
          <w:lang w:val="en-US" w:eastAsia="zh-CN"/>
        </w:rPr>
        <w:t>62</w:t>
      </w:r>
      <w:r>
        <w:rPr>
          <w:rFonts w:ascii="Times New Roman" w:hAnsi="Times New Roman" w:eastAsia="宋体" w:cs="Times New Roman"/>
          <w:color w:val="auto"/>
          <w:kern w:val="0"/>
          <w:sz w:val="24"/>
          <w:szCs w:val="21"/>
        </w:rPr>
        <w:t>mg/m</w:t>
      </w:r>
      <w:r>
        <w:rPr>
          <w:rFonts w:ascii="Times New Roman" w:hAnsi="Times New Roman" w:eastAsia="宋体" w:cs="Times New Roman"/>
          <w:color w:val="auto"/>
          <w:kern w:val="0"/>
          <w:sz w:val="24"/>
          <w:szCs w:val="21"/>
          <w:vertAlign w:val="superscript"/>
        </w:rPr>
        <w:t>3</w:t>
      </w:r>
      <w:r>
        <w:rPr>
          <w:rFonts w:hint="eastAsia" w:ascii="Times New Roman" w:hAnsi="Times New Roman" w:eastAsia="宋体" w:cs="Times New Roman"/>
          <w:color w:val="auto"/>
          <w:kern w:val="0"/>
          <w:sz w:val="24"/>
          <w:szCs w:val="21"/>
        </w:rPr>
        <w:t>），本项目500m范围内无敏感点，最近敏感点为652m处大岭村，故对最近敏感点的影响较小</w:t>
      </w:r>
      <w:r>
        <w:rPr>
          <w:rFonts w:ascii="Times New Roman" w:hAnsi="Times New Roman" w:eastAsia="宋体" w:cs="Times New Roman"/>
          <w:color w:val="auto"/>
          <w:kern w:val="0"/>
          <w:sz w:val="24"/>
          <w:szCs w:val="21"/>
        </w:rPr>
        <w:t>。</w:t>
      </w:r>
    </w:p>
    <w:p w14:paraId="452ECA8F">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7.7.2环境风险评价</w:t>
      </w:r>
    </w:p>
    <w:p w14:paraId="5B5B41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1"/>
        </w:rPr>
      </w:pPr>
      <w:r>
        <w:rPr>
          <w:rFonts w:hint="eastAsia" w:ascii="Times New Roman" w:hAnsi="Times New Roman" w:eastAsia="宋体" w:cs="Times New Roman"/>
          <w:color w:val="auto"/>
          <w:kern w:val="0"/>
          <w:sz w:val="24"/>
          <w:szCs w:val="21"/>
        </w:rPr>
        <w:t>（1）大气环境风险</w:t>
      </w:r>
    </w:p>
    <w:p w14:paraId="576D61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rPr>
      </w:pPr>
      <w:r>
        <w:rPr>
          <w:rFonts w:hint="eastAsia"/>
          <w:b w:val="0"/>
          <w:bCs w:val="0"/>
          <w:color w:val="auto"/>
          <w:sz w:val="24"/>
          <w:szCs w:val="24"/>
        </w:rPr>
        <w:t>最不利气象条件下，预测结果显示位于事故源东南侧约241m处为硝酸浓度最大值，泄漏发生后5分钟时预测浓度为</w:t>
      </w:r>
      <w:r>
        <w:rPr>
          <w:rFonts w:hint="eastAsia" w:cs="Times New Roman"/>
          <w:color w:val="auto"/>
          <w:kern w:val="0"/>
          <w:sz w:val="24"/>
          <w:szCs w:val="21"/>
          <w:lang w:val="en-US" w:eastAsia="zh-CN"/>
        </w:rPr>
        <w:t>0.46</w:t>
      </w:r>
      <w:r>
        <w:rPr>
          <w:rFonts w:hint="eastAsia"/>
          <w:b w:val="0"/>
          <w:bCs w:val="0"/>
          <w:color w:val="auto"/>
          <w:sz w:val="24"/>
          <w:szCs w:val="24"/>
        </w:rPr>
        <w:t>mg/m</w:t>
      </w:r>
      <w:r>
        <w:rPr>
          <w:rFonts w:hint="eastAsia"/>
          <w:b w:val="0"/>
          <w:bCs w:val="0"/>
          <w:color w:val="auto"/>
          <w:sz w:val="24"/>
          <w:szCs w:val="24"/>
          <w:vertAlign w:val="superscript"/>
        </w:rPr>
        <w:t>3</w:t>
      </w:r>
      <w:r>
        <w:rPr>
          <w:rFonts w:hint="eastAsia"/>
          <w:b w:val="0"/>
          <w:bCs w:val="0"/>
          <w:color w:val="auto"/>
          <w:sz w:val="24"/>
          <w:szCs w:val="24"/>
        </w:rPr>
        <w:t>，预测点浓度未达1级毒性终点浓度（</w:t>
      </w:r>
      <w:r>
        <w:rPr>
          <w:rFonts w:hint="eastAsia"/>
          <w:b w:val="0"/>
          <w:bCs w:val="0"/>
          <w:color w:val="auto"/>
          <w:sz w:val="24"/>
          <w:szCs w:val="24"/>
          <w:lang w:val="en-US" w:eastAsia="zh-CN"/>
        </w:rPr>
        <w:t>240</w:t>
      </w:r>
      <w:r>
        <w:rPr>
          <w:rFonts w:hint="eastAsia"/>
          <w:b w:val="0"/>
          <w:bCs w:val="0"/>
          <w:color w:val="auto"/>
          <w:sz w:val="24"/>
          <w:szCs w:val="24"/>
        </w:rPr>
        <w:t>mg/m</w:t>
      </w:r>
      <w:r>
        <w:rPr>
          <w:rFonts w:hint="eastAsia"/>
          <w:b w:val="0"/>
          <w:bCs w:val="0"/>
          <w:color w:val="auto"/>
          <w:sz w:val="24"/>
          <w:szCs w:val="24"/>
          <w:vertAlign w:val="superscript"/>
        </w:rPr>
        <w:t>3</w:t>
      </w:r>
      <w:r>
        <w:rPr>
          <w:rFonts w:hint="eastAsia"/>
          <w:b w:val="0"/>
          <w:bCs w:val="0"/>
          <w:color w:val="auto"/>
          <w:sz w:val="24"/>
          <w:szCs w:val="24"/>
        </w:rPr>
        <w:t>）、2级终点浓度（</w:t>
      </w:r>
      <w:r>
        <w:rPr>
          <w:rFonts w:hint="eastAsia"/>
          <w:b w:val="0"/>
          <w:bCs w:val="0"/>
          <w:color w:val="auto"/>
          <w:sz w:val="24"/>
          <w:szCs w:val="24"/>
          <w:lang w:val="en-US" w:eastAsia="zh-CN"/>
        </w:rPr>
        <w:t>62</w:t>
      </w:r>
      <w:r>
        <w:rPr>
          <w:rFonts w:hint="eastAsia"/>
          <w:b w:val="0"/>
          <w:bCs w:val="0"/>
          <w:color w:val="auto"/>
          <w:sz w:val="24"/>
          <w:szCs w:val="24"/>
        </w:rPr>
        <w:t>mg/m</w:t>
      </w:r>
      <w:r>
        <w:rPr>
          <w:rFonts w:hint="eastAsia"/>
          <w:b w:val="0"/>
          <w:bCs w:val="0"/>
          <w:color w:val="auto"/>
          <w:sz w:val="24"/>
          <w:szCs w:val="24"/>
          <w:vertAlign w:val="superscript"/>
        </w:rPr>
        <w:t>3</w:t>
      </w:r>
      <w:r>
        <w:rPr>
          <w:rFonts w:hint="eastAsia"/>
          <w:b w:val="0"/>
          <w:bCs w:val="0"/>
          <w:color w:val="auto"/>
          <w:sz w:val="24"/>
          <w:szCs w:val="24"/>
        </w:rPr>
        <w:t>）</w:t>
      </w:r>
      <w:r>
        <w:rPr>
          <w:rFonts w:hint="eastAsia"/>
          <w:b w:val="0"/>
          <w:bCs w:val="0"/>
          <w:color w:val="auto"/>
          <w:sz w:val="24"/>
          <w:szCs w:val="24"/>
          <w:lang w:eastAsia="zh-CN"/>
        </w:rPr>
        <w:t>。</w:t>
      </w:r>
      <w:r>
        <w:rPr>
          <w:rFonts w:hint="eastAsia"/>
          <w:b w:val="0"/>
          <w:bCs w:val="0"/>
          <w:color w:val="auto"/>
          <w:sz w:val="24"/>
          <w:szCs w:val="24"/>
          <w:lang w:val="en-US" w:eastAsia="zh-CN"/>
        </w:rPr>
        <w:t>本项目500m范围内无敏感点，最近敏感点为</w:t>
      </w:r>
      <w:r>
        <w:rPr>
          <w:rFonts w:hint="eastAsia" w:eastAsia="宋体"/>
          <w:color w:val="auto"/>
          <w:kern w:val="0"/>
          <w:sz w:val="24"/>
          <w:szCs w:val="24"/>
        </w:rPr>
        <w:t>652m处大岭村</w:t>
      </w:r>
      <w:r>
        <w:rPr>
          <w:rFonts w:hint="eastAsia"/>
          <w:color w:val="auto"/>
          <w:kern w:val="0"/>
          <w:sz w:val="24"/>
          <w:szCs w:val="24"/>
          <w:lang w:eastAsia="zh-CN"/>
        </w:rPr>
        <w:t>，</w:t>
      </w:r>
      <w:r>
        <w:rPr>
          <w:rFonts w:hint="eastAsia"/>
          <w:color w:val="auto"/>
          <w:kern w:val="0"/>
          <w:sz w:val="24"/>
          <w:szCs w:val="24"/>
          <w:lang w:val="en-US" w:eastAsia="zh-CN"/>
        </w:rPr>
        <w:t>故</w:t>
      </w:r>
      <w:r>
        <w:rPr>
          <w:rFonts w:hint="eastAsia"/>
          <w:b w:val="0"/>
          <w:bCs w:val="0"/>
          <w:color w:val="auto"/>
          <w:sz w:val="24"/>
          <w:szCs w:val="24"/>
        </w:rPr>
        <w:t>对最近敏感点的影响较小。</w:t>
      </w:r>
    </w:p>
    <w:p w14:paraId="04E52360">
      <w:pPr>
        <w:spacing w:before="78" w:line="220" w:lineRule="auto"/>
        <w:ind w:left="524"/>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）地表水环境风险</w:t>
      </w:r>
    </w:p>
    <w:p w14:paraId="5470F5C8">
      <w:pPr>
        <w:spacing w:before="186" w:line="355" w:lineRule="auto"/>
        <w:ind w:left="39" w:firstLine="479"/>
        <w:rPr>
          <w:rFonts w:ascii="宋体" w:hAnsi="宋体" w:eastAsia="宋体" w:cs="宋体"/>
          <w:color w:val="auto"/>
          <w:sz w:val="24"/>
          <w:szCs w:val="24"/>
        </w:rPr>
      </w:pPr>
      <w:r>
        <w:rPr>
          <w:rFonts w:ascii="宋体" w:hAnsi="宋体" w:eastAsia="宋体" w:cs="宋体"/>
          <w:color w:val="auto"/>
          <w:spacing w:val="-3"/>
          <w:sz w:val="24"/>
          <w:szCs w:val="24"/>
        </w:rPr>
        <w:t>厂区</w:t>
      </w:r>
      <w:r>
        <w:rPr>
          <w:rFonts w:hint="eastAsia" w:ascii="宋体" w:hAnsi="宋体" w:eastAsia="宋体" w:cs="宋体"/>
          <w:color w:val="auto"/>
          <w:spacing w:val="-3"/>
          <w:sz w:val="24"/>
          <w:szCs w:val="24"/>
          <w:lang w:val="en-US" w:eastAsia="zh-CN"/>
        </w:rPr>
        <w:t>内</w:t>
      </w:r>
      <w:r>
        <w:rPr>
          <w:rFonts w:ascii="宋体" w:hAnsi="宋体" w:eastAsia="宋体" w:cs="宋体"/>
          <w:color w:val="auto"/>
          <w:spacing w:val="-3"/>
          <w:sz w:val="24"/>
          <w:szCs w:val="24"/>
        </w:rPr>
        <w:t>设置了事故池，一旦发生事故，废水进入应急事故</w:t>
      </w:r>
      <w:r>
        <w:rPr>
          <w:rFonts w:ascii="宋体" w:hAnsi="宋体" w:eastAsia="宋体" w:cs="宋体"/>
          <w:color w:val="auto"/>
          <w:spacing w:val="-4"/>
          <w:sz w:val="24"/>
          <w:szCs w:val="24"/>
        </w:rPr>
        <w:t>池，可杜绝废</w:t>
      </w:r>
      <w:r>
        <w:rPr>
          <w:rFonts w:ascii="宋体" w:hAnsi="宋体" w:eastAsia="宋体" w:cs="宋体"/>
          <w:color w:val="auto"/>
          <w:spacing w:val="-3"/>
          <w:sz w:val="24"/>
          <w:szCs w:val="24"/>
        </w:rPr>
        <w:t>水事故排放；项目废水经厂区废水处理设施预处理达标后通过园区污水管网排入新能源汽车科技城污水处理厂（一期）进一步处理，经新能源汽车科技城污水处</w:t>
      </w:r>
      <w:r>
        <w:rPr>
          <w:rFonts w:ascii="宋体" w:hAnsi="宋体" w:eastAsia="宋体" w:cs="宋体"/>
          <w:color w:val="auto"/>
          <w:spacing w:val="-8"/>
          <w:sz w:val="24"/>
          <w:szCs w:val="24"/>
        </w:rPr>
        <w:t>理厂（一期）处理后通过市政污水管网接入白塔污水处理厂，尾水最终排入赣江，属于间接排放，一旦发生事故导致超标排放，废水可进入污水处理厂应急事故池，</w:t>
      </w:r>
      <w:r>
        <w:rPr>
          <w:rFonts w:ascii="宋体" w:hAnsi="宋体" w:eastAsia="宋体" w:cs="宋体"/>
          <w:color w:val="auto"/>
          <w:spacing w:val="-3"/>
          <w:sz w:val="24"/>
          <w:szCs w:val="24"/>
        </w:rPr>
        <w:t>不会直接对地表水环境造成冲击。</w:t>
      </w:r>
    </w:p>
    <w:p w14:paraId="05A7ED5B">
      <w:pPr>
        <w:spacing w:before="35" w:line="220" w:lineRule="auto"/>
        <w:ind w:left="553"/>
        <w:rPr>
          <w:rFonts w:ascii="宋体" w:hAnsi="宋体" w:eastAsia="宋体" w:cs="宋体"/>
          <w:color w:val="auto"/>
          <w:sz w:val="24"/>
          <w:szCs w:val="24"/>
        </w:rPr>
      </w:pPr>
      <w:r>
        <w:rPr>
          <w:rFonts w:ascii="宋体" w:hAnsi="宋体" w:eastAsia="宋体" w:cs="宋体"/>
          <w:color w:val="auto"/>
          <w:spacing w:val="10"/>
          <w:sz w:val="24"/>
          <w:szCs w:val="24"/>
        </w:rPr>
        <w:t>（</w:t>
      </w:r>
      <w:r>
        <w:rPr>
          <w:rFonts w:ascii="Times New Roman" w:hAnsi="Times New Roman" w:eastAsia="Times New Roman" w:cs="Times New Roman"/>
          <w:color w:val="auto"/>
          <w:spacing w:val="10"/>
          <w:sz w:val="24"/>
          <w:szCs w:val="24"/>
        </w:rPr>
        <w:t>3</w:t>
      </w:r>
      <w:r>
        <w:rPr>
          <w:rFonts w:ascii="宋体" w:hAnsi="宋体" w:eastAsia="宋体" w:cs="宋体"/>
          <w:color w:val="auto"/>
          <w:spacing w:val="10"/>
          <w:sz w:val="24"/>
          <w:szCs w:val="24"/>
        </w:rPr>
        <w:t>）地下水环境风险</w:t>
      </w:r>
    </w:p>
    <w:p w14:paraId="24EEF57D">
      <w:pPr>
        <w:spacing w:before="178" w:line="356" w:lineRule="auto"/>
        <w:ind w:left="37" w:firstLine="481"/>
        <w:rPr>
          <w:rFonts w:ascii="宋体" w:hAnsi="宋体" w:eastAsia="宋体" w:cs="宋体"/>
          <w:color w:val="auto"/>
          <w:sz w:val="24"/>
          <w:szCs w:val="24"/>
        </w:rPr>
      </w:pPr>
      <w:r>
        <w:rPr>
          <w:rFonts w:hint="eastAsia" w:ascii="宋体" w:hAnsi="宋体" w:eastAsia="宋体" w:cs="宋体"/>
          <w:color w:val="auto"/>
          <w:spacing w:val="-7"/>
          <w:sz w:val="24"/>
          <w:szCs w:val="24"/>
          <w:lang w:val="en-US" w:eastAsia="zh-CN"/>
        </w:rPr>
        <w:t>1#仓库和2#危化品仓库</w:t>
      </w:r>
      <w:r>
        <w:rPr>
          <w:rFonts w:ascii="宋体" w:hAnsi="宋体" w:eastAsia="宋体" w:cs="宋体"/>
          <w:color w:val="auto"/>
          <w:spacing w:val="-7"/>
          <w:sz w:val="24"/>
          <w:szCs w:val="24"/>
        </w:rPr>
        <w:t>原辅料分区储存，硝酸、盐酸等桶装区建设围堰，危化品间周围设置</w:t>
      </w:r>
      <w:r>
        <w:rPr>
          <w:rFonts w:ascii="宋体" w:hAnsi="宋体" w:eastAsia="宋体" w:cs="宋体"/>
          <w:color w:val="auto"/>
          <w:spacing w:val="-1"/>
          <w:sz w:val="24"/>
          <w:szCs w:val="24"/>
        </w:rPr>
        <w:t>地沟，地面采用防腐、防渗设计，防止事故泄漏液体外溢和</w:t>
      </w:r>
      <w:r>
        <w:rPr>
          <w:rFonts w:ascii="宋体" w:hAnsi="宋体" w:eastAsia="宋体" w:cs="宋体"/>
          <w:color w:val="auto"/>
          <w:spacing w:val="-2"/>
          <w:sz w:val="24"/>
          <w:szCs w:val="24"/>
        </w:rPr>
        <w:t>渗漏；对废水收集、</w:t>
      </w:r>
      <w:r>
        <w:rPr>
          <w:rFonts w:ascii="宋体" w:hAnsi="宋体" w:eastAsia="宋体" w:cs="宋体"/>
          <w:color w:val="auto"/>
          <w:spacing w:val="-1"/>
          <w:sz w:val="24"/>
          <w:szCs w:val="24"/>
        </w:rPr>
        <w:t>处理系统的地下式收集池、沉淀池等内壁采取玻璃钢或防渗膜进行防腐、防渗，</w:t>
      </w:r>
      <w:r>
        <w:rPr>
          <w:rFonts w:ascii="宋体" w:hAnsi="宋体" w:eastAsia="宋体" w:cs="宋体"/>
          <w:color w:val="auto"/>
          <w:spacing w:val="-3"/>
          <w:sz w:val="24"/>
          <w:szCs w:val="24"/>
        </w:rPr>
        <w:t>确保液态废物不渗入地下，防止污水向地下水扩散；各湿法生产车间地面设置地沟收集渗水和跑冒滴漏废水，可能受重金属、酸碱污染的区域地面采用玻璃钢和</w:t>
      </w:r>
      <w:r>
        <w:rPr>
          <w:rFonts w:ascii="宋体" w:hAnsi="宋体" w:eastAsia="宋体" w:cs="宋体"/>
          <w:color w:val="auto"/>
          <w:spacing w:val="-7"/>
          <w:sz w:val="24"/>
          <w:szCs w:val="24"/>
        </w:rPr>
        <w:t>沥青防腐防渗；通过上述措施可使各重点污染区防渗层渗透系数</w:t>
      </w:r>
      <w:r>
        <w:rPr>
          <w:rFonts w:ascii="Times New Roman" w:hAnsi="Times New Roman" w:eastAsia="Times New Roman" w:cs="Times New Roman"/>
          <w:color w:val="auto"/>
          <w:spacing w:val="-7"/>
          <w:sz w:val="24"/>
          <w:szCs w:val="24"/>
        </w:rPr>
        <w:t>≤10</w:t>
      </w:r>
      <w:r>
        <w:rPr>
          <w:rFonts w:ascii="Times New Roman" w:hAnsi="Times New Roman" w:eastAsia="Times New Roman" w:cs="Times New Roman"/>
          <w:color w:val="auto"/>
          <w:spacing w:val="-7"/>
          <w:position w:val="9"/>
          <w:sz w:val="16"/>
          <w:szCs w:val="16"/>
        </w:rPr>
        <w:t>-7</w:t>
      </w:r>
      <w:r>
        <w:rPr>
          <w:rFonts w:ascii="Times New Roman" w:hAnsi="Times New Roman" w:eastAsia="Times New Roman" w:cs="Times New Roman"/>
          <w:color w:val="auto"/>
          <w:spacing w:val="-7"/>
          <w:sz w:val="24"/>
          <w:szCs w:val="24"/>
        </w:rPr>
        <w:t>cm/s</w:t>
      </w:r>
      <w:r>
        <w:rPr>
          <w:rFonts w:ascii="宋体" w:hAnsi="宋体" w:eastAsia="宋体" w:cs="宋体"/>
          <w:color w:val="auto"/>
          <w:spacing w:val="-7"/>
          <w:sz w:val="24"/>
          <w:szCs w:val="24"/>
        </w:rPr>
        <w:t>，因此，</w:t>
      </w:r>
      <w:r>
        <w:rPr>
          <w:rFonts w:ascii="宋体" w:hAnsi="宋体" w:eastAsia="宋体" w:cs="宋体"/>
          <w:color w:val="auto"/>
          <w:spacing w:val="-2"/>
          <w:sz w:val="24"/>
          <w:szCs w:val="24"/>
        </w:rPr>
        <w:t>储罐、生产区泄漏不会直接对地下水环境造成冲击。</w:t>
      </w:r>
    </w:p>
    <w:p w14:paraId="0E572DEB">
      <w:pPr>
        <w:spacing w:before="42" w:line="353" w:lineRule="auto"/>
        <w:ind w:left="38" w:right="7" w:firstLine="482"/>
        <w:rPr>
          <w:rFonts w:ascii="宋体" w:hAnsi="宋体" w:eastAsia="宋体" w:cs="宋体"/>
          <w:color w:val="auto"/>
          <w:sz w:val="24"/>
          <w:szCs w:val="24"/>
        </w:rPr>
      </w:pPr>
      <w:r>
        <w:rPr>
          <w:rFonts w:ascii="宋体" w:hAnsi="宋体" w:eastAsia="宋体" w:cs="宋体"/>
          <w:color w:val="auto"/>
          <w:spacing w:val="-1"/>
          <w:sz w:val="24"/>
          <w:szCs w:val="24"/>
        </w:rPr>
        <w:t>综上所述，项目最大可信事故对外环境影响</w:t>
      </w:r>
      <w:r>
        <w:rPr>
          <w:rFonts w:ascii="宋体" w:hAnsi="宋体" w:eastAsia="宋体" w:cs="宋体"/>
          <w:color w:val="auto"/>
          <w:spacing w:val="-2"/>
          <w:sz w:val="24"/>
          <w:szCs w:val="24"/>
        </w:rPr>
        <w:t>很小，环境风险影响总体可控。</w:t>
      </w:r>
      <w:r>
        <w:rPr>
          <w:rFonts w:ascii="宋体" w:hAnsi="宋体" w:eastAsia="宋体" w:cs="宋体"/>
          <w:color w:val="auto"/>
          <w:spacing w:val="-3"/>
          <w:sz w:val="24"/>
          <w:szCs w:val="24"/>
        </w:rPr>
        <w:t>虽然本项目对厂外环境的风险影响处于可以接受的范围内，但企业仍需要严格执行风险防范措施及应急预案，提高风险管理水平和强化风险防范措施，同时</w:t>
      </w:r>
      <w:r>
        <w:rPr>
          <w:rFonts w:ascii="宋体" w:hAnsi="宋体" w:eastAsia="宋体" w:cs="宋体"/>
          <w:color w:val="auto"/>
          <w:spacing w:val="-4"/>
          <w:sz w:val="24"/>
          <w:szCs w:val="24"/>
        </w:rPr>
        <w:t>仍需</w:t>
      </w:r>
      <w:r>
        <w:rPr>
          <w:rFonts w:ascii="宋体" w:hAnsi="宋体" w:eastAsia="宋体" w:cs="宋体"/>
          <w:color w:val="auto"/>
          <w:spacing w:val="-1"/>
          <w:sz w:val="24"/>
          <w:szCs w:val="24"/>
        </w:rPr>
        <w:t>认真做好对其他可能出现的风险的防范，以期尽可能地</w:t>
      </w:r>
      <w:r>
        <w:rPr>
          <w:rFonts w:ascii="宋体" w:hAnsi="宋体" w:eastAsia="宋体" w:cs="宋体"/>
          <w:color w:val="auto"/>
          <w:spacing w:val="-2"/>
          <w:sz w:val="24"/>
          <w:szCs w:val="24"/>
        </w:rPr>
        <w:t>避免风险事故的发生。</w:t>
      </w:r>
    </w:p>
    <w:p w14:paraId="01DC06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rPr>
      </w:pPr>
    </w:p>
    <w:p w14:paraId="0F7E15A4">
      <w:pPr>
        <w:jc w:val="center"/>
        <w:rPr>
          <w:rFonts w:hint="eastAsia" w:eastAsia="宋体"/>
          <w:color w:val="auto"/>
          <w:sz w:val="24"/>
          <w:szCs w:val="24"/>
          <w:lang w:val="en-US" w:eastAsia="zh-CN"/>
        </w:rPr>
        <w:sectPr>
          <w:footerReference r:id="rId8" w:type="default"/>
          <w:pgSz w:w="11907" w:h="16839"/>
          <w:pgMar w:top="1134" w:right="1690" w:bottom="1198" w:left="1678" w:header="863" w:footer="982" w:gutter="0"/>
          <w:pgBorders>
            <w:top w:val="none" w:sz="0" w:space="0"/>
            <w:left w:val="none" w:sz="0" w:space="0"/>
            <w:bottom w:val="none" w:sz="0" w:space="0"/>
            <w:right w:val="none" w:sz="0" w:space="0"/>
          </w:pgBorders>
          <w:pgNumType w:fmt="decimal" w:start="1"/>
          <w:cols w:space="720" w:num="1"/>
        </w:sectPr>
      </w:pPr>
    </w:p>
    <w:p w14:paraId="7FF87A4B">
      <w:pPr>
        <w:keepNext/>
        <w:keepLines/>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eastAsia="楷体" w:cs="Times New Roman"/>
          <w:b/>
          <w:bCs/>
          <w:color w:val="auto"/>
          <w:kern w:val="44"/>
          <w:sz w:val="44"/>
          <w:szCs w:val="44"/>
          <w:lang w:val="en-US" w:eastAsia="zh-CN"/>
        </w:rPr>
      </w:pPr>
      <w:r>
        <w:rPr>
          <w:rFonts w:hint="default" w:ascii="Times New Roman" w:hAnsi="Times New Roman" w:eastAsia="楷体" w:cs="Times New Roman"/>
          <w:b/>
          <w:bCs/>
          <w:color w:val="auto"/>
          <w:kern w:val="44"/>
          <w:sz w:val="44"/>
          <w:szCs w:val="44"/>
          <w:lang w:val="en-US" w:eastAsia="zh-CN"/>
        </w:rPr>
        <w:t>7.</w:t>
      </w:r>
      <w:r>
        <w:rPr>
          <w:rFonts w:hint="eastAsia" w:ascii="Times New Roman" w:hAnsi="Times New Roman" w:eastAsia="楷体" w:cs="Times New Roman"/>
          <w:b/>
          <w:bCs/>
          <w:color w:val="auto"/>
          <w:kern w:val="44"/>
          <w:sz w:val="44"/>
          <w:szCs w:val="44"/>
          <w:lang w:val="en-US" w:eastAsia="zh-CN"/>
        </w:rPr>
        <w:t>8</w:t>
      </w:r>
      <w:r>
        <w:rPr>
          <w:rFonts w:hint="default" w:ascii="Times New Roman" w:hAnsi="Times New Roman" w:eastAsia="楷体" w:cs="Times New Roman"/>
          <w:b/>
          <w:bCs/>
          <w:color w:val="auto"/>
          <w:kern w:val="44"/>
          <w:sz w:val="44"/>
          <w:szCs w:val="44"/>
          <w:lang w:val="en-US" w:eastAsia="zh-CN"/>
        </w:rPr>
        <w:t>环境风险防范措施</w:t>
      </w:r>
    </w:p>
    <w:p w14:paraId="1A1DA6CA">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7.8.1总图布置与建筑风险防范措施</w:t>
      </w:r>
    </w:p>
    <w:p w14:paraId="5AA77CD5">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pacing w:val="-1"/>
          <w:sz w:val="24"/>
          <w:szCs w:val="24"/>
        </w:rPr>
      </w:pPr>
      <w:r>
        <w:rPr>
          <w:rFonts w:ascii="宋体" w:hAnsi="宋体" w:eastAsia="宋体" w:cs="宋体"/>
          <w:color w:val="auto"/>
          <w:spacing w:val="-1"/>
          <w:sz w:val="24"/>
          <w:szCs w:val="24"/>
        </w:rPr>
        <w:t>（1）项目地与周围居民区、环境保护目标设置卫生防护距离，与周围工业企业交通干道等设置安全防护距离和防火距离。</w:t>
      </w:r>
    </w:p>
    <w:p w14:paraId="695F78C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pacing w:val="-1"/>
          <w:sz w:val="24"/>
          <w:szCs w:val="24"/>
        </w:rPr>
      </w:pPr>
      <w:r>
        <w:rPr>
          <w:rFonts w:ascii="宋体" w:hAnsi="宋体" w:eastAsia="宋体" w:cs="宋体"/>
          <w:color w:val="auto"/>
          <w:spacing w:val="-1"/>
          <w:sz w:val="24"/>
          <w:szCs w:val="24"/>
        </w:rPr>
        <w:t>（2）根据厂区生产特点和环境情况，在总图布置中，各建筑物之间的距离应满足《建筑设计防火规范》要求。各车间、工序按生产性质进行分区，界区间形成消防通道、应急疏散通道。</w:t>
      </w:r>
    </w:p>
    <w:p w14:paraId="4AD654F1">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7.8.2运输过程风险防范措施</w:t>
      </w:r>
    </w:p>
    <w:p w14:paraId="391DD5D4">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运输事故主要是翻车和路途泄漏。根据“中国高速公路事故调查”，运输中的事故多发生在路况极差或较好、司机疲劳驾驶、酒后驾车、违章搭载等情形。一般来说，化工生产的原辅材料、产品运输都由经过专职考核的司机和运输部门承运，可有效防止司机疲劳驾驶、酒后驾车、违章搭载的情形发生。而且根据该调查，发生事故的车辆通常都是客运车辆和普通货运车辆，运输化学原料、产品的车辆故发生概率低于0.01%。</w:t>
      </w:r>
    </w:p>
    <w:p w14:paraId="45EAACD0">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建议企业采取的预防措施：</w:t>
      </w:r>
    </w:p>
    <w:p w14:paraId="11E600C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（1）固定主要的原料供应商，规划合理的运输路线及运输时间，行车路线必须事先经当地公安交通部门批准，并制定路线和时间运输，不可在繁华街道行驶和停留；要悬挂“危险品”（“剧毒品”）标志。</w:t>
      </w:r>
    </w:p>
    <w:p w14:paraId="498F073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（2）危险品原料的运装要委托有承运资质的运输单位承担；承担运输危险化学品的人员、车辆等必须符合《危险化学品安全管理条例》的规定。</w:t>
      </w:r>
    </w:p>
    <w:p w14:paraId="5389CE7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（3）装运的危险品外包装明显部位按《危险货物包装标志》（GB190-90）规定标志，包装标志牢固、正确。</w:t>
      </w:r>
    </w:p>
    <w:p w14:paraId="0629FAD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（4）运输腐蚀性、有毒物品的人员，出车前必须检查防毒、防护用品，在运输途中发现泄漏应主动采取处理措施，防止事故进一步扩大，并向有关部门报告，请求救援。</w:t>
      </w:r>
    </w:p>
    <w:p w14:paraId="3089AD76">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（5）化学品洒落地面、车板上应及时清除，对易燃易爆物品应用松软物经水浸湿后扫除。</w:t>
      </w:r>
    </w:p>
    <w:p w14:paraId="6387B344">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rPr>
      </w:pPr>
      <w:r>
        <w:rPr>
          <w:rFonts w:ascii="Times New Roman" w:hAnsi="Times New Roman" w:eastAsia="宋体" w:cs="宋体"/>
          <w:color w:val="auto"/>
          <w:spacing w:val="-1"/>
          <w:sz w:val="24"/>
          <w:szCs w:val="24"/>
          <w:shd w:val="clear" w:color="auto" w:fill="auto"/>
        </w:rPr>
        <w:t>（6）装卸化学危险品时，不得饮酒、吸烟，工作完毕后根据工作情况和危险品的性质，及时清洗手、脸、漱口或淋浴。保持现场空气流通，如果发现恶心、头晕等中毒现象，应立即到新鲜空气处休息，重者送医院治疗。</w:t>
      </w:r>
    </w:p>
    <w:p w14:paraId="58BC5376">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7.8.3危险品使用过程风险防范措施</w:t>
      </w:r>
    </w:p>
    <w:p w14:paraId="0AB029F8">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（1）针对现场电线、电器设备等不安全因素，车间</w:t>
      </w:r>
      <w:r>
        <w:rPr>
          <w:rFonts w:hint="eastAsia" w:cs="宋体"/>
          <w:color w:val="auto"/>
          <w:spacing w:val="-1"/>
          <w:sz w:val="24"/>
          <w:szCs w:val="24"/>
          <w:shd w:val="clear" w:color="auto" w:fill="auto"/>
          <w:lang w:eastAsia="zh-CN"/>
        </w:rPr>
        <w:t>建筑电气</w:t>
      </w:r>
      <w:r>
        <w:rPr>
          <w:rFonts w:ascii="Times New Roman" w:hAnsi="Times New Roman" w:eastAsia="宋体" w:cs="宋体"/>
          <w:color w:val="auto"/>
          <w:spacing w:val="-1"/>
          <w:sz w:val="24"/>
          <w:szCs w:val="24"/>
          <w:shd w:val="clear" w:color="auto" w:fill="auto"/>
        </w:rPr>
        <w:t>进行消防电气</w:t>
      </w:r>
      <w:r>
        <w:rPr>
          <w:rFonts w:hint="eastAsia" w:cs="宋体"/>
          <w:color w:val="auto"/>
          <w:spacing w:val="-1"/>
          <w:sz w:val="24"/>
          <w:szCs w:val="24"/>
          <w:shd w:val="clear" w:color="auto" w:fill="auto"/>
          <w:lang w:eastAsia="zh-CN"/>
        </w:rPr>
        <w:t>安全监测</w:t>
      </w:r>
      <w:r>
        <w:rPr>
          <w:rFonts w:ascii="Times New Roman" w:hAnsi="Times New Roman" w:eastAsia="宋体" w:cs="宋体"/>
          <w:color w:val="auto"/>
          <w:spacing w:val="-1"/>
          <w:sz w:val="24"/>
          <w:szCs w:val="24"/>
          <w:shd w:val="clear" w:color="auto" w:fill="auto"/>
        </w:rPr>
        <w:t>。</w:t>
      </w:r>
    </w:p>
    <w:p w14:paraId="2B88BA9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（2）企业应制定化学品泄漏物和包装物的废弃处理程序，加强对废弃物的管理。</w:t>
      </w:r>
    </w:p>
    <w:p w14:paraId="565EE83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（3）凡有化学危险物品存放、使用场所，都应在醒目位置张贴《安全须知卡》。</w:t>
      </w:r>
    </w:p>
    <w:p w14:paraId="1802E44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（4）装卸、使用危险品时，必须先佩戴防护用品，装卸、使用危化品场所</w:t>
      </w:r>
      <w:r>
        <w:rPr>
          <w:rFonts w:hint="eastAsia" w:ascii="Times New Roman" w:hAnsi="Times New Roman" w:eastAsia="宋体" w:cs="宋体"/>
          <w:color w:val="auto"/>
          <w:spacing w:val="-1"/>
          <w:sz w:val="24"/>
          <w:szCs w:val="24"/>
          <w:shd w:val="clear" w:color="auto" w:fill="auto"/>
        </w:rPr>
        <w:t>附近配置洗眼、喷淋设备。</w:t>
      </w:r>
    </w:p>
    <w:p w14:paraId="4607D9CA">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7.8.4化学品贮存过程风险防范措施</w:t>
      </w:r>
    </w:p>
    <w:p w14:paraId="2DE8183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hint="eastAsia" w:ascii="Times New Roman" w:hAnsi="Times New Roman" w:eastAsia="宋体" w:cs="宋体"/>
          <w:color w:val="auto"/>
          <w:spacing w:val="-1"/>
          <w:sz w:val="24"/>
          <w:szCs w:val="24"/>
          <w:shd w:val="clear" w:color="auto" w:fill="auto"/>
          <w:lang w:val="en-US" w:eastAsia="zh-CN"/>
        </w:rPr>
        <w:t>（1）尽可能减少危险品储存量和储</w:t>
      </w:r>
      <w:r>
        <w:rPr>
          <w:rFonts w:ascii="Times New Roman" w:hAnsi="Times New Roman" w:eastAsia="宋体" w:cs="宋体"/>
          <w:color w:val="auto"/>
          <w:spacing w:val="-1"/>
          <w:sz w:val="24"/>
          <w:szCs w:val="24"/>
          <w:shd w:val="clear" w:color="auto" w:fill="auto"/>
        </w:rPr>
        <w:t>存周期，并根据危化品的危险等级、类别或性质分区储存，禁忌混合存放，易燃物与毒害物应分隔存放。</w:t>
      </w:r>
      <w:r>
        <w:rPr>
          <w:rFonts w:hint="eastAsia" w:ascii="Times New Roman" w:hAnsi="Times New Roman" w:eastAsia="宋体" w:cs="宋体"/>
          <w:color w:val="auto"/>
          <w:spacing w:val="-1"/>
          <w:sz w:val="24"/>
          <w:szCs w:val="24"/>
          <w:shd w:val="clear" w:color="auto" w:fill="auto"/>
          <w:lang w:val="en-US" w:eastAsia="zh-CN"/>
        </w:rPr>
        <w:t>一期工程</w:t>
      </w:r>
      <w:r>
        <w:rPr>
          <w:rFonts w:ascii="Times New Roman" w:hAnsi="Times New Roman" w:eastAsia="宋体" w:cs="宋体"/>
          <w:color w:val="auto"/>
          <w:spacing w:val="-1"/>
          <w:sz w:val="24"/>
          <w:szCs w:val="24"/>
          <w:shd w:val="clear" w:color="auto" w:fill="auto"/>
        </w:rPr>
        <w:t>危险化学品的存储和使用应符合《电镀化学品运输、存储、使用安全规程》（AQ3019-2008）等有关规定的要求。</w:t>
      </w:r>
    </w:p>
    <w:p w14:paraId="2EC429AD">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（2）化学品储存场所等应设立检查制度；主要化学物料输送管道应安装必要的安全附件；输送管道上应安装切断阀、流量检测或检漏设备。</w:t>
      </w:r>
    </w:p>
    <w:p w14:paraId="231059D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（3）厂内配备专业技术人员负责管理，同时配备必要的个人防护用品，防护用品包括工作服、橡皮围裙、橡皮袖罩、橡皮手套、长筒胶靴、防毒面具、滤毒口罩、护目镜等。</w:t>
      </w:r>
    </w:p>
    <w:p w14:paraId="1CF0D98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（4）在现场须备有清水、苏打水或醋酸等，以备急救时应用。</w:t>
      </w:r>
    </w:p>
    <w:p w14:paraId="64D57B85">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宋体" w:cs="宋体"/>
          <w:color w:val="auto"/>
          <w:spacing w:val="-1"/>
          <w:sz w:val="24"/>
          <w:szCs w:val="24"/>
          <w:shd w:val="clear" w:color="auto" w:fill="auto"/>
        </w:rPr>
      </w:pPr>
      <w:r>
        <w:rPr>
          <w:rFonts w:ascii="Times New Roman" w:hAnsi="Times New Roman" w:eastAsia="宋体" w:cs="宋体"/>
          <w:color w:val="auto"/>
          <w:spacing w:val="-1"/>
          <w:sz w:val="24"/>
          <w:szCs w:val="24"/>
          <w:shd w:val="clear" w:color="auto" w:fill="auto"/>
        </w:rPr>
        <w:t>（5）危化品间周围设置地沟，硝酸、盐酸等桶装区建设围堰，地面采用防腐、防渗设计，一旦发生泄漏事故，收集的危险化学品及清洗废水均泵入厂区事故池。</w:t>
      </w:r>
    </w:p>
    <w:p w14:paraId="6692F61E">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1"/>
        <w:rPr>
          <w:rFonts w:hint="eastAsia" w:ascii="Times New Roman" w:hAnsi="Times New Roman" w:eastAsia="楷体" w:cs="Times New Roman"/>
          <w:b/>
          <w:color w:val="auto"/>
          <w:sz w:val="30"/>
          <w:szCs w:val="30"/>
          <w:lang w:val="en-US" w:eastAsia="zh-CN"/>
        </w:rPr>
      </w:pPr>
      <w:r>
        <w:rPr>
          <w:rFonts w:hint="eastAsia" w:ascii="Times New Roman" w:hAnsi="Times New Roman" w:eastAsia="楷体" w:cs="Times New Roman"/>
          <w:b/>
          <w:color w:val="auto"/>
          <w:sz w:val="30"/>
          <w:szCs w:val="30"/>
          <w:lang w:val="en-US" w:eastAsia="zh-CN"/>
        </w:rPr>
        <w:t>7.8.5泄漏事故防范措施</w:t>
      </w:r>
    </w:p>
    <w:p w14:paraId="735D4283">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rFonts w:ascii="Times New Roman" w:hAnsi="Times New Roman" w:eastAsia="宋体" w:cs="黑体"/>
          <w:color w:val="auto"/>
          <w:sz w:val="24"/>
          <w:szCs w:val="24"/>
        </w:rPr>
      </w:pPr>
      <w:r>
        <w:rPr>
          <w:rFonts w:ascii="Times New Roman" w:hAnsi="Times New Roman" w:eastAsia="宋体" w:cs="黑体"/>
          <w:color w:val="auto"/>
          <w:spacing w:val="-5"/>
          <w:sz w:val="24"/>
          <w:szCs w:val="24"/>
        </w:rPr>
        <w:t>（</w:t>
      </w:r>
      <w:r>
        <w:rPr>
          <w:rFonts w:ascii="Times New Roman" w:hAnsi="Times New Roman" w:eastAsia="宋体" w:cs="Times New Roman"/>
          <w:color w:val="auto"/>
          <w:spacing w:val="-5"/>
          <w:sz w:val="24"/>
          <w:szCs w:val="24"/>
        </w:rPr>
        <w:t>1</w:t>
      </w:r>
      <w:r>
        <w:rPr>
          <w:rFonts w:ascii="Times New Roman" w:hAnsi="Times New Roman" w:eastAsia="宋体" w:cs="黑体"/>
          <w:color w:val="auto"/>
          <w:spacing w:val="-5"/>
          <w:sz w:val="24"/>
          <w:szCs w:val="24"/>
        </w:rPr>
        <w:t>）</w:t>
      </w:r>
      <w:r>
        <w:rPr>
          <w:rFonts w:hint="eastAsia" w:ascii="Times New Roman" w:hAnsi="Times New Roman" w:eastAsia="宋体" w:cs="黑体"/>
          <w:color w:val="auto"/>
          <w:spacing w:val="-5"/>
          <w:sz w:val="24"/>
          <w:szCs w:val="24"/>
          <w:lang w:val="en-US" w:eastAsia="zh-CN"/>
        </w:rPr>
        <w:t>一期工程</w:t>
      </w:r>
      <w:r>
        <w:rPr>
          <w:rFonts w:ascii="Times New Roman" w:hAnsi="Times New Roman" w:eastAsia="宋体" w:cs="黑体"/>
          <w:color w:val="auto"/>
          <w:spacing w:val="-5"/>
          <w:sz w:val="24"/>
          <w:szCs w:val="24"/>
        </w:rPr>
        <w:t>电镀槽液泄漏</w:t>
      </w:r>
    </w:p>
    <w:p w14:paraId="2C06C67B">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ascii="宋体" w:hAnsi="宋体" w:eastAsia="宋体" w:cs="宋体"/>
          <w:color w:val="auto"/>
          <w:sz w:val="24"/>
          <w:szCs w:val="24"/>
        </w:rPr>
      </w:pPr>
      <w:r>
        <w:rPr>
          <w:rFonts w:ascii="宋体" w:hAnsi="宋体" w:eastAsia="宋体" w:cs="宋体"/>
          <w:color w:val="auto"/>
          <w:spacing w:val="-4"/>
          <w:sz w:val="24"/>
          <w:szCs w:val="24"/>
        </w:rPr>
        <w:t>因为槽体破裂发生事故导致电镀槽液泄漏而未及时收集，或者因储存装置破</w:t>
      </w:r>
      <w:r>
        <w:rPr>
          <w:rFonts w:ascii="宋体" w:hAnsi="宋体" w:eastAsia="宋体" w:cs="宋体"/>
          <w:color w:val="auto"/>
          <w:spacing w:val="-8"/>
          <w:sz w:val="24"/>
          <w:szCs w:val="24"/>
        </w:rPr>
        <w:t>裂导致危化品泄漏，会对建设项目场地的土壤和地下水环境产生严重影响。因此，</w:t>
      </w:r>
      <w:r>
        <w:rPr>
          <w:rFonts w:ascii="宋体" w:hAnsi="宋体" w:eastAsia="宋体" w:cs="宋体"/>
          <w:color w:val="auto"/>
          <w:spacing w:val="-3"/>
          <w:sz w:val="24"/>
          <w:szCs w:val="24"/>
        </w:rPr>
        <w:t>必须采取严格措施防止泄漏事故对周边环境造成不利影响。本项目泄漏事故防范</w:t>
      </w:r>
      <w:r>
        <w:rPr>
          <w:rFonts w:ascii="宋体" w:hAnsi="宋体" w:eastAsia="宋体" w:cs="宋体"/>
          <w:color w:val="auto"/>
          <w:spacing w:val="-11"/>
          <w:sz w:val="24"/>
          <w:szCs w:val="24"/>
        </w:rPr>
        <w:t>措施如下：</w:t>
      </w:r>
    </w:p>
    <w:p w14:paraId="3D06D139">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7"/>
          <w:sz w:val="24"/>
          <w:szCs w:val="24"/>
        </w:rPr>
        <w:t>1</w:t>
      </w:r>
      <w:r>
        <w:rPr>
          <w:rFonts w:ascii="宋体" w:hAnsi="宋体" w:eastAsia="宋体" w:cs="宋体"/>
          <w:color w:val="auto"/>
          <w:spacing w:val="-7"/>
          <w:sz w:val="24"/>
          <w:szCs w:val="24"/>
        </w:rPr>
        <w:t>）电镀线须离地架空建设，设置围堰或托盘（均采取防腐</w:t>
      </w:r>
      <w:r>
        <w:rPr>
          <w:rFonts w:ascii="宋体" w:hAnsi="宋体" w:eastAsia="宋体" w:cs="宋体"/>
          <w:color w:val="auto"/>
          <w:spacing w:val="-8"/>
          <w:sz w:val="24"/>
          <w:szCs w:val="24"/>
        </w:rPr>
        <w:t>、防渗）、收集与</w:t>
      </w:r>
      <w:r>
        <w:rPr>
          <w:rFonts w:ascii="宋体" w:hAnsi="宋体" w:eastAsia="宋体" w:cs="宋体"/>
          <w:color w:val="auto"/>
          <w:spacing w:val="-5"/>
          <w:sz w:val="24"/>
          <w:szCs w:val="24"/>
        </w:rPr>
        <w:t>引流设施。既可以分类收集跑冒滴漏的废水，还可以防止镀槽发生意外破裂时槽</w:t>
      </w:r>
      <w:r>
        <w:rPr>
          <w:rFonts w:ascii="宋体" w:hAnsi="宋体" w:eastAsia="宋体" w:cs="宋体"/>
          <w:color w:val="auto"/>
          <w:spacing w:val="-6"/>
          <w:sz w:val="24"/>
          <w:szCs w:val="24"/>
        </w:rPr>
        <w:t>液不流失到外环境。对于已泄漏至围堰内的物料，尽可能</w:t>
      </w:r>
      <w:r>
        <w:rPr>
          <w:rFonts w:ascii="宋体" w:hAnsi="宋体" w:eastAsia="宋体" w:cs="宋体"/>
          <w:color w:val="auto"/>
          <w:spacing w:val="-7"/>
          <w:sz w:val="24"/>
          <w:szCs w:val="24"/>
        </w:rPr>
        <w:t>收集利用，不能利用的</w:t>
      </w:r>
      <w:r>
        <w:rPr>
          <w:rFonts w:ascii="宋体" w:hAnsi="宋体" w:eastAsia="宋体" w:cs="宋体"/>
          <w:color w:val="auto"/>
          <w:spacing w:val="-5"/>
          <w:sz w:val="24"/>
          <w:szCs w:val="24"/>
        </w:rPr>
        <w:t>则纳入废水处理系统。每条电镀线下均整体设置托盘，单槽槽液小于托</w:t>
      </w:r>
      <w:r>
        <w:rPr>
          <w:rFonts w:ascii="宋体" w:hAnsi="宋体" w:eastAsia="宋体" w:cs="宋体"/>
          <w:color w:val="auto"/>
          <w:spacing w:val="-6"/>
          <w:sz w:val="24"/>
          <w:szCs w:val="24"/>
        </w:rPr>
        <w:t>盘可容纳</w:t>
      </w:r>
      <w:r>
        <w:rPr>
          <w:rFonts w:ascii="宋体" w:hAnsi="宋体" w:eastAsia="宋体" w:cs="宋体"/>
          <w:color w:val="auto"/>
          <w:spacing w:val="-4"/>
          <w:sz w:val="24"/>
          <w:szCs w:val="24"/>
        </w:rPr>
        <w:t>容积，托盘接收具备可行性。</w:t>
      </w:r>
    </w:p>
    <w:p w14:paraId="1C27736A">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）设置备用镀槽，出现泄漏事故，槽液泵入备用槽，然后对破损容器进行</w:t>
      </w:r>
      <w:r>
        <w:rPr>
          <w:rFonts w:ascii="宋体" w:hAnsi="宋体" w:eastAsia="宋体" w:cs="宋体"/>
          <w:color w:val="auto"/>
          <w:spacing w:val="-7"/>
          <w:sz w:val="24"/>
          <w:szCs w:val="24"/>
        </w:rPr>
        <w:t>修补或更换。</w:t>
      </w:r>
    </w:p>
    <w:p w14:paraId="26F03CA3">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color w:val="auto"/>
          <w:spacing w:val="-2"/>
          <w:sz w:val="24"/>
          <w:szCs w:val="24"/>
        </w:rPr>
      </w:pPr>
      <w:r>
        <w:rPr>
          <w:rFonts w:ascii="Times New Roman" w:hAnsi="Times New Roman" w:eastAsia="Times New Roman" w:cs="Times New Roman"/>
          <w:color w:val="auto"/>
          <w:spacing w:val="-2"/>
          <w:sz w:val="24"/>
          <w:szCs w:val="24"/>
        </w:rPr>
        <w:t>3</w:t>
      </w:r>
      <w:r>
        <w:rPr>
          <w:rFonts w:ascii="宋体" w:hAnsi="宋体" w:eastAsia="宋体" w:cs="宋体"/>
          <w:color w:val="auto"/>
          <w:spacing w:val="-2"/>
          <w:sz w:val="24"/>
          <w:szCs w:val="24"/>
        </w:rPr>
        <w:t>）电镀区及危化品间地面采用环氧树脂漆涂层防腐、防渗漏设计。</w:t>
      </w:r>
    </w:p>
    <w:p w14:paraId="5D873400">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4）对于厂区内的各类危化品贮存容器（小容量贮桶或瓶）破损泄漏时，尽可能将泄漏部位转向上，移至安全区域再处置（可采取转移至安全完好的贮存容量内）。对于已泄漏物料则首先尽可能收集回收，泄漏被控制后，要及时将现场泄漏物进行覆盖、收容、稀释、处理使泄漏物得到安全可靠的处置，防止二次事故的发生。</w:t>
      </w:r>
    </w:p>
    <w:p w14:paraId="47ECCA80">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5）如果在生产使用过程中发生泄漏，要在统一指挥下，通过关闭有关阀门，切断与之相连的设备、管线，停止作业，或改变工艺流程等方法来控制化学品的泄漏。</w:t>
      </w:r>
    </w:p>
    <w:p w14:paraId="3472AA78">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6）涉及危化品的工段设有喷淋洗眼器、洗手池，并配备相应的防护手套、防毒呼吸器等个人防护用品，供事故时临时急用。</w:t>
      </w:r>
    </w:p>
    <w:p w14:paraId="1A878ED6">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（2）</w:t>
      </w:r>
      <w:r>
        <w:rPr>
          <w:rFonts w:hint="eastAsia" w:ascii="Times New Roman" w:hAnsi="Times New Roman" w:eastAsia="宋体" w:cs="Times New Roman"/>
          <w:color w:val="auto"/>
          <w:spacing w:val="-7"/>
          <w:sz w:val="24"/>
          <w:szCs w:val="24"/>
          <w:lang w:val="en-US" w:eastAsia="zh-CN"/>
        </w:rPr>
        <w:t>厂区</w:t>
      </w:r>
      <w:r>
        <w:rPr>
          <w:rFonts w:ascii="Times New Roman" w:hAnsi="Times New Roman" w:eastAsia="Times New Roman" w:cs="Times New Roman"/>
          <w:color w:val="auto"/>
          <w:spacing w:val="-7"/>
          <w:sz w:val="24"/>
          <w:szCs w:val="24"/>
        </w:rPr>
        <w:t>天然气泄漏</w:t>
      </w:r>
    </w:p>
    <w:p w14:paraId="68CA5F1E">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锅炉装置区设天然气气体报警系统，发生小泄漏时及时处置，严重泄漏时全厂停产，及时处置。</w:t>
      </w:r>
    </w:p>
    <w:p w14:paraId="4C0AD956">
      <w:pPr>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ascii="Times New Roman" w:hAnsi="Times New Roman" w:eastAsia="Times New Roman" w:cs="Times New Roman"/>
          <w:color w:val="auto"/>
          <w:spacing w:val="-7"/>
          <w:sz w:val="24"/>
          <w:szCs w:val="24"/>
        </w:rPr>
      </w:pPr>
      <w:r>
        <w:rPr>
          <w:rFonts w:ascii="Times New Roman" w:hAnsi="Times New Roman" w:eastAsia="Times New Roman" w:cs="Times New Roman"/>
          <w:color w:val="auto"/>
          <w:spacing w:val="-7"/>
          <w:sz w:val="24"/>
          <w:szCs w:val="24"/>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w:t>
      </w:r>
    </w:p>
    <w:p w14:paraId="1430948F">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（3）硫酸、盐酸、硝酸泄漏</w:t>
      </w:r>
    </w:p>
    <w:p w14:paraId="42218BD1">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1）泄漏应急处理</w:t>
      </w:r>
    </w:p>
    <w:p w14:paraId="2357AD70">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根据液体流动和蒸汽扩散的影响区域划定警戒区，无关人员从侧风、上风向迅速撤离至安全区，并进行隔离，严格限制出入。建议应急处理人员戴正压自给式呼吸器，穿防酸碱服，戴橡胶耐酸碱手套，穿上适当的防护服前严禁接触破裂的容器和泄漏物。不要直接接触泄漏物。尽可能切断泄漏源。勿使泄漏物与可燃物质（木材、纸、油等）接触。防止泄漏物进入下水道、地下室或限制性空间等。喷水雾减慢挥发（或扩散），但不要对泄漏物或泄漏点直接喷水。小量泄漏，用干燥砂土、石灰或苏打灰混合，然后收集运至废物处理场所处置；也可以用大量水冲洗，洗水排入事故池。大量泄漏，利用围堤或挖坑收容；用泵转移至槽车或专用收集容器内，回收或运至废物处理场所处置。</w:t>
      </w:r>
    </w:p>
    <w:p w14:paraId="30955922">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2）防护措施</w:t>
      </w:r>
    </w:p>
    <w:p w14:paraId="43651FBD">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工程控制：密闭操作，注意通风。尽可能机械化、自动化。提供安全淋浴和洗眼设备。</w:t>
      </w:r>
    </w:p>
    <w:p w14:paraId="553E3387">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呼吸系统防护：可能接触其蒸气或烟雾时，必须佩戴自吸过滤式防毒面具(全面罩)或空气呼吸器。紧急事态抢救或撤离时，建议</w:t>
      </w:r>
      <w:r>
        <w:rPr>
          <w:rFonts w:hint="eastAsia" w:cs="Times New Roman"/>
          <w:color w:val="auto"/>
          <w:spacing w:val="-6"/>
          <w:sz w:val="24"/>
          <w:szCs w:val="24"/>
          <w:lang w:eastAsia="zh-CN"/>
        </w:rPr>
        <w:t>佩戴</w:t>
      </w:r>
      <w:r>
        <w:rPr>
          <w:rFonts w:ascii="Times New Roman" w:hAnsi="Times New Roman" w:eastAsia="宋体" w:cs="Times New Roman"/>
          <w:color w:val="auto"/>
          <w:spacing w:val="-6"/>
          <w:sz w:val="24"/>
          <w:szCs w:val="24"/>
        </w:rPr>
        <w:t>氧气呼吸器。</w:t>
      </w:r>
    </w:p>
    <w:p w14:paraId="2F7DA2E3">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眼睛防护：利用呼吸系统防护或戴化学安全防护眼镜。</w:t>
      </w:r>
    </w:p>
    <w:p w14:paraId="1697EF57">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身体防护：穿橡胶耐酸碱服。手防护：戴橡胶耐酸碱手套。</w:t>
      </w:r>
    </w:p>
    <w:p w14:paraId="7035CC65">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其它：工作场所禁止吸烟、进食和饮水。工作毕，淋浴更衣。单独存放被毒物污染的衣服，洗后备用。保持良好的卫生习惯。</w:t>
      </w:r>
    </w:p>
    <w:p w14:paraId="67C20DF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3）急救措施</w:t>
      </w:r>
    </w:p>
    <w:p w14:paraId="702DBBB8">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皮肤接触：立即脱去污染的衣着，用大量流动清水冲洗至少15分钟。或用2%碳酸氢钠溶液冲洗。就医。</w:t>
      </w:r>
    </w:p>
    <w:p w14:paraId="5DF0EDF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眼睛接触：立即提起眼睑，用大量流动清水或生理盐水冲洗至少15分钟。就医。</w:t>
      </w:r>
    </w:p>
    <w:p w14:paraId="4E6747B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吸入：迅速脱离现场至空气新鲜处。保持呼吸道通畅。呼吸困难时给输氧。如呼吸停止，立即进行人工呼吸。给予2~4%碳酸氢钠溶液雾化吸入。就医。</w:t>
      </w:r>
    </w:p>
    <w:p w14:paraId="36422F70">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食入：误服者用水漱口，给牛奶、蛋清、植物油等口服，不可催吐。立即就医。</w:t>
      </w:r>
    </w:p>
    <w:p w14:paraId="69B97E80">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4）消防措施</w:t>
      </w:r>
    </w:p>
    <w:p w14:paraId="45CD021A">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灭火方法：用干粉、二氧化碳、砂土灭火。</w:t>
      </w:r>
    </w:p>
    <w:p w14:paraId="1E852095">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灭火注意事项及措施：消防人员必须穿全身耐酸碱消防服、佩戴空气呼吸器，在上风向灭火。尽可能将容器从火场移至空旷处。喷水保持火场容器冷却，直至灭火结束。避免水流冲击物品，以免遇水会放出大量热量发生喷溅而灼伤皮肤。</w:t>
      </w:r>
    </w:p>
    <w:p w14:paraId="16F1A406">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1"/>
        <w:rPr>
          <w:rFonts w:hint="eastAsia" w:ascii="Times New Roman" w:hAnsi="Times New Roman" w:eastAsia="宋体" w:cs="宋体"/>
          <w:b/>
          <w:color w:val="auto"/>
          <w:sz w:val="30"/>
          <w:szCs w:val="30"/>
          <w:lang w:val="en-US" w:eastAsia="zh-CN"/>
        </w:rPr>
      </w:pPr>
      <w:r>
        <w:rPr>
          <w:rFonts w:hint="eastAsia" w:ascii="Times New Roman" w:hAnsi="Times New Roman" w:eastAsia="宋体" w:cs="宋体"/>
          <w:b/>
          <w:color w:val="auto"/>
          <w:sz w:val="30"/>
          <w:szCs w:val="30"/>
          <w:lang w:val="en-US" w:eastAsia="zh-CN"/>
        </w:rPr>
        <w:t>7.8.6环保设施事故排放的防范措施</w:t>
      </w:r>
    </w:p>
    <w:p w14:paraId="21E0E8FB">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（1）废水事故排放防范措施</w:t>
      </w:r>
    </w:p>
    <w:p w14:paraId="074F627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加强治理设施的运行管理和日常维护，发现异常应及时查明原因和维修。防止污废水泄漏造成的环境污染事故，</w:t>
      </w:r>
      <w:r>
        <w:rPr>
          <w:rFonts w:hint="eastAsia" w:ascii="Times New Roman" w:hAnsi="Times New Roman" w:eastAsia="宋体" w:cs="Times New Roman"/>
          <w:color w:val="auto"/>
          <w:spacing w:val="-6"/>
          <w:sz w:val="24"/>
          <w:szCs w:val="24"/>
          <w:lang w:val="en-US" w:eastAsia="zh-CN"/>
        </w:rPr>
        <w:t>依托一期</w:t>
      </w:r>
      <w:r>
        <w:rPr>
          <w:rFonts w:ascii="Times New Roman" w:hAnsi="Times New Roman" w:eastAsia="宋体" w:cs="Times New Roman"/>
          <w:color w:val="auto"/>
          <w:spacing w:val="-6"/>
          <w:sz w:val="24"/>
          <w:szCs w:val="24"/>
        </w:rPr>
        <w:t>事故池，切断污染物与外部的通道，使污染物导入污水处理系统，将污染控制在厂内。</w:t>
      </w:r>
    </w:p>
    <w:p w14:paraId="20EAA68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建设单位应从防止事故状态污染物向水环境转移的控制要求进行设计，制定相应防控措施。应在污水、雨水排水系统等排出装置前设立闸门，对雨水排水管设立切换装置，事故时及时切换至收集、处理设施。</w:t>
      </w:r>
    </w:p>
    <w:p w14:paraId="37FF74E6">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为防止生产过程或事故状态污染物进入周边环境，导致环境污染事故，必须坚持预防为主、防控结合，建立安全有效的污染综合预防控制体系。针对公司生产原料、产品的特点，在生产区域建立一级防控措施，在厂区建立二级预控措施，建立厂外三级防控措施，防止重大生产事故泄漏物料和消防废水造成的环境污染。具体的三级防控措施设置要求及措施如下：</w:t>
      </w:r>
    </w:p>
    <w:p w14:paraId="7BA79199">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1）一级防控措施</w:t>
      </w:r>
    </w:p>
    <w:p w14:paraId="50CE0CDF">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本项目一级防范主要针对</w:t>
      </w:r>
      <w:r>
        <w:rPr>
          <w:rFonts w:hint="eastAsia" w:ascii="Times New Roman" w:hAnsi="Times New Roman" w:eastAsia="宋体" w:cs="Times New Roman"/>
          <w:color w:val="auto"/>
          <w:spacing w:val="-6"/>
          <w:sz w:val="24"/>
          <w:szCs w:val="24"/>
          <w:lang w:val="en-US" w:eastAsia="zh-CN"/>
        </w:rPr>
        <w:t>一期工程的</w:t>
      </w:r>
      <w:r>
        <w:rPr>
          <w:rFonts w:ascii="Times New Roman" w:hAnsi="Times New Roman" w:eastAsia="宋体" w:cs="Times New Roman"/>
          <w:color w:val="auto"/>
          <w:spacing w:val="-6"/>
          <w:sz w:val="24"/>
          <w:szCs w:val="24"/>
        </w:rPr>
        <w:t>电镀车间、仓库、危废暂存间</w:t>
      </w:r>
      <w:r>
        <w:rPr>
          <w:rFonts w:hint="eastAsia" w:ascii="Times New Roman" w:hAnsi="Times New Roman" w:eastAsia="宋体" w:cs="Times New Roman"/>
          <w:color w:val="auto"/>
          <w:spacing w:val="-6"/>
          <w:sz w:val="24"/>
          <w:szCs w:val="24"/>
          <w:lang w:val="en-US" w:eastAsia="zh-CN"/>
        </w:rPr>
        <w:t>和本项目2#危化品仓库</w:t>
      </w:r>
      <w:r>
        <w:rPr>
          <w:rFonts w:ascii="Times New Roman" w:hAnsi="Times New Roman" w:eastAsia="宋体" w:cs="Times New Roman"/>
          <w:color w:val="auto"/>
          <w:spacing w:val="-6"/>
          <w:sz w:val="24"/>
          <w:szCs w:val="24"/>
        </w:rPr>
        <w:t>等。</w:t>
      </w:r>
    </w:p>
    <w:p w14:paraId="08A12E6A">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lang w:val="en-US" w:eastAsia="zh-CN"/>
        </w:rPr>
        <w:t>一期工程的</w:t>
      </w:r>
      <w:r>
        <w:rPr>
          <w:rFonts w:ascii="Times New Roman" w:hAnsi="Times New Roman" w:eastAsia="宋体" w:cs="Times New Roman"/>
          <w:color w:val="auto"/>
          <w:spacing w:val="-6"/>
          <w:sz w:val="24"/>
          <w:szCs w:val="24"/>
        </w:rPr>
        <w:t>电镀线离地架空建设，每条电镀线下均设置托盘收集散落废水并分别与各废水收集管线连接。设置备用镀槽，出现泄漏事故，槽液泵入备用槽。在各涉含镍废水的电镀车间内设置1个有效容积3m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含镍废水车间事故池，在各涉含铬废水的电镀车间内设置1个有效容积1m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含铬废水车间事故池。</w:t>
      </w:r>
    </w:p>
    <w:p w14:paraId="3F54EEE3">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在</w:t>
      </w:r>
      <w:r>
        <w:rPr>
          <w:rFonts w:hint="eastAsia" w:ascii="Times New Roman" w:hAnsi="Times New Roman" w:eastAsia="宋体" w:cs="Times New Roman"/>
          <w:color w:val="auto"/>
          <w:spacing w:val="-6"/>
          <w:sz w:val="24"/>
          <w:szCs w:val="24"/>
          <w:lang w:val="en-US" w:eastAsia="zh-CN"/>
        </w:rPr>
        <w:t>1#</w:t>
      </w:r>
      <w:r>
        <w:rPr>
          <w:rFonts w:ascii="Times New Roman" w:hAnsi="Times New Roman" w:eastAsia="宋体" w:cs="Times New Roman"/>
          <w:color w:val="auto"/>
          <w:spacing w:val="-6"/>
          <w:sz w:val="24"/>
          <w:szCs w:val="24"/>
        </w:rPr>
        <w:t>仓库</w:t>
      </w:r>
      <w:r>
        <w:rPr>
          <w:rFonts w:hint="eastAsia" w:ascii="Times New Roman" w:hAnsi="Times New Roman" w:eastAsia="宋体" w:cs="Times New Roman"/>
          <w:color w:val="auto"/>
          <w:spacing w:val="-6"/>
          <w:sz w:val="24"/>
          <w:szCs w:val="24"/>
          <w:lang w:val="en-US" w:eastAsia="zh-CN"/>
        </w:rPr>
        <w:t>和2#危化品仓库</w:t>
      </w:r>
      <w:r>
        <w:rPr>
          <w:rFonts w:ascii="Times New Roman" w:hAnsi="Times New Roman" w:eastAsia="宋体" w:cs="Times New Roman"/>
          <w:color w:val="auto"/>
          <w:spacing w:val="-6"/>
          <w:sz w:val="24"/>
          <w:szCs w:val="24"/>
        </w:rPr>
        <w:t>设300×300mm防渗导流沟和有效容积3m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收集池，连接厂区事故池及污水处理系统；性质相抵触、灭火方法不同的原辅料分类分区存放，配备必需的消防、通风、降温、防潮、避雷等安全装置，配备干燥砂土、石灰等应急物资；安装火灾报警仪和视频监控设施。</w:t>
      </w:r>
    </w:p>
    <w:p w14:paraId="05BE601A">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危废暂存间四周设置300×300mm防渗导流沟和有效容积3m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收集池，地面采用防腐、防渗设计。</w:t>
      </w:r>
    </w:p>
    <w:p w14:paraId="2A44F1D8">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宋体" w:cs="Times New Roman"/>
          <w:color w:val="auto"/>
          <w:spacing w:val="-6"/>
          <w:sz w:val="24"/>
          <w:szCs w:val="24"/>
        </w:rPr>
      </w:pP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）二级防控措施</w:t>
      </w:r>
    </w:p>
    <w:p w14:paraId="15E9B6F4">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eastAsia" w:ascii="Times New Roman" w:hAnsi="Times New Roman" w:eastAsia="宋体" w:cs="Times New Roman"/>
          <w:color w:val="auto"/>
          <w:spacing w:val="-6"/>
          <w:sz w:val="24"/>
          <w:szCs w:val="24"/>
          <w:lang w:eastAsia="zh-CN"/>
        </w:rPr>
      </w:pPr>
      <w:r>
        <w:rPr>
          <w:rFonts w:hint="eastAsia" w:ascii="Times New Roman" w:hAnsi="Times New Roman" w:eastAsia="宋体" w:cs="Times New Roman"/>
          <w:color w:val="auto"/>
          <w:spacing w:val="-6"/>
          <w:sz w:val="24"/>
          <w:szCs w:val="24"/>
          <w:lang w:val="en-US" w:eastAsia="zh-CN"/>
        </w:rPr>
        <w:t>厂区已建设</w:t>
      </w:r>
      <w:r>
        <w:rPr>
          <w:color w:val="auto"/>
        </w:rPr>
        <w:t>1600m</w:t>
      </w:r>
      <w:r>
        <w:rPr>
          <w:color w:val="auto"/>
          <w:vertAlign w:val="superscript"/>
        </w:rPr>
        <w:t>3</w:t>
      </w:r>
      <w:r>
        <w:rPr>
          <w:color w:val="auto"/>
        </w:rPr>
        <w:t>事故池</w:t>
      </w:r>
      <w:r>
        <w:rPr>
          <w:rFonts w:hint="eastAsia" w:ascii="Times New Roman" w:hAnsi="Times New Roman" w:eastAsia="宋体" w:cs="Times New Roman"/>
          <w:color w:val="auto"/>
          <w:spacing w:val="-6"/>
          <w:sz w:val="24"/>
          <w:szCs w:val="24"/>
          <w:lang w:eastAsia="zh-CN"/>
        </w:rPr>
        <w:t>。</w:t>
      </w:r>
    </w:p>
    <w:p w14:paraId="743FCDF8">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Times New Roman" w:cs="Times New Roman"/>
          <w:color w:val="auto"/>
          <w:spacing w:val="-2"/>
          <w:sz w:val="24"/>
          <w:szCs w:val="24"/>
        </w:rPr>
      </w:pPr>
      <w:r>
        <w:rPr>
          <w:rFonts w:ascii="Times New Roman" w:hAnsi="Times New Roman" w:eastAsia="Times New Roman" w:cs="Times New Roman"/>
          <w:color w:val="auto"/>
          <w:spacing w:val="-2"/>
          <w:sz w:val="24"/>
          <w:szCs w:val="24"/>
        </w:rPr>
        <w:t>3）三级防控措施</w:t>
      </w:r>
    </w:p>
    <w:p w14:paraId="32D14168">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color w:val="auto"/>
          <w:spacing w:val="-11"/>
          <w:sz w:val="24"/>
          <w:szCs w:val="24"/>
        </w:rPr>
      </w:pPr>
      <w:r>
        <w:rPr>
          <w:rFonts w:ascii="Times New Roman" w:hAnsi="Times New Roman" w:eastAsia="Times New Roman" w:cs="Times New Roman"/>
          <w:color w:val="auto"/>
          <w:spacing w:val="-2"/>
          <w:sz w:val="24"/>
          <w:szCs w:val="24"/>
        </w:rPr>
        <w:t>建立工业园区的三级风险防控措施，新能源汽车科技城污水处理厂（一期）已投入运行，本项目废水经园区污水处理厂进一步处理后排至赣江，园区设有事故应急池，可防止正常和事故废水泄漏影响下游水体。建设单位应建立企业与园</w:t>
      </w:r>
      <w:r>
        <w:rPr>
          <w:rFonts w:ascii="宋体" w:hAnsi="宋体" w:eastAsia="宋体" w:cs="宋体"/>
          <w:color w:val="auto"/>
          <w:spacing w:val="-4"/>
          <w:sz w:val="24"/>
          <w:szCs w:val="24"/>
        </w:rPr>
        <w:t>区管委会的联系，一旦发生风险事故，能及时报告、及时响应。同时建议园区管</w:t>
      </w:r>
      <w:r>
        <w:rPr>
          <w:rFonts w:ascii="宋体" w:hAnsi="宋体" w:eastAsia="宋体" w:cs="宋体"/>
          <w:color w:val="auto"/>
          <w:spacing w:val="-2"/>
          <w:sz w:val="24"/>
          <w:szCs w:val="24"/>
        </w:rPr>
        <w:t>委会在园区雨水管网末端、园区雨水排放口前设置受事故污染的雨水应急措施，</w:t>
      </w:r>
      <w:r>
        <w:rPr>
          <w:rFonts w:ascii="宋体" w:hAnsi="宋体" w:eastAsia="宋体" w:cs="宋体"/>
          <w:color w:val="auto"/>
          <w:spacing w:val="-3"/>
          <w:sz w:val="24"/>
          <w:szCs w:val="24"/>
        </w:rPr>
        <w:t>设置有相应应急能力的事故池，避免发生事故时受到污染的雨水直接进入周边水</w:t>
      </w:r>
      <w:r>
        <w:rPr>
          <w:rFonts w:ascii="宋体" w:hAnsi="宋体" w:eastAsia="宋体" w:cs="宋体"/>
          <w:color w:val="auto"/>
          <w:spacing w:val="-11"/>
          <w:sz w:val="24"/>
          <w:szCs w:val="24"/>
        </w:rPr>
        <w:t>体。</w:t>
      </w:r>
    </w:p>
    <w:p w14:paraId="60C5DEC0">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宋体" w:hAnsi="宋体" w:eastAsia="宋体" w:cs="宋体"/>
          <w:color w:val="auto"/>
          <w:sz w:val="28"/>
          <w:szCs w:val="28"/>
        </w:rPr>
      </w:pPr>
      <w:r>
        <w:rPr>
          <w:rFonts w:ascii="Times New Roman" w:hAnsi="Times New Roman" w:eastAsia="Times New Roman" w:cs="Times New Roman"/>
          <w:b/>
          <w:bCs/>
          <w:color w:val="auto"/>
          <w:spacing w:val="-2"/>
          <w:sz w:val="28"/>
          <w:szCs w:val="28"/>
        </w:rPr>
        <w:t>7.</w:t>
      </w:r>
      <w:r>
        <w:rPr>
          <w:rFonts w:hint="eastAsia" w:ascii="Times New Roman" w:hAnsi="Times New Roman" w:eastAsia="宋体" w:cs="Times New Roman"/>
          <w:b/>
          <w:bCs/>
          <w:color w:val="auto"/>
          <w:spacing w:val="-2"/>
          <w:sz w:val="28"/>
          <w:szCs w:val="28"/>
          <w:lang w:val="en-US" w:eastAsia="zh-CN"/>
        </w:rPr>
        <w:t>9</w:t>
      </w:r>
      <w:r>
        <w:rPr>
          <w:rFonts w:ascii="宋体" w:hAnsi="宋体" w:eastAsia="宋体" w:cs="宋体"/>
          <w:b/>
          <w:bCs/>
          <w:color w:val="auto"/>
          <w:spacing w:val="-2"/>
          <w:sz w:val="28"/>
          <w:szCs w:val="28"/>
        </w:rPr>
        <w:t>风险应急预案</w:t>
      </w:r>
    </w:p>
    <w:p w14:paraId="6B89B88B">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宋体" w:cs="宋体"/>
          <w:color w:val="auto"/>
          <w:spacing w:val="-4"/>
          <w:sz w:val="24"/>
          <w:szCs w:val="24"/>
        </w:rPr>
      </w:pPr>
      <w:r>
        <w:rPr>
          <w:rFonts w:ascii="Times New Roman" w:hAnsi="Times New Roman" w:eastAsia="宋体" w:cs="宋体"/>
          <w:color w:val="auto"/>
          <w:spacing w:val="-4"/>
          <w:sz w:val="24"/>
          <w:szCs w:val="24"/>
        </w:rPr>
        <w:t>（1）指导思想。为建立健全公司突发事件应急管理工作体制和机制，保证企业、社会和人民生命财产安全，明确应急管理和应急处置工作的职责和程序，提高果断应对突发事件的组织指挥、快速处置、协同配合能力，最大程度地控制事态扩大，避免或减少人员伤亡、财产损失，切实保障人员生命和财产安全，维护正常的生产经营秩序，促进公司持续、健康、稳定发展，特制定企业“风险事故应急救援预案”（以下简称“预案”）。</w:t>
      </w:r>
    </w:p>
    <w:p w14:paraId="25376E86">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宋体" w:cs="宋体"/>
          <w:color w:val="auto"/>
          <w:spacing w:val="-4"/>
          <w:sz w:val="24"/>
          <w:szCs w:val="24"/>
        </w:rPr>
      </w:pPr>
      <w:r>
        <w:rPr>
          <w:rFonts w:ascii="Times New Roman" w:hAnsi="Times New Roman" w:eastAsia="宋体" w:cs="宋体"/>
          <w:color w:val="auto"/>
          <w:spacing w:val="-4"/>
          <w:sz w:val="24"/>
          <w:szCs w:val="24"/>
        </w:rPr>
        <w:t>（2）应急计划区。本项目的应急计划区为电镀车间、模压粘结磁生产车间、仓库、锅炉房等。</w:t>
      </w:r>
    </w:p>
    <w:p w14:paraId="099D7721">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pacing w:val="-4"/>
          <w:sz w:val="24"/>
          <w:szCs w:val="24"/>
        </w:rPr>
        <w:t>（3）应急组织机构、人员。江西劲诚永磁新材料有限公司成立风险事故应急救援“指挥领导小组”，由总经理、分管副经理及生产、安全、环保、设备、保卫等部门的领导组成，下设应急救援办公室，日常工作由安全环保部门兼管。发生重大事故时，以指挥领导小组为基础，立即成立公司事故应急救援指挥部，总经理任总指挥，分管副经理任副总指挥，负责全厂应急救援工作的组织和指挥。若总经理和副总经理不在时，由安全环保部门或其它部门负责人为临时总指挥，全权负责应急救援工作。公司建立各种不脱产的专业救援队伍，包括抢险抢修队、医疗救护队、义务消防队、通信保障队、治安队等，救援队伍是事故应急救援的骨干力</w:t>
      </w:r>
      <w:r>
        <w:rPr>
          <w:rFonts w:ascii="Times New Roman" w:hAnsi="Times New Roman" w:eastAsia="宋体" w:cs="宋体"/>
          <w:color w:val="auto"/>
          <w:spacing w:val="-2"/>
          <w:sz w:val="24"/>
          <w:szCs w:val="24"/>
        </w:rPr>
        <w:t>量，担负公司各类重大事故的处理任</w:t>
      </w:r>
      <w:r>
        <w:rPr>
          <w:rFonts w:ascii="Times New Roman" w:hAnsi="Times New Roman" w:eastAsia="宋体" w:cs="宋体"/>
          <w:color w:val="auto"/>
          <w:spacing w:val="-3"/>
          <w:sz w:val="24"/>
          <w:szCs w:val="24"/>
        </w:rPr>
        <w:t>务。</w:t>
      </w:r>
    </w:p>
    <w:p w14:paraId="2B5114B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w:t>
      </w:r>
      <w:r>
        <w:rPr>
          <w:rFonts w:ascii="Times New Roman" w:hAnsi="Times New Roman" w:eastAsia="宋体" w:cs="Times New Roman"/>
          <w:color w:val="auto"/>
          <w:sz w:val="24"/>
          <w:szCs w:val="24"/>
        </w:rPr>
        <w:t>4</w:t>
      </w:r>
      <w:r>
        <w:rPr>
          <w:rFonts w:ascii="Times New Roman" w:hAnsi="Times New Roman" w:eastAsia="宋体" w:cs="宋体"/>
          <w:color w:val="auto"/>
          <w:sz w:val="24"/>
          <w:szCs w:val="24"/>
        </w:rPr>
        <w:t>）预案分级响应条件。原则上由江西劲诚永磁新材料有限公司解决生产</w:t>
      </w:r>
      <w:r>
        <w:rPr>
          <w:rFonts w:ascii="Times New Roman" w:hAnsi="Times New Roman" w:eastAsia="宋体" w:cs="宋体"/>
          <w:color w:val="auto"/>
          <w:spacing w:val="-6"/>
          <w:sz w:val="24"/>
          <w:szCs w:val="24"/>
        </w:rPr>
        <w:t>过程中出现的风险事故。根据事故具体情况，企业无能力解</w:t>
      </w:r>
      <w:r>
        <w:rPr>
          <w:rFonts w:ascii="Times New Roman" w:hAnsi="Times New Roman" w:eastAsia="宋体" w:cs="宋体"/>
          <w:color w:val="auto"/>
          <w:spacing w:val="-7"/>
          <w:sz w:val="24"/>
          <w:szCs w:val="24"/>
        </w:rPr>
        <w:t>决时，应及时向园区</w:t>
      </w:r>
      <w:r>
        <w:rPr>
          <w:rFonts w:ascii="Times New Roman" w:hAnsi="Times New Roman" w:eastAsia="宋体" w:cs="宋体"/>
          <w:color w:val="auto"/>
          <w:spacing w:val="-1"/>
          <w:sz w:val="24"/>
          <w:szCs w:val="24"/>
        </w:rPr>
        <w:t>管委会、赣州经济技术开发区或赣州市的安全环保部门</w:t>
      </w:r>
      <w:r>
        <w:rPr>
          <w:rFonts w:ascii="Times New Roman" w:hAnsi="Times New Roman" w:eastAsia="宋体" w:cs="宋体"/>
          <w:color w:val="auto"/>
          <w:spacing w:val="-2"/>
          <w:sz w:val="24"/>
          <w:szCs w:val="24"/>
        </w:rPr>
        <w:t>报告，请求指挥、处理。</w:t>
      </w:r>
    </w:p>
    <w:p w14:paraId="426EA1B6">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pacing w:val="-3"/>
          <w:sz w:val="24"/>
          <w:szCs w:val="24"/>
        </w:rPr>
        <w:t>公司响应级别分为</w:t>
      </w:r>
      <w:r>
        <w:rPr>
          <w:rFonts w:ascii="Times New Roman" w:hAnsi="Times New Roman" w:eastAsia="宋体" w:cs="Times New Roman"/>
          <w:color w:val="auto"/>
          <w:spacing w:val="-3"/>
          <w:sz w:val="24"/>
          <w:szCs w:val="24"/>
        </w:rPr>
        <w:t>2</w:t>
      </w:r>
      <w:r>
        <w:rPr>
          <w:rFonts w:ascii="Times New Roman" w:hAnsi="Times New Roman" w:eastAsia="宋体" w:cs="宋体"/>
          <w:color w:val="auto"/>
          <w:spacing w:val="-3"/>
          <w:sz w:val="24"/>
          <w:szCs w:val="24"/>
        </w:rPr>
        <w:t>级，即现场响应和公司响应。</w:t>
      </w:r>
    </w:p>
    <w:p w14:paraId="5FCB543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宋体"/>
          <w:color w:val="auto"/>
          <w:spacing w:val="-11"/>
          <w:sz w:val="24"/>
          <w:szCs w:val="24"/>
        </w:rPr>
      </w:pPr>
      <w:r>
        <w:rPr>
          <w:rFonts w:ascii="Times New Roman" w:hAnsi="Times New Roman" w:eastAsia="宋体" w:cs="Times New Roman"/>
          <w:color w:val="auto"/>
          <w:sz w:val="24"/>
          <w:szCs w:val="24"/>
        </w:rPr>
        <w:t>1</w:t>
      </w:r>
      <w:r>
        <w:rPr>
          <w:rFonts w:ascii="Times New Roman" w:hAnsi="Times New Roman" w:eastAsia="宋体" w:cs="宋体"/>
          <w:color w:val="auto"/>
          <w:sz w:val="24"/>
          <w:szCs w:val="24"/>
        </w:rPr>
        <w:t>）现场应急响应：当突发事件发生后，现场或第一</w:t>
      </w:r>
      <w:r>
        <w:rPr>
          <w:rFonts w:ascii="Times New Roman" w:hAnsi="Times New Roman" w:eastAsia="宋体" w:cs="宋体"/>
          <w:color w:val="auto"/>
          <w:spacing w:val="-1"/>
          <w:sz w:val="24"/>
          <w:szCs w:val="24"/>
        </w:rPr>
        <w:t>发现人员立即按照现场</w:t>
      </w:r>
      <w:r>
        <w:rPr>
          <w:rFonts w:ascii="Times New Roman" w:hAnsi="Times New Roman" w:eastAsia="宋体" w:cs="宋体"/>
          <w:color w:val="auto"/>
          <w:spacing w:val="-3"/>
          <w:sz w:val="24"/>
          <w:szCs w:val="24"/>
        </w:rPr>
        <w:t>处置措施进行处置，同时向部门负责人报告，并按照相关法律法规</w:t>
      </w:r>
      <w:r>
        <w:rPr>
          <w:rFonts w:ascii="Times New Roman" w:hAnsi="Times New Roman" w:eastAsia="宋体" w:cs="宋体"/>
          <w:color w:val="auto"/>
          <w:spacing w:val="-4"/>
          <w:sz w:val="24"/>
          <w:szCs w:val="24"/>
        </w:rPr>
        <w:t>要求拨打报警</w:t>
      </w:r>
      <w:r>
        <w:rPr>
          <w:rFonts w:ascii="Times New Roman" w:hAnsi="Times New Roman" w:eastAsia="宋体" w:cs="宋体"/>
          <w:color w:val="auto"/>
          <w:spacing w:val="-11"/>
          <w:sz w:val="24"/>
          <w:szCs w:val="24"/>
        </w:rPr>
        <w:t>电话。</w:t>
      </w:r>
    </w:p>
    <w:p w14:paraId="3ACEFF11">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2）公司应急响应：突发事件发生部门接到报告后，立即进入应急状态。根据情况决定是否起动专项应急预案，并立即报告公司应急指挥部办公室。公司应急指挥部办公室接到事发部门报告后，尽快核实基本情况，及时做出判断，报公司应急指挥部指挥长。应急指挥办公室在上报的同时组织开展先期应急处置，及时上报处置情况。经公司应急指挥部授权后，启动公司相关应急预案。</w:t>
      </w:r>
    </w:p>
    <w:p w14:paraId="084FBF19">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（5）应急救援保障</w:t>
      </w:r>
    </w:p>
    <w:p w14:paraId="509BAF01">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w:t>
      </w:r>
      <w:r>
        <w:rPr>
          <w:rFonts w:hint="eastAsia" w:cs="宋体"/>
          <w:color w:val="auto"/>
          <w:spacing w:val="-3"/>
          <w:sz w:val="24"/>
          <w:szCs w:val="24"/>
          <w:lang w:eastAsia="zh-CN"/>
        </w:rPr>
        <w:t>通信与信息保障</w:t>
      </w:r>
    </w:p>
    <w:p w14:paraId="4B1128F1">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应急救援办公室实行24小时值班；经理、副经理及有关部门的负责人和关键岗位的管理人员手机保持24小时通讯畅通。</w:t>
      </w:r>
    </w:p>
    <w:p w14:paraId="51012C6C">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2）物资保障</w:t>
      </w:r>
    </w:p>
    <w:p w14:paraId="6396FA97">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公司应配备压气式呼吸器、全身防护服、灭火器、洗眼器等物资，消防车依托赣州经济技术开发区消防队，医疗救护车、医务所依托赣州经济技术开发区或赣州市的医疗机构。</w:t>
      </w:r>
    </w:p>
    <w:p w14:paraId="68E79192">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6）报警、通讯联络方式。一旦发生风险事故，必须及时报警和向有关部门报告。报警内容包括：事故发生时间、地点、化学危险物名称和泄漏量、事故原因、事故性质（外溢、爆炸、燃烧）、危害程度、对救援的要求以及报警人与联系电话等。由江西劲诚永磁新材料有限公司指挥部向上级和友邻单位发布救援请求、通报事故情况。</w:t>
      </w:r>
    </w:p>
    <w:p w14:paraId="3CC25114">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（7）应急环境监测、抢救、救援及控制措施。由公司环境监测站配合第三方检测机构负责对事故现场进行侦察监测，对事故性质、参数和后果进行评估，为事故应急救援指挥部提供决策依据。</w:t>
      </w:r>
    </w:p>
    <w:p w14:paraId="75C3A866">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应急监测小组得到信息后，监测人员携带应急监测设备赶赴现场，在尽能快的时间内查清：①主要污染源和主要污染物的种类；②污染物的浓度分布；③污染影响范围及可能的危害。得出结论后及时报告有关部门，为事故应急救援指挥部提供决策依据。</w:t>
      </w:r>
    </w:p>
    <w:p w14:paraId="019CF474">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主要气态污染物应急监测指标：VOCs、颗粒物、二氧化硫、氮氧化物、氯化氢。</w:t>
      </w:r>
    </w:p>
    <w:p w14:paraId="7AA440AE">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水环境应急监测指标：pH、CODcr、BOD5、总氮、总磷、氨氮、石油类、SS、总锌、总镍、总铜、总铬、总锡、色度等。</w:t>
      </w:r>
    </w:p>
    <w:p w14:paraId="222B3DC3">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（8）应急防护、消除泄漏措施。</w:t>
      </w:r>
    </w:p>
    <w:p w14:paraId="017A1C88">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1）控制污染源。一旦发生泄漏，应尽快组织抢险队与技术人员一起及时堵漏，控制泄漏量。如泄漏无法堵住时，应将泄漏贮槽中的剩余料液泵至完好贮槽内贮存。</w:t>
      </w:r>
    </w:p>
    <w:p w14:paraId="0DFE9AC5">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2）进入泄漏区的工作人员应穿戴压气式呼吸器和全身防护服。</w:t>
      </w:r>
    </w:p>
    <w:p w14:paraId="699E4F9A">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3）抢救受害人员。及时、有序、有效地实施现场急救与安全转送伤员，减少伤亡率，减轻事故损失。</w:t>
      </w:r>
    </w:p>
    <w:p w14:paraId="55D5F8C8">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9）周边区域的单位、社区人员疏散的方式、方法。当事故危及周边单位、村庄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和方式。撤离方式有步行和车辆运输两种。撤离方法中应明确应采取的预防措施、注意事项、撤离方向和撤离距离。撤离必须是有组织性的。</w:t>
      </w:r>
    </w:p>
    <w:p w14:paraId="5983BA92">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人员紧急撤离、疏散组织计划。在风险事故可能对厂内外人群安全构成威胁时，必须在指挥部统一指挥下对与事故应急救援无关的人员进行紧急疏散。公司在最高建筑物上应设立“风向标”。总的原则是疏散安全点处于当时的上风向和侧风向。对可能威胁到厂外居民和友邻单位人员安全时，指挥部应立即和赣州经济技术开发区有关部门联系，引导居民迅速撤离到安全地点。</w:t>
      </w:r>
    </w:p>
    <w:p w14:paraId="2EE91094">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10）园区内企业、园区管理机构及生态环境主管部门应加强应急管理机构建设，确保在突发环境事件发生后能迅速响应并完成相应的应急处置工作。园区管理机构在生态环境主管部门的协助指导下，建立和完善园区环境应急专家库，并按照理论型、管理型、行业型对专家进行分类管理。应急专家在发生园区突发环境事件后要及时到位，为指挥决策提供技术支持。园区管理机构及建设单位应该根据环境风险评价的结果，充分利用现有资源，有针对性地储备应急物资和装备，建立完善应急物资和装备动态管理系统，确保应急物资和装备充足。</w:t>
      </w:r>
    </w:p>
    <w:p w14:paraId="07CC8BE2">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（11）事故应急救援关闭程序与恢复措施。事故处理后，由应急救援指挥部发布应急救援停止命令，负责组织厂内和周边受到影响区域的善后处理、恢复工作。</w:t>
      </w:r>
    </w:p>
    <w:p w14:paraId="3ECB8ECA">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12）应急培训计划。加强各救援队伍的培训，指挥领导小组要从实际出发，针对危险目标可能发生的事故，每年至少组织一次模拟演习。把指挥机构和各救援队伍训练成一支思想好、技术精、作风硬的指挥班子和抢救队伍。一旦发生事故，指挥机构能正确指挥，各救援队伍能根据各自任务及时有效地排除险情、控制并消除事故、抢救伤员、做好应急救援工作。</w:t>
      </w:r>
    </w:p>
    <w:p w14:paraId="626A2E0E">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宋体" w:cs="宋体"/>
          <w:color w:val="auto"/>
          <w:spacing w:val="-3"/>
          <w:sz w:val="24"/>
          <w:szCs w:val="24"/>
        </w:rPr>
      </w:pPr>
      <w:r>
        <w:rPr>
          <w:rFonts w:ascii="Times New Roman" w:hAnsi="Times New Roman" w:eastAsia="宋体" w:cs="宋体"/>
          <w:color w:val="auto"/>
          <w:spacing w:val="-3"/>
          <w:sz w:val="24"/>
          <w:szCs w:val="24"/>
        </w:rPr>
        <w:t>（13）公众教育和信息。对厂址附近的企业职工和居民开展公众教育、培训和发布有关信息。</w:t>
      </w:r>
    </w:p>
    <w:p w14:paraId="03171C0F">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宋体" w:hAnsi="宋体" w:eastAsia="宋体" w:cs="宋体"/>
          <w:color w:val="auto"/>
          <w:sz w:val="28"/>
          <w:szCs w:val="28"/>
        </w:rPr>
      </w:pPr>
      <w:r>
        <w:rPr>
          <w:rFonts w:ascii="Times New Roman" w:hAnsi="Times New Roman" w:eastAsia="Times New Roman" w:cs="Times New Roman"/>
          <w:b/>
          <w:bCs/>
          <w:color w:val="auto"/>
          <w:spacing w:val="-2"/>
          <w:sz w:val="28"/>
          <w:szCs w:val="28"/>
        </w:rPr>
        <w:t>7.</w:t>
      </w:r>
      <w:r>
        <w:rPr>
          <w:rFonts w:hint="eastAsia" w:ascii="Times New Roman" w:hAnsi="Times New Roman" w:eastAsia="宋体" w:cs="Times New Roman"/>
          <w:b/>
          <w:bCs/>
          <w:color w:val="auto"/>
          <w:spacing w:val="-2"/>
          <w:sz w:val="28"/>
          <w:szCs w:val="28"/>
          <w:lang w:val="en-US" w:eastAsia="zh-CN"/>
        </w:rPr>
        <w:t>10</w:t>
      </w:r>
      <w:r>
        <w:rPr>
          <w:rFonts w:ascii="宋体" w:hAnsi="宋体" w:eastAsia="宋体" w:cs="宋体"/>
          <w:b/>
          <w:bCs/>
          <w:color w:val="auto"/>
          <w:spacing w:val="-2"/>
          <w:sz w:val="28"/>
          <w:szCs w:val="28"/>
        </w:rPr>
        <w:t>评价结论与建议</w:t>
      </w:r>
    </w:p>
    <w:p w14:paraId="7C91D9C8">
      <w:pPr>
        <w:keepNext w:val="0"/>
        <w:keepLines w:val="0"/>
        <w:pageBreakBefore w:val="0"/>
        <w:widowControl w:val="0"/>
        <w:kinsoku/>
        <w:wordWrap/>
        <w:overflowPunct/>
        <w:topLinePunct w:val="0"/>
        <w:autoSpaceDE/>
        <w:autoSpaceDN/>
        <w:bidi w:val="0"/>
        <w:adjustRightInd/>
        <w:snapToGrid/>
        <w:spacing w:line="360" w:lineRule="auto"/>
        <w:ind w:left="0" w:right="0" w:firstLine="448" w:firstLineChars="200"/>
        <w:textAlignment w:val="auto"/>
        <w:rPr>
          <w:rFonts w:hint="eastAsia" w:ascii="Times New Roman" w:hAnsi="Times New Roman" w:eastAsia="宋体" w:cs="宋体"/>
          <w:color w:val="auto"/>
          <w:spacing w:val="-3"/>
          <w:sz w:val="24"/>
          <w:szCs w:val="24"/>
          <w:lang w:eastAsia="zh-CN"/>
        </w:rPr>
        <w:sectPr>
          <w:headerReference r:id="rId9" w:type="default"/>
          <w:footerReference r:id="rId10" w:type="default"/>
          <w:pgSz w:w="11907" w:h="16839"/>
          <w:pgMar w:top="1134" w:right="1735" w:bottom="1198" w:left="1771" w:header="863" w:footer="982" w:gutter="0"/>
          <w:pgBorders>
            <w:top w:val="none" w:sz="0" w:space="0"/>
            <w:left w:val="none" w:sz="0" w:space="0"/>
            <w:bottom w:val="none" w:sz="0" w:space="0"/>
            <w:right w:val="none" w:sz="0" w:space="0"/>
          </w:pgBorders>
          <w:pgNumType w:fmt="decimal"/>
          <w:cols w:space="720" w:num="1"/>
        </w:sectPr>
      </w:pPr>
      <w:r>
        <w:rPr>
          <w:rFonts w:ascii="宋体" w:hAnsi="宋体" w:eastAsia="宋体" w:cs="宋体"/>
          <w:color w:val="auto"/>
          <w:spacing w:val="-8"/>
          <w:sz w:val="24"/>
          <w:szCs w:val="24"/>
        </w:rPr>
        <w:t>本项目一般危化品的使用，在生产、储存、运输等过程主要存</w:t>
      </w:r>
      <w:r>
        <w:rPr>
          <w:rFonts w:ascii="宋体" w:hAnsi="宋体" w:eastAsia="宋体" w:cs="宋体"/>
          <w:color w:val="auto"/>
          <w:spacing w:val="-9"/>
          <w:sz w:val="24"/>
          <w:szCs w:val="24"/>
        </w:rPr>
        <w:t>在泄漏的风险，</w:t>
      </w:r>
      <w:r>
        <w:rPr>
          <w:rFonts w:ascii="宋体" w:hAnsi="宋体" w:eastAsia="宋体" w:cs="宋体"/>
          <w:color w:val="auto"/>
          <w:spacing w:val="-3"/>
          <w:sz w:val="24"/>
          <w:szCs w:val="24"/>
        </w:rPr>
        <w:t>但在采取严格的防护措施后，事故发生概率很小。一旦发生事故，依靠厂内的安全防护设施和事故应急措施也能及时控制事故，防止事故的蔓延。严格遵守各项安全操作规程和制度，加强安全管理，落实各项环境风险防范措施、制定环境风</w:t>
      </w:r>
      <w:r>
        <w:rPr>
          <w:rFonts w:ascii="宋体" w:hAnsi="宋体" w:eastAsia="宋体" w:cs="宋体"/>
          <w:color w:val="auto"/>
          <w:spacing w:val="-2"/>
          <w:sz w:val="24"/>
          <w:szCs w:val="24"/>
        </w:rPr>
        <w:t>险应急预案并定期进行演练，其环境风险程度属于可接受水平。</w:t>
      </w:r>
    </w:p>
    <w:p w14:paraId="691854ED">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color w:val="auto"/>
          <w:spacing w:val="-7"/>
          <w:sz w:val="24"/>
          <w:szCs w:val="24"/>
          <w:lang w:val="en-US" w:eastAsia="zh-CN"/>
        </w:rPr>
      </w:pPr>
    </w:p>
    <w:sectPr>
      <w:headerReference r:id="rId11" w:type="default"/>
      <w:footerReference r:id="rId12"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瀹嬩綋">
    <w:altName w:val="Calibri"/>
    <w:panose1 w:val="00000000000000000000"/>
    <w:charset w:val="00"/>
    <w:family w:val="auto"/>
    <w:pitch w:val="default"/>
    <w:sig w:usb0="00000000" w:usb1="00000000" w:usb2="00000000" w:usb3="00000000" w:csb0="00000000" w:csb1="00000000"/>
  </w:font>
  <w:font w:name="宋体..擞..">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MS Mincho">
    <w:panose1 w:val="02020609040205080304"/>
    <w:charset w:val="80"/>
    <w:family w:val="roman"/>
    <w:pitch w:val="default"/>
    <w:sig w:usb0="A00002BF" w:usb1="68C7FCFB" w:usb2="00000010" w:usb3="00000000" w:csb0="4002009F" w:csb1="DFD7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FF5A9">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0856F">
    <w:pPr>
      <w:pStyle w:val="14"/>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ACD16">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6EACD16">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CA314">
    <w:pPr>
      <w:pStyle w:val="14"/>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5CE50">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85</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A65CE50">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85</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4CA5">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373F0">
    <w:pPr>
      <w:pStyle w:val="14"/>
      <w:rPr>
        <w:rStyle w:val="28"/>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242AC">
                          <w:pPr>
                            <w:pStyle w:val="14"/>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F8242AC">
                    <w:pPr>
                      <w:pStyle w:val="14"/>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p w14:paraId="39D8909C">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D9A26">
    <w:pPr>
      <w:spacing w:line="205" w:lineRule="auto"/>
      <w:ind w:left="4033"/>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D0D7C">
                          <w:pPr>
                            <w:pStyle w:val="14"/>
                            <w:jc w:val="right"/>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21D0D7C">
                    <w:pPr>
                      <w:pStyle w:val="14"/>
                      <w:jc w:val="right"/>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78</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5B024">
    <w:pPr>
      <w:pStyle w:val="14"/>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AA011">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87</w:t>
                          </w:r>
                          <w:r>
                            <w:rPr>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09AA011">
                    <w:pPr>
                      <w:pStyle w:val="14"/>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87</w:t>
                    </w:r>
                    <w:r>
                      <w:rPr>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3594">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8FF1F">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CBFB">
    <w:pPr>
      <w:spacing w:before="16" w:line="215" w:lineRule="auto"/>
      <w:ind w:left="1228"/>
      <w:rPr>
        <w:rFonts w:ascii="楷体" w:hAnsi="楷体" w:eastAsia="楷体" w:cs="楷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610185"/>
    <w:multiLevelType w:val="singleLevel"/>
    <w:tmpl w:val="AF610185"/>
    <w:lvl w:ilvl="0" w:tentative="0">
      <w:start w:val="1"/>
      <w:numFmt w:val="decimal"/>
      <w:suff w:val="nothing"/>
      <w:lvlText w:val="%1、"/>
      <w:lvlJc w:val="left"/>
    </w:lvl>
  </w:abstractNum>
  <w:abstractNum w:abstractNumId="1">
    <w:nsid w:val="D9058459"/>
    <w:multiLevelType w:val="singleLevel"/>
    <w:tmpl w:val="D9058459"/>
    <w:lvl w:ilvl="0" w:tentative="0">
      <w:start w:val="1"/>
      <w:numFmt w:val="decimal"/>
      <w:suff w:val="nothing"/>
      <w:lvlText w:val="%1、"/>
      <w:lvlJc w:val="left"/>
    </w:lvl>
  </w:abstractNum>
  <w:abstractNum w:abstractNumId="2">
    <w:nsid w:val="6F93E25A"/>
    <w:multiLevelType w:val="singleLevel"/>
    <w:tmpl w:val="6F93E25A"/>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zMzA5MjJmNDlhNGIwZDg1MjVkYzgxZmEyMGZlODEifQ=="/>
  </w:docVars>
  <w:rsids>
    <w:rsidRoot w:val="00172A27"/>
    <w:rsid w:val="000060B3"/>
    <w:rsid w:val="000139D1"/>
    <w:rsid w:val="00032EE0"/>
    <w:rsid w:val="0004364B"/>
    <w:rsid w:val="00061B1F"/>
    <w:rsid w:val="000733C4"/>
    <w:rsid w:val="000741D5"/>
    <w:rsid w:val="00074783"/>
    <w:rsid w:val="00074A8D"/>
    <w:rsid w:val="0008070B"/>
    <w:rsid w:val="000810AC"/>
    <w:rsid w:val="00081A02"/>
    <w:rsid w:val="00082231"/>
    <w:rsid w:val="00092D38"/>
    <w:rsid w:val="0009377B"/>
    <w:rsid w:val="000A20C9"/>
    <w:rsid w:val="000A4A1B"/>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6BF"/>
    <w:rsid w:val="001A6F61"/>
    <w:rsid w:val="001B72B8"/>
    <w:rsid w:val="001C69B3"/>
    <w:rsid w:val="001D0F82"/>
    <w:rsid w:val="001D5595"/>
    <w:rsid w:val="001D7874"/>
    <w:rsid w:val="001D7F22"/>
    <w:rsid w:val="001F0F17"/>
    <w:rsid w:val="001F3347"/>
    <w:rsid w:val="001F336E"/>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07901"/>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E25"/>
    <w:rsid w:val="00416FD5"/>
    <w:rsid w:val="00417772"/>
    <w:rsid w:val="00420E6A"/>
    <w:rsid w:val="00425A9E"/>
    <w:rsid w:val="00426D6B"/>
    <w:rsid w:val="004313F2"/>
    <w:rsid w:val="00431E6C"/>
    <w:rsid w:val="00433CE7"/>
    <w:rsid w:val="00452738"/>
    <w:rsid w:val="00456091"/>
    <w:rsid w:val="00466321"/>
    <w:rsid w:val="00484B9B"/>
    <w:rsid w:val="004855F6"/>
    <w:rsid w:val="0048661E"/>
    <w:rsid w:val="00494670"/>
    <w:rsid w:val="004A2BF4"/>
    <w:rsid w:val="004A3823"/>
    <w:rsid w:val="004B6922"/>
    <w:rsid w:val="004E6946"/>
    <w:rsid w:val="004F1AD8"/>
    <w:rsid w:val="005039CB"/>
    <w:rsid w:val="00504094"/>
    <w:rsid w:val="0050558F"/>
    <w:rsid w:val="00506286"/>
    <w:rsid w:val="00510813"/>
    <w:rsid w:val="00511990"/>
    <w:rsid w:val="00511DE0"/>
    <w:rsid w:val="00514870"/>
    <w:rsid w:val="00514B9B"/>
    <w:rsid w:val="00517F02"/>
    <w:rsid w:val="00524303"/>
    <w:rsid w:val="005258A2"/>
    <w:rsid w:val="005401AE"/>
    <w:rsid w:val="00540BE6"/>
    <w:rsid w:val="00542E07"/>
    <w:rsid w:val="00545424"/>
    <w:rsid w:val="00554A7B"/>
    <w:rsid w:val="0055572C"/>
    <w:rsid w:val="0056106A"/>
    <w:rsid w:val="005720AE"/>
    <w:rsid w:val="00590E0E"/>
    <w:rsid w:val="00594D77"/>
    <w:rsid w:val="005969E4"/>
    <w:rsid w:val="005A06B7"/>
    <w:rsid w:val="005A1759"/>
    <w:rsid w:val="005A68A7"/>
    <w:rsid w:val="005D36AB"/>
    <w:rsid w:val="00617CC3"/>
    <w:rsid w:val="00620CD5"/>
    <w:rsid w:val="006276CD"/>
    <w:rsid w:val="006377A6"/>
    <w:rsid w:val="00637A3D"/>
    <w:rsid w:val="006411EF"/>
    <w:rsid w:val="00667071"/>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5794B"/>
    <w:rsid w:val="00761097"/>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651D"/>
    <w:rsid w:val="0093037A"/>
    <w:rsid w:val="00935ED6"/>
    <w:rsid w:val="00937ECE"/>
    <w:rsid w:val="0094154D"/>
    <w:rsid w:val="0095155F"/>
    <w:rsid w:val="00954429"/>
    <w:rsid w:val="009563CE"/>
    <w:rsid w:val="0096165E"/>
    <w:rsid w:val="00972AC3"/>
    <w:rsid w:val="00976328"/>
    <w:rsid w:val="0097680D"/>
    <w:rsid w:val="00982438"/>
    <w:rsid w:val="0098404C"/>
    <w:rsid w:val="00985283"/>
    <w:rsid w:val="009955DD"/>
    <w:rsid w:val="00995992"/>
    <w:rsid w:val="009A03E5"/>
    <w:rsid w:val="009A0F3B"/>
    <w:rsid w:val="009A1BB4"/>
    <w:rsid w:val="009A2628"/>
    <w:rsid w:val="009A3200"/>
    <w:rsid w:val="009B0897"/>
    <w:rsid w:val="009B7BD9"/>
    <w:rsid w:val="009C4CE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1027"/>
    <w:rsid w:val="00B22490"/>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11FB"/>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76B5A"/>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189B"/>
    <w:rsid w:val="00D308ED"/>
    <w:rsid w:val="00D36D86"/>
    <w:rsid w:val="00D428AA"/>
    <w:rsid w:val="00D46A92"/>
    <w:rsid w:val="00D50A34"/>
    <w:rsid w:val="00D53EFA"/>
    <w:rsid w:val="00D94A7C"/>
    <w:rsid w:val="00D95896"/>
    <w:rsid w:val="00DB2983"/>
    <w:rsid w:val="00DC1257"/>
    <w:rsid w:val="00DC3DC0"/>
    <w:rsid w:val="00DC5B2B"/>
    <w:rsid w:val="00DD318D"/>
    <w:rsid w:val="00DF2E12"/>
    <w:rsid w:val="00DF514A"/>
    <w:rsid w:val="00DF6690"/>
    <w:rsid w:val="00DF6804"/>
    <w:rsid w:val="00E01201"/>
    <w:rsid w:val="00E0358D"/>
    <w:rsid w:val="00E04323"/>
    <w:rsid w:val="00E070A2"/>
    <w:rsid w:val="00E26196"/>
    <w:rsid w:val="00E2656A"/>
    <w:rsid w:val="00E412D0"/>
    <w:rsid w:val="00E56322"/>
    <w:rsid w:val="00E60982"/>
    <w:rsid w:val="00E62C62"/>
    <w:rsid w:val="00E654C1"/>
    <w:rsid w:val="00E65D97"/>
    <w:rsid w:val="00E72A5A"/>
    <w:rsid w:val="00E73354"/>
    <w:rsid w:val="00E9242D"/>
    <w:rsid w:val="00EB5255"/>
    <w:rsid w:val="00EB5C47"/>
    <w:rsid w:val="00ED0639"/>
    <w:rsid w:val="00ED11E5"/>
    <w:rsid w:val="00EF4755"/>
    <w:rsid w:val="00EF7135"/>
    <w:rsid w:val="00F027DB"/>
    <w:rsid w:val="00F14A7A"/>
    <w:rsid w:val="00F22985"/>
    <w:rsid w:val="00F3383E"/>
    <w:rsid w:val="00F465A7"/>
    <w:rsid w:val="00F50B7C"/>
    <w:rsid w:val="00F550E6"/>
    <w:rsid w:val="00F6000F"/>
    <w:rsid w:val="00F72197"/>
    <w:rsid w:val="00F74345"/>
    <w:rsid w:val="00F80A0A"/>
    <w:rsid w:val="00F82B19"/>
    <w:rsid w:val="00F9212D"/>
    <w:rsid w:val="00F965DA"/>
    <w:rsid w:val="00FA406A"/>
    <w:rsid w:val="00FB503A"/>
    <w:rsid w:val="00FB516C"/>
    <w:rsid w:val="00FB583D"/>
    <w:rsid w:val="00FC3F7F"/>
    <w:rsid w:val="00FD0236"/>
    <w:rsid w:val="00FD18F4"/>
    <w:rsid w:val="00FD54DB"/>
    <w:rsid w:val="00FD619F"/>
    <w:rsid w:val="010D5826"/>
    <w:rsid w:val="01290F7E"/>
    <w:rsid w:val="013818A5"/>
    <w:rsid w:val="015D1E09"/>
    <w:rsid w:val="01605054"/>
    <w:rsid w:val="022E44A8"/>
    <w:rsid w:val="024B0390"/>
    <w:rsid w:val="02575033"/>
    <w:rsid w:val="02697903"/>
    <w:rsid w:val="027E07E6"/>
    <w:rsid w:val="02D06A88"/>
    <w:rsid w:val="02F81E02"/>
    <w:rsid w:val="02F96569"/>
    <w:rsid w:val="032D633D"/>
    <w:rsid w:val="0340639E"/>
    <w:rsid w:val="0394618A"/>
    <w:rsid w:val="03AF3631"/>
    <w:rsid w:val="03C0647C"/>
    <w:rsid w:val="03EA7B21"/>
    <w:rsid w:val="03ED0507"/>
    <w:rsid w:val="03F02BFA"/>
    <w:rsid w:val="04413E9A"/>
    <w:rsid w:val="05936CC4"/>
    <w:rsid w:val="05F83EAE"/>
    <w:rsid w:val="05FD22EB"/>
    <w:rsid w:val="0617678C"/>
    <w:rsid w:val="063E7D85"/>
    <w:rsid w:val="06485097"/>
    <w:rsid w:val="06793D42"/>
    <w:rsid w:val="06DC53EE"/>
    <w:rsid w:val="07293586"/>
    <w:rsid w:val="07295285"/>
    <w:rsid w:val="075669F1"/>
    <w:rsid w:val="075C6E89"/>
    <w:rsid w:val="07636392"/>
    <w:rsid w:val="077141B8"/>
    <w:rsid w:val="07770C56"/>
    <w:rsid w:val="0858193B"/>
    <w:rsid w:val="08662833"/>
    <w:rsid w:val="087D6520"/>
    <w:rsid w:val="08D0366F"/>
    <w:rsid w:val="08E85C8B"/>
    <w:rsid w:val="0909054B"/>
    <w:rsid w:val="092217DD"/>
    <w:rsid w:val="093A7294"/>
    <w:rsid w:val="09847452"/>
    <w:rsid w:val="0A263993"/>
    <w:rsid w:val="0A2B40C5"/>
    <w:rsid w:val="0A2D3AC2"/>
    <w:rsid w:val="0A8823F7"/>
    <w:rsid w:val="0AA755DF"/>
    <w:rsid w:val="0AF452D3"/>
    <w:rsid w:val="0B0B66B5"/>
    <w:rsid w:val="0B1100EC"/>
    <w:rsid w:val="0B120D44"/>
    <w:rsid w:val="0B1C7535"/>
    <w:rsid w:val="0B541870"/>
    <w:rsid w:val="0B61769D"/>
    <w:rsid w:val="0B6B4077"/>
    <w:rsid w:val="0BB4095F"/>
    <w:rsid w:val="0BD27BF6"/>
    <w:rsid w:val="0C22463B"/>
    <w:rsid w:val="0C3B3C7D"/>
    <w:rsid w:val="0C6757BD"/>
    <w:rsid w:val="0C7312AA"/>
    <w:rsid w:val="0C7A0099"/>
    <w:rsid w:val="0C915D60"/>
    <w:rsid w:val="0CAA0E59"/>
    <w:rsid w:val="0CAA1C5C"/>
    <w:rsid w:val="0CAB2EAE"/>
    <w:rsid w:val="0CEA543B"/>
    <w:rsid w:val="0D1F4924"/>
    <w:rsid w:val="0D2A4DA8"/>
    <w:rsid w:val="0D2D7359"/>
    <w:rsid w:val="0D511C7C"/>
    <w:rsid w:val="0D621C7D"/>
    <w:rsid w:val="0E1D35EA"/>
    <w:rsid w:val="0E384A0C"/>
    <w:rsid w:val="0E511C4A"/>
    <w:rsid w:val="0E710D60"/>
    <w:rsid w:val="0E73034D"/>
    <w:rsid w:val="0E8A4C10"/>
    <w:rsid w:val="0EE21ADB"/>
    <w:rsid w:val="0EEE0FC3"/>
    <w:rsid w:val="0F13775A"/>
    <w:rsid w:val="0F474579"/>
    <w:rsid w:val="0F4E1CE6"/>
    <w:rsid w:val="0F5F45FE"/>
    <w:rsid w:val="0F9A112B"/>
    <w:rsid w:val="100D1BA1"/>
    <w:rsid w:val="10124176"/>
    <w:rsid w:val="101B3B45"/>
    <w:rsid w:val="106D2F64"/>
    <w:rsid w:val="109C4CD3"/>
    <w:rsid w:val="10B63710"/>
    <w:rsid w:val="10D96A5A"/>
    <w:rsid w:val="10F10820"/>
    <w:rsid w:val="10FC42CC"/>
    <w:rsid w:val="11085CB6"/>
    <w:rsid w:val="111C2F7A"/>
    <w:rsid w:val="11665CA1"/>
    <w:rsid w:val="1180414A"/>
    <w:rsid w:val="11E84674"/>
    <w:rsid w:val="11EB1A69"/>
    <w:rsid w:val="11FC4DC7"/>
    <w:rsid w:val="12067730"/>
    <w:rsid w:val="12C87AF1"/>
    <w:rsid w:val="133831E2"/>
    <w:rsid w:val="13951726"/>
    <w:rsid w:val="14241960"/>
    <w:rsid w:val="14396509"/>
    <w:rsid w:val="147111AE"/>
    <w:rsid w:val="14B56F72"/>
    <w:rsid w:val="14D23519"/>
    <w:rsid w:val="14DD2C3C"/>
    <w:rsid w:val="1552747A"/>
    <w:rsid w:val="15A25A66"/>
    <w:rsid w:val="15D84067"/>
    <w:rsid w:val="16087E1D"/>
    <w:rsid w:val="164C51F6"/>
    <w:rsid w:val="165E31B5"/>
    <w:rsid w:val="17701D14"/>
    <w:rsid w:val="17735226"/>
    <w:rsid w:val="17BD3848"/>
    <w:rsid w:val="17C105A4"/>
    <w:rsid w:val="17F02345"/>
    <w:rsid w:val="17FE5B8A"/>
    <w:rsid w:val="18016734"/>
    <w:rsid w:val="18030D48"/>
    <w:rsid w:val="18156B0B"/>
    <w:rsid w:val="185A7755"/>
    <w:rsid w:val="189F624C"/>
    <w:rsid w:val="18CF6C06"/>
    <w:rsid w:val="191C39FB"/>
    <w:rsid w:val="19492547"/>
    <w:rsid w:val="19934A71"/>
    <w:rsid w:val="19C90C62"/>
    <w:rsid w:val="19E85ED3"/>
    <w:rsid w:val="19EE6F09"/>
    <w:rsid w:val="1A1C66C0"/>
    <w:rsid w:val="1A42393B"/>
    <w:rsid w:val="1A9F322E"/>
    <w:rsid w:val="1AAD45DE"/>
    <w:rsid w:val="1ACA177F"/>
    <w:rsid w:val="1B046F80"/>
    <w:rsid w:val="1B134711"/>
    <w:rsid w:val="1B245FF1"/>
    <w:rsid w:val="1B3267B5"/>
    <w:rsid w:val="1B40161D"/>
    <w:rsid w:val="1B441859"/>
    <w:rsid w:val="1B6606B1"/>
    <w:rsid w:val="1BDD2DF9"/>
    <w:rsid w:val="1BF72BBE"/>
    <w:rsid w:val="1C2D03DD"/>
    <w:rsid w:val="1C5B1507"/>
    <w:rsid w:val="1C5E7925"/>
    <w:rsid w:val="1C6D30A7"/>
    <w:rsid w:val="1CCD0347"/>
    <w:rsid w:val="1CD76699"/>
    <w:rsid w:val="1CDD6C87"/>
    <w:rsid w:val="1CF906D8"/>
    <w:rsid w:val="1CFD070F"/>
    <w:rsid w:val="1D0765C4"/>
    <w:rsid w:val="1D1E02D8"/>
    <w:rsid w:val="1D221092"/>
    <w:rsid w:val="1D47074F"/>
    <w:rsid w:val="1D5F6196"/>
    <w:rsid w:val="1D6132A5"/>
    <w:rsid w:val="1D8E56D5"/>
    <w:rsid w:val="1DCB7653"/>
    <w:rsid w:val="1DE11F15"/>
    <w:rsid w:val="1E0210C2"/>
    <w:rsid w:val="1E253D57"/>
    <w:rsid w:val="1E26477C"/>
    <w:rsid w:val="1E695FED"/>
    <w:rsid w:val="1E7A43DA"/>
    <w:rsid w:val="1E8013E2"/>
    <w:rsid w:val="1EDB10BC"/>
    <w:rsid w:val="1EEE15D6"/>
    <w:rsid w:val="1F107590"/>
    <w:rsid w:val="1F2C4677"/>
    <w:rsid w:val="1F566D84"/>
    <w:rsid w:val="1FB43DE7"/>
    <w:rsid w:val="1FC33BAC"/>
    <w:rsid w:val="1FE7539E"/>
    <w:rsid w:val="20094833"/>
    <w:rsid w:val="204B2177"/>
    <w:rsid w:val="20671BE0"/>
    <w:rsid w:val="2081287D"/>
    <w:rsid w:val="20963CB8"/>
    <w:rsid w:val="20A81A1B"/>
    <w:rsid w:val="20B07FB6"/>
    <w:rsid w:val="20B646FB"/>
    <w:rsid w:val="21112658"/>
    <w:rsid w:val="213B74B1"/>
    <w:rsid w:val="215A2310"/>
    <w:rsid w:val="21DE318A"/>
    <w:rsid w:val="21DE5271"/>
    <w:rsid w:val="21EF5B80"/>
    <w:rsid w:val="22576990"/>
    <w:rsid w:val="22804172"/>
    <w:rsid w:val="2286343C"/>
    <w:rsid w:val="22937FC3"/>
    <w:rsid w:val="22AE0DF3"/>
    <w:rsid w:val="22C718AF"/>
    <w:rsid w:val="22E07ECD"/>
    <w:rsid w:val="22F47480"/>
    <w:rsid w:val="230F10C1"/>
    <w:rsid w:val="239D5794"/>
    <w:rsid w:val="23BF1C77"/>
    <w:rsid w:val="23DE1C48"/>
    <w:rsid w:val="240210CD"/>
    <w:rsid w:val="241B3D4C"/>
    <w:rsid w:val="24404E5A"/>
    <w:rsid w:val="2475305E"/>
    <w:rsid w:val="24916268"/>
    <w:rsid w:val="24965FFE"/>
    <w:rsid w:val="24BF09F7"/>
    <w:rsid w:val="24C73961"/>
    <w:rsid w:val="252D53FE"/>
    <w:rsid w:val="25317927"/>
    <w:rsid w:val="256128FE"/>
    <w:rsid w:val="257338A7"/>
    <w:rsid w:val="25A34FE5"/>
    <w:rsid w:val="25EC2D81"/>
    <w:rsid w:val="25FA4497"/>
    <w:rsid w:val="2619603A"/>
    <w:rsid w:val="264C3271"/>
    <w:rsid w:val="264F6F12"/>
    <w:rsid w:val="268E5E51"/>
    <w:rsid w:val="26C03072"/>
    <w:rsid w:val="26D07D70"/>
    <w:rsid w:val="27286E69"/>
    <w:rsid w:val="277057A2"/>
    <w:rsid w:val="27946A51"/>
    <w:rsid w:val="279C71EF"/>
    <w:rsid w:val="279D1030"/>
    <w:rsid w:val="27B506FD"/>
    <w:rsid w:val="27E83BE7"/>
    <w:rsid w:val="27EF03FB"/>
    <w:rsid w:val="282D331C"/>
    <w:rsid w:val="28546167"/>
    <w:rsid w:val="28690070"/>
    <w:rsid w:val="28882FB4"/>
    <w:rsid w:val="28A379A9"/>
    <w:rsid w:val="28A62D53"/>
    <w:rsid w:val="28DD424B"/>
    <w:rsid w:val="28EF11D1"/>
    <w:rsid w:val="2901323B"/>
    <w:rsid w:val="29206EB8"/>
    <w:rsid w:val="29327B09"/>
    <w:rsid w:val="29595666"/>
    <w:rsid w:val="2973423A"/>
    <w:rsid w:val="29874881"/>
    <w:rsid w:val="29E325E0"/>
    <w:rsid w:val="2A452503"/>
    <w:rsid w:val="2A6B60B1"/>
    <w:rsid w:val="2AAC570A"/>
    <w:rsid w:val="2AB25815"/>
    <w:rsid w:val="2AFC4907"/>
    <w:rsid w:val="2B09513F"/>
    <w:rsid w:val="2B110340"/>
    <w:rsid w:val="2B3040F1"/>
    <w:rsid w:val="2B3F3DC1"/>
    <w:rsid w:val="2B9F34C4"/>
    <w:rsid w:val="2BA936A8"/>
    <w:rsid w:val="2BBF5FEE"/>
    <w:rsid w:val="2BCB68A8"/>
    <w:rsid w:val="2C315A5A"/>
    <w:rsid w:val="2C4B1C25"/>
    <w:rsid w:val="2C5A7B6E"/>
    <w:rsid w:val="2CA90A4C"/>
    <w:rsid w:val="2CCB44D6"/>
    <w:rsid w:val="2CD32904"/>
    <w:rsid w:val="2CDE452A"/>
    <w:rsid w:val="2D2E214D"/>
    <w:rsid w:val="2D635299"/>
    <w:rsid w:val="2D661CB6"/>
    <w:rsid w:val="2D785A72"/>
    <w:rsid w:val="2D9E56F5"/>
    <w:rsid w:val="2DD22ACB"/>
    <w:rsid w:val="2DDC6CBC"/>
    <w:rsid w:val="2DE52CFB"/>
    <w:rsid w:val="2E667F96"/>
    <w:rsid w:val="2E8226AB"/>
    <w:rsid w:val="2EA264AA"/>
    <w:rsid w:val="2EA27501"/>
    <w:rsid w:val="2EBD4B08"/>
    <w:rsid w:val="2F0127AB"/>
    <w:rsid w:val="2FD065E6"/>
    <w:rsid w:val="2FD96870"/>
    <w:rsid w:val="2FDB5E74"/>
    <w:rsid w:val="2FF82AD4"/>
    <w:rsid w:val="300407C1"/>
    <w:rsid w:val="301828DF"/>
    <w:rsid w:val="30580BC9"/>
    <w:rsid w:val="306B1CA2"/>
    <w:rsid w:val="30AB083B"/>
    <w:rsid w:val="31055A2B"/>
    <w:rsid w:val="311E2ED7"/>
    <w:rsid w:val="31222640"/>
    <w:rsid w:val="31260413"/>
    <w:rsid w:val="312D4A00"/>
    <w:rsid w:val="315619EE"/>
    <w:rsid w:val="315C449C"/>
    <w:rsid w:val="31687945"/>
    <w:rsid w:val="317E3B07"/>
    <w:rsid w:val="3181250A"/>
    <w:rsid w:val="31B82709"/>
    <w:rsid w:val="31C03FE7"/>
    <w:rsid w:val="31D05482"/>
    <w:rsid w:val="31E62E72"/>
    <w:rsid w:val="32400B34"/>
    <w:rsid w:val="329E6876"/>
    <w:rsid w:val="32BB0EE6"/>
    <w:rsid w:val="32F73DAD"/>
    <w:rsid w:val="333015F2"/>
    <w:rsid w:val="334B6320"/>
    <w:rsid w:val="33657E80"/>
    <w:rsid w:val="33D34056"/>
    <w:rsid w:val="33D934D4"/>
    <w:rsid w:val="33FE2F6A"/>
    <w:rsid w:val="340E07E5"/>
    <w:rsid w:val="34235BF7"/>
    <w:rsid w:val="34515A0A"/>
    <w:rsid w:val="3454129D"/>
    <w:rsid w:val="349114A8"/>
    <w:rsid w:val="3563625B"/>
    <w:rsid w:val="358C5FA8"/>
    <w:rsid w:val="35C15DF1"/>
    <w:rsid w:val="36074A7F"/>
    <w:rsid w:val="36082ABC"/>
    <w:rsid w:val="361138EA"/>
    <w:rsid w:val="36337E8C"/>
    <w:rsid w:val="36923549"/>
    <w:rsid w:val="36B75FBF"/>
    <w:rsid w:val="36BD0C45"/>
    <w:rsid w:val="37337DF6"/>
    <w:rsid w:val="37342AAC"/>
    <w:rsid w:val="376B3D62"/>
    <w:rsid w:val="37992B44"/>
    <w:rsid w:val="37E00298"/>
    <w:rsid w:val="38166486"/>
    <w:rsid w:val="383537F4"/>
    <w:rsid w:val="38B302F9"/>
    <w:rsid w:val="38C549C4"/>
    <w:rsid w:val="38F06B89"/>
    <w:rsid w:val="38F12CD3"/>
    <w:rsid w:val="38F4304F"/>
    <w:rsid w:val="38F94775"/>
    <w:rsid w:val="38FE7CC4"/>
    <w:rsid w:val="392971ED"/>
    <w:rsid w:val="39325651"/>
    <w:rsid w:val="393C4783"/>
    <w:rsid w:val="3995174B"/>
    <w:rsid w:val="39A97372"/>
    <w:rsid w:val="39B76731"/>
    <w:rsid w:val="39CA1774"/>
    <w:rsid w:val="3A000408"/>
    <w:rsid w:val="3A4818A4"/>
    <w:rsid w:val="3A872856"/>
    <w:rsid w:val="3ABD4FFD"/>
    <w:rsid w:val="3AD014FF"/>
    <w:rsid w:val="3AED7B53"/>
    <w:rsid w:val="3AF40FED"/>
    <w:rsid w:val="3B085AEC"/>
    <w:rsid w:val="3B3763D1"/>
    <w:rsid w:val="3B673FAC"/>
    <w:rsid w:val="3BBE0EC9"/>
    <w:rsid w:val="3BC87406"/>
    <w:rsid w:val="3BE248A1"/>
    <w:rsid w:val="3C2C0A8E"/>
    <w:rsid w:val="3C2F6E1E"/>
    <w:rsid w:val="3C3814A4"/>
    <w:rsid w:val="3C412BC7"/>
    <w:rsid w:val="3C4F64BA"/>
    <w:rsid w:val="3C727090"/>
    <w:rsid w:val="3C982482"/>
    <w:rsid w:val="3CA756B7"/>
    <w:rsid w:val="3CDA245A"/>
    <w:rsid w:val="3CDD22F3"/>
    <w:rsid w:val="3D1E06B7"/>
    <w:rsid w:val="3D8B0F96"/>
    <w:rsid w:val="3DBA3662"/>
    <w:rsid w:val="3DBC0925"/>
    <w:rsid w:val="3DBF2E2E"/>
    <w:rsid w:val="3E083E1F"/>
    <w:rsid w:val="3E1C107E"/>
    <w:rsid w:val="3E6F645E"/>
    <w:rsid w:val="3E8B5A29"/>
    <w:rsid w:val="3EB00A2D"/>
    <w:rsid w:val="3EDA0523"/>
    <w:rsid w:val="3EDD1AD2"/>
    <w:rsid w:val="3FD56C00"/>
    <w:rsid w:val="3FE82A49"/>
    <w:rsid w:val="40350612"/>
    <w:rsid w:val="407A6407"/>
    <w:rsid w:val="416C763E"/>
    <w:rsid w:val="41AC6AC2"/>
    <w:rsid w:val="41B9630E"/>
    <w:rsid w:val="41D52EB1"/>
    <w:rsid w:val="41E744E5"/>
    <w:rsid w:val="41FC314F"/>
    <w:rsid w:val="4200449D"/>
    <w:rsid w:val="422B78DF"/>
    <w:rsid w:val="423A3BCC"/>
    <w:rsid w:val="423B584A"/>
    <w:rsid w:val="424C7852"/>
    <w:rsid w:val="424E57D2"/>
    <w:rsid w:val="42B26C49"/>
    <w:rsid w:val="42C615B8"/>
    <w:rsid w:val="433A6FE6"/>
    <w:rsid w:val="43480868"/>
    <w:rsid w:val="4350713C"/>
    <w:rsid w:val="43513903"/>
    <w:rsid w:val="435341E1"/>
    <w:rsid w:val="436653E0"/>
    <w:rsid w:val="436A08DF"/>
    <w:rsid w:val="43C4431A"/>
    <w:rsid w:val="43CC2BFE"/>
    <w:rsid w:val="440301D2"/>
    <w:rsid w:val="44157662"/>
    <w:rsid w:val="44B951CC"/>
    <w:rsid w:val="44BD0A2B"/>
    <w:rsid w:val="44CD14E0"/>
    <w:rsid w:val="44F20B0B"/>
    <w:rsid w:val="452E5F4C"/>
    <w:rsid w:val="45612018"/>
    <w:rsid w:val="458946E9"/>
    <w:rsid w:val="45A47C0E"/>
    <w:rsid w:val="4653586F"/>
    <w:rsid w:val="46577FD6"/>
    <w:rsid w:val="4684580A"/>
    <w:rsid w:val="46D955A7"/>
    <w:rsid w:val="47133957"/>
    <w:rsid w:val="476C1D6F"/>
    <w:rsid w:val="47A07E0C"/>
    <w:rsid w:val="47A33674"/>
    <w:rsid w:val="47B4432A"/>
    <w:rsid w:val="483D40CA"/>
    <w:rsid w:val="4853200F"/>
    <w:rsid w:val="486A50DB"/>
    <w:rsid w:val="4870272E"/>
    <w:rsid w:val="48A7191C"/>
    <w:rsid w:val="48E1174F"/>
    <w:rsid w:val="49DC7715"/>
    <w:rsid w:val="49F92273"/>
    <w:rsid w:val="4A023139"/>
    <w:rsid w:val="4A07303E"/>
    <w:rsid w:val="4A356B54"/>
    <w:rsid w:val="4A4367AF"/>
    <w:rsid w:val="4A4D221A"/>
    <w:rsid w:val="4A7B25F1"/>
    <w:rsid w:val="4A7B576F"/>
    <w:rsid w:val="4A7F774E"/>
    <w:rsid w:val="4A8E76E6"/>
    <w:rsid w:val="4AF561A9"/>
    <w:rsid w:val="4B0B3B0D"/>
    <w:rsid w:val="4BBE300B"/>
    <w:rsid w:val="4BEB2993"/>
    <w:rsid w:val="4BFE0F9F"/>
    <w:rsid w:val="4C147A6F"/>
    <w:rsid w:val="4C4A0649"/>
    <w:rsid w:val="4C7E5ECA"/>
    <w:rsid w:val="4C876AA5"/>
    <w:rsid w:val="4CFD4F52"/>
    <w:rsid w:val="4D045089"/>
    <w:rsid w:val="4D0E00FB"/>
    <w:rsid w:val="4D176606"/>
    <w:rsid w:val="4D6176F3"/>
    <w:rsid w:val="4DB0433E"/>
    <w:rsid w:val="4DC66910"/>
    <w:rsid w:val="4DCA5403"/>
    <w:rsid w:val="4DEC4FB0"/>
    <w:rsid w:val="4E075D8A"/>
    <w:rsid w:val="4E9F6B25"/>
    <w:rsid w:val="4EB51662"/>
    <w:rsid w:val="4EC00FAD"/>
    <w:rsid w:val="4EEC57BB"/>
    <w:rsid w:val="4F62215E"/>
    <w:rsid w:val="4F9843DC"/>
    <w:rsid w:val="4FC62A8C"/>
    <w:rsid w:val="4FE20F0D"/>
    <w:rsid w:val="4FE51552"/>
    <w:rsid w:val="50045F24"/>
    <w:rsid w:val="503529C1"/>
    <w:rsid w:val="504C6D4A"/>
    <w:rsid w:val="504E6E90"/>
    <w:rsid w:val="50504C4B"/>
    <w:rsid w:val="505226DD"/>
    <w:rsid w:val="5077667D"/>
    <w:rsid w:val="508D0EE5"/>
    <w:rsid w:val="50980E85"/>
    <w:rsid w:val="509C6E7C"/>
    <w:rsid w:val="510E7794"/>
    <w:rsid w:val="5162104E"/>
    <w:rsid w:val="518541F7"/>
    <w:rsid w:val="52310521"/>
    <w:rsid w:val="524C1568"/>
    <w:rsid w:val="52655022"/>
    <w:rsid w:val="526628FE"/>
    <w:rsid w:val="52E733A8"/>
    <w:rsid w:val="53774CFF"/>
    <w:rsid w:val="53A039CC"/>
    <w:rsid w:val="53A1505A"/>
    <w:rsid w:val="5401059F"/>
    <w:rsid w:val="54063E08"/>
    <w:rsid w:val="54216212"/>
    <w:rsid w:val="54343603"/>
    <w:rsid w:val="543437E8"/>
    <w:rsid w:val="5445433A"/>
    <w:rsid w:val="545107F2"/>
    <w:rsid w:val="549013D1"/>
    <w:rsid w:val="54C83836"/>
    <w:rsid w:val="54F73313"/>
    <w:rsid w:val="54F80955"/>
    <w:rsid w:val="54FB62E6"/>
    <w:rsid w:val="55214D74"/>
    <w:rsid w:val="555170A7"/>
    <w:rsid w:val="5587536D"/>
    <w:rsid w:val="558E13F2"/>
    <w:rsid w:val="559B174B"/>
    <w:rsid w:val="55CE0CF4"/>
    <w:rsid w:val="565A12CB"/>
    <w:rsid w:val="566C29DA"/>
    <w:rsid w:val="56881C3F"/>
    <w:rsid w:val="569314E6"/>
    <w:rsid w:val="56B22A9C"/>
    <w:rsid w:val="576F4671"/>
    <w:rsid w:val="57B72A76"/>
    <w:rsid w:val="57C3426C"/>
    <w:rsid w:val="57CE1F93"/>
    <w:rsid w:val="581C60B2"/>
    <w:rsid w:val="588743D1"/>
    <w:rsid w:val="5887701A"/>
    <w:rsid w:val="59544B6E"/>
    <w:rsid w:val="596C3E55"/>
    <w:rsid w:val="599D06DA"/>
    <w:rsid w:val="59C0439F"/>
    <w:rsid w:val="5A98373D"/>
    <w:rsid w:val="5ABE2233"/>
    <w:rsid w:val="5AD1139D"/>
    <w:rsid w:val="5AE06FDC"/>
    <w:rsid w:val="5B011CB8"/>
    <w:rsid w:val="5B03224A"/>
    <w:rsid w:val="5B6776D9"/>
    <w:rsid w:val="5BBB148D"/>
    <w:rsid w:val="5BDF5D95"/>
    <w:rsid w:val="5BE16EA3"/>
    <w:rsid w:val="5BFE7528"/>
    <w:rsid w:val="5C721FCC"/>
    <w:rsid w:val="5CB32394"/>
    <w:rsid w:val="5CC74453"/>
    <w:rsid w:val="5CE2784C"/>
    <w:rsid w:val="5D2E4B1D"/>
    <w:rsid w:val="5D376B25"/>
    <w:rsid w:val="5D823388"/>
    <w:rsid w:val="5DF42CE6"/>
    <w:rsid w:val="5E2467F1"/>
    <w:rsid w:val="5F1A2B43"/>
    <w:rsid w:val="5FB837BB"/>
    <w:rsid w:val="5FBD4A2F"/>
    <w:rsid w:val="5FBF05AE"/>
    <w:rsid w:val="5FF12B4F"/>
    <w:rsid w:val="60015E8F"/>
    <w:rsid w:val="60CC405A"/>
    <w:rsid w:val="60F5089F"/>
    <w:rsid w:val="616B1CDA"/>
    <w:rsid w:val="616B79A8"/>
    <w:rsid w:val="61C86C5B"/>
    <w:rsid w:val="61E215D8"/>
    <w:rsid w:val="61E91E55"/>
    <w:rsid w:val="621B3775"/>
    <w:rsid w:val="62364782"/>
    <w:rsid w:val="62BB6E26"/>
    <w:rsid w:val="633218ED"/>
    <w:rsid w:val="635076ED"/>
    <w:rsid w:val="637A53CE"/>
    <w:rsid w:val="6394356A"/>
    <w:rsid w:val="63C61B2C"/>
    <w:rsid w:val="63D40BE9"/>
    <w:rsid w:val="64102431"/>
    <w:rsid w:val="641205E2"/>
    <w:rsid w:val="644A7E43"/>
    <w:rsid w:val="644F0BF4"/>
    <w:rsid w:val="646D3496"/>
    <w:rsid w:val="64732F12"/>
    <w:rsid w:val="647F2783"/>
    <w:rsid w:val="64877150"/>
    <w:rsid w:val="64984509"/>
    <w:rsid w:val="64A5243A"/>
    <w:rsid w:val="64F531DE"/>
    <w:rsid w:val="65242442"/>
    <w:rsid w:val="652742D1"/>
    <w:rsid w:val="65373578"/>
    <w:rsid w:val="657934B0"/>
    <w:rsid w:val="6599533C"/>
    <w:rsid w:val="65DC6DB5"/>
    <w:rsid w:val="65FB2E9B"/>
    <w:rsid w:val="66201EA2"/>
    <w:rsid w:val="6646040A"/>
    <w:rsid w:val="665E4CDC"/>
    <w:rsid w:val="66780DFA"/>
    <w:rsid w:val="66FD3A84"/>
    <w:rsid w:val="67110656"/>
    <w:rsid w:val="671F124A"/>
    <w:rsid w:val="673D0FE3"/>
    <w:rsid w:val="676E60F0"/>
    <w:rsid w:val="677A33C6"/>
    <w:rsid w:val="677D28F7"/>
    <w:rsid w:val="68096394"/>
    <w:rsid w:val="681F6961"/>
    <w:rsid w:val="68610A2F"/>
    <w:rsid w:val="68805514"/>
    <w:rsid w:val="68EF1128"/>
    <w:rsid w:val="690D3529"/>
    <w:rsid w:val="69316E2F"/>
    <w:rsid w:val="694E2071"/>
    <w:rsid w:val="697062AB"/>
    <w:rsid w:val="69766163"/>
    <w:rsid w:val="697A3B33"/>
    <w:rsid w:val="697E64C6"/>
    <w:rsid w:val="698C19E9"/>
    <w:rsid w:val="69D44760"/>
    <w:rsid w:val="69DE0A74"/>
    <w:rsid w:val="6A1425F4"/>
    <w:rsid w:val="6A3F718F"/>
    <w:rsid w:val="6A4E0E22"/>
    <w:rsid w:val="6A520EC7"/>
    <w:rsid w:val="6AF87E20"/>
    <w:rsid w:val="6AF90B95"/>
    <w:rsid w:val="6B020865"/>
    <w:rsid w:val="6B246E1A"/>
    <w:rsid w:val="6B322639"/>
    <w:rsid w:val="6B36079D"/>
    <w:rsid w:val="6B9C335D"/>
    <w:rsid w:val="6BA51246"/>
    <w:rsid w:val="6BC57F00"/>
    <w:rsid w:val="6BD821D8"/>
    <w:rsid w:val="6BE87193"/>
    <w:rsid w:val="6C0835AA"/>
    <w:rsid w:val="6C5241F5"/>
    <w:rsid w:val="6C636C38"/>
    <w:rsid w:val="6C8B49B7"/>
    <w:rsid w:val="6CA2575A"/>
    <w:rsid w:val="6D9517D9"/>
    <w:rsid w:val="6D9730C5"/>
    <w:rsid w:val="6DB34098"/>
    <w:rsid w:val="6DB545B6"/>
    <w:rsid w:val="6DE02FB4"/>
    <w:rsid w:val="6E2F450A"/>
    <w:rsid w:val="6E514CED"/>
    <w:rsid w:val="6E947920"/>
    <w:rsid w:val="6EB563D5"/>
    <w:rsid w:val="6ED92677"/>
    <w:rsid w:val="6F225983"/>
    <w:rsid w:val="6F8971C7"/>
    <w:rsid w:val="6F9B6EB0"/>
    <w:rsid w:val="6FFC5590"/>
    <w:rsid w:val="701D380C"/>
    <w:rsid w:val="703E7637"/>
    <w:rsid w:val="704B11CB"/>
    <w:rsid w:val="705C3493"/>
    <w:rsid w:val="706D1DD0"/>
    <w:rsid w:val="70856B87"/>
    <w:rsid w:val="70A477A9"/>
    <w:rsid w:val="70D527EE"/>
    <w:rsid w:val="70F57389"/>
    <w:rsid w:val="71053B7D"/>
    <w:rsid w:val="710C1C63"/>
    <w:rsid w:val="712B0C2D"/>
    <w:rsid w:val="715B5300"/>
    <w:rsid w:val="71611B4F"/>
    <w:rsid w:val="71A61CE1"/>
    <w:rsid w:val="71B76ECF"/>
    <w:rsid w:val="71D02A5E"/>
    <w:rsid w:val="71D27F8A"/>
    <w:rsid w:val="71D5444E"/>
    <w:rsid w:val="71F02C07"/>
    <w:rsid w:val="71FC0543"/>
    <w:rsid w:val="722A1ADB"/>
    <w:rsid w:val="72553024"/>
    <w:rsid w:val="73122968"/>
    <w:rsid w:val="731F5D5E"/>
    <w:rsid w:val="732F43B2"/>
    <w:rsid w:val="734D7008"/>
    <w:rsid w:val="7392490C"/>
    <w:rsid w:val="73C51AD5"/>
    <w:rsid w:val="74123204"/>
    <w:rsid w:val="741E793C"/>
    <w:rsid w:val="745E3944"/>
    <w:rsid w:val="745E3E64"/>
    <w:rsid w:val="75C56B3B"/>
    <w:rsid w:val="75CD16BD"/>
    <w:rsid w:val="760328A1"/>
    <w:rsid w:val="76291768"/>
    <w:rsid w:val="76316567"/>
    <w:rsid w:val="7635099D"/>
    <w:rsid w:val="76397D18"/>
    <w:rsid w:val="763E70DC"/>
    <w:rsid w:val="768666C8"/>
    <w:rsid w:val="76B178AE"/>
    <w:rsid w:val="76B33626"/>
    <w:rsid w:val="77125F47"/>
    <w:rsid w:val="775D4B48"/>
    <w:rsid w:val="77762421"/>
    <w:rsid w:val="77AB558D"/>
    <w:rsid w:val="77B52553"/>
    <w:rsid w:val="77B56B1F"/>
    <w:rsid w:val="77E52F8B"/>
    <w:rsid w:val="7804647F"/>
    <w:rsid w:val="780F09F4"/>
    <w:rsid w:val="782F3234"/>
    <w:rsid w:val="782F3A1B"/>
    <w:rsid w:val="786922E9"/>
    <w:rsid w:val="788174B4"/>
    <w:rsid w:val="78A066E3"/>
    <w:rsid w:val="78A90480"/>
    <w:rsid w:val="78D15FE5"/>
    <w:rsid w:val="79274856"/>
    <w:rsid w:val="793C4ACB"/>
    <w:rsid w:val="79725942"/>
    <w:rsid w:val="7A282D75"/>
    <w:rsid w:val="7A2C1B53"/>
    <w:rsid w:val="7A364017"/>
    <w:rsid w:val="7A8265E1"/>
    <w:rsid w:val="7A8E594F"/>
    <w:rsid w:val="7B4B6D70"/>
    <w:rsid w:val="7B4C1878"/>
    <w:rsid w:val="7B502D28"/>
    <w:rsid w:val="7B604FF7"/>
    <w:rsid w:val="7B686D42"/>
    <w:rsid w:val="7B841746"/>
    <w:rsid w:val="7BA67FCC"/>
    <w:rsid w:val="7BAF7DB0"/>
    <w:rsid w:val="7BC86A6E"/>
    <w:rsid w:val="7C6C5AC7"/>
    <w:rsid w:val="7CA31750"/>
    <w:rsid w:val="7CC6544B"/>
    <w:rsid w:val="7CCC4B4A"/>
    <w:rsid w:val="7D0239FF"/>
    <w:rsid w:val="7D5E40CD"/>
    <w:rsid w:val="7D6F0FA0"/>
    <w:rsid w:val="7D8E447F"/>
    <w:rsid w:val="7DCD56F2"/>
    <w:rsid w:val="7E0D7831"/>
    <w:rsid w:val="7EDB04AB"/>
    <w:rsid w:val="7EEF5128"/>
    <w:rsid w:val="7EF17387"/>
    <w:rsid w:val="7F001CE7"/>
    <w:rsid w:val="7F4C7C37"/>
    <w:rsid w:val="7F4E6A62"/>
    <w:rsid w:val="7F943B31"/>
    <w:rsid w:val="7FAF6DD2"/>
    <w:rsid w:val="7FDE444C"/>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qFormat/>
    <w:uiPriority w:val="0"/>
    <w:pPr>
      <w:tabs>
        <w:tab w:val="left" w:pos="0"/>
      </w:tabs>
      <w:jc w:val="center"/>
    </w:pPr>
    <w:rPr>
      <w:rFonts w:ascii="Arial" w:hAnsi="Arial" w:cs="Arial"/>
    </w:rPr>
  </w:style>
  <w:style w:type="paragraph" w:styleId="4">
    <w:name w:val="Document Map"/>
    <w:basedOn w:val="1"/>
    <w:link w:val="32"/>
    <w:qFormat/>
    <w:uiPriority w:val="0"/>
    <w:rPr>
      <w:rFonts w:ascii="宋体"/>
      <w:sz w:val="18"/>
      <w:szCs w:val="18"/>
    </w:rPr>
  </w:style>
  <w:style w:type="paragraph" w:styleId="5">
    <w:name w:val="annotation text"/>
    <w:basedOn w:val="1"/>
    <w:link w:val="33"/>
    <w:semiHidden/>
    <w:qFormat/>
    <w:uiPriority w:val="0"/>
    <w:pPr>
      <w:jc w:val="left"/>
    </w:pPr>
    <w:rPr>
      <w:kern w:val="0"/>
      <w:sz w:val="24"/>
      <w:szCs w:val="20"/>
    </w:rPr>
  </w:style>
  <w:style w:type="paragraph" w:styleId="6">
    <w:name w:val="Body Text"/>
    <w:basedOn w:val="1"/>
    <w:link w:val="34"/>
    <w:qFormat/>
    <w:uiPriority w:val="0"/>
    <w:pPr>
      <w:widowControl/>
      <w:snapToGrid w:val="0"/>
      <w:spacing w:before="60" w:after="160" w:line="259" w:lineRule="auto"/>
      <w:ind w:right="113"/>
    </w:pPr>
    <w:rPr>
      <w:kern w:val="0"/>
      <w:sz w:val="18"/>
      <w:szCs w:val="20"/>
    </w:rPr>
  </w:style>
  <w:style w:type="paragraph" w:styleId="7">
    <w:name w:val="Body Text Indent"/>
    <w:basedOn w:val="1"/>
    <w:next w:val="8"/>
    <w:link w:val="35"/>
    <w:qFormat/>
    <w:uiPriority w:val="0"/>
    <w:pPr>
      <w:spacing w:after="120"/>
      <w:ind w:left="420" w:leftChars="200"/>
    </w:pPr>
    <w:rPr>
      <w:kern w:val="0"/>
      <w:sz w:val="24"/>
      <w:szCs w:val="20"/>
    </w:rPr>
  </w:style>
  <w:style w:type="paragraph" w:customStyle="1" w:styleId="8">
    <w:name w:val="样式 标题 1一级标题 + 段前: 0.5 行 段后: 0.5 行"/>
    <w:basedOn w:val="2"/>
    <w:qFormat/>
    <w:uiPriority w:val="0"/>
    <w:pPr>
      <w:spacing w:line="320" w:lineRule="exact"/>
      <w:outlineLvl w:val="9"/>
    </w:pPr>
    <w:rPr>
      <w:rFonts w:eastAsia="宋体"/>
      <w:spacing w:val="-6"/>
      <w:sz w:val="21"/>
      <w:szCs w:val="21"/>
    </w:rPr>
  </w:style>
  <w:style w:type="paragraph" w:styleId="9">
    <w:name w:val="Plain Text"/>
    <w:basedOn w:val="1"/>
    <w:qFormat/>
    <w:uiPriority w:val="0"/>
    <w:rPr>
      <w:rFonts w:hAnsi="Courier New" w:cs="Courier New"/>
      <w:szCs w:val="21"/>
    </w:rPr>
  </w:style>
  <w:style w:type="paragraph" w:styleId="10">
    <w:name w:val="List Bullet 5"/>
    <w:basedOn w:val="1"/>
    <w:qFormat/>
    <w:uiPriority w:val="0"/>
    <w:pPr>
      <w:numPr>
        <w:ilvl w:val="0"/>
        <w:numId w:val="1"/>
      </w:numPr>
    </w:pPr>
  </w:style>
  <w:style w:type="paragraph" w:styleId="11">
    <w:name w:val="Date"/>
    <w:basedOn w:val="1"/>
    <w:next w:val="1"/>
    <w:link w:val="36"/>
    <w:qFormat/>
    <w:uiPriority w:val="0"/>
    <w:pPr>
      <w:ind w:left="100" w:leftChars="2500"/>
    </w:pPr>
    <w:rPr>
      <w:kern w:val="0"/>
      <w:sz w:val="24"/>
      <w:szCs w:val="20"/>
    </w:rPr>
  </w:style>
  <w:style w:type="paragraph" w:styleId="12">
    <w:name w:val="Body Text Indent 2"/>
    <w:basedOn w:val="1"/>
    <w:next w:val="1"/>
    <w:qFormat/>
    <w:uiPriority w:val="0"/>
    <w:pPr>
      <w:spacing w:after="120" w:line="480" w:lineRule="auto"/>
      <w:ind w:left="420" w:leftChars="200"/>
    </w:pPr>
  </w:style>
  <w:style w:type="paragraph" w:styleId="13">
    <w:name w:val="Balloon Text"/>
    <w:basedOn w:val="1"/>
    <w:link w:val="37"/>
    <w:semiHidden/>
    <w:qFormat/>
    <w:uiPriority w:val="0"/>
    <w:rPr>
      <w:kern w:val="0"/>
      <w:sz w:val="18"/>
      <w:szCs w:val="20"/>
    </w:rPr>
  </w:style>
  <w:style w:type="paragraph" w:styleId="14">
    <w:name w:val="footer"/>
    <w:basedOn w:val="1"/>
    <w:link w:val="38"/>
    <w:qFormat/>
    <w:uiPriority w:val="99"/>
    <w:pPr>
      <w:tabs>
        <w:tab w:val="center" w:pos="4153"/>
        <w:tab w:val="right" w:pos="8306"/>
      </w:tabs>
      <w:snapToGrid w:val="0"/>
      <w:jc w:val="left"/>
    </w:pPr>
    <w:rPr>
      <w:kern w:val="0"/>
      <w:sz w:val="18"/>
      <w:szCs w:val="20"/>
    </w:rPr>
  </w:style>
  <w:style w:type="paragraph" w:styleId="15">
    <w:name w:val="header"/>
    <w:basedOn w:val="1"/>
    <w:next w:val="16"/>
    <w:link w:val="3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6">
    <w:name w:val="样式5"/>
    <w:basedOn w:val="17"/>
    <w:qFormat/>
    <w:uiPriority w:val="0"/>
    <w:pPr>
      <w:snapToGrid w:val="0"/>
      <w:spacing w:line="360" w:lineRule="auto"/>
      <w:ind w:firstLine="510"/>
    </w:pPr>
  </w:style>
  <w:style w:type="paragraph" w:customStyle="1" w:styleId="17">
    <w:name w:val="font5"/>
    <w:basedOn w:val="1"/>
    <w:qFormat/>
    <w:uiPriority w:val="0"/>
    <w:pPr>
      <w:spacing w:before="100" w:beforeAutospacing="1" w:after="100" w:afterAutospacing="1"/>
    </w:pPr>
    <w:rPr>
      <w:rFonts w:hint="eastAsia" w:ascii="宋体" w:hAnsi="宋体"/>
      <w:kern w:val="0"/>
      <w:sz w:val="18"/>
      <w:szCs w:val="18"/>
    </w:rPr>
  </w:style>
  <w:style w:type="paragraph" w:styleId="18">
    <w:name w:val="toc 1"/>
    <w:basedOn w:val="1"/>
    <w:next w:val="1"/>
    <w:qFormat/>
    <w:uiPriority w:val="0"/>
    <w:pPr>
      <w:tabs>
        <w:tab w:val="left" w:pos="420"/>
        <w:tab w:val="right" w:leader="dot" w:pos="8303"/>
      </w:tabs>
    </w:pPr>
    <w:rPr>
      <w:rFonts w:ascii="仿宋_GB2312" w:hAnsi="Arial Black" w:eastAsia="仿宋_GB2312"/>
      <w:sz w:val="28"/>
      <w:szCs w:val="20"/>
    </w:rPr>
  </w:style>
  <w:style w:type="paragraph" w:styleId="19">
    <w:name w:val="Body Text 2"/>
    <w:basedOn w:val="1"/>
    <w:qFormat/>
    <w:uiPriority w:val="0"/>
    <w:pPr>
      <w:spacing w:after="120" w:line="480" w:lineRule="auto"/>
    </w:pPr>
  </w:style>
  <w:style w:type="paragraph" w:styleId="20">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5"/>
    <w:next w:val="5"/>
    <w:link w:val="41"/>
    <w:semiHidden/>
    <w:qFormat/>
    <w:uiPriority w:val="0"/>
    <w:rPr>
      <w:b/>
      <w:kern w:val="2"/>
    </w:rPr>
  </w:style>
  <w:style w:type="paragraph" w:styleId="22">
    <w:name w:val="Body Text First Indent"/>
    <w:basedOn w:val="6"/>
    <w:next w:val="1"/>
    <w:qFormat/>
    <w:uiPriority w:val="0"/>
    <w:pPr>
      <w:widowControl w:val="0"/>
      <w:snapToGrid/>
      <w:spacing w:before="0" w:after="120" w:line="240" w:lineRule="auto"/>
      <w:ind w:right="0" w:firstLine="420" w:firstLineChars="100"/>
    </w:pPr>
    <w:rPr>
      <w:kern w:val="2"/>
      <w:sz w:val="21"/>
      <w:szCs w:val="24"/>
    </w:rPr>
  </w:style>
  <w:style w:type="paragraph" w:styleId="23">
    <w:name w:val="Body Text First Indent 2"/>
    <w:basedOn w:val="7"/>
    <w:next w:val="1"/>
    <w:qFormat/>
    <w:uiPriority w:val="0"/>
    <w:pPr>
      <w:ind w:firstLine="420" w:firstLineChars="200"/>
    </w:pPr>
    <w:rPr>
      <w:kern w:val="2"/>
      <w:sz w:val="21"/>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character" w:styleId="31">
    <w:name w:val="annotation reference"/>
    <w:semiHidden/>
    <w:qFormat/>
    <w:uiPriority w:val="0"/>
    <w:rPr>
      <w:sz w:val="21"/>
    </w:rPr>
  </w:style>
  <w:style w:type="character" w:customStyle="1" w:styleId="32">
    <w:name w:val="文档结构图 Char"/>
    <w:link w:val="4"/>
    <w:qFormat/>
    <w:uiPriority w:val="0"/>
    <w:rPr>
      <w:rFonts w:ascii="宋体"/>
      <w:kern w:val="2"/>
      <w:sz w:val="18"/>
      <w:szCs w:val="18"/>
    </w:rPr>
  </w:style>
  <w:style w:type="character" w:customStyle="1" w:styleId="33">
    <w:name w:val="批注文字 Char"/>
    <w:link w:val="5"/>
    <w:qFormat/>
    <w:uiPriority w:val="0"/>
    <w:rPr>
      <w:rFonts w:ascii="Times New Roman" w:hAnsi="Times New Roman" w:eastAsia="宋体"/>
      <w:sz w:val="24"/>
    </w:rPr>
  </w:style>
  <w:style w:type="character" w:customStyle="1" w:styleId="34">
    <w:name w:val="正文文本 Char"/>
    <w:link w:val="6"/>
    <w:qFormat/>
    <w:uiPriority w:val="0"/>
    <w:rPr>
      <w:sz w:val="18"/>
    </w:rPr>
  </w:style>
  <w:style w:type="character" w:customStyle="1" w:styleId="35">
    <w:name w:val="正文文本缩进 Char"/>
    <w:link w:val="7"/>
    <w:semiHidden/>
    <w:qFormat/>
    <w:uiPriority w:val="0"/>
    <w:rPr>
      <w:rFonts w:ascii="Times New Roman" w:hAnsi="Times New Roman" w:eastAsia="宋体"/>
      <w:sz w:val="24"/>
    </w:rPr>
  </w:style>
  <w:style w:type="character" w:customStyle="1" w:styleId="36">
    <w:name w:val="日期 Char"/>
    <w:link w:val="11"/>
    <w:qFormat/>
    <w:uiPriority w:val="0"/>
    <w:rPr>
      <w:rFonts w:ascii="Times New Roman" w:hAnsi="Times New Roman" w:eastAsia="宋体"/>
      <w:sz w:val="24"/>
    </w:rPr>
  </w:style>
  <w:style w:type="character" w:customStyle="1" w:styleId="37">
    <w:name w:val="批注框文本 Char"/>
    <w:link w:val="13"/>
    <w:semiHidden/>
    <w:qFormat/>
    <w:uiPriority w:val="0"/>
    <w:rPr>
      <w:rFonts w:ascii="Times New Roman" w:hAnsi="Times New Roman" w:eastAsia="宋体"/>
      <w:sz w:val="18"/>
    </w:rPr>
  </w:style>
  <w:style w:type="character" w:customStyle="1" w:styleId="38">
    <w:name w:val="页脚 Char"/>
    <w:link w:val="14"/>
    <w:qFormat/>
    <w:uiPriority w:val="99"/>
    <w:rPr>
      <w:sz w:val="18"/>
    </w:rPr>
  </w:style>
  <w:style w:type="character" w:customStyle="1" w:styleId="39">
    <w:name w:val="页眉 Char"/>
    <w:link w:val="15"/>
    <w:qFormat/>
    <w:uiPriority w:val="0"/>
    <w:rPr>
      <w:sz w:val="18"/>
    </w:rPr>
  </w:style>
  <w:style w:type="character" w:customStyle="1" w:styleId="40">
    <w:name w:val="普通(网站) Char"/>
    <w:link w:val="20"/>
    <w:qFormat/>
    <w:uiPriority w:val="0"/>
    <w:rPr>
      <w:rFonts w:ascii="宋体" w:hAnsi="宋体" w:eastAsia="宋体"/>
      <w:sz w:val="24"/>
    </w:rPr>
  </w:style>
  <w:style w:type="character" w:customStyle="1" w:styleId="41">
    <w:name w:val="批注主题 Char"/>
    <w:link w:val="21"/>
    <w:semiHidden/>
    <w:qFormat/>
    <w:uiPriority w:val="0"/>
    <w:rPr>
      <w:rFonts w:ascii="Times New Roman" w:hAnsi="Times New Roman" w:eastAsia="宋体"/>
      <w:b/>
      <w:kern w:val="2"/>
      <w:sz w:val="24"/>
    </w:rPr>
  </w:style>
  <w:style w:type="paragraph" w:customStyle="1" w:styleId="42">
    <w:name w:val="Default"/>
    <w:basedOn w:val="43"/>
    <w:next w:val="23"/>
    <w:qFormat/>
    <w:uiPriority w:val="0"/>
    <w:pPr>
      <w:autoSpaceDE w:val="0"/>
      <w:autoSpaceDN w:val="0"/>
    </w:pPr>
    <w:rPr>
      <w:rFonts w:hint="eastAsia" w:ascii="宋体" w:hAnsi="宋体"/>
      <w:kern w:val="0"/>
    </w:rPr>
  </w:style>
  <w:style w:type="paragraph" w:customStyle="1" w:styleId="4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4">
    <w:name w:val="xl27"/>
    <w:basedOn w:val="1"/>
    <w:semiHidden/>
    <w:qFormat/>
    <w:uiPriority w:val="0"/>
    <w:pPr>
      <w:pBdr>
        <w:bottom w:val="single" w:color="auto" w:sz="12" w:space="0"/>
      </w:pBdr>
      <w:adjustRightInd w:val="0"/>
      <w:spacing w:before="100" w:after="100"/>
      <w:ind w:firstLine="576"/>
      <w:jc w:val="center"/>
    </w:pPr>
    <w:rPr>
      <w:rFonts w:ascii="宋体" w:hAnsi="宋体" w:eastAsia="仿宋_GB2312"/>
      <w:spacing w:val="4"/>
      <w:kern w:val="0"/>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font11"/>
    <w:qFormat/>
    <w:uiPriority w:val="0"/>
    <w:rPr>
      <w:rFonts w:hint="default" w:ascii="Times New Roman" w:hAnsi="Times New Roman" w:cs="Times New Roman"/>
      <w:color w:val="000000"/>
      <w:sz w:val="21"/>
      <w:szCs w:val="21"/>
      <w:u w:val="none"/>
    </w:rPr>
  </w:style>
  <w:style w:type="character" w:customStyle="1" w:styleId="48">
    <w:name w:val="font31"/>
    <w:basedOn w:val="26"/>
    <w:qFormat/>
    <w:uiPriority w:val="0"/>
    <w:rPr>
      <w:rFonts w:hint="eastAsia" w:ascii="宋体" w:hAnsi="宋体" w:eastAsia="宋体" w:cs="宋体"/>
      <w:color w:val="000000"/>
      <w:sz w:val="21"/>
      <w:szCs w:val="21"/>
      <w:u w:val="none"/>
    </w:rPr>
  </w:style>
  <w:style w:type="character" w:customStyle="1" w:styleId="49">
    <w:name w:val="表格 Char"/>
    <w:link w:val="50"/>
    <w:qFormat/>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font21"/>
    <w:qFormat/>
    <w:uiPriority w:val="0"/>
    <w:rPr>
      <w:rFonts w:hint="eastAsia" w:ascii="宋体" w:hAnsi="宋体" w:eastAsia="宋体" w:cs="宋体"/>
      <w:color w:val="000000"/>
      <w:sz w:val="21"/>
      <w:szCs w:val="21"/>
      <w:u w:val="none"/>
    </w:rPr>
  </w:style>
  <w:style w:type="character" w:customStyle="1" w:styleId="52">
    <w:name w:val="页脚 字符"/>
    <w:qFormat/>
    <w:uiPriority w:val="99"/>
  </w:style>
  <w:style w:type="character" w:customStyle="1" w:styleId="53">
    <w:name w:val="日期 字符"/>
    <w:semiHidden/>
    <w:qFormat/>
    <w:uiPriority w:val="0"/>
    <w:rPr>
      <w:rFonts w:ascii="Times New Roman" w:hAnsi="Times New Roman" w:eastAsia="宋体"/>
      <w:sz w:val="24"/>
    </w:rPr>
  </w:style>
  <w:style w:type="paragraph" w:customStyle="1" w:styleId="54">
    <w:name w:val="小标题"/>
    <w:basedOn w:val="1"/>
    <w:qFormat/>
    <w:uiPriority w:val="0"/>
    <w:pPr>
      <w:adjustRightInd w:val="0"/>
      <w:spacing w:beforeLines="50" w:after="48"/>
      <w:ind w:firstLine="480" w:firstLineChars="200"/>
      <w:textAlignment w:val="baseline"/>
    </w:pPr>
    <w:rPr>
      <w:rFonts w:ascii="宋体" w:hAnsi="Calibri"/>
      <w:b/>
      <w:bCs/>
      <w:color w:val="000000"/>
      <w:kern w:val="0"/>
      <w:szCs w:val="20"/>
      <w:u w:val="single"/>
    </w:rPr>
  </w:style>
  <w:style w:type="paragraph" w:customStyle="1" w:styleId="55">
    <w:name w:val="表外标题"/>
    <w:basedOn w:val="1"/>
    <w:qFormat/>
    <w:uiPriority w:val="0"/>
    <w:pPr>
      <w:widowControl/>
      <w:jc w:val="left"/>
    </w:pPr>
    <w:rPr>
      <w:rFonts w:ascii="黑体" w:hAnsi="Calibri"/>
      <w:b/>
      <w:spacing w:val="4"/>
      <w:sz w:val="32"/>
    </w:rPr>
  </w:style>
  <w:style w:type="paragraph" w:customStyle="1" w:styleId="56">
    <w:name w:val="样式 题注 + 居中"/>
    <w:basedOn w:val="3"/>
    <w:next w:val="1"/>
    <w:qFormat/>
    <w:uiPriority w:val="0"/>
    <w:pPr>
      <w:spacing w:after="120"/>
    </w:pPr>
    <w:rPr>
      <w:rFonts w:cs="宋体"/>
    </w:rPr>
  </w:style>
  <w:style w:type="paragraph" w:customStyle="1" w:styleId="57">
    <w:name w:val="s表格正文"/>
    <w:basedOn w:val="1"/>
    <w:next w:val="1"/>
    <w:qFormat/>
    <w:uiPriority w:val="0"/>
    <w:pPr>
      <w:jc w:val="center"/>
    </w:pPr>
  </w:style>
  <w:style w:type="paragraph" w:customStyle="1" w:styleId="58">
    <w:name w:val="QQ表格"/>
    <w:next w:val="22"/>
    <w:qFormat/>
    <w:uiPriority w:val="0"/>
    <w:pPr>
      <w:jc w:val="center"/>
    </w:pPr>
    <w:rPr>
      <w:rFonts w:ascii="Times New Roman" w:hAnsi="Times New Roman" w:eastAsia="宋体" w:cs="Times New Roman"/>
      <w:sz w:val="21"/>
      <w:szCs w:val="24"/>
      <w:lang w:val="en-US" w:eastAsia="zh-CN" w:bidi="ar-SA"/>
    </w:rPr>
  </w:style>
  <w:style w:type="paragraph" w:customStyle="1" w:styleId="59">
    <w:name w:val="Table Paragraph"/>
    <w:basedOn w:val="1"/>
    <w:qFormat/>
    <w:uiPriority w:val="1"/>
    <w:pPr>
      <w:jc w:val="center"/>
    </w:pPr>
    <w:rPr>
      <w:rFonts w:ascii="仿宋" w:hAnsi="仿宋" w:eastAsia="仿宋" w:cs="仿宋"/>
      <w:lang w:val="zh-CN" w:bidi="zh-CN"/>
    </w:rPr>
  </w:style>
  <w:style w:type="paragraph" w:customStyle="1" w:styleId="60">
    <w:name w:val="Default1"/>
    <w:basedOn w:val="61"/>
    <w:qFormat/>
    <w:uiPriority w:val="0"/>
    <w:pPr>
      <w:widowControl w:val="0"/>
      <w:autoSpaceDE w:val="0"/>
      <w:autoSpaceDN w:val="0"/>
      <w:adjustRightInd w:val="0"/>
    </w:pPr>
    <w:rPr>
      <w:rFonts w:ascii="宋体" w:eastAsia="宋体" w:cs="宋体"/>
      <w:color w:val="000000"/>
      <w:sz w:val="24"/>
      <w:szCs w:val="24"/>
      <w:lang w:val="en-US" w:eastAsia="zh-CN"/>
    </w:rPr>
  </w:style>
  <w:style w:type="paragraph" w:customStyle="1" w:styleId="61">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2">
    <w:name w:val="图表标题"/>
    <w:basedOn w:val="63"/>
    <w:next w:val="63"/>
    <w:qFormat/>
    <w:uiPriority w:val="0"/>
    <w:pPr>
      <w:keepNext/>
      <w:keepLines/>
    </w:pPr>
    <w:rPr>
      <w:rFonts w:hint="eastAsia"/>
      <w:b/>
      <w:sz w:val="24"/>
    </w:rPr>
  </w:style>
  <w:style w:type="paragraph" w:customStyle="1" w:styleId="63">
    <w:name w:val="图表"/>
    <w:basedOn w:val="1"/>
    <w:next w:val="1"/>
    <w:qFormat/>
    <w:uiPriority w:val="0"/>
    <w:pPr>
      <w:jc w:val="center"/>
    </w:pPr>
    <w:rPr>
      <w:spacing w:val="6"/>
      <w:szCs w:val="21"/>
    </w:rPr>
  </w:style>
  <w:style w:type="paragraph" w:customStyle="1" w:styleId="64">
    <w:name w:val="表格正文"/>
    <w:basedOn w:val="1"/>
    <w:next w:val="1"/>
    <w:qFormat/>
    <w:uiPriority w:val="0"/>
    <w:pPr>
      <w:jc w:val="center"/>
    </w:p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正文-报告表新格式"/>
    <w:basedOn w:val="1"/>
    <w:qFormat/>
    <w:uiPriority w:val="0"/>
    <w:pPr>
      <w:autoSpaceDE w:val="0"/>
      <w:autoSpaceDN w:val="0"/>
      <w:adjustRightInd w:val="0"/>
      <w:snapToGrid w:val="0"/>
      <w:spacing w:line="360" w:lineRule="auto"/>
      <w:ind w:firstLine="720" w:firstLineChars="200"/>
    </w:pPr>
    <w:rPr>
      <w:rFonts w:hint="eastAsia" w:ascii="仿宋" w:hAnsi="仿宋" w:cs="仿宋"/>
      <w:kern w:val="0"/>
      <w:sz w:val="24"/>
      <w:szCs w:val="21"/>
    </w:rPr>
  </w:style>
  <w:style w:type="paragraph" w:customStyle="1" w:styleId="67">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缩进"/>
    <w:basedOn w:val="1"/>
    <w:qFormat/>
    <w:uiPriority w:val="0"/>
    <w:pPr>
      <w:autoSpaceDE w:val="0"/>
      <w:autoSpaceDN w:val="0"/>
      <w:adjustRightInd w:val="0"/>
      <w:spacing w:line="400" w:lineRule="atLeast"/>
      <w:ind w:firstLine="425"/>
      <w:textAlignment w:val="baseline"/>
    </w:pPr>
    <w:rPr>
      <w:kern w:val="0"/>
    </w:rPr>
  </w:style>
  <w:style w:type="paragraph" w:customStyle="1" w:styleId="70">
    <w:name w:val="zhang正文"/>
    <w:basedOn w:val="7"/>
    <w:qFormat/>
    <w:uiPriority w:val="0"/>
    <w:pPr>
      <w:autoSpaceDE w:val="0"/>
      <w:autoSpaceDN w:val="0"/>
      <w:adjustRightInd w:val="0"/>
      <w:snapToGrid w:val="0"/>
      <w:spacing w:line="500" w:lineRule="exact"/>
      <w:ind w:firstLine="539"/>
      <w:textAlignment w:val="baseline"/>
    </w:pPr>
    <w:rPr>
      <w:rFonts w:eastAsia="楷体_GB2312"/>
      <w:sz w:val="28"/>
    </w:rPr>
  </w:style>
  <w:style w:type="paragraph" w:customStyle="1" w:styleId="71">
    <w:name w:val="样式16"/>
    <w:basedOn w:val="1"/>
    <w:qFormat/>
    <w:uiPriority w:val="0"/>
    <w:pPr>
      <w:widowControl/>
      <w:jc w:val="center"/>
    </w:pPr>
    <w:rPr>
      <w:color w:val="000000"/>
      <w:kern w:val="0"/>
      <w:szCs w:val="21"/>
    </w:rPr>
  </w:style>
  <w:style w:type="paragraph" w:customStyle="1" w:styleId="72">
    <w:name w:val="正文样式"/>
    <w:basedOn w:val="1"/>
    <w:qFormat/>
    <w:uiPriority w:val="0"/>
    <w:pPr>
      <w:spacing w:line="360" w:lineRule="auto"/>
      <w:ind w:right="170" w:firstLine="480" w:firstLineChars="200"/>
    </w:pPr>
    <w:rPr>
      <w:rFonts w:hAnsi="宋体"/>
      <w:sz w:val="24"/>
    </w:rPr>
  </w:style>
  <w:style w:type="paragraph" w:customStyle="1" w:styleId="73">
    <w:name w:val="样式1"/>
    <w:basedOn w:val="18"/>
    <w:qFormat/>
    <w:uiPriority w:val="0"/>
    <w:pPr>
      <w:keepNext/>
      <w:tabs>
        <w:tab w:val="right" w:leader="dot" w:pos="9061"/>
        <w:tab w:val="right" w:leader="dot" w:pos="9459"/>
      </w:tabs>
      <w:adjustRightInd w:val="0"/>
      <w:snapToGrid w:val="0"/>
      <w:spacing w:line="360" w:lineRule="auto"/>
      <w:outlineLvl w:val="0"/>
    </w:pPr>
    <w:rPr>
      <w:rFonts w:ascii="宋体" w:hAnsi="宋体" w:eastAsia="宋体"/>
    </w:rPr>
  </w:style>
  <w:style w:type="table" w:customStyle="1" w:styleId="74">
    <w:name w:val="表格边框"/>
    <w:basedOn w:val="24"/>
    <w:qFormat/>
    <w:uiPriority w:val="99"/>
    <w:pPr>
      <w:jc w:val="center"/>
    </w:pPr>
    <w:rPr>
      <w:rFonts w:eastAsia="Times New Roman"/>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75">
    <w:name w:val="Table Normal"/>
    <w:unhideWhenUsed/>
    <w:qFormat/>
    <w:uiPriority w:val="0"/>
    <w:tblPr>
      <w:tblCellMar>
        <w:top w:w="0" w:type="dxa"/>
        <w:left w:w="0" w:type="dxa"/>
        <w:bottom w:w="0" w:type="dxa"/>
        <w:right w:w="0" w:type="dxa"/>
      </w:tblCellMar>
    </w:tblPr>
  </w:style>
  <w:style w:type="paragraph" w:styleId="76">
    <w:name w:val="List Paragraph"/>
    <w:basedOn w:val="1"/>
    <w:qFormat/>
    <w:uiPriority w:val="99"/>
    <w:pPr>
      <w:ind w:firstLine="420" w:firstLineChars="200"/>
    </w:pPr>
  </w:style>
  <w:style w:type="paragraph" w:customStyle="1" w:styleId="77">
    <w:name w:val="图表正文"/>
    <w:basedOn w:val="1"/>
    <w:qFormat/>
    <w:uiPriority w:val="0"/>
    <w:pPr>
      <w:jc w:val="center"/>
    </w:pPr>
  </w:style>
  <w:style w:type="paragraph" w:customStyle="1" w:styleId="78">
    <w:name w:val="表头99"/>
    <w:basedOn w:val="1"/>
    <w:qFormat/>
    <w:uiPriority w:val="0"/>
    <w:pPr>
      <w:ind w:firstLine="422" w:firstLineChars="200"/>
      <w:jc w:val="center"/>
    </w:pPr>
    <w:rPr>
      <w:rFonts w:ascii="等线" w:hAnsi="等线" w:eastAsia="等线"/>
      <w:b/>
      <w:szCs w:val="21"/>
    </w:rPr>
  </w:style>
  <w:style w:type="paragraph" w:customStyle="1" w:styleId="79">
    <w:name w:val="表格文字5号"/>
    <w:basedOn w:val="1"/>
    <w:next w:val="1"/>
    <w:qFormat/>
    <w:uiPriority w:val="0"/>
    <w:pPr>
      <w:jc w:val="center"/>
    </w:pPr>
    <w:rPr>
      <w:rFonts w:ascii="宋体"/>
      <w:szCs w:val="20"/>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TT正文"/>
    <w:basedOn w:val="1"/>
    <w:qFormat/>
    <w:uiPriority w:val="0"/>
    <w:pPr>
      <w:widowControl/>
      <w:spacing w:line="360" w:lineRule="auto"/>
      <w:jc w:val="left"/>
    </w:pPr>
    <w:rPr>
      <w:rFonts w:cs="宋体"/>
      <w:color w:val="000000"/>
      <w:sz w:val="24"/>
    </w:rPr>
  </w:style>
  <w:style w:type="paragraph" w:customStyle="1" w:styleId="82">
    <w:name w:val="表格目录"/>
    <w:basedOn w:val="1"/>
    <w:qFormat/>
    <w:uiPriority w:val="0"/>
    <w:pPr>
      <w:spacing w:before="100" w:beforeAutospacing="1" w:after="100" w:afterAutospacing="1" w:line="288" w:lineRule="auto"/>
      <w:ind w:left="51" w:right="51"/>
      <w:jc w:val="center"/>
    </w:pPr>
    <w:rPr>
      <w:b/>
      <w:bCs/>
      <w:szCs w:val="21"/>
    </w:rPr>
  </w:style>
  <w:style w:type="paragraph" w:customStyle="1" w:styleId="83">
    <w:name w:val="表"/>
    <w:basedOn w:val="1"/>
    <w:qFormat/>
    <w:uiPriority w:val="0"/>
    <w:pPr>
      <w:spacing w:before="100" w:beforeAutospacing="1" w:after="100" w:afterAutospacing="1" w:line="264" w:lineRule="auto"/>
      <w:ind w:left="19" w:leftChars="9" w:right="19" w:rightChars="9"/>
      <w:jc w:val="center"/>
      <w:textAlignment w:val="center"/>
    </w:pPr>
    <w:rPr>
      <w:szCs w:val="21"/>
    </w:rPr>
  </w:style>
  <w:style w:type="paragraph" w:customStyle="1" w:styleId="84">
    <w:name w:val="正文样式1"/>
    <w:basedOn w:val="1"/>
    <w:qFormat/>
    <w:uiPriority w:val="0"/>
    <w:pPr>
      <w:widowControl/>
      <w:adjustRightInd w:val="0"/>
      <w:spacing w:before="31" w:beforeLines="10" w:after="31" w:afterLines="10" w:line="312" w:lineRule="auto"/>
      <w:ind w:firstLine="200" w:firstLineChars="200"/>
      <w:jc w:val="left"/>
      <w:textAlignment w:val="baseline"/>
    </w:pPr>
    <w:rPr>
      <w:rFonts w:ascii="宋体"/>
      <w:snapToGrid w:val="0"/>
      <w:spacing w:val="4"/>
      <w:position w:val="-12"/>
      <w:sz w:val="24"/>
    </w:rPr>
  </w:style>
  <w:style w:type="paragraph" w:customStyle="1" w:styleId="85">
    <w:name w:val="05F凡式正文"/>
    <w:basedOn w:val="1"/>
    <w:qFormat/>
    <w:uiPriority w:val="0"/>
    <w:pPr>
      <w:spacing w:line="360" w:lineRule="auto"/>
      <w:ind w:firstLine="720" w:firstLineChars="200"/>
    </w:pPr>
    <w:rPr>
      <w:kern w:val="0"/>
      <w:sz w:val="24"/>
      <w:szCs w:val="20"/>
    </w:rPr>
  </w:style>
  <w:style w:type="paragraph" w:customStyle="1" w:styleId="86">
    <w:name w:val="五号表格"/>
    <w:basedOn w:val="1"/>
    <w:qFormat/>
    <w:uiPriority w:val="0"/>
    <w:pPr>
      <w:spacing w:line="300" w:lineRule="exact"/>
      <w:jc w:val="center"/>
    </w:pPr>
    <w:rPr>
      <w:color w:val="000000"/>
    </w:rPr>
  </w:style>
  <w:style w:type="paragraph" w:customStyle="1" w:styleId="87">
    <w:name w:val="A表表格"/>
    <w:next w:val="22"/>
    <w:qFormat/>
    <w:uiPriority w:val="0"/>
    <w:pPr>
      <w:jc w:val="center"/>
    </w:pPr>
    <w:rPr>
      <w:rFonts w:ascii="Times New Roman" w:hAnsi="Times New Roman" w:eastAsia="宋体" w:cs="Times New Roman"/>
      <w:sz w:val="18"/>
      <w:szCs w:val="24"/>
      <w:lang w:val="en-US" w:eastAsia="zh-CN" w:bidi="ar-SA"/>
    </w:rPr>
  </w:style>
  <w:style w:type="paragraph" w:customStyle="1" w:styleId="88">
    <w:name w:val="表格名称"/>
    <w:basedOn w:val="1"/>
    <w:qFormat/>
    <w:uiPriority w:val="0"/>
    <w:pPr>
      <w:spacing w:before="50" w:beforeLines="50"/>
      <w:jc w:val="center"/>
    </w:pPr>
    <w:rPr>
      <w:rFonts w:cs="宋体"/>
      <w:b/>
      <w:bCs/>
      <w:szCs w:val="21"/>
    </w:rPr>
  </w:style>
  <w:style w:type="paragraph" w:customStyle="1" w:styleId="89">
    <w:name w:val="表格文字"/>
    <w:basedOn w:val="1"/>
    <w:qFormat/>
    <w:uiPriority w:val="0"/>
    <w:pPr>
      <w:tabs>
        <w:tab w:val="left" w:pos="-2848"/>
      </w:tabs>
      <w:jc w:val="center"/>
    </w:pPr>
    <w:rPr>
      <w:position w:val="-10"/>
      <w:szCs w:val="20"/>
    </w:rPr>
  </w:style>
  <w:style w:type="character" w:customStyle="1" w:styleId="90">
    <w:name w:val="font41"/>
    <w:basedOn w:val="26"/>
    <w:qFormat/>
    <w:uiPriority w:val="0"/>
    <w:rPr>
      <w:rFonts w:hint="eastAsia" w:ascii="宋体" w:hAnsi="宋体" w:eastAsia="宋体" w:cs="宋体"/>
      <w:color w:val="000000"/>
      <w:sz w:val="21"/>
      <w:szCs w:val="21"/>
      <w:u w:val="none"/>
    </w:rPr>
  </w:style>
  <w:style w:type="paragraph" w:customStyle="1" w:styleId="91">
    <w:name w:val="文本样式1"/>
    <w:basedOn w:val="1"/>
    <w:qFormat/>
    <w:uiPriority w:val="0"/>
    <w:pPr>
      <w:spacing w:line="360" w:lineRule="auto"/>
      <w:ind w:firstLine="200" w:firstLineChars="200"/>
    </w:pPr>
    <w:rPr>
      <w:sz w:val="24"/>
    </w:rPr>
  </w:style>
  <w:style w:type="paragraph" w:customStyle="1" w:styleId="92">
    <w:name w:val="04F报告表小标题"/>
    <w:basedOn w:val="93"/>
    <w:next w:val="85"/>
    <w:qFormat/>
    <w:uiPriority w:val="0"/>
    <w:pPr>
      <w:ind w:firstLine="720" w:firstLineChars="200"/>
    </w:pPr>
    <w:rPr>
      <w:sz w:val="24"/>
      <w:szCs w:val="24"/>
    </w:rPr>
  </w:style>
  <w:style w:type="paragraph" w:customStyle="1" w:styleId="93">
    <w:name w:val="03F报告表顶格标题"/>
    <w:basedOn w:val="85"/>
    <w:next w:val="92"/>
    <w:qFormat/>
    <w:uiPriority w:val="0"/>
    <w:pPr>
      <w:ind w:firstLine="0" w:firstLineChars="0"/>
      <w:jc w:val="left"/>
    </w:pPr>
    <w:rPr>
      <w:b/>
      <w:sz w:val="28"/>
      <w:szCs w:val="28"/>
    </w:rPr>
  </w:style>
  <w:style w:type="paragraph" w:customStyle="1" w:styleId="94">
    <w:name w:val="06F图名表名"/>
    <w:basedOn w:val="95"/>
    <w:next w:val="95"/>
    <w:qFormat/>
    <w:uiPriority w:val="0"/>
    <w:rPr>
      <w:b/>
      <w:kern w:val="0"/>
      <w:sz w:val="20"/>
      <w:szCs w:val="20"/>
    </w:rPr>
  </w:style>
  <w:style w:type="paragraph" w:customStyle="1" w:styleId="95">
    <w:name w:val="07F表格文字"/>
    <w:basedOn w:val="96"/>
    <w:next w:val="96"/>
    <w:qFormat/>
    <w:uiPriority w:val="0"/>
    <w:pPr>
      <w:jc w:val="center"/>
    </w:pPr>
  </w:style>
  <w:style w:type="paragraph" w:customStyle="1" w:styleId="96">
    <w:name w:val="08F表格批注"/>
    <w:basedOn w:val="1"/>
    <w:next w:val="1"/>
    <w:qFormat/>
    <w:uiPriority w:val="0"/>
    <w:pPr>
      <w:jc w:val="left"/>
    </w:pPr>
    <w:rPr>
      <w:szCs w:val="21"/>
    </w:rPr>
  </w:style>
  <w:style w:type="paragraph" w:customStyle="1" w:styleId="97">
    <w:name w:val="Table Text"/>
    <w:basedOn w:val="1"/>
    <w:semiHidden/>
    <w:qFormat/>
    <w:uiPriority w:val="0"/>
    <w:rPr>
      <w:rFonts w:ascii="宋体" w:hAnsi="宋体" w:cs="宋体"/>
      <w:sz w:val="20"/>
      <w:szCs w:val="20"/>
      <w:lang w:eastAsia="en-US"/>
    </w:rPr>
  </w:style>
  <w:style w:type="character" w:customStyle="1" w:styleId="98">
    <w:name w:val="15"/>
    <w:basedOn w:val="26"/>
    <w:qFormat/>
    <w:uiPriority w:val="0"/>
    <w:rPr>
      <w:rFonts w:hint="default" w:ascii="Times New Roman" w:hAnsi="Times New Roman" w:cs="Times New Roman"/>
      <w:sz w:val="21"/>
      <w:szCs w:val="21"/>
    </w:rPr>
  </w:style>
  <w:style w:type="character" w:customStyle="1" w:styleId="99">
    <w:name w:val="font51"/>
    <w:basedOn w:val="26"/>
    <w:qFormat/>
    <w:uiPriority w:val="0"/>
    <w:rPr>
      <w:rFonts w:hint="eastAsia" w:ascii="宋体" w:hAnsi="宋体" w:eastAsia="宋体" w:cs="宋体"/>
      <w:b/>
      <w:bCs/>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jpe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footer" Target="foot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wmf"/><Relationship Id="rId36" Type="http://schemas.openxmlformats.org/officeDocument/2006/relationships/oleObject" Target="embeddings/oleObject8.bin"/><Relationship Id="rId35" Type="http://schemas.openxmlformats.org/officeDocument/2006/relationships/image" Target="media/image15.wmf"/><Relationship Id="rId34" Type="http://schemas.openxmlformats.org/officeDocument/2006/relationships/oleObject" Target="embeddings/oleObject7.bin"/><Relationship Id="rId33" Type="http://schemas.openxmlformats.org/officeDocument/2006/relationships/image" Target="media/image14.wmf"/><Relationship Id="rId32" Type="http://schemas.openxmlformats.org/officeDocument/2006/relationships/oleObject" Target="embeddings/oleObject6.bin"/><Relationship Id="rId31" Type="http://schemas.openxmlformats.org/officeDocument/2006/relationships/image" Target="media/image13.png"/><Relationship Id="rId30" Type="http://schemas.openxmlformats.org/officeDocument/2006/relationships/image" Target="media/image12.jpe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wmf"/><Relationship Id="rId27" Type="http://schemas.openxmlformats.org/officeDocument/2006/relationships/oleObject" Target="embeddings/oleObject5.bin"/><Relationship Id="rId26" Type="http://schemas.openxmlformats.org/officeDocument/2006/relationships/image" Target="media/image9.wmf"/><Relationship Id="rId25" Type="http://schemas.openxmlformats.org/officeDocument/2006/relationships/oleObject" Target="embeddings/oleObject4.bin"/><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14177</Words>
  <Characters>14897</Characters>
  <Lines>1</Lines>
  <Paragraphs>1</Paragraphs>
  <TotalTime>33</TotalTime>
  <ScaleCrop>false</ScaleCrop>
  <LinksUpToDate>false</LinksUpToDate>
  <CharactersWithSpaces>14904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C</cp:lastModifiedBy>
  <cp:lastPrinted>2021-09-28T07:04:00Z</cp:lastPrinted>
  <dcterms:modified xsi:type="dcterms:W3CDTF">2024-12-31T01:58:07Z</dcterms:modified>
  <dc:title>建设项目环境影响报告表（污染影响类）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C155879588524AAAB83964926F15B7EE_13</vt:lpwstr>
  </property>
  <property fmtid="{D5CDD505-2E9C-101B-9397-08002B2CF9AE}" pid="4" name="KSOTemplateDocerSaveRecord">
    <vt:lpwstr>eyJoZGlkIjoiZjQzMzA5MjJmNDlhNGIwZDg1MjVkYzgxZmEyMGZlODEiLCJ1c2VySWQiOiI0NjAyNjE2MzUifQ==</vt:lpwstr>
  </property>
</Properties>
</file>