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0"/>
        <w:rPr>
          <w:rFonts w:hint="eastAsia" w:ascii="宋体" w:hAnsi="宋体" w:eastAsia="方正小标宋简体" w:cs="方正小标宋简体"/>
          <w:b w:val="0"/>
          <w:bCs w:val="0"/>
          <w:i w:val="0"/>
          <w:iCs w:val="0"/>
          <w:caps w:val="0"/>
          <w:color w:val="auto"/>
          <w:spacing w:val="0"/>
          <w:sz w:val="44"/>
          <w:szCs w:val="44"/>
        </w:rPr>
      </w:pPr>
      <w:bookmarkStart w:id="0" w:name="_Toc6015"/>
      <w:bookmarkStart w:id="1" w:name="_Toc30621"/>
      <w:bookmarkStart w:id="2" w:name="_Toc30927"/>
      <w:bookmarkStart w:id="3" w:name="_Toc22087"/>
      <w:bookmarkStart w:id="4" w:name="_Toc29044"/>
      <w:bookmarkStart w:id="5" w:name="_Toc334"/>
      <w:bookmarkStart w:id="6" w:name="_Toc19622"/>
      <w:bookmarkStart w:id="7" w:name="_Toc188"/>
      <w:bookmarkStart w:id="131" w:name="_GoBack"/>
      <w:bookmarkEnd w:id="131"/>
      <w:r>
        <w:rPr>
          <w:rFonts w:hint="eastAsia" w:ascii="宋体" w:hAnsi="宋体" w:eastAsia="方正小标宋简体" w:cs="方正小标宋简体"/>
          <w:b w:val="0"/>
          <w:bCs w:val="0"/>
          <w:i w:val="0"/>
          <w:iCs w:val="0"/>
          <w:caps w:val="0"/>
          <w:color w:val="auto"/>
          <w:spacing w:val="0"/>
          <w:sz w:val="44"/>
          <w:szCs w:val="44"/>
          <w:lang w:val="en-US" w:eastAsia="zh-CN"/>
        </w:rPr>
        <w:t>赣州</w:t>
      </w:r>
      <w:r>
        <w:rPr>
          <w:rFonts w:hint="eastAsia" w:ascii="宋体" w:hAnsi="宋体" w:eastAsia="方正小标宋简体" w:cs="方正小标宋简体"/>
          <w:b w:val="0"/>
          <w:bCs w:val="0"/>
          <w:i w:val="0"/>
          <w:iCs w:val="0"/>
          <w:caps w:val="0"/>
          <w:color w:val="auto"/>
          <w:spacing w:val="0"/>
          <w:sz w:val="44"/>
          <w:szCs w:val="44"/>
        </w:rPr>
        <w:t>经济技术开发区区块链产业</w:t>
      </w:r>
      <w:bookmarkEnd w:id="0"/>
      <w:bookmarkEnd w:id="1"/>
      <w:bookmarkEnd w:id="2"/>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center"/>
        <w:textAlignment w:val="auto"/>
        <w:outlineLvl w:val="0"/>
        <w:rPr>
          <w:rFonts w:hint="eastAsia" w:ascii="宋体" w:hAnsi="宋体" w:eastAsia="方正小标宋简体" w:cs="方正小标宋简体"/>
          <w:b w:val="0"/>
          <w:bCs w:val="0"/>
          <w:i w:val="0"/>
          <w:iCs w:val="0"/>
          <w:caps w:val="0"/>
          <w:color w:val="auto"/>
          <w:spacing w:val="0"/>
          <w:sz w:val="44"/>
          <w:szCs w:val="44"/>
          <w:lang w:eastAsia="zh-CN"/>
        </w:rPr>
      </w:pPr>
      <w:bookmarkStart w:id="8" w:name="_Toc11111"/>
      <w:bookmarkStart w:id="9" w:name="_Toc74"/>
      <w:bookmarkStart w:id="10" w:name="_Toc15183"/>
      <w:r>
        <w:rPr>
          <w:rFonts w:hint="eastAsia" w:ascii="宋体" w:hAnsi="宋体" w:eastAsia="方正小标宋简体" w:cs="方正小标宋简体"/>
          <w:b w:val="0"/>
          <w:bCs w:val="0"/>
          <w:i w:val="0"/>
          <w:iCs w:val="0"/>
          <w:caps w:val="0"/>
          <w:color w:val="auto"/>
          <w:spacing w:val="0"/>
          <w:sz w:val="44"/>
          <w:szCs w:val="44"/>
          <w:lang w:eastAsia="zh-CN"/>
        </w:rPr>
        <w:t>“</w:t>
      </w:r>
      <w:r>
        <w:rPr>
          <w:rFonts w:hint="eastAsia" w:ascii="宋体" w:hAnsi="宋体" w:eastAsia="方正小标宋简体" w:cs="方正小标宋简体"/>
          <w:b w:val="0"/>
          <w:bCs w:val="0"/>
          <w:i w:val="0"/>
          <w:iCs w:val="0"/>
          <w:caps w:val="0"/>
          <w:color w:val="auto"/>
          <w:spacing w:val="0"/>
          <w:sz w:val="44"/>
          <w:szCs w:val="44"/>
          <w:lang w:val="en-US" w:eastAsia="zh-CN"/>
        </w:rPr>
        <w:t>十四五</w:t>
      </w:r>
      <w:r>
        <w:rPr>
          <w:rFonts w:hint="eastAsia" w:ascii="宋体" w:hAnsi="宋体" w:eastAsia="方正小标宋简体" w:cs="方正小标宋简体"/>
          <w:b w:val="0"/>
          <w:bCs w:val="0"/>
          <w:i w:val="0"/>
          <w:iCs w:val="0"/>
          <w:caps w:val="0"/>
          <w:color w:val="auto"/>
          <w:spacing w:val="0"/>
          <w:sz w:val="44"/>
          <w:szCs w:val="44"/>
          <w:lang w:eastAsia="zh-CN"/>
        </w:rPr>
        <w:t>”时期</w:t>
      </w:r>
      <w:r>
        <w:rPr>
          <w:rFonts w:hint="eastAsia" w:ascii="宋体" w:hAnsi="宋体" w:eastAsia="方正小标宋简体" w:cs="方正小标宋简体"/>
          <w:b w:val="0"/>
          <w:bCs w:val="0"/>
          <w:i w:val="0"/>
          <w:iCs w:val="0"/>
          <w:caps w:val="0"/>
          <w:color w:val="auto"/>
          <w:spacing w:val="0"/>
          <w:sz w:val="44"/>
          <w:szCs w:val="44"/>
        </w:rPr>
        <w:t>发展规划</w:t>
      </w:r>
      <w:bookmarkEnd w:id="3"/>
      <w:bookmarkEnd w:id="4"/>
      <w:bookmarkEnd w:id="5"/>
      <w:bookmarkEnd w:id="6"/>
      <w:bookmarkEnd w:id="7"/>
      <w:bookmarkEnd w:id="8"/>
      <w:bookmarkEnd w:id="9"/>
      <w:bookmarkEnd w:id="10"/>
    </w:p>
    <w:p>
      <w:pPr>
        <w:rPr>
          <w:rFonts w:hint="eastAsia" w:ascii="宋体" w:hAnsi="宋体" w:eastAsia="宋体" w:cs="宋体"/>
          <w:b w:val="0"/>
          <w:bCs w:val="0"/>
          <w:i w:val="0"/>
          <w:iCs w:val="0"/>
          <w:caps w:val="0"/>
          <w:color w:val="auto"/>
          <w:spacing w:val="0"/>
          <w:sz w:val="44"/>
          <w:szCs w:val="44"/>
        </w:rPr>
      </w:pPr>
    </w:p>
    <w:p>
      <w:pPr>
        <w:pStyle w:val="8"/>
        <w:rPr>
          <w:rFonts w:hint="eastAsia" w:ascii="宋体" w:hAnsi="宋体"/>
          <w:b w:val="0"/>
          <w:bCs w:val="0"/>
          <w:color w:val="auto"/>
        </w:rPr>
      </w:pPr>
    </w:p>
    <w:sdt>
      <w:sdtPr>
        <w:rPr>
          <w:rFonts w:hint="eastAsia" w:ascii="宋体" w:hAnsi="宋体" w:eastAsia="黑体" w:cs="黑体"/>
          <w:b w:val="0"/>
          <w:bCs w:val="0"/>
          <w:color w:val="auto"/>
          <w:kern w:val="2"/>
          <w:sz w:val="44"/>
          <w:szCs w:val="44"/>
          <w:lang w:val="en-US" w:eastAsia="zh-CN" w:bidi="ar-SA"/>
        </w:rPr>
        <w:id w:val="147472274"/>
        <w15:color w:val="DBDBDB"/>
        <w:docPartObj>
          <w:docPartGallery w:val="Table of Contents"/>
          <w:docPartUnique/>
        </w:docPartObj>
      </w:sdtPr>
      <w:sdtEndPr>
        <w:rPr>
          <w:rFonts w:hint="eastAsia" w:ascii="宋体" w:hAnsi="宋体" w:eastAsia="微软雅黑" w:cs="微软雅黑"/>
          <w:b w:val="0"/>
          <w:bCs w:val="0"/>
          <w:i w:val="0"/>
          <w:iCs w:val="0"/>
          <w:caps w:val="0"/>
          <w:color w:val="auto"/>
          <w:spacing w:val="0"/>
          <w:kern w:val="0"/>
          <w:sz w:val="24"/>
          <w:szCs w:val="16"/>
          <w:u w:val="none"/>
          <w:lang w:val="en-US" w:eastAsia="zh-CN" w:bidi="ar"/>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rPr>
              <w:rFonts w:hint="eastAsia" w:ascii="宋体" w:hAnsi="宋体" w:eastAsia="黑体" w:cs="黑体"/>
              <w:b w:val="0"/>
              <w:bCs w:val="0"/>
              <w:color w:val="auto"/>
              <w:sz w:val="44"/>
              <w:szCs w:val="44"/>
            </w:rPr>
          </w:pPr>
          <w:r>
            <w:rPr>
              <w:rFonts w:hint="eastAsia" w:ascii="宋体" w:hAnsi="宋体" w:eastAsia="黑体" w:cs="黑体"/>
              <w:b w:val="0"/>
              <w:bCs w:val="0"/>
              <w:color w:val="auto"/>
              <w:sz w:val="44"/>
              <w:szCs w:val="44"/>
            </w:rPr>
            <w:t>目</w:t>
          </w:r>
          <w:r>
            <w:rPr>
              <w:rFonts w:hint="eastAsia" w:ascii="宋体" w:hAnsi="宋体" w:eastAsia="黑体" w:cs="黑体"/>
              <w:b w:val="0"/>
              <w:bCs w:val="0"/>
              <w:color w:val="auto"/>
              <w:sz w:val="44"/>
              <w:szCs w:val="44"/>
              <w:lang w:val="en-US" w:eastAsia="zh-CN"/>
            </w:rPr>
            <w:t xml:space="preserve">  </w:t>
          </w:r>
          <w:r>
            <w:rPr>
              <w:rFonts w:hint="eastAsia" w:ascii="宋体" w:hAnsi="宋体" w:eastAsia="黑体" w:cs="黑体"/>
              <w:b w:val="0"/>
              <w:bCs w:val="0"/>
              <w:color w:val="auto"/>
              <w:sz w:val="44"/>
              <w:szCs w:val="44"/>
            </w:rPr>
            <w:t>录</w:t>
          </w:r>
        </w:p>
        <w:p>
          <w:pPr>
            <w:pStyle w:val="14"/>
            <w:keepNext w:val="0"/>
            <w:keepLines w:val="0"/>
            <w:pageBreakBefore w:val="0"/>
            <w:tabs>
              <w:tab w:val="right" w:leader="dot" w:pos="8306"/>
            </w:tabs>
            <w:kinsoku/>
            <w:wordWrap/>
            <w:overflowPunct/>
            <w:topLinePunct w:val="0"/>
            <w:autoSpaceDE/>
            <w:autoSpaceDN/>
            <w:bidi w:val="0"/>
            <w:adjustRightInd/>
            <w:snapToGrid/>
            <w:spacing w:line="560" w:lineRule="exact"/>
            <w:rPr>
              <w:rFonts w:ascii="宋体" w:hAnsi="宋体"/>
              <w:b w:val="0"/>
              <w:bCs w:val="0"/>
              <w:color w:val="auto"/>
            </w:rPr>
          </w:pPr>
          <w:r>
            <w:rPr>
              <w:rFonts w:hint="eastAsia" w:ascii="宋体" w:hAnsi="宋体" w:eastAsia="微软雅黑" w:cs="微软雅黑"/>
              <w:b w:val="0"/>
              <w:bCs w:val="0"/>
              <w:i w:val="0"/>
              <w:iCs w:val="0"/>
              <w:caps w:val="0"/>
              <w:color w:val="auto"/>
              <w:spacing w:val="0"/>
              <w:sz w:val="16"/>
              <w:szCs w:val="16"/>
              <w:u w:val="none"/>
              <w:lang w:eastAsia="zh-CN"/>
            </w:rPr>
            <w:fldChar w:fldCharType="begin"/>
          </w:r>
          <w:r>
            <w:rPr>
              <w:rFonts w:hint="eastAsia" w:ascii="宋体" w:hAnsi="宋体" w:eastAsia="微软雅黑" w:cs="微软雅黑"/>
              <w:b w:val="0"/>
              <w:bCs w:val="0"/>
              <w:i w:val="0"/>
              <w:iCs w:val="0"/>
              <w:caps w:val="0"/>
              <w:color w:val="auto"/>
              <w:spacing w:val="0"/>
              <w:sz w:val="16"/>
              <w:szCs w:val="16"/>
              <w:u w:val="none"/>
              <w:lang w:eastAsia="zh-CN"/>
            </w:rPr>
            <w:instrText xml:space="preserve">TOC \o "1-3" \h \u </w:instrText>
          </w:r>
          <w:r>
            <w:rPr>
              <w:rFonts w:hint="eastAsia" w:ascii="宋体" w:hAnsi="宋体" w:eastAsia="微软雅黑" w:cs="微软雅黑"/>
              <w:b w:val="0"/>
              <w:bCs w:val="0"/>
              <w:i w:val="0"/>
              <w:iCs w:val="0"/>
              <w:caps w:val="0"/>
              <w:color w:val="auto"/>
              <w:spacing w:val="0"/>
              <w:sz w:val="16"/>
              <w:szCs w:val="16"/>
              <w:u w:val="none"/>
              <w:lang w:eastAsia="zh-CN"/>
            </w:rPr>
            <w:fldChar w:fldCharType="separate"/>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_Toc16290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黑体" w:cs="黑体"/>
              <w:b w:val="0"/>
              <w:bCs w:val="0"/>
              <w:color w:val="auto"/>
              <w:sz w:val="32"/>
              <w:szCs w:val="32"/>
              <w:lang w:val="en-US" w:eastAsia="zh-CN"/>
            </w:rPr>
            <w:t>一、前  言</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_Toc16290 \h </w:instrText>
          </w:r>
          <w:r>
            <w:rPr>
              <w:rFonts w:ascii="宋体" w:hAnsi="宋体"/>
              <w:b w:val="0"/>
              <w:bCs w:val="0"/>
              <w:color w:val="auto"/>
              <w:sz w:val="32"/>
              <w:szCs w:val="32"/>
            </w:rPr>
            <w:fldChar w:fldCharType="separate"/>
          </w:r>
          <w:r>
            <w:rPr>
              <w:rFonts w:ascii="宋体" w:hAnsi="宋体"/>
              <w:b w:val="0"/>
              <w:bCs w:val="0"/>
              <w:color w:val="auto"/>
              <w:sz w:val="32"/>
              <w:szCs w:val="32"/>
            </w:rPr>
            <w:t>5</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_Toc26466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黑体" w:cs="黑体"/>
              <w:b w:val="0"/>
              <w:bCs w:val="0"/>
              <w:color w:val="auto"/>
              <w:sz w:val="32"/>
              <w:szCs w:val="32"/>
              <w:lang w:val="en-US" w:eastAsia="zh-CN"/>
            </w:rPr>
            <w:t>二、规划总则</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_Toc26466 \h </w:instrText>
          </w:r>
          <w:r>
            <w:rPr>
              <w:rFonts w:ascii="宋体" w:hAnsi="宋体"/>
              <w:b w:val="0"/>
              <w:bCs w:val="0"/>
              <w:color w:val="auto"/>
              <w:sz w:val="32"/>
              <w:szCs w:val="32"/>
            </w:rPr>
            <w:fldChar w:fldCharType="separate"/>
          </w:r>
          <w:r>
            <w:rPr>
              <w:rFonts w:ascii="宋体" w:hAnsi="宋体"/>
              <w:b w:val="0"/>
              <w:bCs w:val="0"/>
              <w:color w:val="auto"/>
              <w:sz w:val="32"/>
              <w:szCs w:val="32"/>
            </w:rPr>
            <w:t>6</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_Toc1529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黑体" w:cs="黑体"/>
              <w:b w:val="0"/>
              <w:bCs w:val="0"/>
              <w:color w:val="auto"/>
              <w:sz w:val="32"/>
              <w:szCs w:val="32"/>
              <w:lang w:val="en-US" w:eastAsia="zh-CN"/>
            </w:rPr>
            <w:t>三、产业现状与形势分析</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_Toc1529 \h </w:instrText>
          </w:r>
          <w:r>
            <w:rPr>
              <w:rFonts w:ascii="宋体" w:hAnsi="宋体"/>
              <w:b w:val="0"/>
              <w:bCs w:val="0"/>
              <w:color w:val="auto"/>
              <w:sz w:val="32"/>
              <w:szCs w:val="32"/>
            </w:rPr>
            <w:fldChar w:fldCharType="separate"/>
          </w:r>
          <w:r>
            <w:rPr>
              <w:rFonts w:ascii="宋体" w:hAnsi="宋体"/>
              <w:b w:val="0"/>
              <w:bCs w:val="0"/>
              <w:color w:val="auto"/>
              <w:sz w:val="32"/>
              <w:szCs w:val="32"/>
            </w:rPr>
            <w:t>6</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_Toc21278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rPr>
            <w:t>（一）产业环境</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_Toc21278 \h </w:instrText>
          </w:r>
          <w:r>
            <w:rPr>
              <w:rFonts w:ascii="宋体" w:hAnsi="宋体"/>
              <w:b w:val="0"/>
              <w:bCs w:val="0"/>
              <w:color w:val="auto"/>
              <w:sz w:val="32"/>
              <w:szCs w:val="32"/>
            </w:rPr>
            <w:fldChar w:fldCharType="separate"/>
          </w:r>
          <w:r>
            <w:rPr>
              <w:rFonts w:ascii="宋体" w:hAnsi="宋体"/>
              <w:b w:val="0"/>
              <w:bCs w:val="0"/>
              <w:color w:val="auto"/>
              <w:sz w:val="32"/>
              <w:szCs w:val="32"/>
            </w:rPr>
            <w:t>6</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_Toc29093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1.发展环境持续向好</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_Toc29093 \h </w:instrText>
          </w:r>
          <w:r>
            <w:rPr>
              <w:rFonts w:ascii="宋体" w:hAnsi="宋体"/>
              <w:b w:val="0"/>
              <w:bCs w:val="0"/>
              <w:color w:val="auto"/>
              <w:sz w:val="32"/>
              <w:szCs w:val="32"/>
            </w:rPr>
            <w:fldChar w:fldCharType="separate"/>
          </w:r>
          <w:r>
            <w:rPr>
              <w:rFonts w:ascii="宋体" w:hAnsi="宋体"/>
              <w:b w:val="0"/>
              <w:bCs w:val="0"/>
              <w:color w:val="auto"/>
              <w:sz w:val="32"/>
              <w:szCs w:val="32"/>
            </w:rPr>
            <w:t>6</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_Toc16924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2.顶层设计全面加强</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_Toc16924 \h </w:instrText>
          </w:r>
          <w:r>
            <w:rPr>
              <w:rFonts w:ascii="宋体" w:hAnsi="宋体"/>
              <w:b w:val="0"/>
              <w:bCs w:val="0"/>
              <w:color w:val="auto"/>
              <w:sz w:val="32"/>
              <w:szCs w:val="32"/>
            </w:rPr>
            <w:fldChar w:fldCharType="separate"/>
          </w:r>
          <w:r>
            <w:rPr>
              <w:rFonts w:ascii="宋体" w:hAnsi="宋体"/>
              <w:b w:val="0"/>
              <w:bCs w:val="0"/>
              <w:color w:val="auto"/>
              <w:sz w:val="32"/>
              <w:szCs w:val="32"/>
            </w:rPr>
            <w:t>7</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_Toc21189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3.多元应用脱虚向实</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_Toc21189 \h </w:instrText>
          </w:r>
          <w:r>
            <w:rPr>
              <w:rFonts w:ascii="宋体" w:hAnsi="宋体"/>
              <w:b w:val="0"/>
              <w:bCs w:val="0"/>
              <w:color w:val="auto"/>
              <w:sz w:val="32"/>
              <w:szCs w:val="32"/>
            </w:rPr>
            <w:fldChar w:fldCharType="separate"/>
          </w:r>
          <w:r>
            <w:rPr>
              <w:rFonts w:ascii="宋体" w:hAnsi="宋体"/>
              <w:b w:val="0"/>
              <w:bCs w:val="0"/>
              <w:color w:val="auto"/>
              <w:sz w:val="32"/>
              <w:szCs w:val="32"/>
            </w:rPr>
            <w:t>7</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_Toc18452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4.行业生态初步成型</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_Toc18452 \h </w:instrText>
          </w:r>
          <w:r>
            <w:rPr>
              <w:rFonts w:ascii="宋体" w:hAnsi="宋体"/>
              <w:b w:val="0"/>
              <w:bCs w:val="0"/>
              <w:color w:val="auto"/>
              <w:sz w:val="32"/>
              <w:szCs w:val="32"/>
            </w:rPr>
            <w:fldChar w:fldCharType="separate"/>
          </w:r>
          <w:r>
            <w:rPr>
              <w:rFonts w:ascii="宋体" w:hAnsi="宋体"/>
              <w:b w:val="0"/>
              <w:bCs w:val="0"/>
              <w:color w:val="auto"/>
              <w:sz w:val="32"/>
              <w:szCs w:val="32"/>
            </w:rPr>
            <w:t>8</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_Toc10744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rPr>
            <w:t>（二）</w:t>
          </w:r>
          <w:r>
            <w:rPr>
              <w:rFonts w:hint="eastAsia" w:ascii="宋体" w:hAnsi="宋体" w:eastAsia="楷体_GB2312" w:cs="楷体_GB2312"/>
              <w:b w:val="0"/>
              <w:bCs w:val="0"/>
              <w:color w:val="auto"/>
              <w:sz w:val="32"/>
              <w:szCs w:val="32"/>
              <w:lang w:val="en-US" w:eastAsia="zh-CN"/>
            </w:rPr>
            <w:t>产业</w:t>
          </w:r>
          <w:r>
            <w:rPr>
              <w:rFonts w:hint="eastAsia" w:ascii="宋体" w:hAnsi="宋体" w:eastAsia="楷体_GB2312" w:cs="楷体_GB2312"/>
              <w:b w:val="0"/>
              <w:bCs w:val="0"/>
              <w:color w:val="auto"/>
              <w:sz w:val="32"/>
              <w:szCs w:val="32"/>
            </w:rPr>
            <w:t>基础</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_Toc10744 \h </w:instrText>
          </w:r>
          <w:r>
            <w:rPr>
              <w:rFonts w:ascii="宋体" w:hAnsi="宋体"/>
              <w:b w:val="0"/>
              <w:bCs w:val="0"/>
              <w:color w:val="auto"/>
              <w:sz w:val="32"/>
              <w:szCs w:val="32"/>
            </w:rPr>
            <w:fldChar w:fldCharType="separate"/>
          </w:r>
          <w:r>
            <w:rPr>
              <w:rFonts w:ascii="宋体" w:hAnsi="宋体"/>
              <w:b w:val="0"/>
              <w:bCs w:val="0"/>
              <w:color w:val="auto"/>
              <w:sz w:val="32"/>
              <w:szCs w:val="32"/>
            </w:rPr>
            <w:t>8</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_Toc22470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1.技术布局具有先发优势</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_Toc22470 \h </w:instrText>
          </w:r>
          <w:r>
            <w:rPr>
              <w:rFonts w:ascii="宋体" w:hAnsi="宋体"/>
              <w:b w:val="0"/>
              <w:bCs w:val="0"/>
              <w:color w:val="auto"/>
              <w:sz w:val="32"/>
              <w:szCs w:val="32"/>
            </w:rPr>
            <w:fldChar w:fldCharType="separate"/>
          </w:r>
          <w:r>
            <w:rPr>
              <w:rFonts w:ascii="宋体" w:hAnsi="宋体"/>
              <w:b w:val="0"/>
              <w:bCs w:val="0"/>
              <w:color w:val="auto"/>
              <w:sz w:val="32"/>
              <w:szCs w:val="32"/>
            </w:rPr>
            <w:t>8</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_Toc18715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2.产业发展具备融通基础</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_Toc18715 \h </w:instrText>
          </w:r>
          <w:r>
            <w:rPr>
              <w:rFonts w:ascii="宋体" w:hAnsi="宋体"/>
              <w:b w:val="0"/>
              <w:bCs w:val="0"/>
              <w:color w:val="auto"/>
              <w:sz w:val="32"/>
              <w:szCs w:val="32"/>
            </w:rPr>
            <w:fldChar w:fldCharType="separate"/>
          </w:r>
          <w:r>
            <w:rPr>
              <w:rFonts w:ascii="宋体" w:hAnsi="宋体"/>
              <w:b w:val="0"/>
              <w:bCs w:val="0"/>
              <w:color w:val="auto"/>
              <w:sz w:val="32"/>
              <w:szCs w:val="32"/>
            </w:rPr>
            <w:t>9</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_Toc25940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3.创新应用场景持续丰富</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_Toc25940 \h </w:instrText>
          </w:r>
          <w:r>
            <w:rPr>
              <w:rFonts w:ascii="宋体" w:hAnsi="宋体"/>
              <w:b w:val="0"/>
              <w:bCs w:val="0"/>
              <w:color w:val="auto"/>
              <w:sz w:val="32"/>
              <w:szCs w:val="32"/>
            </w:rPr>
            <w:fldChar w:fldCharType="separate"/>
          </w:r>
          <w:r>
            <w:rPr>
              <w:rFonts w:ascii="宋体" w:hAnsi="宋体"/>
              <w:b w:val="0"/>
              <w:bCs w:val="0"/>
              <w:color w:val="auto"/>
              <w:sz w:val="32"/>
              <w:szCs w:val="32"/>
            </w:rPr>
            <w:t>9</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_Toc24241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4.营商政策环境不断优化</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_Toc24241 \h </w:instrText>
          </w:r>
          <w:r>
            <w:rPr>
              <w:rFonts w:ascii="宋体" w:hAnsi="宋体"/>
              <w:b w:val="0"/>
              <w:bCs w:val="0"/>
              <w:color w:val="auto"/>
              <w:sz w:val="32"/>
              <w:szCs w:val="32"/>
            </w:rPr>
            <w:fldChar w:fldCharType="separate"/>
          </w:r>
          <w:r>
            <w:rPr>
              <w:rFonts w:ascii="宋体" w:hAnsi="宋体"/>
              <w:b w:val="0"/>
              <w:bCs w:val="0"/>
              <w:color w:val="auto"/>
              <w:sz w:val="32"/>
              <w:szCs w:val="32"/>
            </w:rPr>
            <w:t>10</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_Toc27761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rPr>
            <w:t>（三）</w:t>
          </w:r>
          <w:r>
            <w:rPr>
              <w:rFonts w:hint="eastAsia" w:ascii="宋体" w:hAnsi="宋体" w:eastAsia="楷体_GB2312" w:cs="楷体_GB2312"/>
              <w:b w:val="0"/>
              <w:bCs w:val="0"/>
              <w:color w:val="auto"/>
              <w:sz w:val="32"/>
              <w:szCs w:val="32"/>
              <w:lang w:val="en-US" w:eastAsia="zh-CN"/>
            </w:rPr>
            <w:t>存在问题</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_Toc27761 \h </w:instrText>
          </w:r>
          <w:r>
            <w:rPr>
              <w:rFonts w:ascii="宋体" w:hAnsi="宋体"/>
              <w:b w:val="0"/>
              <w:bCs w:val="0"/>
              <w:color w:val="auto"/>
              <w:sz w:val="32"/>
              <w:szCs w:val="32"/>
            </w:rPr>
            <w:fldChar w:fldCharType="separate"/>
          </w:r>
          <w:r>
            <w:rPr>
              <w:rFonts w:ascii="宋体" w:hAnsi="宋体"/>
              <w:b w:val="0"/>
              <w:bCs w:val="0"/>
              <w:color w:val="auto"/>
              <w:sz w:val="32"/>
              <w:szCs w:val="32"/>
            </w:rPr>
            <w:t>10</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_Toc27099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1.扩展配套技术存在短板</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_Toc27099 \h </w:instrText>
          </w:r>
          <w:r>
            <w:rPr>
              <w:rFonts w:ascii="宋体" w:hAnsi="宋体"/>
              <w:b w:val="0"/>
              <w:bCs w:val="0"/>
              <w:color w:val="auto"/>
              <w:sz w:val="32"/>
              <w:szCs w:val="32"/>
            </w:rPr>
            <w:fldChar w:fldCharType="separate"/>
          </w:r>
          <w:r>
            <w:rPr>
              <w:rFonts w:ascii="宋体" w:hAnsi="宋体"/>
              <w:b w:val="0"/>
              <w:bCs w:val="0"/>
              <w:color w:val="auto"/>
              <w:sz w:val="32"/>
              <w:szCs w:val="32"/>
            </w:rPr>
            <w:t>10</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_Toc271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2.本地产业链尚待补缺完善</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_Toc271 \h </w:instrText>
          </w:r>
          <w:r>
            <w:rPr>
              <w:rFonts w:ascii="宋体" w:hAnsi="宋体"/>
              <w:b w:val="0"/>
              <w:bCs w:val="0"/>
              <w:color w:val="auto"/>
              <w:sz w:val="32"/>
              <w:szCs w:val="32"/>
            </w:rPr>
            <w:fldChar w:fldCharType="separate"/>
          </w:r>
          <w:r>
            <w:rPr>
              <w:rFonts w:ascii="宋体" w:hAnsi="宋体"/>
              <w:b w:val="0"/>
              <w:bCs w:val="0"/>
              <w:color w:val="auto"/>
              <w:sz w:val="32"/>
              <w:szCs w:val="32"/>
            </w:rPr>
            <w:t>11</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_Toc17102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3.应用落地推广难度尚存</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_Toc17102 \h </w:instrText>
          </w:r>
          <w:r>
            <w:rPr>
              <w:rFonts w:ascii="宋体" w:hAnsi="宋体"/>
              <w:b w:val="0"/>
              <w:bCs w:val="0"/>
              <w:color w:val="auto"/>
              <w:sz w:val="32"/>
              <w:szCs w:val="32"/>
            </w:rPr>
            <w:fldChar w:fldCharType="separate"/>
          </w:r>
          <w:r>
            <w:rPr>
              <w:rFonts w:ascii="宋体" w:hAnsi="宋体"/>
              <w:b w:val="0"/>
              <w:bCs w:val="0"/>
              <w:color w:val="auto"/>
              <w:sz w:val="32"/>
              <w:szCs w:val="32"/>
            </w:rPr>
            <w:t>11</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_Toc1646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4.区块链商业模式有待明晰</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_Toc1646 \h </w:instrText>
          </w:r>
          <w:r>
            <w:rPr>
              <w:rFonts w:ascii="宋体" w:hAnsi="宋体"/>
              <w:b w:val="0"/>
              <w:bCs w:val="0"/>
              <w:color w:val="auto"/>
              <w:sz w:val="32"/>
              <w:szCs w:val="32"/>
            </w:rPr>
            <w:fldChar w:fldCharType="separate"/>
          </w:r>
          <w:r>
            <w:rPr>
              <w:rFonts w:ascii="宋体" w:hAnsi="宋体"/>
              <w:b w:val="0"/>
              <w:bCs w:val="0"/>
              <w:color w:val="auto"/>
              <w:sz w:val="32"/>
              <w:szCs w:val="32"/>
            </w:rPr>
            <w:t>11</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宋体" w:hAnsi="宋体"/>
              <w:b w:val="0"/>
              <w:bCs w:val="0"/>
              <w:color w:val="auto"/>
              <w:sz w:val="32"/>
              <w:szCs w:val="32"/>
              <w:lang w:val="en-US"/>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_Toc1057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黑体" w:cs="黑体"/>
              <w:b w:val="0"/>
              <w:bCs w:val="0"/>
              <w:color w:val="auto"/>
              <w:sz w:val="32"/>
              <w:szCs w:val="32"/>
              <w:lang w:val="en-US" w:eastAsia="zh-CN"/>
            </w:rPr>
            <w:t>四、总体要求</w:t>
          </w:r>
          <w:r>
            <w:rPr>
              <w:rFonts w:ascii="宋体" w:hAnsi="宋体"/>
              <w:b w:val="0"/>
              <w:bCs w:val="0"/>
              <w:color w:val="auto"/>
              <w:sz w:val="32"/>
              <w:szCs w:val="32"/>
            </w:rPr>
            <w:tab/>
          </w:r>
          <w:r>
            <w:rPr>
              <w:rFonts w:hint="eastAsia" w:ascii="宋体" w:hAnsi="宋体"/>
              <w:b w:val="0"/>
              <w:bCs w:val="0"/>
              <w:color w:val="auto"/>
              <w:sz w:val="32"/>
              <w:szCs w:val="32"/>
              <w:lang w:val="en-US" w:eastAsia="zh-CN"/>
            </w:rPr>
            <w:t xml:space="preserve"> 1</w:t>
          </w:r>
          <w:r>
            <w:rPr>
              <w:rFonts w:hint="eastAsia" w:ascii="宋体" w:hAnsi="宋体" w:eastAsia="微软雅黑" w:cs="微软雅黑"/>
              <w:b w:val="0"/>
              <w:bCs w:val="0"/>
              <w:i w:val="0"/>
              <w:iCs w:val="0"/>
              <w:caps w:val="0"/>
              <w:color w:val="auto"/>
              <w:spacing w:val="0"/>
              <w:sz w:val="32"/>
              <w:szCs w:val="32"/>
              <w:u w:val="none"/>
              <w:lang w:eastAsia="zh-CN"/>
            </w:rPr>
            <w:fldChar w:fldCharType="end"/>
          </w:r>
          <w:r>
            <w:rPr>
              <w:rFonts w:hint="eastAsia" w:ascii="宋体" w:hAnsi="宋体" w:eastAsia="微软雅黑" w:cs="微软雅黑"/>
              <w:b w:val="0"/>
              <w:bCs w:val="0"/>
              <w:i w:val="0"/>
              <w:iCs w:val="0"/>
              <w:caps w:val="0"/>
              <w:color w:val="auto"/>
              <w:spacing w:val="0"/>
              <w:sz w:val="32"/>
              <w:szCs w:val="32"/>
              <w:u w:val="none"/>
              <w:lang w:val="en-US" w:eastAsia="zh-CN"/>
            </w:rPr>
            <w:t xml:space="preserve">2 </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_Toc18368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rPr>
            <w:t>（一）指导思想</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_Toc18368 \h </w:instrText>
          </w:r>
          <w:r>
            <w:rPr>
              <w:rFonts w:ascii="宋体" w:hAnsi="宋体"/>
              <w:b w:val="0"/>
              <w:bCs w:val="0"/>
              <w:color w:val="auto"/>
              <w:sz w:val="32"/>
              <w:szCs w:val="32"/>
            </w:rPr>
            <w:fldChar w:fldCharType="separate"/>
          </w:r>
          <w:r>
            <w:rPr>
              <w:rFonts w:ascii="宋体" w:hAnsi="宋体"/>
              <w:b w:val="0"/>
              <w:bCs w:val="0"/>
              <w:color w:val="auto"/>
              <w:sz w:val="32"/>
              <w:szCs w:val="32"/>
            </w:rPr>
            <w:t>12</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_Toc17263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rPr>
            <w:t>（二）基本原则</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_Toc17263 \h </w:instrText>
          </w:r>
          <w:r>
            <w:rPr>
              <w:rFonts w:ascii="宋体" w:hAnsi="宋体"/>
              <w:b w:val="0"/>
              <w:bCs w:val="0"/>
              <w:color w:val="auto"/>
              <w:sz w:val="32"/>
              <w:szCs w:val="32"/>
            </w:rPr>
            <w:fldChar w:fldCharType="separate"/>
          </w:r>
          <w:r>
            <w:rPr>
              <w:rFonts w:ascii="宋体" w:hAnsi="宋体"/>
              <w:b w:val="0"/>
              <w:bCs w:val="0"/>
              <w:color w:val="auto"/>
              <w:sz w:val="32"/>
              <w:szCs w:val="32"/>
            </w:rPr>
            <w:t>12</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_Toc18100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1.坚持创新融合</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_Toc18100 \h </w:instrText>
          </w:r>
          <w:r>
            <w:rPr>
              <w:rFonts w:ascii="宋体" w:hAnsi="宋体"/>
              <w:b w:val="0"/>
              <w:bCs w:val="0"/>
              <w:color w:val="auto"/>
              <w:sz w:val="32"/>
              <w:szCs w:val="32"/>
            </w:rPr>
            <w:fldChar w:fldCharType="separate"/>
          </w:r>
          <w:r>
            <w:rPr>
              <w:rFonts w:ascii="宋体" w:hAnsi="宋体"/>
              <w:b w:val="0"/>
              <w:bCs w:val="0"/>
              <w:color w:val="auto"/>
              <w:sz w:val="32"/>
              <w:szCs w:val="32"/>
            </w:rPr>
            <w:t>12</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_Toc15386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2.坚持应用牵引</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_Toc15386 \h </w:instrText>
          </w:r>
          <w:r>
            <w:rPr>
              <w:rFonts w:ascii="宋体" w:hAnsi="宋体"/>
              <w:b w:val="0"/>
              <w:bCs w:val="0"/>
              <w:color w:val="auto"/>
              <w:sz w:val="32"/>
              <w:szCs w:val="32"/>
            </w:rPr>
            <w:fldChar w:fldCharType="separate"/>
          </w:r>
          <w:r>
            <w:rPr>
              <w:rFonts w:ascii="宋体" w:hAnsi="宋体"/>
              <w:b w:val="0"/>
              <w:bCs w:val="0"/>
              <w:color w:val="auto"/>
              <w:sz w:val="32"/>
              <w:szCs w:val="32"/>
            </w:rPr>
            <w:t>12</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_Toc30641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3.坚持开放共享</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_Toc30641 \h </w:instrText>
          </w:r>
          <w:r>
            <w:rPr>
              <w:rFonts w:ascii="宋体" w:hAnsi="宋体"/>
              <w:b w:val="0"/>
              <w:bCs w:val="0"/>
              <w:color w:val="auto"/>
              <w:sz w:val="32"/>
              <w:szCs w:val="32"/>
            </w:rPr>
            <w:fldChar w:fldCharType="separate"/>
          </w:r>
          <w:r>
            <w:rPr>
              <w:rFonts w:ascii="宋体" w:hAnsi="宋体"/>
              <w:b w:val="0"/>
              <w:bCs w:val="0"/>
              <w:color w:val="auto"/>
              <w:sz w:val="32"/>
              <w:szCs w:val="32"/>
            </w:rPr>
            <w:t>13</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微软雅黑" w:cs="微软雅黑"/>
              <w:b w:val="0"/>
              <w:bCs w:val="0"/>
              <w:i w:val="0"/>
              <w:iCs w:val="0"/>
              <w:caps w:val="0"/>
              <w:color w:val="auto"/>
              <w:spacing w:val="0"/>
              <w:sz w:val="32"/>
              <w:szCs w:val="32"/>
              <w:lang w:eastAsia="zh-CN"/>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_Toc25922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4.坚持安全有序</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_Toc25922 \h </w:instrText>
          </w:r>
          <w:r>
            <w:rPr>
              <w:rFonts w:ascii="宋体" w:hAnsi="宋体"/>
              <w:b w:val="0"/>
              <w:bCs w:val="0"/>
              <w:color w:val="auto"/>
              <w:sz w:val="32"/>
              <w:szCs w:val="32"/>
            </w:rPr>
            <w:fldChar w:fldCharType="separate"/>
          </w:r>
          <w:r>
            <w:rPr>
              <w:rFonts w:ascii="宋体" w:hAnsi="宋体"/>
              <w:b w:val="0"/>
              <w:bCs w:val="0"/>
              <w:color w:val="auto"/>
              <w:sz w:val="32"/>
              <w:szCs w:val="32"/>
            </w:rPr>
            <w:t>13</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_Toc8323 </w:instrText>
          </w:r>
          <w:r>
            <w:rPr>
              <w:rFonts w:hint="eastAsia" w:ascii="宋体" w:hAnsi="宋体" w:eastAsia="微软雅黑" w:cs="微软雅黑"/>
              <w:b w:val="0"/>
              <w:bCs w:val="0"/>
              <w:i w:val="0"/>
              <w:iCs w:val="0"/>
              <w:caps w:val="0"/>
              <w:color w:val="auto"/>
              <w:spacing w:val="0"/>
              <w:sz w:val="32"/>
              <w:szCs w:val="32"/>
              <w:lang w:eastAsia="zh-CN"/>
            </w:rPr>
            <w:fldChar w:fldCharType="separate"/>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ind w:left="0" w:leftChars="0" w:firstLine="0" w:firstLineChars="0"/>
            <w:textAlignment w:val="auto"/>
            <w:rPr>
              <w:rFonts w:ascii="宋体" w:hAnsi="宋体"/>
              <w:b w:val="0"/>
              <w:bCs w:val="0"/>
              <w:color w:val="auto"/>
              <w:sz w:val="32"/>
              <w:szCs w:val="32"/>
            </w:rPr>
          </w:pPr>
          <w:r>
            <w:rPr>
              <w:rFonts w:hint="eastAsia" w:ascii="宋体" w:hAnsi="宋体" w:eastAsia="黑体" w:cs="黑体"/>
              <w:b w:val="0"/>
              <w:bCs w:val="0"/>
              <w:color w:val="auto"/>
              <w:kern w:val="2"/>
              <w:sz w:val="32"/>
              <w:szCs w:val="32"/>
              <w:lang w:val="en-US" w:eastAsia="zh-CN" w:bidi="ar-SA"/>
            </w:rPr>
            <w:t>五、发展目标</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_Toc8323 \h </w:instrText>
          </w:r>
          <w:r>
            <w:rPr>
              <w:rFonts w:ascii="宋体" w:hAnsi="宋体"/>
              <w:b w:val="0"/>
              <w:bCs w:val="0"/>
              <w:color w:val="auto"/>
              <w:sz w:val="32"/>
              <w:szCs w:val="32"/>
            </w:rPr>
            <w:fldChar w:fldCharType="separate"/>
          </w:r>
          <w:r>
            <w:rPr>
              <w:rFonts w:ascii="宋体" w:hAnsi="宋体"/>
              <w:b w:val="0"/>
              <w:bCs w:val="0"/>
              <w:color w:val="auto"/>
              <w:sz w:val="32"/>
              <w:szCs w:val="32"/>
            </w:rPr>
            <w:t>13</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_Toc29719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黑体" w:cs="黑体"/>
              <w:b w:val="0"/>
              <w:bCs w:val="0"/>
              <w:color w:val="auto"/>
              <w:sz w:val="32"/>
              <w:szCs w:val="32"/>
              <w:lang w:val="en-US" w:eastAsia="zh-CN"/>
            </w:rPr>
            <w:t>六、主要任务</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_Toc29719 \h </w:instrText>
          </w:r>
          <w:r>
            <w:rPr>
              <w:rFonts w:ascii="宋体" w:hAnsi="宋体"/>
              <w:b w:val="0"/>
              <w:bCs w:val="0"/>
              <w:color w:val="auto"/>
              <w:sz w:val="32"/>
              <w:szCs w:val="32"/>
            </w:rPr>
            <w:fldChar w:fldCharType="separate"/>
          </w:r>
          <w:r>
            <w:rPr>
              <w:rFonts w:ascii="宋体" w:hAnsi="宋体"/>
              <w:b w:val="0"/>
              <w:bCs w:val="0"/>
              <w:color w:val="auto"/>
              <w:sz w:val="32"/>
              <w:szCs w:val="32"/>
            </w:rPr>
            <w:t>14</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_Toc30145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rPr>
            <w:t>（一）</w:t>
          </w:r>
          <w:r>
            <w:rPr>
              <w:rFonts w:hint="eastAsia" w:ascii="宋体" w:hAnsi="宋体" w:eastAsia="楷体_GB2312" w:cs="楷体_GB2312"/>
              <w:b w:val="0"/>
              <w:bCs w:val="0"/>
              <w:color w:val="auto"/>
              <w:sz w:val="32"/>
              <w:szCs w:val="32"/>
              <w:lang w:val="en-US" w:eastAsia="zh-CN"/>
            </w:rPr>
            <w:t>夯实基础建设</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_Toc30145 \h </w:instrText>
          </w:r>
          <w:r>
            <w:rPr>
              <w:rFonts w:ascii="宋体" w:hAnsi="宋体"/>
              <w:b w:val="0"/>
              <w:bCs w:val="0"/>
              <w:color w:val="auto"/>
              <w:sz w:val="32"/>
              <w:szCs w:val="32"/>
            </w:rPr>
            <w:fldChar w:fldCharType="separate"/>
          </w:r>
          <w:r>
            <w:rPr>
              <w:rFonts w:ascii="宋体" w:hAnsi="宋体"/>
              <w:b w:val="0"/>
              <w:bCs w:val="0"/>
              <w:color w:val="auto"/>
              <w:sz w:val="32"/>
              <w:szCs w:val="32"/>
            </w:rPr>
            <w:t>14</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_Toc5694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1.完善基础平台建设</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_Toc5694 \h </w:instrText>
          </w:r>
          <w:r>
            <w:rPr>
              <w:rFonts w:ascii="宋体" w:hAnsi="宋体"/>
              <w:b w:val="0"/>
              <w:bCs w:val="0"/>
              <w:color w:val="auto"/>
              <w:sz w:val="32"/>
              <w:szCs w:val="32"/>
            </w:rPr>
            <w:fldChar w:fldCharType="separate"/>
          </w:r>
          <w:r>
            <w:rPr>
              <w:rFonts w:ascii="宋体" w:hAnsi="宋体"/>
              <w:b w:val="0"/>
              <w:bCs w:val="0"/>
              <w:color w:val="auto"/>
              <w:sz w:val="32"/>
              <w:szCs w:val="32"/>
            </w:rPr>
            <w:t>15</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_Toc13383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2.积极参与标准制定</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_Toc13383 \h </w:instrText>
          </w:r>
          <w:r>
            <w:rPr>
              <w:rFonts w:ascii="宋体" w:hAnsi="宋体"/>
              <w:b w:val="0"/>
              <w:bCs w:val="0"/>
              <w:color w:val="auto"/>
              <w:sz w:val="32"/>
              <w:szCs w:val="32"/>
            </w:rPr>
            <w:fldChar w:fldCharType="separate"/>
          </w:r>
          <w:r>
            <w:rPr>
              <w:rFonts w:ascii="宋体" w:hAnsi="宋体"/>
              <w:b w:val="0"/>
              <w:bCs w:val="0"/>
              <w:color w:val="auto"/>
              <w:sz w:val="32"/>
              <w:szCs w:val="32"/>
            </w:rPr>
            <w:t>15</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微软雅黑" w:cs="微软雅黑"/>
              <w:b w:val="0"/>
              <w:bCs w:val="0"/>
              <w:i w:val="0"/>
              <w:iCs w:val="0"/>
              <w:caps w:val="0"/>
              <w:color w:val="auto"/>
              <w:spacing w:val="0"/>
              <w:sz w:val="32"/>
              <w:szCs w:val="32"/>
              <w:u w:val="none"/>
              <w:lang w:eastAsia="zh-CN"/>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_Toc19424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3.建立区块链生态监测平台</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_Toc19424 \h </w:instrText>
          </w:r>
          <w:r>
            <w:rPr>
              <w:rFonts w:ascii="宋体" w:hAnsi="宋体"/>
              <w:b w:val="0"/>
              <w:bCs w:val="0"/>
              <w:color w:val="auto"/>
              <w:sz w:val="32"/>
              <w:szCs w:val="32"/>
            </w:rPr>
            <w:fldChar w:fldCharType="separate"/>
          </w:r>
          <w:r>
            <w:rPr>
              <w:rFonts w:ascii="宋体" w:hAnsi="宋体"/>
              <w:b w:val="0"/>
              <w:bCs w:val="0"/>
              <w:color w:val="auto"/>
              <w:sz w:val="32"/>
              <w:szCs w:val="32"/>
            </w:rPr>
            <w:t>15</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default" w:ascii="宋体" w:hAnsi="宋体" w:eastAsia="仿宋" w:cs="仿宋"/>
              <w:b w:val="0"/>
              <w:bCs w:val="0"/>
              <w:color w:val="auto"/>
              <w:kern w:val="2"/>
              <w:sz w:val="32"/>
              <w:szCs w:val="32"/>
              <w:lang w:val="en-US" w:eastAsia="zh-CN" w:bidi="ar-SA"/>
            </w:rPr>
          </w:pPr>
          <w:r>
            <w:rPr>
              <w:rFonts w:hint="eastAsia" w:ascii="宋体" w:hAnsi="宋体" w:eastAsia="仿宋" w:cs="仿宋"/>
              <w:b w:val="0"/>
              <w:bCs w:val="0"/>
              <w:color w:val="auto"/>
              <w:kern w:val="2"/>
              <w:sz w:val="32"/>
              <w:szCs w:val="32"/>
              <w:lang w:val="en-US" w:eastAsia="zh-CN" w:bidi="ar-SA"/>
            </w:rPr>
            <w:t>4.加快研究部署虚拟与现实交互平台</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_Toc19424 \h </w:instrText>
          </w:r>
          <w:r>
            <w:rPr>
              <w:rFonts w:ascii="宋体" w:hAnsi="宋体"/>
              <w:b w:val="0"/>
              <w:bCs w:val="0"/>
              <w:color w:val="auto"/>
              <w:sz w:val="32"/>
              <w:szCs w:val="32"/>
            </w:rPr>
            <w:fldChar w:fldCharType="separate"/>
          </w:r>
          <w:r>
            <w:rPr>
              <w:rFonts w:ascii="宋体" w:hAnsi="宋体"/>
              <w:b w:val="0"/>
              <w:bCs w:val="0"/>
              <w:color w:val="auto"/>
              <w:sz w:val="32"/>
              <w:szCs w:val="32"/>
            </w:rPr>
            <w:t>15</w:t>
          </w:r>
          <w:r>
            <w:rPr>
              <w:rFonts w:ascii="宋体" w:hAnsi="宋体"/>
              <w:b w:val="0"/>
              <w:bCs w:val="0"/>
              <w:color w:val="auto"/>
              <w:sz w:val="32"/>
              <w:szCs w:val="32"/>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_Toc8038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eastAsia="zh-CN"/>
            </w:rPr>
            <w:t>（</w:t>
          </w:r>
          <w:r>
            <w:rPr>
              <w:rFonts w:hint="eastAsia" w:ascii="宋体" w:hAnsi="宋体" w:eastAsia="楷体_GB2312" w:cs="楷体_GB2312"/>
              <w:b w:val="0"/>
              <w:bCs w:val="0"/>
              <w:color w:val="auto"/>
              <w:sz w:val="32"/>
              <w:szCs w:val="32"/>
              <w:lang w:val="en-US" w:eastAsia="zh-CN"/>
            </w:rPr>
            <w:t>二</w:t>
          </w:r>
          <w:r>
            <w:rPr>
              <w:rFonts w:hint="eastAsia" w:ascii="宋体" w:hAnsi="宋体" w:eastAsia="楷体_GB2312" w:cs="楷体_GB2312"/>
              <w:b w:val="0"/>
              <w:bCs w:val="0"/>
              <w:color w:val="auto"/>
              <w:sz w:val="32"/>
              <w:szCs w:val="32"/>
              <w:lang w:eastAsia="zh-CN"/>
            </w:rPr>
            <w:t>）</w:t>
          </w:r>
          <w:r>
            <w:rPr>
              <w:rFonts w:hint="eastAsia" w:ascii="宋体" w:hAnsi="宋体" w:eastAsia="楷体_GB2312" w:cs="楷体_GB2312"/>
              <w:b w:val="0"/>
              <w:bCs w:val="0"/>
              <w:color w:val="auto"/>
              <w:sz w:val="32"/>
              <w:szCs w:val="32"/>
              <w:lang w:val="en-US" w:eastAsia="zh-CN"/>
            </w:rPr>
            <w:t>推动技术创新</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_Toc8038 \h </w:instrText>
          </w:r>
          <w:r>
            <w:rPr>
              <w:rFonts w:ascii="宋体" w:hAnsi="宋体"/>
              <w:b w:val="0"/>
              <w:bCs w:val="0"/>
              <w:color w:val="auto"/>
              <w:sz w:val="32"/>
              <w:szCs w:val="32"/>
            </w:rPr>
            <w:fldChar w:fldCharType="separate"/>
          </w:r>
          <w:r>
            <w:rPr>
              <w:rFonts w:ascii="宋体" w:hAnsi="宋体"/>
              <w:b w:val="0"/>
              <w:bCs w:val="0"/>
              <w:color w:val="auto"/>
              <w:sz w:val="32"/>
              <w:szCs w:val="32"/>
            </w:rPr>
            <w:t>16</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_Toc18324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1.加快底层技术攻关</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_Toc18324 \h </w:instrText>
          </w:r>
          <w:r>
            <w:rPr>
              <w:rFonts w:ascii="宋体" w:hAnsi="宋体"/>
              <w:b w:val="0"/>
              <w:bCs w:val="0"/>
              <w:color w:val="auto"/>
              <w:sz w:val="32"/>
              <w:szCs w:val="32"/>
            </w:rPr>
            <w:fldChar w:fldCharType="separate"/>
          </w:r>
          <w:r>
            <w:rPr>
              <w:rFonts w:ascii="宋体" w:hAnsi="宋体"/>
              <w:b w:val="0"/>
              <w:bCs w:val="0"/>
              <w:color w:val="auto"/>
              <w:sz w:val="32"/>
              <w:szCs w:val="32"/>
            </w:rPr>
            <w:t>16</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_Toc20927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2.加强技术融合创新</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_Toc20927 \h </w:instrText>
          </w:r>
          <w:r>
            <w:rPr>
              <w:rFonts w:ascii="宋体" w:hAnsi="宋体"/>
              <w:b w:val="0"/>
              <w:bCs w:val="0"/>
              <w:color w:val="auto"/>
              <w:sz w:val="32"/>
              <w:szCs w:val="32"/>
            </w:rPr>
            <w:fldChar w:fldCharType="separate"/>
          </w:r>
          <w:r>
            <w:rPr>
              <w:rFonts w:ascii="宋体" w:hAnsi="宋体"/>
              <w:b w:val="0"/>
              <w:bCs w:val="0"/>
              <w:color w:val="auto"/>
              <w:sz w:val="32"/>
              <w:szCs w:val="32"/>
            </w:rPr>
            <w:t>17</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_Toc10827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eastAsia="zh-CN"/>
            </w:rPr>
            <w:t>（</w:t>
          </w:r>
          <w:r>
            <w:rPr>
              <w:rFonts w:hint="eastAsia" w:ascii="宋体" w:hAnsi="宋体" w:eastAsia="楷体_GB2312" w:cs="楷体_GB2312"/>
              <w:b w:val="0"/>
              <w:bCs w:val="0"/>
              <w:color w:val="auto"/>
              <w:sz w:val="32"/>
              <w:szCs w:val="32"/>
              <w:lang w:val="en-US" w:eastAsia="zh-CN"/>
            </w:rPr>
            <w:t>三</w:t>
          </w:r>
          <w:r>
            <w:rPr>
              <w:rFonts w:hint="eastAsia" w:ascii="宋体" w:hAnsi="宋体" w:eastAsia="楷体_GB2312" w:cs="楷体_GB2312"/>
              <w:b w:val="0"/>
              <w:bCs w:val="0"/>
              <w:color w:val="auto"/>
              <w:sz w:val="32"/>
              <w:szCs w:val="32"/>
              <w:lang w:eastAsia="zh-CN"/>
            </w:rPr>
            <w:t>）</w:t>
          </w:r>
          <w:r>
            <w:rPr>
              <w:rFonts w:hint="eastAsia" w:ascii="宋体" w:hAnsi="宋体" w:eastAsia="楷体_GB2312" w:cs="楷体_GB2312"/>
              <w:b w:val="0"/>
              <w:bCs w:val="0"/>
              <w:color w:val="auto"/>
              <w:sz w:val="32"/>
              <w:szCs w:val="32"/>
              <w:lang w:val="en-US" w:eastAsia="zh-CN"/>
            </w:rPr>
            <w:t>推广产业应用</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_Toc10827 \h </w:instrText>
          </w:r>
          <w:r>
            <w:rPr>
              <w:rFonts w:ascii="宋体" w:hAnsi="宋体"/>
              <w:b w:val="0"/>
              <w:bCs w:val="0"/>
              <w:color w:val="auto"/>
              <w:sz w:val="32"/>
              <w:szCs w:val="32"/>
            </w:rPr>
            <w:fldChar w:fldCharType="separate"/>
          </w:r>
          <w:r>
            <w:rPr>
              <w:rFonts w:ascii="宋体" w:hAnsi="宋体"/>
              <w:b w:val="0"/>
              <w:bCs w:val="0"/>
              <w:color w:val="auto"/>
              <w:sz w:val="32"/>
              <w:szCs w:val="32"/>
            </w:rPr>
            <w:t>19</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_Toc32238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val="en-US" w:eastAsia="zh-CN"/>
            </w:rPr>
            <w:t>（四）培育产业生态</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_Toc32238 \h </w:instrText>
          </w:r>
          <w:r>
            <w:rPr>
              <w:rFonts w:ascii="宋体" w:hAnsi="宋体"/>
              <w:b w:val="0"/>
              <w:bCs w:val="0"/>
              <w:color w:val="auto"/>
              <w:sz w:val="32"/>
              <w:szCs w:val="32"/>
            </w:rPr>
            <w:fldChar w:fldCharType="separate"/>
          </w:r>
          <w:r>
            <w:rPr>
              <w:rFonts w:ascii="宋体" w:hAnsi="宋体"/>
              <w:b w:val="0"/>
              <w:bCs w:val="0"/>
              <w:color w:val="auto"/>
              <w:sz w:val="32"/>
              <w:szCs w:val="32"/>
            </w:rPr>
            <w:t>21</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_Toc25570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1.推进品牌产品建设</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_Toc25570 \h </w:instrText>
          </w:r>
          <w:r>
            <w:rPr>
              <w:rFonts w:ascii="宋体" w:hAnsi="宋体"/>
              <w:b w:val="0"/>
              <w:bCs w:val="0"/>
              <w:color w:val="auto"/>
              <w:sz w:val="32"/>
              <w:szCs w:val="32"/>
            </w:rPr>
            <w:fldChar w:fldCharType="separate"/>
          </w:r>
          <w:r>
            <w:rPr>
              <w:rFonts w:ascii="宋体" w:hAnsi="宋体"/>
              <w:b w:val="0"/>
              <w:bCs w:val="0"/>
              <w:color w:val="auto"/>
              <w:sz w:val="32"/>
              <w:szCs w:val="32"/>
            </w:rPr>
            <w:t>21</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_Toc25950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2.构建区块链企业梯队</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_Toc25950 \h </w:instrText>
          </w:r>
          <w:r>
            <w:rPr>
              <w:rFonts w:ascii="宋体" w:hAnsi="宋体"/>
              <w:b w:val="0"/>
              <w:bCs w:val="0"/>
              <w:color w:val="auto"/>
              <w:sz w:val="32"/>
              <w:szCs w:val="32"/>
            </w:rPr>
            <w:fldChar w:fldCharType="separate"/>
          </w:r>
          <w:r>
            <w:rPr>
              <w:rFonts w:ascii="宋体" w:hAnsi="宋体"/>
              <w:b w:val="0"/>
              <w:bCs w:val="0"/>
              <w:color w:val="auto"/>
              <w:sz w:val="32"/>
              <w:szCs w:val="32"/>
            </w:rPr>
            <w:t>22</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宋体" w:hAnsi="宋体" w:eastAsia="微软雅黑" w:cs="微软雅黑"/>
              <w:b w:val="0"/>
              <w:bCs w:val="0"/>
              <w:i w:val="0"/>
              <w:iCs w:val="0"/>
              <w:caps w:val="0"/>
              <w:color w:val="auto"/>
              <w:spacing w:val="0"/>
              <w:sz w:val="32"/>
              <w:szCs w:val="32"/>
              <w:u w:val="none"/>
              <w:lang w:eastAsia="zh-CN"/>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_Toc1293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仿宋" w:cs="仿宋"/>
              <w:b w:val="0"/>
              <w:bCs w:val="0"/>
              <w:color w:val="auto"/>
              <w:sz w:val="32"/>
              <w:szCs w:val="32"/>
              <w:lang w:val="en-US" w:eastAsia="zh-CN"/>
            </w:rPr>
            <w:t>3.打造国内知名产业园</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_Toc1293 \h </w:instrText>
          </w:r>
          <w:r>
            <w:rPr>
              <w:rFonts w:ascii="宋体" w:hAnsi="宋体"/>
              <w:b w:val="0"/>
              <w:bCs w:val="0"/>
              <w:color w:val="auto"/>
              <w:sz w:val="32"/>
              <w:szCs w:val="32"/>
            </w:rPr>
            <w:fldChar w:fldCharType="separate"/>
          </w:r>
          <w:r>
            <w:rPr>
              <w:rFonts w:ascii="宋体" w:hAnsi="宋体"/>
              <w:b w:val="0"/>
              <w:bCs w:val="0"/>
              <w:color w:val="auto"/>
              <w:sz w:val="32"/>
              <w:szCs w:val="32"/>
            </w:rPr>
            <w:t>22</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rPr>
          </w:pPr>
          <w:r>
            <w:rPr>
              <w:rFonts w:hint="eastAsia" w:ascii="宋体" w:hAnsi="宋体" w:eastAsia="仿宋" w:cs="仿宋"/>
              <w:b w:val="0"/>
              <w:bCs w:val="0"/>
              <w:color w:val="auto"/>
              <w:sz w:val="32"/>
              <w:szCs w:val="32"/>
              <w:lang w:val="en-US" w:eastAsia="zh-CN"/>
            </w:rPr>
            <w:t>4.推动数字资产可信交易</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_Toc1293 \h </w:instrText>
          </w:r>
          <w:r>
            <w:rPr>
              <w:rFonts w:ascii="宋体" w:hAnsi="宋体"/>
              <w:b w:val="0"/>
              <w:bCs w:val="0"/>
              <w:color w:val="auto"/>
              <w:sz w:val="32"/>
              <w:szCs w:val="32"/>
            </w:rPr>
            <w:fldChar w:fldCharType="separate"/>
          </w:r>
          <w:r>
            <w:rPr>
              <w:rFonts w:ascii="宋体" w:hAnsi="宋体"/>
              <w:b w:val="0"/>
              <w:bCs w:val="0"/>
              <w:color w:val="auto"/>
              <w:sz w:val="32"/>
              <w:szCs w:val="32"/>
            </w:rPr>
            <w:t>22</w:t>
          </w:r>
          <w:r>
            <w:rPr>
              <w:rFonts w:ascii="宋体" w:hAnsi="宋体"/>
              <w:b w:val="0"/>
              <w:bCs w:val="0"/>
              <w:color w:val="auto"/>
              <w:sz w:val="32"/>
              <w:szCs w:val="32"/>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_Toc16138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黑体" w:cs="黑体"/>
              <w:b w:val="0"/>
              <w:bCs w:val="0"/>
              <w:i w:val="0"/>
              <w:iCs w:val="0"/>
              <w:caps w:val="0"/>
              <w:color w:val="auto"/>
              <w:spacing w:val="0"/>
              <w:sz w:val="32"/>
              <w:szCs w:val="32"/>
              <w:lang w:val="en-US" w:eastAsia="zh-CN"/>
            </w:rPr>
            <w:t>七</w:t>
          </w:r>
          <w:r>
            <w:rPr>
              <w:rFonts w:hint="eastAsia" w:ascii="宋体" w:hAnsi="宋体" w:eastAsia="黑体" w:cs="黑体"/>
              <w:b w:val="0"/>
              <w:bCs w:val="0"/>
              <w:color w:val="auto"/>
              <w:sz w:val="32"/>
              <w:szCs w:val="32"/>
              <w:lang w:val="en-US" w:eastAsia="zh-CN"/>
            </w:rPr>
            <w:t>、保障措施</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_Toc16138 \h </w:instrText>
          </w:r>
          <w:r>
            <w:rPr>
              <w:rFonts w:ascii="宋体" w:hAnsi="宋体"/>
              <w:b w:val="0"/>
              <w:bCs w:val="0"/>
              <w:color w:val="auto"/>
              <w:sz w:val="32"/>
              <w:szCs w:val="32"/>
            </w:rPr>
            <w:fldChar w:fldCharType="separate"/>
          </w:r>
          <w:r>
            <w:rPr>
              <w:rFonts w:ascii="宋体" w:hAnsi="宋体"/>
              <w:b w:val="0"/>
              <w:bCs w:val="0"/>
              <w:color w:val="auto"/>
              <w:sz w:val="32"/>
              <w:szCs w:val="32"/>
            </w:rPr>
            <w:t>23</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_Toc30122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val="en-US" w:eastAsia="zh-CN"/>
            </w:rPr>
            <w:t>（一）强化工作统筹协调</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_Toc30122 \h </w:instrText>
          </w:r>
          <w:r>
            <w:rPr>
              <w:rFonts w:ascii="宋体" w:hAnsi="宋体"/>
              <w:b w:val="0"/>
              <w:bCs w:val="0"/>
              <w:color w:val="auto"/>
              <w:sz w:val="32"/>
              <w:szCs w:val="32"/>
            </w:rPr>
            <w:fldChar w:fldCharType="separate"/>
          </w:r>
          <w:r>
            <w:rPr>
              <w:rFonts w:ascii="宋体" w:hAnsi="宋体"/>
              <w:b w:val="0"/>
              <w:bCs w:val="0"/>
              <w:color w:val="auto"/>
              <w:sz w:val="32"/>
              <w:szCs w:val="32"/>
            </w:rPr>
            <w:t>23</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_Toc21746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val="en-US" w:eastAsia="zh-CN"/>
            </w:rPr>
            <w:t>（二）强化人才队伍建设</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_Toc21746 \h </w:instrText>
          </w:r>
          <w:r>
            <w:rPr>
              <w:rFonts w:ascii="宋体" w:hAnsi="宋体"/>
              <w:b w:val="0"/>
              <w:bCs w:val="0"/>
              <w:color w:val="auto"/>
              <w:sz w:val="32"/>
              <w:szCs w:val="32"/>
            </w:rPr>
            <w:fldChar w:fldCharType="separate"/>
          </w:r>
          <w:r>
            <w:rPr>
              <w:rFonts w:ascii="宋体" w:hAnsi="宋体"/>
              <w:b w:val="0"/>
              <w:bCs w:val="0"/>
              <w:color w:val="auto"/>
              <w:sz w:val="32"/>
              <w:szCs w:val="32"/>
            </w:rPr>
            <w:t>23</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_Toc23247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val="en-US" w:eastAsia="zh-CN"/>
            </w:rPr>
            <w:t>（三）强化政策引导支持</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_Toc23247 \h </w:instrText>
          </w:r>
          <w:r>
            <w:rPr>
              <w:rFonts w:ascii="宋体" w:hAnsi="宋体"/>
              <w:b w:val="0"/>
              <w:bCs w:val="0"/>
              <w:color w:val="auto"/>
              <w:sz w:val="32"/>
              <w:szCs w:val="32"/>
            </w:rPr>
            <w:fldChar w:fldCharType="separate"/>
          </w:r>
          <w:r>
            <w:rPr>
              <w:rFonts w:ascii="宋体" w:hAnsi="宋体"/>
              <w:b w:val="0"/>
              <w:bCs w:val="0"/>
              <w:color w:val="auto"/>
              <w:sz w:val="32"/>
              <w:szCs w:val="32"/>
            </w:rPr>
            <w:t>24</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_Toc5772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val="en-US" w:eastAsia="zh-CN"/>
            </w:rPr>
            <w:t>（四）强化安全监管举措</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_Toc5772 \h </w:instrText>
          </w:r>
          <w:r>
            <w:rPr>
              <w:rFonts w:ascii="宋体" w:hAnsi="宋体"/>
              <w:b w:val="0"/>
              <w:bCs w:val="0"/>
              <w:color w:val="auto"/>
              <w:sz w:val="32"/>
              <w:szCs w:val="32"/>
            </w:rPr>
            <w:fldChar w:fldCharType="separate"/>
          </w:r>
          <w:r>
            <w:rPr>
              <w:rFonts w:ascii="宋体" w:hAnsi="宋体"/>
              <w:b w:val="0"/>
              <w:bCs w:val="0"/>
              <w:color w:val="auto"/>
              <w:sz w:val="32"/>
              <w:szCs w:val="32"/>
            </w:rPr>
            <w:t>24</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ascii="宋体" w:hAnsi="宋体"/>
              <w:b w:val="0"/>
              <w:bCs w:val="0"/>
              <w:color w:val="auto"/>
              <w:sz w:val="32"/>
              <w:szCs w:val="32"/>
            </w:rPr>
          </w:pPr>
          <w:r>
            <w:rPr>
              <w:rFonts w:hint="eastAsia" w:ascii="宋体" w:hAnsi="宋体" w:eastAsia="微软雅黑" w:cs="微软雅黑"/>
              <w:b w:val="0"/>
              <w:bCs w:val="0"/>
              <w:i w:val="0"/>
              <w:iCs w:val="0"/>
              <w:caps w:val="0"/>
              <w:color w:val="auto"/>
              <w:spacing w:val="0"/>
              <w:sz w:val="32"/>
              <w:szCs w:val="32"/>
              <w:u w:val="none"/>
              <w:lang w:eastAsia="zh-CN"/>
            </w:rPr>
            <w:fldChar w:fldCharType="begin"/>
          </w:r>
          <w:r>
            <w:rPr>
              <w:rFonts w:hint="eastAsia" w:ascii="宋体" w:hAnsi="宋体" w:eastAsia="微软雅黑" w:cs="微软雅黑"/>
              <w:b w:val="0"/>
              <w:bCs w:val="0"/>
              <w:i w:val="0"/>
              <w:iCs w:val="0"/>
              <w:caps w:val="0"/>
              <w:color w:val="auto"/>
              <w:spacing w:val="0"/>
              <w:sz w:val="32"/>
              <w:szCs w:val="32"/>
              <w:lang w:eastAsia="zh-CN"/>
            </w:rPr>
            <w:instrText xml:space="preserve"> HYPERLINK \l _Toc4612 </w:instrText>
          </w:r>
          <w:r>
            <w:rPr>
              <w:rFonts w:hint="eastAsia" w:ascii="宋体" w:hAnsi="宋体" w:eastAsia="微软雅黑" w:cs="微软雅黑"/>
              <w:b w:val="0"/>
              <w:bCs w:val="0"/>
              <w:i w:val="0"/>
              <w:iCs w:val="0"/>
              <w:caps w:val="0"/>
              <w:color w:val="auto"/>
              <w:spacing w:val="0"/>
              <w:sz w:val="32"/>
              <w:szCs w:val="32"/>
              <w:lang w:eastAsia="zh-CN"/>
            </w:rPr>
            <w:fldChar w:fldCharType="separate"/>
          </w:r>
          <w:r>
            <w:rPr>
              <w:rFonts w:hint="eastAsia" w:ascii="宋体" w:hAnsi="宋体" w:eastAsia="楷体_GB2312" w:cs="楷体_GB2312"/>
              <w:b w:val="0"/>
              <w:bCs w:val="0"/>
              <w:color w:val="auto"/>
              <w:sz w:val="32"/>
              <w:szCs w:val="32"/>
              <w:lang w:val="en-US" w:eastAsia="zh-CN"/>
            </w:rPr>
            <w:t>（五）强化发展环境营造</w:t>
          </w:r>
          <w:r>
            <w:rPr>
              <w:rFonts w:ascii="宋体" w:hAnsi="宋体"/>
              <w:b w:val="0"/>
              <w:bCs w:val="0"/>
              <w:color w:val="auto"/>
              <w:sz w:val="32"/>
              <w:szCs w:val="32"/>
            </w:rPr>
            <w:tab/>
          </w:r>
          <w:r>
            <w:rPr>
              <w:rFonts w:ascii="宋体" w:hAnsi="宋体"/>
              <w:b w:val="0"/>
              <w:bCs w:val="0"/>
              <w:color w:val="auto"/>
              <w:sz w:val="32"/>
              <w:szCs w:val="32"/>
            </w:rPr>
            <w:fldChar w:fldCharType="begin"/>
          </w:r>
          <w:r>
            <w:rPr>
              <w:rFonts w:ascii="宋体" w:hAnsi="宋体"/>
              <w:b w:val="0"/>
              <w:bCs w:val="0"/>
              <w:color w:val="auto"/>
              <w:sz w:val="32"/>
              <w:szCs w:val="32"/>
            </w:rPr>
            <w:instrText xml:space="preserve"> PAGEREF _Toc4612 \h </w:instrText>
          </w:r>
          <w:r>
            <w:rPr>
              <w:rFonts w:ascii="宋体" w:hAnsi="宋体"/>
              <w:b w:val="0"/>
              <w:bCs w:val="0"/>
              <w:color w:val="auto"/>
              <w:sz w:val="32"/>
              <w:szCs w:val="32"/>
            </w:rPr>
            <w:fldChar w:fldCharType="separate"/>
          </w:r>
          <w:r>
            <w:rPr>
              <w:rFonts w:ascii="宋体" w:hAnsi="宋体"/>
              <w:b w:val="0"/>
              <w:bCs w:val="0"/>
              <w:color w:val="auto"/>
              <w:sz w:val="32"/>
              <w:szCs w:val="32"/>
            </w:rPr>
            <w:t>25</w:t>
          </w:r>
          <w:r>
            <w:rPr>
              <w:rFonts w:ascii="宋体" w:hAnsi="宋体"/>
              <w:b w:val="0"/>
              <w:bCs w:val="0"/>
              <w:color w:val="auto"/>
              <w:sz w:val="32"/>
              <w:szCs w:val="32"/>
            </w:rPr>
            <w:fldChar w:fldCharType="end"/>
          </w:r>
          <w:r>
            <w:rPr>
              <w:rFonts w:hint="eastAsia" w:ascii="宋体" w:hAnsi="宋体" w:eastAsia="微软雅黑" w:cs="微软雅黑"/>
              <w:b w:val="0"/>
              <w:bCs w:val="0"/>
              <w:i w:val="0"/>
              <w:iCs w:val="0"/>
              <w:caps w:val="0"/>
              <w:color w:val="auto"/>
              <w:spacing w:val="0"/>
              <w:sz w:val="32"/>
              <w:szCs w:val="32"/>
              <w:u w:val="none"/>
              <w:lang w:eastAsia="zh-CN"/>
            </w:rPr>
            <w:fldChar w:fldCharType="end"/>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909"/>
              <w:tab w:val="center" w:pos="4423"/>
            </w:tabs>
            <w:kinsoku/>
            <w:wordWrap/>
            <w:overflowPunct/>
            <w:topLinePunct w:val="0"/>
            <w:autoSpaceDE/>
            <w:autoSpaceDN/>
            <w:bidi w:val="0"/>
            <w:adjustRightInd/>
            <w:snapToGrid/>
            <w:spacing w:before="300" w:beforeAutospacing="0" w:after="0" w:afterAutospacing="0" w:line="560" w:lineRule="exact"/>
            <w:ind w:left="0" w:right="0" w:firstLine="420"/>
            <w:jc w:val="left"/>
            <w:textAlignment w:val="center"/>
            <w:rPr>
              <w:rFonts w:hint="eastAsia" w:ascii="宋体" w:hAnsi="宋体" w:eastAsia="微软雅黑" w:cs="微软雅黑"/>
              <w:b w:val="0"/>
              <w:bCs w:val="0"/>
              <w:i w:val="0"/>
              <w:iCs w:val="0"/>
              <w:caps w:val="0"/>
              <w:color w:val="auto"/>
              <w:spacing w:val="0"/>
              <w:sz w:val="16"/>
              <w:szCs w:val="16"/>
              <w:u w:val="none"/>
              <w:lang w:eastAsia="zh-CN"/>
            </w:rPr>
            <w:sectPr>
              <w:footerReference r:id="rId3" w:type="default"/>
              <w:pgSz w:w="11906" w:h="16838"/>
              <w:pgMar w:top="2098" w:right="1587" w:bottom="2098" w:left="1587" w:header="851" w:footer="992" w:gutter="0"/>
              <w:pgNumType w:fmt="decimal" w:start="1"/>
              <w:cols w:space="425" w:num="1"/>
              <w:docGrid w:type="lines" w:linePitch="312" w:charSpace="0"/>
            </w:sectPr>
          </w:pPr>
          <w:r>
            <w:rPr>
              <w:rFonts w:hint="eastAsia" w:ascii="宋体" w:hAnsi="宋体" w:eastAsia="微软雅黑" w:cs="微软雅黑"/>
              <w:b w:val="0"/>
              <w:bCs w:val="0"/>
              <w:i w:val="0"/>
              <w:iCs w:val="0"/>
              <w:caps w:val="0"/>
              <w:color w:val="auto"/>
              <w:spacing w:val="0"/>
              <w:szCs w:val="16"/>
              <w:u w:val="none"/>
              <w:lang w:eastAsia="zh-CN"/>
            </w:rPr>
            <w:fldChar w:fldCharType="end"/>
          </w:r>
        </w:p>
      </w:sdtContent>
    </w:sdt>
    <w:p>
      <w:pPr>
        <w:pStyle w:val="3"/>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11" w:name="_Toc29522"/>
      <w:bookmarkStart w:id="12" w:name="_Toc16290"/>
      <w:r>
        <w:rPr>
          <w:rFonts w:hint="eastAsia" w:ascii="宋体" w:hAnsi="宋体"/>
          <w:b w:val="0"/>
          <w:bCs w:val="0"/>
          <w:color w:val="auto"/>
          <w:lang w:val="en-US" w:eastAsia="zh-CN"/>
        </w:rPr>
        <w:t>一、前  言</w:t>
      </w:r>
      <w:bookmarkEnd w:id="11"/>
      <w:bookmarkEnd w:id="12"/>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13" w:name="_Toc80778529"/>
      <w:bookmarkEnd w:id="13"/>
      <w:r>
        <w:rPr>
          <w:rFonts w:hint="eastAsia" w:ascii="宋体" w:hAnsi="宋体" w:eastAsia="仿宋_GB2312" w:cs="仿宋_GB2312"/>
          <w:b w:val="0"/>
          <w:bCs w:val="0"/>
          <w:color w:val="auto"/>
          <w:kern w:val="2"/>
          <w:sz w:val="32"/>
          <w:szCs w:val="32"/>
          <w:lang w:val="en-US" w:eastAsia="zh-CN" w:bidi="ar-SA"/>
        </w:rPr>
        <w:t>随着5G、大数据、物联网、人工智能的广泛应用，构建出万物互联的智能世界，万物实现互联的同时，万物也都拥有了自己的账本。区块链作为一个共享账本，通过共识机制，提供一个更安全、更可控、更有序的万物互联网基础设施。区块链通过这种共识机制，能够及时发现、消除一些作恶节点的问题，同时把所有的状态，记录在一个不可篡改的共享账本。区块链通过分布式记账的方式，使多方的数据得以共享，同时各方仍然能够保有自己的数据，数据的隐私不会被泄露。通过分布式记账，使得原来互联网信息传递当中的“最后一公里”得以真正打通，使互联网的信息传递更加高效，摩擦更小。</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区块链本质是一种极具安全性的、去中心化的公共数据库，作为新一代信息技术的重要组成和新型信息的重要支撑，它能从技术层面彻底解决人类交易过程中的“信任问题”，为数据要素的管理和数据价值的释放提供新思路，为建立跨产业主体的可信协作网络提供新途径，推动信息互联网向价值互联网转变，重构信息产业体系。</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2019年10月24日，中共中央总书记习近平在中央政治局第十八次集体学习时强调，要把区块链作为核心技术自主创新的重要突破口，明确主攻方向，加大投入力度，着力攻克一批关键核心技术，加快推动区块链技术和产业创新发展。当前，区块链已成为全球技术创新和产业变革的前沿阵地，开辟国际竞争新赛道。我国高度重视区块链产业发展，国家“十四五”规划将区块链列为数字经济七大重点产业之一，未来区块链将有效支撑国家制造强国、网络强国、数字中国战略，为推进国家治理体系和治理能力现代化发挥重要作用。</w:t>
      </w:r>
    </w:p>
    <w:p>
      <w:pPr>
        <w:pStyle w:val="3"/>
        <w:keepNext/>
        <w:keepLines/>
        <w:pageBreakBefore w:val="0"/>
        <w:widowControl w:val="0"/>
        <w:kinsoku/>
        <w:wordWrap/>
        <w:overflowPunct/>
        <w:topLinePunct w:val="0"/>
        <w:autoSpaceDE/>
        <w:autoSpaceDN/>
        <w:bidi w:val="0"/>
        <w:adjustRightInd/>
        <w:snapToGrid/>
        <w:spacing w:line="560" w:lineRule="exact"/>
        <w:textAlignment w:val="auto"/>
        <w:rPr>
          <w:rFonts w:hint="eastAsia" w:ascii="宋体" w:hAnsi="宋体"/>
          <w:b w:val="0"/>
          <w:bCs w:val="0"/>
          <w:color w:val="auto"/>
          <w:lang w:val="en-US" w:eastAsia="zh-CN"/>
        </w:rPr>
      </w:pPr>
      <w:bookmarkStart w:id="14" w:name="_Toc26466"/>
      <w:r>
        <w:rPr>
          <w:rFonts w:hint="eastAsia" w:ascii="宋体" w:hAnsi="宋体"/>
          <w:b w:val="0"/>
          <w:bCs w:val="0"/>
          <w:color w:val="auto"/>
          <w:lang w:val="en-US" w:eastAsia="zh-CN"/>
        </w:rPr>
        <w:t>二、规划总则</w:t>
      </w:r>
      <w:bookmarkEnd w:id="14"/>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微软雅黑" w:cs="微软雅黑"/>
          <w:b w:val="0"/>
          <w:bCs w:val="0"/>
          <w:i w:val="0"/>
          <w:iCs w:val="0"/>
          <w:caps w:val="0"/>
          <w:color w:val="auto"/>
          <w:spacing w:val="0"/>
          <w:sz w:val="16"/>
          <w:szCs w:val="16"/>
          <w:u w:val="none"/>
        </w:rPr>
      </w:pPr>
      <w:r>
        <w:rPr>
          <w:rFonts w:hint="eastAsia" w:ascii="宋体" w:hAnsi="宋体" w:eastAsia="仿宋_GB2312" w:cs="仿宋_GB2312"/>
          <w:b w:val="0"/>
          <w:bCs w:val="0"/>
          <w:color w:val="auto"/>
          <w:kern w:val="2"/>
          <w:sz w:val="32"/>
          <w:szCs w:val="32"/>
          <w:lang w:val="en-US" w:eastAsia="zh-CN" w:bidi="ar-SA"/>
        </w:rPr>
        <w:t>为深入实施省数字经济做优做强“一号发展工程”，进一步提升数字经济产业发展能级，组织编制《赣州经济技术开发区区块链产业“十四五”时期发展规划（2021-2025年）》（以下简称《规划》）。《规划》结合实际，详细分析当前区块链产业发展环境，阐明发展成果及面临问题，提出未来五年的发展目标、主要任务和重点工程，是区块链产业发展的顶层设计和蓝图描绘，为经开区打造“一极两地四中心”高质量发展战略目标提供有力支撑，</w:t>
      </w:r>
      <w:r>
        <w:rPr>
          <w:rFonts w:hint="eastAsia" w:ascii="宋体" w:hAnsi="宋体" w:eastAsia="仿宋_GB2312" w:cs="仿宋_GB2312"/>
          <w:b w:val="0"/>
          <w:bCs w:val="0"/>
          <w:color w:val="auto"/>
          <w:kern w:val="2"/>
          <w:sz w:val="32"/>
          <w:szCs w:val="32"/>
          <w:highlight w:val="none"/>
          <w:lang w:val="en-US" w:eastAsia="zh-CN" w:bidi="ar-SA"/>
        </w:rPr>
        <w:t>打造全国一流的现代化国家级开发区提供明确方向。</w:t>
      </w:r>
      <w:bookmarkStart w:id="15" w:name="_Toc84832334"/>
      <w:bookmarkEnd w:id="15"/>
      <w:bookmarkStart w:id="16" w:name="_Toc28848"/>
      <w:bookmarkEnd w:id="16"/>
      <w:bookmarkStart w:id="17" w:name="_Toc88830200"/>
    </w:p>
    <w:p>
      <w:pPr>
        <w:pStyle w:val="3"/>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rPr>
      </w:pPr>
      <w:bookmarkStart w:id="18" w:name="_Toc1529"/>
      <w:r>
        <w:rPr>
          <w:rFonts w:hint="eastAsia" w:ascii="宋体" w:hAnsi="宋体"/>
          <w:b w:val="0"/>
          <w:bCs w:val="0"/>
          <w:color w:val="auto"/>
          <w:lang w:val="en-US" w:eastAsia="zh-CN"/>
        </w:rPr>
        <w:t>三</w:t>
      </w:r>
      <w:r>
        <w:rPr>
          <w:rFonts w:hint="eastAsia" w:ascii="宋体" w:hAnsi="宋体"/>
          <w:b w:val="0"/>
          <w:bCs w:val="0"/>
          <w:color w:val="auto"/>
        </w:rPr>
        <w:t>、产业现状与形势分析</w:t>
      </w:r>
      <w:bookmarkEnd w:id="17"/>
      <w:bookmarkEnd w:id="18"/>
    </w:p>
    <w:p>
      <w:pPr>
        <w:pStyle w:val="4"/>
        <w:pageBreakBefore w:val="0"/>
        <w:widowControl w:val="0"/>
        <w:kinsoku/>
        <w:wordWrap/>
        <w:overflowPunct/>
        <w:topLinePunct w:val="0"/>
        <w:autoSpaceDE/>
        <w:autoSpaceDN/>
        <w:bidi w:val="0"/>
        <w:adjustRightInd/>
        <w:snapToGrid/>
        <w:spacing w:line="560" w:lineRule="exact"/>
        <w:rPr>
          <w:rFonts w:hint="eastAsia" w:ascii="宋体" w:hAnsi="宋体" w:eastAsia="楷体_GB2312" w:cs="楷体_GB2312"/>
          <w:b w:val="0"/>
          <w:bCs w:val="0"/>
          <w:color w:val="auto"/>
        </w:rPr>
      </w:pPr>
      <w:bookmarkStart w:id="19" w:name="_Toc84832335"/>
      <w:bookmarkEnd w:id="19"/>
      <w:bookmarkStart w:id="20" w:name="_Toc6713"/>
      <w:bookmarkEnd w:id="20"/>
      <w:bookmarkStart w:id="21" w:name="_Toc88830201"/>
      <w:bookmarkStart w:id="22" w:name="_Toc21278"/>
      <w:r>
        <w:rPr>
          <w:rFonts w:hint="eastAsia" w:ascii="宋体" w:hAnsi="宋体" w:eastAsia="楷体_GB2312" w:cs="楷体_GB2312"/>
          <w:b w:val="0"/>
          <w:bCs w:val="0"/>
          <w:color w:val="auto"/>
        </w:rPr>
        <w:t>（一）</w:t>
      </w:r>
      <w:bookmarkEnd w:id="21"/>
      <w:r>
        <w:rPr>
          <w:rFonts w:hint="eastAsia" w:ascii="宋体" w:hAnsi="宋体" w:eastAsia="楷体_GB2312" w:cs="楷体_GB2312"/>
          <w:b w:val="0"/>
          <w:bCs w:val="0"/>
          <w:color w:val="auto"/>
        </w:rPr>
        <w:t>产业环境</w:t>
      </w:r>
      <w:bookmarkEnd w:id="22"/>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 w:cs="仿宋"/>
          <w:b w:val="0"/>
          <w:bCs w:val="0"/>
          <w:color w:val="auto"/>
          <w:sz w:val="24"/>
          <w:szCs w:val="24"/>
        </w:rPr>
      </w:pPr>
      <w:bookmarkStart w:id="23" w:name="_Toc29093"/>
      <w:r>
        <w:rPr>
          <w:rStyle w:val="23"/>
          <w:rFonts w:hint="eastAsia" w:ascii="宋体" w:hAnsi="宋体"/>
          <w:b w:val="0"/>
          <w:bCs w:val="0"/>
          <w:color w:val="auto"/>
          <w:lang w:val="en-US" w:eastAsia="zh-CN"/>
        </w:rPr>
        <w:t>1.发展环境持续向好</w:t>
      </w:r>
      <w:bookmarkEnd w:id="23"/>
      <w:r>
        <w:rPr>
          <w:rFonts w:hint="eastAsia" w:ascii="宋体" w:hAnsi="宋体" w:eastAsia="仿宋_GB2312" w:cs="仿宋_GB2312"/>
          <w:b w:val="0"/>
          <w:bCs w:val="0"/>
          <w:color w:val="auto"/>
          <w:kern w:val="2"/>
          <w:sz w:val="32"/>
          <w:szCs w:val="32"/>
          <w:lang w:val="en-US" w:eastAsia="zh-CN" w:bidi="ar-SA"/>
        </w:rPr>
        <w:t>。当前，区块链技</w:t>
      </w:r>
      <w:r>
        <w:rPr>
          <w:rFonts w:hint="eastAsia" w:ascii="宋体" w:hAnsi="宋体" w:eastAsia="仿宋_GB2312" w:cs="仿宋_GB2312"/>
          <w:b w:val="0"/>
          <w:bCs w:val="0"/>
          <w:color w:val="auto"/>
          <w:kern w:val="2"/>
          <w:sz w:val="32"/>
          <w:szCs w:val="32"/>
          <w:highlight w:val="none"/>
          <w:lang w:val="en-US" w:eastAsia="zh-CN" w:bidi="ar-SA"/>
        </w:rPr>
        <w:t>术创新多向突破，</w:t>
      </w:r>
      <w:r>
        <w:rPr>
          <w:rFonts w:hint="eastAsia" w:ascii="宋体" w:hAnsi="宋体" w:eastAsia="仿宋_GB2312" w:cs="仿宋_GB2312"/>
          <w:b w:val="0"/>
          <w:bCs w:val="0"/>
          <w:color w:val="auto"/>
          <w:kern w:val="2"/>
          <w:sz w:val="32"/>
          <w:szCs w:val="32"/>
          <w:lang w:val="en-US" w:eastAsia="zh-CN" w:bidi="ar-SA"/>
        </w:rPr>
        <w:t>产业生态稳步构筑。从全球看，各国政府优化区块链产业战略布局，结合本国特点侧重性鼓励技术发展与政策监管，积极推进区块链技术项目落地，通过成立行业组织，共建国际生态。从国内看，中央明确了以联盟链为基础，围绕服务实体经济、优化公共服务为目标的发展思路，产业发展方向进一步清晰；区块链技术发展持续推进产业数字化转型，打造面向全球的数字经济新型基础设施；超过50个城市节点完成或正在部署国家信息中心发布的区块链服务网络（BSN），全国性区块链服务基础设施平台将联网通用；系列区块链行业规范与标准体系的建立，安全保障得到进一步加强。</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24" w:name="_Toc16924"/>
      <w:r>
        <w:rPr>
          <w:rStyle w:val="23"/>
          <w:rFonts w:hint="eastAsia" w:ascii="宋体" w:hAnsi="宋体"/>
          <w:b w:val="0"/>
          <w:bCs w:val="0"/>
          <w:color w:val="auto"/>
          <w:lang w:val="en-US" w:eastAsia="zh-CN"/>
        </w:rPr>
        <w:t>2.顶层设计全面加强</w:t>
      </w:r>
      <w:bookmarkEnd w:id="24"/>
      <w:r>
        <w:rPr>
          <w:rFonts w:hint="eastAsia" w:ascii="宋体" w:hAnsi="宋体" w:eastAsia="仿宋_GB2312" w:cs="仿宋_GB2312"/>
          <w:b w:val="0"/>
          <w:bCs w:val="0"/>
          <w:color w:val="auto"/>
          <w:kern w:val="2"/>
          <w:sz w:val="32"/>
          <w:szCs w:val="32"/>
          <w:lang w:val="en-US" w:eastAsia="zh-CN" w:bidi="ar-SA"/>
        </w:rPr>
        <w:t>。国家及相关部委高标准定位区块链产业发展，《中华人民共和国国民经济和社会发展第十四个五年规划和2035年远景目标纲要》中将区块链列为七大数字经济重点产业之一，工信部、中央网信办也联合发布《关于加快推动区块链技术应用和产业发展的指导意见》，指出区块链在制造强国、网络强国、数字中国的重要战略地位。省市两级高度重视区块链产业，相继出台《江西省“十四五”区块链高质量发展规划（2021—2025年）》《</w:t>
      </w:r>
      <w:r>
        <w:rPr>
          <w:rFonts w:hint="default" w:ascii="宋体" w:hAnsi="宋体" w:eastAsia="仿宋_GB2312" w:cs="仿宋_GB2312"/>
          <w:b w:val="0"/>
          <w:bCs w:val="0"/>
          <w:color w:val="auto"/>
          <w:kern w:val="2"/>
          <w:sz w:val="32"/>
          <w:szCs w:val="32"/>
          <w:lang w:val="en-US" w:eastAsia="zh-CN" w:bidi="ar-SA"/>
        </w:rPr>
        <w:t>江西省加快推动区块链技术应用和产业发展的实施意见》</w:t>
      </w:r>
      <w:r>
        <w:rPr>
          <w:rFonts w:hint="eastAsia" w:ascii="宋体" w:hAnsi="宋体" w:eastAsia="仿宋_GB2312" w:cs="仿宋_GB2312"/>
          <w:b w:val="0"/>
          <w:bCs w:val="0"/>
          <w:color w:val="auto"/>
          <w:kern w:val="2"/>
          <w:sz w:val="32"/>
          <w:szCs w:val="32"/>
          <w:lang w:val="en-US" w:eastAsia="zh-CN" w:bidi="ar-SA"/>
        </w:rPr>
        <w:t>《赣州市“十四五”数字经济发展规划（2021-2025）》。区块链产业发展正迎来政策红利期，助推新一波应用场景密集落地。</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25" w:name="_Toc21189"/>
      <w:r>
        <w:rPr>
          <w:rStyle w:val="23"/>
          <w:rFonts w:hint="eastAsia" w:ascii="宋体" w:hAnsi="宋体"/>
          <w:b w:val="0"/>
          <w:bCs w:val="0"/>
          <w:color w:val="auto"/>
          <w:lang w:val="en-US" w:eastAsia="zh-CN"/>
        </w:rPr>
        <w:t>3.多元应用脱虚向实</w:t>
      </w:r>
      <w:bookmarkEnd w:id="25"/>
      <w:r>
        <w:rPr>
          <w:rFonts w:hint="eastAsia" w:ascii="宋体" w:hAnsi="宋体" w:eastAsia="仿宋_GB2312" w:cs="仿宋_GB2312"/>
          <w:b w:val="0"/>
          <w:bCs w:val="0"/>
          <w:color w:val="auto"/>
          <w:kern w:val="2"/>
          <w:sz w:val="32"/>
          <w:szCs w:val="32"/>
          <w:lang w:val="en-US" w:eastAsia="zh-CN" w:bidi="ar-SA"/>
        </w:rPr>
        <w:t>。区块链应用存证先行，逐渐向自动化协作和价值互联迈进。当前区块链技术分布广泛，应用场景呈现出由技术服务方推动、政府引导的态势。近年来，区块链在</w:t>
      </w:r>
      <w:r>
        <w:rPr>
          <w:rFonts w:hint="eastAsia" w:ascii="宋体" w:hAnsi="宋体" w:eastAsia="仿宋_GB2312" w:cs="仿宋_GB2312"/>
          <w:b w:val="0"/>
          <w:bCs w:val="0"/>
          <w:color w:val="auto"/>
          <w:kern w:val="2"/>
          <w:sz w:val="32"/>
          <w:szCs w:val="32"/>
          <w:highlight w:val="none"/>
          <w:lang w:val="en-US" w:eastAsia="zh-CN" w:bidi="ar-SA"/>
        </w:rPr>
        <w:t>供应链金融、产品溯源、公共服务、企业数字化转型等领域取得一定成果</w:t>
      </w:r>
      <w:r>
        <w:rPr>
          <w:rFonts w:hint="eastAsia" w:ascii="宋体" w:hAnsi="宋体" w:eastAsia="仿宋_GB2312" w:cs="仿宋_GB2312"/>
          <w:b w:val="0"/>
          <w:bCs w:val="0"/>
          <w:color w:val="auto"/>
          <w:kern w:val="2"/>
          <w:sz w:val="32"/>
          <w:szCs w:val="32"/>
          <w:lang w:val="en-US" w:eastAsia="zh-CN" w:bidi="ar-SA"/>
        </w:rPr>
        <w:t>。区块链赋能实体经济的核心价值在于促进产业上下游高效协作，提升产融结合效能。区块链技术应用正在逐步向数据共享、供应链协同、跨境贸易等自动化协作和价值互联迈进，越来越多的实体经济垂直领域呈现出“区块链+”良好势头。</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26" w:name="_Toc18452"/>
      <w:r>
        <w:rPr>
          <w:rStyle w:val="23"/>
          <w:rFonts w:hint="eastAsia" w:ascii="宋体" w:hAnsi="宋体"/>
          <w:b w:val="0"/>
          <w:bCs w:val="0"/>
          <w:color w:val="auto"/>
          <w:lang w:val="en-US" w:eastAsia="zh-CN"/>
        </w:rPr>
        <w:t>4.行业生态初步成型</w:t>
      </w:r>
      <w:bookmarkEnd w:id="26"/>
      <w:r>
        <w:rPr>
          <w:rFonts w:hint="eastAsia" w:ascii="宋体" w:hAnsi="宋体" w:eastAsia="仿宋_GB2312" w:cs="仿宋_GB2312"/>
          <w:b w:val="0"/>
          <w:bCs w:val="0"/>
          <w:color w:val="auto"/>
          <w:kern w:val="2"/>
          <w:sz w:val="32"/>
          <w:szCs w:val="32"/>
          <w:lang w:val="en-US" w:eastAsia="zh-CN" w:bidi="ar-SA"/>
        </w:rPr>
        <w:t>。从技术层面看，区块链与大数据、云计算、人工智能、物联网等新一代信息技术逐渐融合，并呈现出系统性、整体性、协同性发展态势，共同构建未来智慧社会智能、泛在、高速、安全的新一代信息基础设施，推进数据流和价值流深度融合，使得数据及信息进一步成为普遍商品，实现价值交换。从产业层面看，区块链对社会经济变革价值逐步显现，以基础设备、系统平台、应用服务、配套支撑等为代表的产业链体系初步成型，应用落地从数字金融、供应链管理等切入点向政府治理、民生保障、智能制造等领域拓展，呈现出新型产融协同、生态共荣的发展格局。</w:t>
      </w:r>
    </w:p>
    <w:p>
      <w:pPr>
        <w:pStyle w:val="4"/>
        <w:pageBreakBefore w:val="0"/>
        <w:widowControl w:val="0"/>
        <w:kinsoku/>
        <w:wordWrap/>
        <w:overflowPunct/>
        <w:topLinePunct w:val="0"/>
        <w:autoSpaceDE/>
        <w:autoSpaceDN/>
        <w:bidi w:val="0"/>
        <w:adjustRightInd/>
        <w:snapToGrid/>
        <w:spacing w:line="560" w:lineRule="exact"/>
        <w:rPr>
          <w:rFonts w:hint="eastAsia" w:ascii="宋体" w:hAnsi="宋体" w:eastAsia="楷体_GB2312" w:cs="楷体_GB2312"/>
          <w:b w:val="0"/>
          <w:bCs w:val="0"/>
          <w:color w:val="auto"/>
        </w:rPr>
      </w:pPr>
      <w:bookmarkStart w:id="27" w:name="_Toc84832336"/>
      <w:bookmarkEnd w:id="27"/>
      <w:bookmarkStart w:id="28" w:name="_Toc3013"/>
      <w:bookmarkEnd w:id="28"/>
      <w:bookmarkStart w:id="29" w:name="_Toc88830202"/>
      <w:bookmarkStart w:id="30" w:name="_Toc10744"/>
      <w:r>
        <w:rPr>
          <w:rFonts w:hint="eastAsia" w:ascii="宋体" w:hAnsi="宋体" w:eastAsia="楷体_GB2312" w:cs="楷体_GB2312"/>
          <w:b w:val="0"/>
          <w:bCs w:val="0"/>
          <w:color w:val="auto"/>
        </w:rPr>
        <w:t>（二）</w:t>
      </w:r>
      <w:bookmarkEnd w:id="29"/>
      <w:r>
        <w:rPr>
          <w:rFonts w:hint="eastAsia" w:ascii="宋体" w:hAnsi="宋体" w:eastAsia="楷体_GB2312" w:cs="楷体_GB2312"/>
          <w:b w:val="0"/>
          <w:bCs w:val="0"/>
          <w:color w:val="auto"/>
          <w:lang w:val="en-US" w:eastAsia="zh-CN"/>
        </w:rPr>
        <w:t>产业</w:t>
      </w:r>
      <w:r>
        <w:rPr>
          <w:rFonts w:hint="eastAsia" w:ascii="宋体" w:hAnsi="宋体" w:eastAsia="楷体_GB2312" w:cs="楷体_GB2312"/>
          <w:b w:val="0"/>
          <w:bCs w:val="0"/>
          <w:color w:val="auto"/>
        </w:rPr>
        <w:t>基础</w:t>
      </w:r>
      <w:bookmarkEnd w:id="30"/>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赣州区块链技术产业园（以下简称产业园）自2017年7月成立以来，发挥区块链在产业变革中的重要作用，促进区块链和经济社会深度融合，推动区块链技术应用和产业发展。聚集相关企业140余家，覆盖系统平台、应用服务、配套支撑等产业环节，为产业融通发展奠定了良好基础，同时在技术研发、平台服务、生态构建、应用落地以及融合创新等方面呈现积极向好的发展态势，区块链规模应用已进入加速落地的关键期。</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31" w:name="_Toc22470"/>
      <w:r>
        <w:rPr>
          <w:rStyle w:val="23"/>
          <w:rFonts w:hint="eastAsia" w:ascii="宋体" w:hAnsi="宋体"/>
          <w:b w:val="0"/>
          <w:bCs w:val="0"/>
          <w:color w:val="auto"/>
          <w:lang w:val="en-US" w:eastAsia="zh-CN"/>
        </w:rPr>
        <w:t>1.技术布局具有先发优势</w:t>
      </w:r>
      <w:bookmarkEnd w:id="31"/>
      <w:r>
        <w:rPr>
          <w:rFonts w:hint="eastAsia" w:ascii="宋体" w:hAnsi="宋体" w:eastAsia="仿宋_GB2312" w:cs="仿宋_GB2312"/>
          <w:b w:val="0"/>
          <w:bCs w:val="0"/>
          <w:color w:val="auto"/>
          <w:kern w:val="2"/>
          <w:sz w:val="32"/>
          <w:szCs w:val="32"/>
          <w:lang w:val="en-US" w:eastAsia="zh-CN" w:bidi="ar-SA"/>
        </w:rPr>
        <w:t>。2017年7月，赣州经开区与北京太一云科技有限公司签署合作协议，设立全国首个由政府监管的区块链金融产业沙盒园，已在区块链技术发展和应用场景落地方面抢占先机，参与发布了《合规区块链指引》，采用“沙盒”形式建设了“国家互联网金融安全技术重点实验室赣州试验基地”和“新华网区块链与物联网双创实验基地”。2019年12月，经赣州市政府同意升级为赣州区块链技术产业园。</w:t>
      </w:r>
      <w:r>
        <w:rPr>
          <w:rFonts w:hint="eastAsia" w:ascii="宋体" w:hAnsi="宋体" w:eastAsia="仿宋_GB2312" w:cs="仿宋_GB2312"/>
          <w:b w:val="0"/>
          <w:bCs w:val="0"/>
          <w:color w:val="auto"/>
          <w:kern w:val="2"/>
          <w:sz w:val="32"/>
          <w:szCs w:val="32"/>
          <w:highlight w:val="none"/>
          <w:lang w:val="en-US" w:eastAsia="zh-CN" w:bidi="ar-SA"/>
        </w:rPr>
        <w:t>截至目前，</w:t>
      </w:r>
      <w:r>
        <w:rPr>
          <w:rFonts w:hint="eastAsia" w:ascii="宋体" w:hAnsi="宋体" w:eastAsia="仿宋_GB2312" w:cs="仿宋_GB2312"/>
          <w:b w:val="0"/>
          <w:bCs w:val="0"/>
          <w:color w:val="auto"/>
          <w:kern w:val="2"/>
          <w:sz w:val="32"/>
          <w:szCs w:val="32"/>
          <w:lang w:val="en-US" w:eastAsia="zh-CN" w:bidi="ar-SA"/>
        </w:rPr>
        <w:t>产业园已汇聚区块链+金融、智慧社区、智能供应链等领域创新企业140余家，成功建设运行了全国首个区块链服务大厅和区块链创新示范展示中心。</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32" w:name="_Toc18715"/>
      <w:r>
        <w:rPr>
          <w:rStyle w:val="23"/>
          <w:rFonts w:hint="eastAsia" w:ascii="宋体" w:hAnsi="宋体"/>
          <w:b w:val="0"/>
          <w:bCs w:val="0"/>
          <w:color w:val="auto"/>
          <w:lang w:val="en-US" w:eastAsia="zh-CN"/>
        </w:rPr>
        <w:t>2.产业发展具备融通基础</w:t>
      </w:r>
      <w:bookmarkEnd w:id="32"/>
      <w:r>
        <w:rPr>
          <w:rFonts w:hint="eastAsia" w:ascii="宋体" w:hAnsi="宋体" w:eastAsia="仿宋_GB2312" w:cs="仿宋_GB2312"/>
          <w:b w:val="0"/>
          <w:bCs w:val="0"/>
          <w:color w:val="auto"/>
          <w:kern w:val="2"/>
          <w:sz w:val="32"/>
          <w:szCs w:val="32"/>
          <w:lang w:val="en-US" w:eastAsia="zh-CN" w:bidi="ar-SA"/>
        </w:rPr>
        <w:t>。赣州经开区持续聚焦新能源及新能源汽车、电子信息双首位产业，协同发展稀土和钨后端应用、新材料、数字经济、区块链赋能和粮谷深加工等N个优势产业，构建起“2+N”产业发展体系。近年来，赣州经开区拓展完善金融产业链的新途径，建设金融服务实体经济和产业转型的新平台，采取“区块链+金融”的模式，不断赋能市场主体。</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33" w:name="_Toc25940"/>
      <w:r>
        <w:rPr>
          <w:rStyle w:val="23"/>
          <w:rFonts w:hint="eastAsia" w:ascii="宋体" w:hAnsi="宋体"/>
          <w:b w:val="0"/>
          <w:bCs w:val="0"/>
          <w:color w:val="auto"/>
          <w:lang w:val="en-US" w:eastAsia="zh-CN"/>
        </w:rPr>
        <w:t>3.创新应用场景持续丰富</w:t>
      </w:r>
      <w:bookmarkEnd w:id="33"/>
      <w:r>
        <w:rPr>
          <w:rFonts w:hint="eastAsia" w:ascii="宋体" w:hAnsi="宋体" w:eastAsia="仿宋_GB2312" w:cs="仿宋_GB2312"/>
          <w:b w:val="0"/>
          <w:bCs w:val="0"/>
          <w:color w:val="auto"/>
          <w:kern w:val="2"/>
          <w:sz w:val="32"/>
          <w:szCs w:val="32"/>
          <w:lang w:val="en-US" w:eastAsia="zh-CN" w:bidi="ar-SA"/>
        </w:rPr>
        <w:t>。以市场需求为导向，推动应用场景落地。赣州链橙科技有限公司“区块链+赣南脐橙”为正宗的赣南脐橙贴上独特防伪标签，令其拥有自己的‘身份证。立足于赣州丰富的稀土、钨等稀有金属资源禀赋，采用“互联网+稀土与钨等大宗商品市场”的战略思维，嫁接区块链技术，充分运用电子商务技术促进稀有金属交易行为市场化、降低交易成本、提高交易安全性与便利性，成为集稀有金属交易结算、合同担保、供应链金融、仓储物流、信息咨询、会展商务等多种服务于一体的稀有金属交易中心。</w:t>
      </w:r>
      <w:r>
        <w:rPr>
          <w:rFonts w:hint="eastAsia" w:ascii="宋体" w:hAnsi="宋体" w:eastAsia="仿宋_GB2312" w:cs="仿宋_GB2312"/>
          <w:b w:val="0"/>
          <w:bCs w:val="0"/>
          <w:color w:val="auto"/>
          <w:kern w:val="2"/>
          <w:sz w:val="32"/>
          <w:szCs w:val="32"/>
          <w:highlight w:val="none"/>
          <w:lang w:val="en-US" w:eastAsia="zh-CN" w:bidi="ar-SA"/>
        </w:rPr>
        <w:t>计划</w:t>
      </w:r>
      <w:r>
        <w:rPr>
          <w:rFonts w:hint="eastAsia" w:ascii="宋体" w:hAnsi="宋体" w:eastAsia="仿宋_GB2312" w:cs="仿宋_GB2312"/>
          <w:b w:val="0"/>
          <w:bCs w:val="0"/>
          <w:color w:val="auto"/>
          <w:kern w:val="2"/>
          <w:sz w:val="32"/>
          <w:szCs w:val="32"/>
          <w:lang w:val="en-US" w:eastAsia="zh-CN" w:bidi="ar-SA"/>
        </w:rPr>
        <w:t>构建“区块链+稀有金属交易所”，并在稀土大楼建立了演示展示平台，同时，二期项目也正在建设之中。一批基于区块链技术的数字平台、智慧物流、智能工厂等赋能场景陆续推出。</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34" w:name="_Toc24241"/>
      <w:r>
        <w:rPr>
          <w:rStyle w:val="23"/>
          <w:rFonts w:hint="eastAsia" w:ascii="宋体" w:hAnsi="宋体"/>
          <w:b w:val="0"/>
          <w:bCs w:val="0"/>
          <w:color w:val="auto"/>
          <w:lang w:val="en-US" w:eastAsia="zh-CN"/>
        </w:rPr>
        <w:t>4.营商政策环境不断优化</w:t>
      </w:r>
      <w:bookmarkEnd w:id="34"/>
      <w:r>
        <w:rPr>
          <w:rFonts w:hint="eastAsia" w:ascii="宋体" w:hAnsi="宋体" w:eastAsia="仿宋_GB2312" w:cs="仿宋_GB2312"/>
          <w:b w:val="0"/>
          <w:bCs w:val="0"/>
          <w:color w:val="auto"/>
          <w:kern w:val="2"/>
          <w:sz w:val="32"/>
          <w:szCs w:val="32"/>
          <w:lang w:val="en-US" w:eastAsia="zh-CN" w:bidi="ar-SA"/>
        </w:rPr>
        <w:t>。为进一步加快发展区块链产业，我区深入实施产业链链长制，专门成立区块链赋能产业链推进协调小组，围绕数字经济和区块链产业多次举办产业链链长会议暨政企圆桌会议，协调解决产业链发展中的问题和困难。编制《赣州经济技术开发区“十四五”时期数字经济和区块链产业发展规划》，出台《赣州经开区区块链金融产业沙盒园（赣州区块链技术产业园）发展扶持政策（试行）》《赣州经济技术开发区促进数字经济产业发展若干措施》《赣州经开区区块链产业发展三年行动计划（2021－2023年）》等扶持政策，针对区块链产业的培育、成长、应用以及技术、平台、金融等多个环节给予重点扶持，集聚壮大区块链产业。目前，已为区块链技术产业园提供了扶持资金和办公场所，对符合条件的入园企业不仅免租三年，而且通过上级扶持、专项扶持、税收和产业发展资金给予奖励和补贴，兑现了各类补贴资金。</w:t>
      </w:r>
    </w:p>
    <w:p>
      <w:pPr>
        <w:pStyle w:val="4"/>
        <w:pageBreakBefore w:val="0"/>
        <w:widowControl w:val="0"/>
        <w:kinsoku/>
        <w:wordWrap/>
        <w:overflowPunct/>
        <w:topLinePunct w:val="0"/>
        <w:autoSpaceDE/>
        <w:autoSpaceDN/>
        <w:bidi w:val="0"/>
        <w:adjustRightInd/>
        <w:snapToGrid/>
        <w:spacing w:line="560" w:lineRule="exact"/>
        <w:rPr>
          <w:rFonts w:hint="default" w:ascii="宋体" w:hAnsi="宋体" w:eastAsia="楷体_GB2312" w:cs="楷体_GB2312"/>
          <w:b w:val="0"/>
          <w:bCs w:val="0"/>
          <w:color w:val="auto"/>
          <w:lang w:val="en-US" w:eastAsia="zh-CN"/>
        </w:rPr>
      </w:pPr>
      <w:bookmarkStart w:id="35" w:name="_Toc84832337"/>
      <w:bookmarkEnd w:id="35"/>
      <w:bookmarkStart w:id="36" w:name="_Toc21975"/>
      <w:bookmarkEnd w:id="36"/>
      <w:bookmarkStart w:id="37" w:name="_Toc88830203"/>
      <w:bookmarkStart w:id="38" w:name="_Toc27761"/>
      <w:r>
        <w:rPr>
          <w:rFonts w:hint="eastAsia" w:ascii="宋体" w:hAnsi="宋体" w:eastAsia="楷体_GB2312" w:cs="楷体_GB2312"/>
          <w:b w:val="0"/>
          <w:bCs w:val="0"/>
          <w:color w:val="auto"/>
        </w:rPr>
        <w:t>（三）</w:t>
      </w:r>
      <w:bookmarkEnd w:id="37"/>
      <w:r>
        <w:rPr>
          <w:rFonts w:hint="eastAsia" w:ascii="宋体" w:hAnsi="宋体" w:eastAsia="楷体_GB2312" w:cs="楷体_GB2312"/>
          <w:b w:val="0"/>
          <w:bCs w:val="0"/>
          <w:color w:val="auto"/>
          <w:lang w:val="en-US" w:eastAsia="zh-CN"/>
        </w:rPr>
        <w:t>存在问题</w:t>
      </w:r>
      <w:bookmarkEnd w:id="38"/>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39" w:name="_Toc27099"/>
      <w:r>
        <w:rPr>
          <w:rStyle w:val="23"/>
          <w:rFonts w:hint="eastAsia" w:ascii="宋体" w:hAnsi="宋体"/>
          <w:b w:val="0"/>
          <w:bCs w:val="0"/>
          <w:color w:val="auto"/>
          <w:lang w:val="en-US" w:eastAsia="zh-CN"/>
        </w:rPr>
        <w:t>1.扩展配套技术存在短板</w:t>
      </w:r>
      <w:bookmarkEnd w:id="39"/>
      <w:r>
        <w:rPr>
          <w:rFonts w:hint="eastAsia" w:ascii="宋体" w:hAnsi="宋体" w:eastAsia="仿宋_GB2312" w:cs="仿宋_GB2312"/>
          <w:b w:val="0"/>
          <w:bCs w:val="0"/>
          <w:color w:val="auto"/>
          <w:kern w:val="2"/>
          <w:sz w:val="32"/>
          <w:szCs w:val="32"/>
          <w:lang w:val="en-US" w:eastAsia="zh-CN" w:bidi="ar-SA"/>
        </w:rPr>
        <w:t>。区块链是多种技术的集成系统，随着区块链技术应用的纵深拓展，区块链可扩展性、互操作性、协同治理、安全隐私等扩展技术以及系统管理、操作运维等配套技术备受关注。当前我区区块链企业主要以区块链核心技术与应用技术切入，扩展技术和配套技术环节需要进一步加强，亟待引入或培育更多的完整生态和强大技术攻关能力的龙头科技企业支撑。</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40" w:name="_Toc271"/>
      <w:r>
        <w:rPr>
          <w:rStyle w:val="23"/>
          <w:rFonts w:hint="eastAsia" w:ascii="宋体" w:hAnsi="宋体"/>
          <w:b w:val="0"/>
          <w:bCs w:val="0"/>
          <w:color w:val="auto"/>
          <w:lang w:val="en-US" w:eastAsia="zh-CN"/>
        </w:rPr>
        <w:t>2.本地产业链尚待补缺完善</w:t>
      </w:r>
      <w:bookmarkEnd w:id="40"/>
      <w:r>
        <w:rPr>
          <w:rFonts w:hint="eastAsia" w:ascii="宋体" w:hAnsi="宋体" w:eastAsia="仿宋_GB2312" w:cs="仿宋_GB2312"/>
          <w:b w:val="0"/>
          <w:bCs w:val="0"/>
          <w:color w:val="auto"/>
          <w:kern w:val="2"/>
          <w:sz w:val="32"/>
          <w:szCs w:val="32"/>
          <w:lang w:val="en-US" w:eastAsia="zh-CN" w:bidi="ar-SA"/>
        </w:rPr>
        <w:t>。一是产业链环节尚未完善，区块链产业的稳步发展离不开产业链上下游协同，当前入园企业以下游产业应用为主，底层技术、平台服务等产业链环节占比不高。二是产业集聚优势尚未凸显，企业普遍存在各自为战、小而散的问题，协同化的产业雁阵尚待形成，集约化的平台能力亟待提高。</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41" w:name="_Toc17102"/>
      <w:r>
        <w:rPr>
          <w:rStyle w:val="23"/>
          <w:rFonts w:hint="eastAsia" w:ascii="宋体" w:hAnsi="宋体"/>
          <w:b w:val="0"/>
          <w:bCs w:val="0"/>
          <w:color w:val="auto"/>
          <w:lang w:val="en-US" w:eastAsia="zh-CN"/>
        </w:rPr>
        <w:t>3.应用落地推广难度尚存</w:t>
      </w:r>
      <w:bookmarkEnd w:id="41"/>
      <w:r>
        <w:rPr>
          <w:rFonts w:hint="eastAsia" w:ascii="宋体" w:hAnsi="宋体" w:eastAsia="仿宋_GB2312" w:cs="仿宋_GB2312"/>
          <w:b w:val="0"/>
          <w:bCs w:val="0"/>
          <w:color w:val="auto"/>
          <w:kern w:val="2"/>
          <w:sz w:val="32"/>
          <w:szCs w:val="32"/>
          <w:lang w:val="en-US" w:eastAsia="zh-CN" w:bidi="ar-SA"/>
        </w:rPr>
        <w:t>。当前区块链技术标准不够成熟，性能、安全、可扩展性等问题阻碍了区块链技术的大规模应用，制约了商业应用落地。中小企业普遍存在应用动力不足的问题，多数工业企业还处于数字化转型初期，部署区块链系统需要对原有业务系统进行改造，初期投入成本较高，部分项目短期内产生经济效益不明显。</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42" w:name="_Toc1646"/>
      <w:r>
        <w:rPr>
          <w:rStyle w:val="23"/>
          <w:rFonts w:hint="eastAsia" w:ascii="宋体" w:hAnsi="宋体"/>
          <w:b w:val="0"/>
          <w:bCs w:val="0"/>
          <w:color w:val="auto"/>
          <w:lang w:val="en-US" w:eastAsia="zh-CN"/>
        </w:rPr>
        <w:t>4.区块链商业模式有待明晰</w:t>
      </w:r>
      <w:bookmarkEnd w:id="42"/>
      <w:r>
        <w:rPr>
          <w:rFonts w:hint="eastAsia" w:ascii="宋体" w:hAnsi="宋体" w:eastAsia="仿宋_GB2312" w:cs="仿宋_GB2312"/>
          <w:b w:val="0"/>
          <w:bCs w:val="0"/>
          <w:color w:val="auto"/>
          <w:kern w:val="2"/>
          <w:sz w:val="32"/>
          <w:szCs w:val="32"/>
          <w:lang w:val="en-US" w:eastAsia="zh-CN" w:bidi="ar-SA"/>
        </w:rPr>
        <w:t>。目前经开区内的龙头企业对区块链的应用多处于内部场景探索和试用阶段，仍未形成可复制推广的商业模式，龙头企业带动效应不明显，规模化推广尚有时日。企业现有供应链管理、数据存储机制与区块链分布式、共享化的运营管理模式存在冲突，导致企业对上链数据的隐私安全、所有权归属、数据治理等存疑，区块链自动化协作和价值互联的应用模式落地难度尚存。</w:t>
      </w:r>
      <w:bookmarkStart w:id="43" w:name="_Toc84832338"/>
      <w:bookmarkEnd w:id="43"/>
      <w:bookmarkStart w:id="44" w:name="_Toc8174"/>
      <w:bookmarkEnd w:id="44"/>
      <w:bookmarkStart w:id="45" w:name="_Toc88830204"/>
      <w:bookmarkStart w:id="46" w:name="_Toc1057"/>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b w:val="0"/>
          <w:bCs w:val="0"/>
          <w:color w:val="auto"/>
        </w:rPr>
      </w:pPr>
      <w:r>
        <w:rPr>
          <w:rFonts w:hint="eastAsia" w:ascii="宋体" w:hAnsi="宋体" w:eastAsia="黑体" w:cstheme="minorBidi"/>
          <w:b w:val="0"/>
          <w:bCs w:val="0"/>
          <w:color w:val="auto"/>
          <w:kern w:val="44"/>
          <w:sz w:val="32"/>
          <w:szCs w:val="44"/>
          <w:lang w:val="en-US" w:eastAsia="zh-CN" w:bidi="ar-SA"/>
        </w:rPr>
        <w:t>四、总体要求</w:t>
      </w:r>
      <w:bookmarkEnd w:id="45"/>
      <w:bookmarkEnd w:id="46"/>
    </w:p>
    <w:p>
      <w:pPr>
        <w:pStyle w:val="4"/>
        <w:pageBreakBefore w:val="0"/>
        <w:widowControl w:val="0"/>
        <w:kinsoku/>
        <w:wordWrap/>
        <w:overflowPunct/>
        <w:topLinePunct w:val="0"/>
        <w:autoSpaceDE/>
        <w:autoSpaceDN/>
        <w:bidi w:val="0"/>
        <w:adjustRightInd/>
        <w:snapToGrid/>
        <w:spacing w:line="560" w:lineRule="exact"/>
        <w:rPr>
          <w:rFonts w:hint="eastAsia" w:ascii="宋体" w:hAnsi="宋体" w:eastAsia="楷体_GB2312" w:cs="楷体_GB2312"/>
          <w:b w:val="0"/>
          <w:bCs w:val="0"/>
          <w:color w:val="auto"/>
        </w:rPr>
      </w:pPr>
      <w:bookmarkStart w:id="47" w:name="_Toc31602"/>
      <w:bookmarkEnd w:id="47"/>
      <w:bookmarkStart w:id="48" w:name="_Toc80778537"/>
      <w:bookmarkEnd w:id="48"/>
      <w:bookmarkStart w:id="49" w:name="_Toc84832339"/>
      <w:bookmarkEnd w:id="49"/>
      <w:bookmarkStart w:id="50" w:name="_Toc18368"/>
      <w:bookmarkStart w:id="51" w:name="_Toc88830205"/>
      <w:r>
        <w:rPr>
          <w:rFonts w:hint="eastAsia" w:ascii="宋体" w:hAnsi="宋体" w:eastAsia="楷体_GB2312" w:cs="楷体_GB2312"/>
          <w:b w:val="0"/>
          <w:bCs w:val="0"/>
          <w:color w:val="auto"/>
        </w:rPr>
        <w:t>（一）指导思想</w:t>
      </w:r>
      <w:bookmarkEnd w:id="50"/>
      <w:bookmarkEnd w:id="51"/>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default" w:ascii="宋体" w:hAnsi="宋体" w:eastAsia="仿宋_GB2312" w:cs="仿宋_GB2312"/>
          <w:b w:val="0"/>
          <w:bCs w:val="0"/>
          <w:color w:val="auto"/>
          <w:kern w:val="2"/>
          <w:sz w:val="32"/>
          <w:szCs w:val="32"/>
          <w:lang w:val="en-US" w:eastAsia="zh-CN" w:bidi="ar-SA"/>
        </w:rPr>
      </w:pPr>
      <w:bookmarkStart w:id="52" w:name="_Toc84832340"/>
      <w:bookmarkEnd w:id="52"/>
      <w:bookmarkStart w:id="53" w:name="_Toc80778538"/>
      <w:bookmarkEnd w:id="53"/>
      <w:bookmarkStart w:id="54" w:name="_Toc25466"/>
      <w:bookmarkEnd w:id="54"/>
      <w:bookmarkStart w:id="55" w:name="_Toc88830206"/>
      <w:r>
        <w:rPr>
          <w:rFonts w:hint="eastAsia" w:ascii="宋体" w:hAnsi="宋体" w:eastAsia="仿宋_GB2312" w:cs="仿宋_GB2312"/>
          <w:b w:val="0"/>
          <w:bCs w:val="0"/>
          <w:color w:val="auto"/>
          <w:kern w:val="2"/>
          <w:sz w:val="32"/>
          <w:szCs w:val="32"/>
          <w:lang w:val="en-US" w:eastAsia="zh-CN" w:bidi="ar-SA"/>
        </w:rPr>
        <w:t>坚持以习近平新时代中国特色社会主义思想为指导，深入贯彻党的十九大和十九届历次全会精神，全面落实习近平总书记关于网络强国的重要思想和习近平总书记视察江西和赣州重要讲话精神。</w:t>
      </w:r>
      <w:r>
        <w:rPr>
          <w:rFonts w:hint="eastAsia" w:ascii="宋体" w:hAnsi="宋体" w:eastAsia="仿宋_GB2312" w:cs="仿宋_GB2312"/>
          <w:b w:val="0"/>
          <w:bCs w:val="0"/>
          <w:color w:val="auto"/>
          <w:kern w:val="2"/>
          <w:sz w:val="32"/>
          <w:szCs w:val="32"/>
          <w:highlight w:val="none"/>
          <w:lang w:val="en-US" w:eastAsia="zh-CN" w:bidi="ar-SA"/>
        </w:rPr>
        <w:t>以激发需求、优化供给、打造生态为主线</w:t>
      </w:r>
      <w:r>
        <w:rPr>
          <w:rFonts w:hint="eastAsia" w:ascii="宋体" w:hAnsi="宋体" w:eastAsia="仿宋_GB2312" w:cs="仿宋_GB2312"/>
          <w:b w:val="0"/>
          <w:bCs w:val="0"/>
          <w:color w:val="auto"/>
          <w:kern w:val="2"/>
          <w:sz w:val="32"/>
          <w:szCs w:val="32"/>
          <w:lang w:val="en-US" w:eastAsia="zh-CN" w:bidi="ar-SA"/>
        </w:rPr>
        <w:t>，聚焦提升公共服务和治理能力，聚力推动重点领域场景开放和应用创新，加快区块链市场培育，充分释放区块链技术在促进数据共享、优化业务流程、降低运营成本、提升协同效率、建设可信体系等方面的作用，助力解决发展治理难点和堵点问题，致力成为数字化转型的发展典范，打造数字中国价值可信的城市样板。</w:t>
      </w:r>
    </w:p>
    <w:p>
      <w:pPr>
        <w:pStyle w:val="4"/>
        <w:pageBreakBefore w:val="0"/>
        <w:widowControl w:val="0"/>
        <w:kinsoku/>
        <w:wordWrap/>
        <w:overflowPunct/>
        <w:topLinePunct w:val="0"/>
        <w:autoSpaceDE/>
        <w:autoSpaceDN/>
        <w:bidi w:val="0"/>
        <w:adjustRightInd/>
        <w:snapToGrid/>
        <w:spacing w:line="560" w:lineRule="exact"/>
        <w:rPr>
          <w:rFonts w:hint="eastAsia" w:ascii="宋体" w:hAnsi="宋体" w:eastAsia="楷体_GB2312" w:cs="楷体_GB2312"/>
          <w:b w:val="0"/>
          <w:bCs w:val="0"/>
          <w:color w:val="auto"/>
        </w:rPr>
      </w:pPr>
      <w:bookmarkStart w:id="56" w:name="_Toc17263"/>
      <w:r>
        <w:rPr>
          <w:rFonts w:hint="eastAsia" w:ascii="宋体" w:hAnsi="宋体" w:eastAsia="楷体_GB2312" w:cs="楷体_GB2312"/>
          <w:b w:val="0"/>
          <w:bCs w:val="0"/>
          <w:color w:val="auto"/>
        </w:rPr>
        <w:t>（二）基本原则</w:t>
      </w:r>
      <w:bookmarkEnd w:id="55"/>
      <w:bookmarkEnd w:id="56"/>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57" w:name="_Toc80778539"/>
      <w:bookmarkEnd w:id="57"/>
      <w:bookmarkStart w:id="58" w:name="_Toc18100"/>
      <w:r>
        <w:rPr>
          <w:rStyle w:val="23"/>
          <w:rFonts w:hint="eastAsia" w:ascii="宋体" w:hAnsi="宋体"/>
          <w:b w:val="0"/>
          <w:bCs w:val="0"/>
          <w:color w:val="auto"/>
          <w:lang w:val="en-US" w:eastAsia="zh-CN"/>
        </w:rPr>
        <w:t>1.坚持创新融合</w:t>
      </w:r>
      <w:bookmarkEnd w:id="58"/>
      <w:r>
        <w:rPr>
          <w:rFonts w:hint="eastAsia" w:ascii="宋体" w:hAnsi="宋体" w:eastAsia="仿宋_GB2312" w:cs="仿宋_GB2312"/>
          <w:b w:val="0"/>
          <w:bCs w:val="0"/>
          <w:color w:val="auto"/>
          <w:kern w:val="2"/>
          <w:sz w:val="32"/>
          <w:szCs w:val="32"/>
          <w:lang w:val="en-US" w:eastAsia="zh-CN" w:bidi="ar-SA"/>
        </w:rPr>
        <w:t>。联合多元化技术载体，强化区块链理论研究与关键技术突破，构建“区块链+”融合创新体系，推进区块链与人工智能、大数据、工业互联网、物联网等新一代信息技术深度融合，打造协同攻关和合作共赢新模式。</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59" w:name="_Toc80778540"/>
      <w:bookmarkEnd w:id="59"/>
      <w:bookmarkStart w:id="60" w:name="_Toc15386"/>
      <w:r>
        <w:rPr>
          <w:rStyle w:val="23"/>
          <w:rFonts w:hint="eastAsia" w:ascii="宋体" w:hAnsi="宋体"/>
          <w:b w:val="0"/>
          <w:bCs w:val="0"/>
          <w:color w:val="auto"/>
          <w:lang w:val="en-US" w:eastAsia="zh-CN"/>
        </w:rPr>
        <w:t>2.坚持应用牵引</w:t>
      </w:r>
      <w:bookmarkEnd w:id="60"/>
      <w:r>
        <w:rPr>
          <w:rFonts w:hint="eastAsia" w:ascii="宋体" w:hAnsi="宋体" w:eastAsia="仿宋_GB2312" w:cs="仿宋_GB2312"/>
          <w:b w:val="0"/>
          <w:bCs w:val="0"/>
          <w:color w:val="auto"/>
          <w:kern w:val="2"/>
          <w:sz w:val="32"/>
          <w:szCs w:val="32"/>
          <w:lang w:val="en-US" w:eastAsia="zh-CN" w:bidi="ar-SA"/>
        </w:rPr>
        <w:t>。发挥市场在资源配置中的决定性作用，引导企业把握市场需求热点与应用方向，创新技术产品和服务模式。依托本地资源优势和产业优势，加快推进区块链技术在重点领域的应用落地，探索丰富区块链应用场景，形成“技术、应用、产业”迭代升级的良性循环。</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61" w:name="_Toc80778541"/>
      <w:bookmarkEnd w:id="61"/>
      <w:bookmarkStart w:id="62" w:name="_Toc30641"/>
      <w:r>
        <w:rPr>
          <w:rStyle w:val="23"/>
          <w:rFonts w:hint="eastAsia" w:ascii="宋体" w:hAnsi="宋体"/>
          <w:b w:val="0"/>
          <w:bCs w:val="0"/>
          <w:color w:val="auto"/>
          <w:lang w:val="en-US" w:eastAsia="zh-CN"/>
        </w:rPr>
        <w:t>3.坚持开放共享</w:t>
      </w:r>
      <w:bookmarkEnd w:id="62"/>
      <w:r>
        <w:rPr>
          <w:rFonts w:hint="eastAsia" w:ascii="宋体" w:hAnsi="宋体" w:eastAsia="仿宋_GB2312" w:cs="仿宋_GB2312"/>
          <w:b w:val="0"/>
          <w:bCs w:val="0"/>
          <w:color w:val="auto"/>
          <w:kern w:val="2"/>
          <w:sz w:val="32"/>
          <w:szCs w:val="32"/>
          <w:lang w:val="en-US" w:eastAsia="zh-CN" w:bidi="ar-SA"/>
        </w:rPr>
        <w:t>。倡导开放共享理念，加强与国内外区块链领先地区、优质资源的交流合作，融入区块链高价值产业环节；探索多方联动、协同创新、成果共享的技术创新和行业应用模式，发挥区块链技术在实体经济和公共服务领域的赋能效应。</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63" w:name="_Toc80778542"/>
      <w:bookmarkEnd w:id="63"/>
      <w:bookmarkStart w:id="64" w:name="_Toc25922"/>
      <w:r>
        <w:rPr>
          <w:rStyle w:val="23"/>
          <w:rFonts w:hint="eastAsia" w:ascii="宋体" w:hAnsi="宋体"/>
          <w:b w:val="0"/>
          <w:bCs w:val="0"/>
          <w:color w:val="auto"/>
          <w:lang w:val="en-US" w:eastAsia="zh-CN"/>
        </w:rPr>
        <w:t>4.坚持安全有序</w:t>
      </w:r>
      <w:bookmarkEnd w:id="64"/>
      <w:r>
        <w:rPr>
          <w:rFonts w:hint="eastAsia" w:ascii="宋体" w:hAnsi="宋体" w:eastAsia="仿宋_GB2312" w:cs="仿宋_GB2312"/>
          <w:b w:val="0"/>
          <w:bCs w:val="0"/>
          <w:color w:val="auto"/>
          <w:kern w:val="2"/>
          <w:sz w:val="32"/>
          <w:szCs w:val="32"/>
          <w:lang w:val="en-US" w:eastAsia="zh-CN" w:bidi="ar-SA"/>
        </w:rPr>
        <w:t>。发挥政府的引导作用，确保区块链安全可控与开放创新共同推进，强化技术支撑、标准制定、制度优化和政策统筹，为金融监管、行为监管、内容监管与网络安全提供技术支撑，推动区块链产业健康有序发展。</w:t>
      </w:r>
      <w:bookmarkStart w:id="65" w:name="_Toc982"/>
      <w:bookmarkEnd w:id="65"/>
      <w:bookmarkStart w:id="66" w:name="_Toc84832341"/>
      <w:bookmarkEnd w:id="66"/>
      <w:bookmarkStart w:id="67" w:name="_Toc80778543"/>
      <w:bookmarkEnd w:id="67"/>
      <w:bookmarkStart w:id="68" w:name="_Toc88830207"/>
      <w:bookmarkStart w:id="69" w:name="_Toc8323"/>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黑体" w:cstheme="minorBidi"/>
          <w:b w:val="0"/>
          <w:bCs w:val="0"/>
          <w:color w:val="auto"/>
          <w:kern w:val="44"/>
          <w:sz w:val="32"/>
          <w:szCs w:val="44"/>
          <w:lang w:val="en-US" w:eastAsia="zh-CN" w:bidi="ar-SA"/>
        </w:rPr>
      </w:pPr>
      <w:r>
        <w:rPr>
          <w:rFonts w:hint="eastAsia" w:ascii="宋体" w:hAnsi="宋体" w:eastAsia="黑体" w:cstheme="minorBidi"/>
          <w:b w:val="0"/>
          <w:bCs w:val="0"/>
          <w:color w:val="auto"/>
          <w:kern w:val="44"/>
          <w:sz w:val="32"/>
          <w:szCs w:val="44"/>
          <w:lang w:val="en-US" w:eastAsia="zh-CN" w:bidi="ar-SA"/>
        </w:rPr>
        <w:t>五、发展目标</w:t>
      </w:r>
      <w:bookmarkEnd w:id="68"/>
      <w:bookmarkEnd w:id="69"/>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推进赣州区块链技术产业园建设，初步建成全国具有影响力的区块链科技创新高地、应用示范高地、产业聚集高地，建立区块链科技创新与产业发展融合互动的新体系，为赣州经济高质量发展持续注入新动能。率先建成“1+3+N”区块链应用矩阵，即以区块链技术产业园为发展基础，完善部署“企业服务链”“电子信息产业链”“新能源汽车产业链”3大链条，培育发展区块链智能合约在政务服务、医疗、供应链金融、木材交易、电子票据、数字乡村等领域的应用，形成N个应用场景。</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推动区块链与人工智能、大数据、物联网、云计算等新一代信息技术融合发展进一步深化，成为带动全省数字经济产业转型升级的主要动力，形成技术、应用、标准相对完备的区块链产业生态。到2025年，深化区块链在各领域的应用，区块链技术水平与产业规模达到国内领先水平，在全国打响“区块链”品牌。</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——产业规模。集聚区块链+创新企业300家以上，培育全国知名的区块链领军企业5家，形成“1+3+N”区块链应用矩阵，打造“区块链+AI”标杆城市，</w:t>
      </w:r>
      <w:r>
        <w:rPr>
          <w:rFonts w:hint="eastAsia" w:ascii="宋体" w:hAnsi="宋体" w:eastAsia="仿宋_GB2312" w:cs="仿宋_GB2312"/>
          <w:b w:val="0"/>
          <w:bCs w:val="0"/>
          <w:color w:val="auto"/>
          <w:kern w:val="2"/>
          <w:sz w:val="32"/>
          <w:szCs w:val="32"/>
          <w:lang w:val="zh-CN" w:eastAsia="zh-CN" w:bidi="ar-SA"/>
        </w:rPr>
        <w:t>“赣州链”</w:t>
      </w:r>
      <w:r>
        <w:rPr>
          <w:rFonts w:hint="eastAsia" w:ascii="宋体" w:hAnsi="宋体" w:eastAsia="仿宋_GB2312" w:cs="仿宋_GB2312"/>
          <w:b w:val="0"/>
          <w:bCs w:val="0"/>
          <w:color w:val="auto"/>
          <w:kern w:val="2"/>
          <w:sz w:val="32"/>
          <w:szCs w:val="32"/>
          <w:lang w:val="en-US" w:eastAsia="zh-CN" w:bidi="ar-SA"/>
        </w:rPr>
        <w:t>平台效应充分发挥，相关产业营业收入达到100亿元以上。</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技术创新。加强区块链核心技术研究突破，集聚区块链创新创业高水平人才队伍，形成技术研发、产品测试、成果转化的系统性支撑能力，主导和参与不少于10个区块链领域标准，区块链相关领域专利申请量突破50项。</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示范应用。进一步探索和开放创新应用场景，打造10-20个特点鲜明、优势突出的拳头产品，推出不少于50个创新应用产品，形成10个以上可复制、可借鉴、可推广的应用示范，实现区块链赋能实体经济、优化公共服务的规模化应用。</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载体支撑。建立或引入5-8个国产自主可控区块链新型基础设施平台。培育区块链解决方案提供商20家以上，持续优化政策、人才、应用等产业要素配置，推动建设区块链多方监管体系，构建开放、安全的营商环境。</w:t>
      </w:r>
    </w:p>
    <w:p>
      <w:pPr>
        <w:pStyle w:val="3"/>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rPr>
      </w:pPr>
      <w:bookmarkStart w:id="70" w:name="_Toc218"/>
      <w:bookmarkEnd w:id="70"/>
      <w:bookmarkStart w:id="71" w:name="_Toc84832342"/>
      <w:bookmarkEnd w:id="71"/>
      <w:bookmarkStart w:id="72" w:name="_Toc29719"/>
      <w:bookmarkStart w:id="73" w:name="_Toc88830208"/>
      <w:r>
        <w:rPr>
          <w:rFonts w:hint="eastAsia" w:ascii="宋体" w:hAnsi="宋体"/>
          <w:b w:val="0"/>
          <w:bCs w:val="0"/>
          <w:color w:val="auto"/>
          <w:lang w:val="en-US" w:eastAsia="zh-CN"/>
        </w:rPr>
        <w:t>六、</w:t>
      </w:r>
      <w:r>
        <w:rPr>
          <w:rFonts w:hint="eastAsia" w:ascii="宋体" w:hAnsi="宋体"/>
          <w:b w:val="0"/>
          <w:bCs w:val="0"/>
          <w:color w:val="auto"/>
        </w:rPr>
        <w:t>主要任务</w:t>
      </w:r>
      <w:bookmarkEnd w:id="72"/>
      <w:bookmarkEnd w:id="73"/>
      <w:bookmarkStart w:id="74" w:name="_Toc84832343"/>
      <w:bookmarkEnd w:id="74"/>
      <w:bookmarkStart w:id="75" w:name="_Toc31032"/>
      <w:bookmarkEnd w:id="75"/>
      <w:bookmarkStart w:id="76" w:name="_Toc80778545"/>
      <w:bookmarkEnd w:id="76"/>
      <w:bookmarkStart w:id="77" w:name="_Toc88830209"/>
    </w:p>
    <w:p>
      <w:pPr>
        <w:pStyle w:val="4"/>
        <w:pageBreakBefore w:val="0"/>
        <w:widowControl w:val="0"/>
        <w:kinsoku/>
        <w:wordWrap/>
        <w:overflowPunct/>
        <w:topLinePunct w:val="0"/>
        <w:autoSpaceDE/>
        <w:autoSpaceDN/>
        <w:bidi w:val="0"/>
        <w:adjustRightInd/>
        <w:snapToGrid/>
        <w:spacing w:line="560" w:lineRule="exact"/>
        <w:rPr>
          <w:rFonts w:hint="eastAsia" w:ascii="宋体" w:hAnsi="宋体" w:eastAsia="楷体_GB2312" w:cs="楷体_GB2312"/>
          <w:b w:val="0"/>
          <w:bCs w:val="0"/>
          <w:color w:val="auto"/>
          <w:lang w:val="en-US" w:eastAsia="zh-CN"/>
        </w:rPr>
      </w:pPr>
      <w:bookmarkStart w:id="78" w:name="_Toc30145"/>
      <w:r>
        <w:rPr>
          <w:rFonts w:hint="eastAsia" w:ascii="宋体" w:hAnsi="宋体" w:eastAsia="楷体_GB2312" w:cs="楷体_GB2312"/>
          <w:b w:val="0"/>
          <w:bCs w:val="0"/>
          <w:color w:val="auto"/>
        </w:rPr>
        <w:t>（一）</w:t>
      </w:r>
      <w:bookmarkEnd w:id="77"/>
      <w:r>
        <w:rPr>
          <w:rFonts w:hint="eastAsia" w:ascii="宋体" w:hAnsi="宋体" w:eastAsia="楷体_GB2312" w:cs="楷体_GB2312"/>
          <w:b w:val="0"/>
          <w:bCs w:val="0"/>
          <w:color w:val="auto"/>
          <w:lang w:val="en-US" w:eastAsia="zh-CN"/>
        </w:rPr>
        <w:t>夯实基础建设</w:t>
      </w:r>
      <w:bookmarkEnd w:id="78"/>
    </w:p>
    <w:p>
      <w:pPr>
        <w:pStyle w:val="5"/>
        <w:pageBreakBefore w:val="0"/>
        <w:widowControl w:val="0"/>
        <w:kinsoku/>
        <w:wordWrap/>
        <w:overflowPunct/>
        <w:topLinePunct w:val="0"/>
        <w:autoSpaceDE/>
        <w:autoSpaceDN/>
        <w:bidi w:val="0"/>
        <w:adjustRightInd/>
        <w:snapToGrid/>
        <w:spacing w:line="560" w:lineRule="exact"/>
        <w:rPr>
          <w:rFonts w:hint="default" w:ascii="宋体" w:hAnsi="宋体"/>
          <w:b w:val="0"/>
          <w:bCs w:val="0"/>
          <w:color w:val="auto"/>
          <w:lang w:val="en-US" w:eastAsia="zh-CN"/>
        </w:rPr>
      </w:pPr>
      <w:bookmarkStart w:id="79" w:name="_Toc84832344"/>
      <w:bookmarkEnd w:id="79"/>
      <w:bookmarkStart w:id="80" w:name="_Toc25802"/>
      <w:bookmarkEnd w:id="80"/>
      <w:bookmarkStart w:id="81" w:name="_Toc80778546"/>
      <w:bookmarkEnd w:id="81"/>
      <w:bookmarkStart w:id="82" w:name="_Toc5694"/>
      <w:bookmarkStart w:id="83" w:name="_Toc88830210"/>
      <w:r>
        <w:rPr>
          <w:rFonts w:hint="eastAsia" w:ascii="宋体" w:hAnsi="宋体"/>
          <w:b w:val="0"/>
          <w:bCs w:val="0"/>
          <w:color w:val="auto"/>
          <w:lang w:val="en-US" w:eastAsia="zh-CN"/>
        </w:rPr>
        <w:t>1.完善基础平台建设</w:t>
      </w:r>
      <w:bookmarkEnd w:id="82"/>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推进区块链“强基”工程，在软件基础设施方面，自建区块链运维BaaS平台、区块链平台、“赣州链”等支持国密标准并且与国产软硬件相适配的自主技术区块链底层平台；在硬件基础设施方面，进一步完善赣州市区块链平台超级账本、BCOS、超导网络和华为云、移动云服务和数据湖等基础设施平台等。建立以跨云服务、跨门户、跨底层为框架的自主可控区块链基础网络平台，与区块链服务网络（BSN）等国家级全球性区块链基础设施服务网络对接，实现区块链底层链免搭建、免运维，为场景应用提供存储、传输、计算、开发、测试等区块链底层支持和服务。根据区块链发展形势和特点，不断完善和筑牢区块链发展基础设施。</w:t>
      </w:r>
    </w:p>
    <w:bookmarkEnd w:id="83"/>
    <w:p>
      <w:pPr>
        <w:pStyle w:val="5"/>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84" w:name="_Toc13383"/>
      <w:bookmarkStart w:id="85" w:name="_Toc88830211"/>
      <w:r>
        <w:rPr>
          <w:rFonts w:hint="eastAsia" w:ascii="宋体" w:hAnsi="宋体"/>
          <w:b w:val="0"/>
          <w:bCs w:val="0"/>
          <w:color w:val="auto"/>
          <w:lang w:val="en-US" w:eastAsia="zh-CN"/>
        </w:rPr>
        <w:t>2.积极参与标准制定</w:t>
      </w:r>
      <w:bookmarkEnd w:id="84"/>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加强产学研用对接，</w:t>
      </w:r>
      <w:r>
        <w:rPr>
          <w:rFonts w:hint="eastAsia" w:ascii="宋体" w:hAnsi="宋体" w:eastAsia="仿宋_GB2312" w:cs="仿宋_GB2312"/>
          <w:b w:val="0"/>
          <w:bCs w:val="0"/>
          <w:color w:val="auto"/>
          <w:kern w:val="2"/>
          <w:sz w:val="32"/>
          <w:szCs w:val="32"/>
          <w:lang w:val="zh-CN" w:eastAsia="zh-CN" w:bidi="ar-SA"/>
        </w:rPr>
        <w:t>支持</w:t>
      </w:r>
      <w:r>
        <w:rPr>
          <w:rFonts w:hint="eastAsia" w:ascii="宋体" w:hAnsi="宋体" w:eastAsia="仿宋_GB2312" w:cs="仿宋_GB2312"/>
          <w:b w:val="0"/>
          <w:bCs w:val="0"/>
          <w:color w:val="auto"/>
          <w:kern w:val="2"/>
          <w:sz w:val="32"/>
          <w:szCs w:val="32"/>
          <w:lang w:val="en-US" w:eastAsia="zh-CN" w:bidi="ar-SA"/>
        </w:rPr>
        <w:t>赣州区块链技术产业园及园区各区块链企业</w:t>
      </w:r>
      <w:r>
        <w:rPr>
          <w:rFonts w:hint="eastAsia" w:ascii="宋体" w:hAnsi="宋体" w:eastAsia="仿宋_GB2312" w:cs="仿宋_GB2312"/>
          <w:b w:val="0"/>
          <w:bCs w:val="0"/>
          <w:color w:val="auto"/>
          <w:kern w:val="2"/>
          <w:sz w:val="32"/>
          <w:szCs w:val="32"/>
          <w:lang w:val="zh-CN" w:eastAsia="zh-CN" w:bidi="ar-SA"/>
        </w:rPr>
        <w:t>积极参与国际、国家标准制定，</w:t>
      </w:r>
      <w:r>
        <w:rPr>
          <w:rFonts w:hint="eastAsia" w:ascii="宋体" w:hAnsi="宋体" w:eastAsia="仿宋_GB2312" w:cs="仿宋_GB2312"/>
          <w:b w:val="0"/>
          <w:bCs w:val="0"/>
          <w:color w:val="auto"/>
          <w:kern w:val="2"/>
          <w:sz w:val="32"/>
          <w:szCs w:val="32"/>
          <w:lang w:val="en-US" w:eastAsia="zh-CN" w:bidi="ar-SA"/>
        </w:rPr>
        <w:t>与院校、科研机构等</w:t>
      </w:r>
      <w:r>
        <w:rPr>
          <w:rFonts w:hint="eastAsia" w:ascii="宋体" w:hAnsi="宋体" w:eastAsia="仿宋_GB2312" w:cs="仿宋_GB2312"/>
          <w:b w:val="0"/>
          <w:bCs w:val="0"/>
          <w:color w:val="auto"/>
          <w:kern w:val="2"/>
          <w:sz w:val="32"/>
          <w:szCs w:val="32"/>
          <w:lang w:val="zh-CN" w:eastAsia="zh-CN" w:bidi="ar-SA"/>
        </w:rPr>
        <w:t>共同发起或参与区块链国际、国家和行业标准修订工作，加快研制面向核心技术的基础性、关键性和安全类标准，</w:t>
      </w:r>
      <w:r>
        <w:rPr>
          <w:rFonts w:hint="eastAsia" w:ascii="宋体" w:hAnsi="宋体" w:eastAsia="仿宋_GB2312" w:cs="仿宋_GB2312"/>
          <w:b w:val="0"/>
          <w:bCs w:val="0"/>
          <w:color w:val="auto"/>
          <w:kern w:val="2"/>
          <w:sz w:val="32"/>
          <w:szCs w:val="32"/>
          <w:lang w:val="en-US" w:eastAsia="zh-CN" w:bidi="ar-SA"/>
        </w:rPr>
        <w:t>牢牢掌握行业话语权。设立区块链产业服务中心，制定区块链相关测评标准，开展区块链产品评测和认证。</w:t>
      </w:r>
    </w:p>
    <w:p>
      <w:pPr>
        <w:pStyle w:val="5"/>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86" w:name="_Toc19424"/>
      <w:r>
        <w:rPr>
          <w:rFonts w:hint="eastAsia" w:ascii="宋体" w:hAnsi="宋体"/>
          <w:b w:val="0"/>
          <w:bCs w:val="0"/>
          <w:color w:val="auto"/>
          <w:lang w:val="en-US" w:eastAsia="zh-CN"/>
        </w:rPr>
        <w:t>3.建立区块链生态监测平台</w:t>
      </w:r>
      <w:bookmarkEnd w:id="86"/>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重点监测全区区块链企业和项目安全动态，实现区块链行业的态势感知、运行监测、动态预警、风险评估及事后分析。开展区块链漏洞挖掘、安全测试、威胁预警、攻击检测、应急处置等安全技术攻关，加快漏洞库、风险库、案例集等共享资源建设，加强区块链网络安全检查、甄别和处置。</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center"/>
        <w:rPr>
          <w:rFonts w:hint="eastAsia" w:ascii="宋体" w:hAnsi="宋体" w:eastAsia="仿宋" w:cs="Arial"/>
          <w:b w:val="0"/>
          <w:bCs w:val="0"/>
          <w:snapToGrid w:val="0"/>
          <w:color w:val="auto"/>
          <w:kern w:val="0"/>
          <w:sz w:val="32"/>
          <w:szCs w:val="21"/>
          <w:lang w:val="en-US" w:eastAsia="zh-CN" w:bidi="ar-SA"/>
        </w:rPr>
      </w:pPr>
      <w:r>
        <w:rPr>
          <w:rFonts w:hint="eastAsia" w:ascii="宋体" w:hAnsi="宋体" w:eastAsia="仿宋" w:cs="Arial"/>
          <w:b w:val="0"/>
          <w:bCs w:val="0"/>
          <w:snapToGrid w:val="0"/>
          <w:color w:val="auto"/>
          <w:kern w:val="0"/>
          <w:sz w:val="32"/>
          <w:szCs w:val="21"/>
          <w:lang w:val="en-US" w:eastAsia="zh-CN" w:bidi="ar-SA"/>
        </w:rPr>
        <w:t>4.加快研究部署虚拟与现实交互平台</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center"/>
        <w:rPr>
          <w:rFonts w:hint="default"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发展人机交互技术，加快智能人机交互、虚拟数字人等核心技术攻关，开展XR（扩展现实）、脑机接口等更具沉浸式体验的终端技术研制，鼓励打造更加丰富多元内容场景新平台，培育虚拟演唱会、虚拟偶像、虚拟体育等数字娱乐消费新业态。加快虚拟现实生态布局，突破低时延快速渲染、虚拟仿真引擎等关键技术，发展软硬一体新型VR（虚拟现实）/AR（增强现实）、3D扫描等产品。打造行业标杆应用，在网络文娱、智能制造、数字内容、交通出行、在线教育、医疗健康等领域，打造具有影响力的元宇宙标杆示范应用。</w:t>
      </w:r>
    </w:p>
    <w:p>
      <w:pPr>
        <w:pStyle w:val="4"/>
        <w:pageBreakBefore w:val="0"/>
        <w:widowControl w:val="0"/>
        <w:kinsoku/>
        <w:wordWrap/>
        <w:overflowPunct/>
        <w:topLinePunct w:val="0"/>
        <w:autoSpaceDE/>
        <w:autoSpaceDN/>
        <w:bidi w:val="0"/>
        <w:adjustRightInd/>
        <w:snapToGrid/>
        <w:spacing w:line="560" w:lineRule="exact"/>
        <w:rPr>
          <w:rFonts w:hint="default" w:ascii="宋体" w:hAnsi="宋体" w:eastAsia="楷体_GB2312" w:cs="楷体_GB2312"/>
          <w:b w:val="0"/>
          <w:bCs w:val="0"/>
          <w:color w:val="auto"/>
          <w:lang w:val="en-US"/>
        </w:rPr>
      </w:pPr>
      <w:bookmarkStart w:id="87" w:name="_Toc8038"/>
      <w:r>
        <w:rPr>
          <w:rFonts w:hint="eastAsia" w:ascii="宋体" w:hAnsi="宋体" w:eastAsia="楷体_GB2312" w:cs="楷体_GB2312"/>
          <w:b w:val="0"/>
          <w:bCs w:val="0"/>
          <w:color w:val="auto"/>
          <w:lang w:eastAsia="zh-CN"/>
        </w:rPr>
        <w:t>（</w:t>
      </w:r>
      <w:r>
        <w:rPr>
          <w:rFonts w:hint="eastAsia" w:ascii="宋体" w:hAnsi="宋体" w:eastAsia="楷体_GB2312" w:cs="楷体_GB2312"/>
          <w:b w:val="0"/>
          <w:bCs w:val="0"/>
          <w:color w:val="auto"/>
          <w:lang w:val="en-US" w:eastAsia="zh-CN"/>
        </w:rPr>
        <w:t>二</w:t>
      </w:r>
      <w:r>
        <w:rPr>
          <w:rFonts w:hint="eastAsia" w:ascii="宋体" w:hAnsi="宋体" w:eastAsia="楷体_GB2312" w:cs="楷体_GB2312"/>
          <w:b w:val="0"/>
          <w:bCs w:val="0"/>
          <w:color w:val="auto"/>
          <w:lang w:eastAsia="zh-CN"/>
        </w:rPr>
        <w:t>）</w:t>
      </w:r>
      <w:r>
        <w:rPr>
          <w:rFonts w:hint="eastAsia" w:ascii="宋体" w:hAnsi="宋体" w:eastAsia="楷体_GB2312" w:cs="楷体_GB2312"/>
          <w:b w:val="0"/>
          <w:bCs w:val="0"/>
          <w:color w:val="auto"/>
          <w:lang w:val="en-US" w:eastAsia="zh-CN"/>
        </w:rPr>
        <w:t>推动技术创新</w:t>
      </w:r>
      <w:bookmarkEnd w:id="87"/>
    </w:p>
    <w:p>
      <w:pPr>
        <w:pStyle w:val="5"/>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88" w:name="_Toc18324"/>
      <w:r>
        <w:rPr>
          <w:rFonts w:hint="eastAsia" w:ascii="宋体" w:hAnsi="宋体"/>
          <w:b w:val="0"/>
          <w:bCs w:val="0"/>
          <w:color w:val="auto"/>
          <w:lang w:val="en-US" w:eastAsia="zh-CN"/>
        </w:rPr>
        <w:t>1.加快底层技术攻关</w:t>
      </w:r>
      <w:bookmarkEnd w:id="88"/>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89" w:name="_Toc80778547"/>
      <w:bookmarkEnd w:id="89"/>
      <w:bookmarkStart w:id="90" w:name="_Toc84832345"/>
      <w:bookmarkEnd w:id="90"/>
      <w:bookmarkStart w:id="91" w:name="_Toc31554"/>
      <w:bookmarkEnd w:id="91"/>
      <w:r>
        <w:rPr>
          <w:rFonts w:hint="eastAsia" w:ascii="宋体" w:hAnsi="宋体" w:eastAsia="仿宋_GB2312" w:cs="仿宋_GB2312"/>
          <w:b w:val="0"/>
          <w:bCs w:val="0"/>
          <w:color w:val="auto"/>
          <w:kern w:val="2"/>
          <w:sz w:val="32"/>
          <w:szCs w:val="32"/>
          <w:lang w:val="en-US" w:eastAsia="zh-CN" w:bidi="ar-SA"/>
        </w:rPr>
        <w:t>推进区块链“强核”工程，基于已揭牌建设的中国区块链智库、赣州区块链研究院、清华校友总会博士后校友分会IT专委会科技实验基地、区块链服务网络（BSN）江西节点、江西省区块链产业联盟等创新平台，依托赣州区块链技术产业园，支撑关键核心技术研究和底层技术研发，探索面向行业和产业的区块链应用技术体系。加强加密签名算法、高性能新型共识机制、智能合约、P2P组网结构、分布式系统与存储、分片技术、跨链技术等研究，培育高价值专利。加强加密技术、交易追溯技术、账户聚类技术、网络层恶意节点检测、零知识证明等区块链安全技术研究。</w:t>
      </w:r>
    </w:p>
    <w:p>
      <w:pPr>
        <w:pStyle w:val="5"/>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92" w:name="_Toc20927"/>
      <w:r>
        <w:rPr>
          <w:rFonts w:hint="eastAsia" w:ascii="宋体" w:hAnsi="宋体"/>
          <w:b w:val="0"/>
          <w:bCs w:val="0"/>
          <w:color w:val="auto"/>
          <w:lang w:val="en-US" w:eastAsia="zh-CN"/>
        </w:rPr>
        <w:t>2.加强技术融合</w:t>
      </w:r>
      <w:bookmarkEnd w:id="85"/>
      <w:r>
        <w:rPr>
          <w:rFonts w:hint="eastAsia" w:ascii="宋体" w:hAnsi="宋体"/>
          <w:b w:val="0"/>
          <w:bCs w:val="0"/>
          <w:color w:val="auto"/>
          <w:lang w:val="en-US" w:eastAsia="zh-CN"/>
        </w:rPr>
        <w:t>创新</w:t>
      </w:r>
      <w:bookmarkEnd w:id="92"/>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推进区块链与新技术“融合”工程，以区块链业务场景和多元化需求为导向，加速区块链与新一代信息技术深度交叉融合，建设先进的区块链技术体系。重点探索区块链与5G、人工智能、大数据、云计算、物联网、工业互联网等技术融通发展，推动集成创新与融合应用，发挥区块链在创新网络体系、优化智能应用、推动数据整合、打造可信共享、加速价值转化、提高运营效率等方面的作用。</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93" w:name="_Toc10276"/>
      <w:bookmarkEnd w:id="93"/>
      <w:bookmarkStart w:id="94" w:name="_Toc84832347"/>
      <w:bookmarkEnd w:id="94"/>
      <w:bookmarkStart w:id="95" w:name="_Toc80778549"/>
      <w:bookmarkEnd w:id="95"/>
      <w:bookmarkStart w:id="96" w:name="_Toc88830213"/>
      <w:r>
        <w:rPr>
          <w:rFonts w:hint="eastAsia" w:ascii="宋体" w:hAnsi="宋体" w:eastAsia="仿宋_GB2312" w:cs="仿宋_GB2312"/>
          <w:b w:val="0"/>
          <w:bCs w:val="0"/>
          <w:color w:val="auto"/>
          <w:kern w:val="2"/>
          <w:sz w:val="32"/>
          <w:szCs w:val="32"/>
          <w:lang w:val="en-US" w:eastAsia="zh-CN" w:bidi="ar-SA"/>
        </w:rPr>
        <w:t>区块链+5G。发展区块链在5G通信网络系统中身份认证管理、地址管理、标识管理、设备管理、频谱资源共享等应用，推动信息网络向价值网络转变。打造以区块链为底层协议的全新网络信息空间架构，利用移动通信技术链网积极搭建供应链、产业链、产融链对接的数字化平台，实现业务、人力、生产资源的精准配置和灵活调度。</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区块链+人工智能。发展人工智能技术在区块链自治化、效率化、节能化以及智能化等方向的应用，优化共识算法、均衡节点负载、强化风险识别。发挥区块链信息共享、信息安全、信任机制、协作机制等优势，推动人工智能技术由个体智能向群体智能演变。</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区块链+大数据。发展基于区块链的数据确权、数据资产、数据服务等技术与应用，保护数据主体权益，推动数据整合，加速数据共享和流通。构建基于区块链技术的可信任大数据架构，实现对数据溯源、流转、治理与安全保障。</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区块链+云计算。发展区块链即服务（BaaS）平台，以云计算为基础，配合区块链网络创建、管理、运行、维护组件，实现应用快捷部署和平台可视化管理，降低区块链应用开发部署成本。发展跨链跨云部署的区块链自动化框架服务，降低用户接入门槛，打造多链多云BaaS服务平台。</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区块链+物联网。利用区块链技术实现物联网设备扩展，构建高效、安全的分布式物联网网络，解决数据管理、信任、安全和隐私问题，推进物联网向更灵活、更智能的高级形态演进。</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97" w:name="_Toc26310"/>
      <w:bookmarkEnd w:id="97"/>
      <w:bookmarkStart w:id="98" w:name="_Toc84832346"/>
      <w:bookmarkEnd w:id="98"/>
      <w:bookmarkStart w:id="99" w:name="_Toc80778548"/>
      <w:bookmarkEnd w:id="99"/>
      <w:r>
        <w:rPr>
          <w:rFonts w:hint="eastAsia" w:ascii="宋体" w:hAnsi="宋体" w:eastAsia="仿宋_GB2312" w:cs="仿宋_GB2312"/>
          <w:b w:val="0"/>
          <w:bCs w:val="0"/>
          <w:color w:val="auto"/>
          <w:kern w:val="2"/>
          <w:sz w:val="32"/>
          <w:szCs w:val="32"/>
          <w:lang w:val="en-US" w:eastAsia="zh-CN" w:bidi="ar-SA"/>
        </w:rPr>
        <w:t>区块链+工业互联网。发展区块链在标识解析、生产流程管理、产业链协同等领域的应用技术，提升工业互联网数据要素的配置管理手段。打造基于区块链技术的工业互联网标识解析平台，通过接入国家二级节点，实现对整个标识解析体系的互联互通与价值共享。</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区块链+隐私技术。发展隐私计算技术，保障数据从产生、感知、发布、传播到存储、处理、使用、销毁等全生命周期过程中的隐私性，弥补区块链技术的隐私保护能力，实现数据的“可用不可见”。既能防止数据泄露，又能够保障用户隐私的安全，有利于进一步打破数据孤岛效应，推动更大范围内的多方数据协作。</w:t>
      </w:r>
    </w:p>
    <w:p>
      <w:pPr>
        <w:pStyle w:val="4"/>
        <w:pageBreakBefore w:val="0"/>
        <w:widowControl w:val="0"/>
        <w:kinsoku/>
        <w:wordWrap/>
        <w:overflowPunct/>
        <w:topLinePunct w:val="0"/>
        <w:autoSpaceDE/>
        <w:autoSpaceDN/>
        <w:bidi w:val="0"/>
        <w:adjustRightInd/>
        <w:snapToGrid/>
        <w:spacing w:line="560" w:lineRule="exact"/>
        <w:rPr>
          <w:rFonts w:hint="default" w:ascii="宋体" w:hAnsi="宋体" w:eastAsia="楷体_GB2312" w:cs="楷体_GB2312"/>
          <w:b w:val="0"/>
          <w:bCs w:val="0"/>
          <w:color w:val="auto"/>
          <w:lang w:val="en-US" w:eastAsia="zh-CN"/>
        </w:rPr>
      </w:pPr>
      <w:bookmarkStart w:id="100" w:name="_Toc10827"/>
      <w:r>
        <w:rPr>
          <w:rFonts w:hint="eastAsia" w:ascii="宋体" w:hAnsi="宋体" w:eastAsia="楷体_GB2312" w:cs="楷体_GB2312"/>
          <w:b w:val="0"/>
          <w:bCs w:val="0"/>
          <w:color w:val="auto"/>
          <w:lang w:eastAsia="zh-CN"/>
        </w:rPr>
        <w:t>（</w:t>
      </w:r>
      <w:r>
        <w:rPr>
          <w:rFonts w:hint="eastAsia" w:ascii="宋体" w:hAnsi="宋体" w:eastAsia="楷体_GB2312" w:cs="楷体_GB2312"/>
          <w:b w:val="0"/>
          <w:bCs w:val="0"/>
          <w:color w:val="auto"/>
          <w:lang w:val="en-US" w:eastAsia="zh-CN"/>
        </w:rPr>
        <w:t>三</w:t>
      </w:r>
      <w:r>
        <w:rPr>
          <w:rFonts w:hint="eastAsia" w:ascii="宋体" w:hAnsi="宋体" w:eastAsia="楷体_GB2312" w:cs="楷体_GB2312"/>
          <w:b w:val="0"/>
          <w:bCs w:val="0"/>
          <w:color w:val="auto"/>
          <w:lang w:eastAsia="zh-CN"/>
        </w:rPr>
        <w:t>）</w:t>
      </w:r>
      <w:bookmarkEnd w:id="96"/>
      <w:r>
        <w:rPr>
          <w:rFonts w:hint="eastAsia" w:ascii="宋体" w:hAnsi="宋体" w:eastAsia="楷体_GB2312" w:cs="楷体_GB2312"/>
          <w:b w:val="0"/>
          <w:bCs w:val="0"/>
          <w:color w:val="auto"/>
          <w:lang w:val="en-US" w:eastAsia="zh-CN"/>
        </w:rPr>
        <w:t>推广产业应用</w:t>
      </w:r>
      <w:bookmarkEnd w:id="100"/>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101" w:name="_Toc26169"/>
      <w:bookmarkEnd w:id="101"/>
      <w:bookmarkStart w:id="102" w:name="_Toc84832348"/>
      <w:bookmarkEnd w:id="102"/>
      <w:bookmarkStart w:id="103" w:name="_Toc80778550"/>
      <w:bookmarkEnd w:id="103"/>
      <w:bookmarkStart w:id="104" w:name="_Toc88830214"/>
      <w:r>
        <w:rPr>
          <w:rFonts w:hint="eastAsia" w:ascii="宋体" w:hAnsi="宋体" w:eastAsia="仿宋_GB2312" w:cs="仿宋_GB2312"/>
          <w:b w:val="0"/>
          <w:bCs w:val="0"/>
          <w:color w:val="auto"/>
          <w:kern w:val="2"/>
          <w:sz w:val="32"/>
          <w:szCs w:val="32"/>
          <w:lang w:val="en-US" w:eastAsia="zh-CN" w:bidi="ar-SA"/>
        </w:rPr>
        <w:t>大力发展区块链产业，推进区块链与一二三产业融合发展。面向数字金融、智能制造、供应链管理、数字资产交易、数字政府等重点领域和重大需求，加快推动区块链与实体经济、政府治理、民生服务、新型智慧城市等领域的融合应用，在工业制造、农业管理、政务服务、金融服务等细分领域开展一批“区块链+”专项；采取政府组织、协会牵头、供应链各环节企业参与等方式，确保应用场景落地推广。同时，实施并完成赣州市国家区块链创新应用综合性试点任务书下达的各项区块链创新应用子项目及任务。</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1.区块链+赣州链。“赣州链”是区块链产业发展的基础，是区块链系统建设的基础性平台，是可信互联的数据网络，是互联互通的服务集合，是开放包容的应用生态。坚持实用、开放、合规、迭代的原则，整合现有区块链平台基础，包括区块链运行管理平台、区块链基础技术平台，区块链数据服务平台、区块链防伪溯源平台、区块链数字金融平台、区块链社交电商平台及区块链社会治理平台。加快推进“脐橙链、家具链、木材链、数字身份链、版权链、旅游链”等多条子链集成建设进度，引导各类商家入驻“赣州链”电商平台，推动跨境电商、旅游、电子、新能源汽车等消费领域和产品与“赣州链”对接，做优区块链服务经济。</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2.区块链+智慧城市。积极运用区块链技术推动智慧城市演进升级，提升智慧城市城市管理智能化、服务便利水平，全面提升我区城市治理能力现代化。积极探索区块链技术在政务服务领域的运用，建立基于区块链技术的政务数据共享开放平台和行政审批平台，优化业务流程，降低运营成本，提高协同效率，实现数据跨地域跨部门的分布式共享和集中使用，助推“最多跑一次”改革和良好营商环境构建，提升行政审批服务效率。</w:t>
      </w:r>
    </w:p>
    <w:bookmarkEnd w:id="104"/>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3.区块链+工业制造。加快区块链赋能新能源汽车、电子信息产业的工业互联网，针对跨厂区、跨行业、跨系统的工业互联网应用，加快推进区块链在标识解析、协同制造、供应链金融、边云协同等工业互联网领域的融合应用，推进工业互联网数据的确权、确责和交易，降低工业互联网各环节之间的交易和维护成本，加强互联互通，提高协同效率。</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105" w:name="_Toc88830218"/>
      <w:r>
        <w:rPr>
          <w:rFonts w:hint="eastAsia" w:ascii="宋体" w:hAnsi="宋体" w:eastAsia="仿宋_GB2312" w:cs="仿宋_GB2312"/>
          <w:b w:val="0"/>
          <w:bCs w:val="0"/>
          <w:color w:val="auto"/>
          <w:kern w:val="2"/>
          <w:sz w:val="32"/>
          <w:szCs w:val="32"/>
          <w:lang w:val="en-US" w:eastAsia="zh-CN" w:bidi="ar-SA"/>
        </w:rPr>
        <w:t>4.区块链+区域物流。利用区块链技术在数据存储、加密处理等方面的优势，为产业协同、海关通关、航运及货运追踪、报关结算等领域的信息安全、物品追踪溯源、便利检疫通关等提供有效解决路径，强化区块链在航运保险等金融业务中应用，解决船舶租赁融资等问题。利用区块链实时完整记录掌握产品物流信息，解决物流信息安全、溯源等问题，提高物流供应链效率。</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5.区块链+金融服务。集成释放江西省绿色金融改革创新试验区和赣州市创建普惠金融改革试验区等政策红利，依托赣州“四省九市中金融机构最多、种类最齐全、金融总量最大”的金融优势，积极推动区块链在跨境支付、票据管理、债券发行、数字资产等领域的应用，实现商品到货快速支付。尝试构建基于区块链、大数据、人工智能的信用评价体系，促进信用级别、履约活动、风险预测、违法失信行为等信息的共享与记录，完善个人信用画像，深化与各互联网平台的有机对接。通过区块链技术，提高产业资金利用率，降低费用成本，提高清算速度，保证安全性。基于区块链技术，加快推动供应链金融发展，利用区块链推动电子信息产业、新能源汽车产业的上下游供应链的电子合同存证、数字化确权、信息交叉验证、可信溯源等方式，实现供应链上货物流、信息流和资金流等统一，提高金融风控监管水平，赋能实体经济，打造国内区块链金融之城。</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default"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 xml:space="preserve">6.区块链+服务大厅。区块链服务大厅通过为既有服务加持区块链，或者基于区块链构建新的服务，实现教育、就业、养老、精准脱贫、乡村振兴、医疗健康、商品防伪、食品安全、公益慈善、社会救助、司法举证各种服务的可信链接、合规互通，为企业创造便捷高效、公平竞争、稳定透明的营商环境,在电子政务、企业服务、普惠金融、社会治理、智慧城市、供应链金融等方面提供专业服务。 </w:t>
      </w:r>
    </w:p>
    <w:p>
      <w:pPr>
        <w:pStyle w:val="4"/>
        <w:pageBreakBefore w:val="0"/>
        <w:widowControl w:val="0"/>
        <w:kinsoku/>
        <w:wordWrap/>
        <w:overflowPunct/>
        <w:topLinePunct w:val="0"/>
        <w:autoSpaceDE/>
        <w:autoSpaceDN/>
        <w:bidi w:val="0"/>
        <w:adjustRightInd/>
        <w:snapToGrid/>
        <w:spacing w:line="560" w:lineRule="exact"/>
        <w:rPr>
          <w:rFonts w:hint="default" w:ascii="宋体" w:hAnsi="宋体" w:eastAsia="楷体_GB2312" w:cs="楷体_GB2312"/>
          <w:b w:val="0"/>
          <w:bCs w:val="0"/>
          <w:color w:val="auto"/>
          <w:lang w:val="en-US" w:eastAsia="zh-CN"/>
        </w:rPr>
      </w:pPr>
      <w:bookmarkStart w:id="106" w:name="_Toc32238"/>
      <w:r>
        <w:rPr>
          <w:rFonts w:hint="eastAsia" w:ascii="宋体" w:hAnsi="宋体" w:eastAsia="楷体_GB2312" w:cs="楷体_GB2312"/>
          <w:b w:val="0"/>
          <w:bCs w:val="0"/>
          <w:color w:val="auto"/>
          <w:lang w:val="en-US" w:eastAsia="zh-CN"/>
        </w:rPr>
        <w:t>（四）培育产业生态</w:t>
      </w:r>
      <w:bookmarkEnd w:id="106"/>
    </w:p>
    <w:p>
      <w:pPr>
        <w:pStyle w:val="5"/>
        <w:pageBreakBefore w:val="0"/>
        <w:widowControl w:val="0"/>
        <w:kinsoku/>
        <w:wordWrap/>
        <w:overflowPunct/>
        <w:topLinePunct w:val="0"/>
        <w:autoSpaceDE/>
        <w:autoSpaceDN/>
        <w:bidi w:val="0"/>
        <w:adjustRightInd/>
        <w:snapToGrid/>
        <w:spacing w:line="560" w:lineRule="exact"/>
        <w:rPr>
          <w:rFonts w:hint="default" w:ascii="宋体" w:hAnsi="宋体"/>
          <w:b w:val="0"/>
          <w:bCs w:val="0"/>
          <w:color w:val="auto"/>
          <w:lang w:val="en-US" w:eastAsia="zh-CN"/>
        </w:rPr>
      </w:pPr>
      <w:bookmarkStart w:id="107" w:name="_Toc25570"/>
      <w:r>
        <w:rPr>
          <w:rFonts w:hint="eastAsia" w:ascii="宋体" w:hAnsi="宋体"/>
          <w:b w:val="0"/>
          <w:bCs w:val="0"/>
          <w:color w:val="auto"/>
          <w:lang w:val="en-US" w:eastAsia="zh-CN"/>
        </w:rPr>
        <w:t>1.推进品牌产品</w:t>
      </w:r>
      <w:bookmarkEnd w:id="105"/>
      <w:r>
        <w:rPr>
          <w:rFonts w:hint="eastAsia" w:ascii="宋体" w:hAnsi="宋体"/>
          <w:b w:val="0"/>
          <w:bCs w:val="0"/>
          <w:color w:val="auto"/>
          <w:lang w:val="en-US" w:eastAsia="zh-CN"/>
        </w:rPr>
        <w:t>建设</w:t>
      </w:r>
      <w:bookmarkEnd w:id="107"/>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整合产学研用多方力量，融合新一代信息技术，开展区块链创新应用研究，突破一批具有独立知识产权的创新产品。面向经济社会转型需求，持续优化区块链底层技术平台和行业应用平台，打造一批市场知名度高、产品竞争力强的品牌产品。围绕重点领域，在供应链管理、数据共享、产品溯源、跨链互通、安全隐私、社会治理等场景，建设一批市场空间大、带动能力强的行业赋能产品。依托区块链安全技术检测中心开展区块链测试认证研究，形成一批行业价值高的本地特色产品。</w:t>
      </w:r>
    </w:p>
    <w:p>
      <w:pPr>
        <w:pStyle w:val="5"/>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108" w:name="_Toc80778555"/>
      <w:bookmarkEnd w:id="108"/>
      <w:bookmarkStart w:id="109" w:name="_Toc31861"/>
      <w:bookmarkEnd w:id="109"/>
      <w:bookmarkStart w:id="110" w:name="_Toc84832353"/>
      <w:bookmarkEnd w:id="110"/>
      <w:bookmarkStart w:id="111" w:name="_Toc88830219"/>
      <w:bookmarkStart w:id="112" w:name="_Toc25950"/>
      <w:r>
        <w:rPr>
          <w:rFonts w:hint="eastAsia" w:ascii="宋体" w:hAnsi="宋体"/>
          <w:b w:val="0"/>
          <w:bCs w:val="0"/>
          <w:color w:val="auto"/>
          <w:lang w:val="en-US" w:eastAsia="zh-CN"/>
        </w:rPr>
        <w:t>2.构建区块链企业梯队</w:t>
      </w:r>
      <w:bookmarkEnd w:id="111"/>
      <w:bookmarkEnd w:id="112"/>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强化金融、税收和用地等政策支持，引进和培育一批品牌影响力大、市场竞争力强、产业附加值高的区块链领军企业；加大应用场景开放支持力度，在细分行业领域打造一批区块链领军企业；加大资金支持、政策扶持，引导和帮扶一批科技型中小企业、潜力明显和成长迅速的小微企业；营造创新创业氛围，落实公共服务保障，遴选和培育一批区块链优质企业和项目。</w:t>
      </w:r>
    </w:p>
    <w:p>
      <w:pPr>
        <w:pStyle w:val="5"/>
        <w:pageBreakBefore w:val="0"/>
        <w:widowControl w:val="0"/>
        <w:kinsoku/>
        <w:wordWrap/>
        <w:overflowPunct/>
        <w:topLinePunct w:val="0"/>
        <w:autoSpaceDE/>
        <w:autoSpaceDN/>
        <w:bidi w:val="0"/>
        <w:adjustRightInd/>
        <w:snapToGrid/>
        <w:spacing w:line="560" w:lineRule="exact"/>
        <w:rPr>
          <w:rFonts w:hint="eastAsia" w:ascii="宋体" w:hAnsi="宋体"/>
          <w:b w:val="0"/>
          <w:bCs w:val="0"/>
          <w:color w:val="auto"/>
          <w:lang w:val="en-US" w:eastAsia="zh-CN"/>
        </w:rPr>
      </w:pPr>
      <w:bookmarkStart w:id="113" w:name="_Toc80778556"/>
      <w:bookmarkEnd w:id="113"/>
      <w:bookmarkStart w:id="114" w:name="_Toc84832354"/>
      <w:bookmarkEnd w:id="114"/>
      <w:bookmarkStart w:id="115" w:name="_Toc7079"/>
      <w:bookmarkEnd w:id="115"/>
      <w:bookmarkStart w:id="116" w:name="_Toc1293"/>
      <w:bookmarkStart w:id="117" w:name="_Toc88830220"/>
      <w:r>
        <w:rPr>
          <w:rFonts w:hint="eastAsia" w:ascii="宋体" w:hAnsi="宋体"/>
          <w:b w:val="0"/>
          <w:bCs w:val="0"/>
          <w:color w:val="auto"/>
          <w:lang w:val="en-US" w:eastAsia="zh-CN"/>
        </w:rPr>
        <w:t>3.打造国内知名产业园</w:t>
      </w:r>
      <w:bookmarkEnd w:id="116"/>
      <w:bookmarkEnd w:id="117"/>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依托赣州市地理区位优势、高校人才资源、制造业基础和软件信息产业基础，通过优化政策、人才、应用等产业要素配置，营造产业园良好发展环境，吸引区块链上下游企业入驻，着力打造特色鲜明、优势突出的区块链特色产业集聚区。以经开区为载体，进一步整合资源、凝聚力量、放大优势，推动产业园建设成为全国一流的以区块链技术为特色的综合性数字经济产业示范区。积极探索包容审慎的“监管沙盒”模式，开放市场准入环境，提供应用场景，建立适当的容错和监管机制，推进试点项目建设应用，树立国际化区块链产业先导区新名片。</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center"/>
        <w:rPr>
          <w:rFonts w:hint="eastAsia" w:ascii="宋体" w:hAnsi="宋体" w:eastAsia="仿宋" w:cs="Arial"/>
          <w:b w:val="0"/>
          <w:bCs w:val="0"/>
          <w:snapToGrid w:val="0"/>
          <w:color w:val="auto"/>
          <w:kern w:val="0"/>
          <w:sz w:val="32"/>
          <w:szCs w:val="21"/>
          <w:lang w:val="en-US" w:eastAsia="zh-CN" w:bidi="ar-SA"/>
        </w:rPr>
      </w:pPr>
      <w:r>
        <w:rPr>
          <w:rFonts w:hint="eastAsia" w:ascii="宋体" w:hAnsi="宋体" w:eastAsia="仿宋" w:cs="Arial"/>
          <w:b w:val="0"/>
          <w:bCs w:val="0"/>
          <w:snapToGrid w:val="0"/>
          <w:color w:val="auto"/>
          <w:kern w:val="0"/>
          <w:sz w:val="32"/>
          <w:szCs w:val="21"/>
          <w:lang w:val="en-US" w:eastAsia="zh-CN" w:bidi="ar-SA"/>
        </w:rPr>
        <w:t>4.推动数字资产可信交易</w:t>
      </w:r>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center"/>
        <w:rPr>
          <w:rFonts w:hint="eastAsia" w:ascii="宋体" w:hAnsi="宋体" w:eastAsia="仿宋_GB2312" w:cs="仿宋_GB2312"/>
          <w:b w:val="0"/>
          <w:bCs w:val="0"/>
          <w:color w:val="auto"/>
          <w:kern w:val="2"/>
          <w:sz w:val="32"/>
          <w:szCs w:val="32"/>
          <w:lang w:val="en-US" w:eastAsia="zh-CN" w:bidi="ar-SA"/>
        </w:rPr>
      </w:pPr>
      <w:r>
        <w:rPr>
          <w:rFonts w:hint="eastAsia" w:ascii="宋体" w:hAnsi="宋体" w:eastAsia="仿宋_GB2312" w:cs="仿宋_GB2312"/>
          <w:b w:val="0"/>
          <w:bCs w:val="0"/>
          <w:color w:val="auto"/>
          <w:kern w:val="2"/>
          <w:sz w:val="32"/>
          <w:szCs w:val="32"/>
          <w:lang w:val="en-US" w:eastAsia="zh-CN" w:bidi="ar-SA"/>
        </w:rPr>
        <w:t>支持推进基于区块链、电子身份确权认证等技术的可信交易。运用共识算法实现信任和交易确权，重点发展智能合约管理与运营平台。发展区块链商业模式，着力发展区块链开源平台、数字藏品等商业模式，加速探索虚拟数字资产、艺术品、知识产权、游戏等领域的数字化转型与数字科技应用。支持组建跨机构和行业的区块链联盟，研究制定重点领域区块链行业标准和协议框架。</w:t>
      </w:r>
      <w:bookmarkStart w:id="118" w:name="_Toc84832355"/>
      <w:bookmarkEnd w:id="118"/>
      <w:bookmarkStart w:id="119" w:name="_Toc80778557"/>
      <w:bookmarkEnd w:id="119"/>
      <w:bookmarkStart w:id="120" w:name="_Toc5775"/>
      <w:bookmarkEnd w:id="120"/>
      <w:bookmarkStart w:id="121" w:name="_Toc88830225"/>
      <w:bookmarkStart w:id="122" w:name="_Toc16138"/>
    </w:p>
    <w:p>
      <w:pPr>
        <w:pStyle w:val="1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center"/>
        <w:rPr>
          <w:rFonts w:hint="eastAsia" w:ascii="宋体" w:hAnsi="宋体" w:eastAsia="黑体" w:cstheme="minorBidi"/>
          <w:b w:val="0"/>
          <w:bCs w:val="0"/>
          <w:color w:val="auto"/>
          <w:kern w:val="44"/>
          <w:sz w:val="32"/>
          <w:szCs w:val="44"/>
          <w:lang w:val="en-US" w:eastAsia="zh-CN" w:bidi="ar-SA"/>
        </w:rPr>
      </w:pPr>
      <w:r>
        <w:rPr>
          <w:rFonts w:hint="eastAsia" w:ascii="宋体" w:hAnsi="宋体" w:eastAsia="黑体" w:cstheme="minorBidi"/>
          <w:b w:val="0"/>
          <w:bCs w:val="0"/>
          <w:color w:val="auto"/>
          <w:kern w:val="44"/>
          <w:sz w:val="32"/>
          <w:szCs w:val="44"/>
          <w:lang w:val="en-US" w:eastAsia="zh-CN" w:bidi="ar-SA"/>
        </w:rPr>
        <w:t>七、</w:t>
      </w:r>
      <w:bookmarkEnd w:id="121"/>
      <w:r>
        <w:rPr>
          <w:rFonts w:hint="eastAsia" w:ascii="宋体" w:hAnsi="宋体" w:eastAsia="黑体" w:cstheme="minorBidi"/>
          <w:b w:val="0"/>
          <w:bCs w:val="0"/>
          <w:color w:val="auto"/>
          <w:kern w:val="44"/>
          <w:sz w:val="32"/>
          <w:szCs w:val="44"/>
          <w:lang w:val="en-US" w:eastAsia="zh-CN" w:bidi="ar-SA"/>
        </w:rPr>
        <w:t>保障措施</w:t>
      </w:r>
      <w:bookmarkEnd w:id="122"/>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default" w:ascii="宋体" w:hAnsi="宋体" w:eastAsia="仿宋_GB2312" w:cs="仿宋_GB2312"/>
          <w:b w:val="0"/>
          <w:bCs w:val="0"/>
          <w:color w:val="auto"/>
          <w:kern w:val="2"/>
          <w:sz w:val="32"/>
          <w:szCs w:val="32"/>
          <w:lang w:val="en-US" w:eastAsia="zh-CN" w:bidi="ar-SA"/>
        </w:rPr>
      </w:pPr>
      <w:bookmarkStart w:id="123" w:name="_Toc16305"/>
      <w:bookmarkEnd w:id="123"/>
      <w:bookmarkStart w:id="124" w:name="_Toc84832360"/>
      <w:bookmarkEnd w:id="124"/>
      <w:bookmarkStart w:id="125" w:name="_Toc80778562"/>
      <w:bookmarkEnd w:id="125"/>
      <w:bookmarkStart w:id="126" w:name="_Toc30122"/>
      <w:r>
        <w:rPr>
          <w:rFonts w:hint="eastAsia" w:ascii="宋体" w:hAnsi="宋体" w:eastAsia="楷体_GB2312" w:cs="楷体_GB2312"/>
          <w:b w:val="0"/>
          <w:bCs w:val="0"/>
          <w:color w:val="auto"/>
          <w:kern w:val="0"/>
          <w:sz w:val="32"/>
          <w:szCs w:val="36"/>
          <w:lang w:val="en-US" w:eastAsia="zh-CN" w:bidi="ar"/>
        </w:rPr>
        <w:t>（一）强化工作统筹协调</w:t>
      </w:r>
      <w:bookmarkEnd w:id="126"/>
      <w:r>
        <w:rPr>
          <w:rFonts w:hint="eastAsia" w:ascii="宋体" w:hAnsi="宋体" w:eastAsia="楷体_GB2312" w:cs="楷体_GB2312"/>
          <w:b w:val="0"/>
          <w:bCs w:val="0"/>
          <w:color w:val="auto"/>
          <w:kern w:val="0"/>
          <w:sz w:val="32"/>
          <w:szCs w:val="36"/>
          <w:lang w:val="en-US" w:eastAsia="zh-CN" w:bidi="ar"/>
        </w:rPr>
        <w:t>。</w:t>
      </w:r>
      <w:r>
        <w:rPr>
          <w:rFonts w:hint="eastAsia" w:ascii="宋体" w:hAnsi="宋体" w:eastAsia="仿宋_GB2312" w:cs="仿宋_GB2312"/>
          <w:b w:val="0"/>
          <w:bCs w:val="0"/>
          <w:color w:val="auto"/>
          <w:kern w:val="2"/>
          <w:sz w:val="32"/>
          <w:szCs w:val="32"/>
          <w:lang w:val="en-US" w:eastAsia="zh-CN" w:bidi="ar-SA"/>
        </w:rPr>
        <w:t>在经开区数字经济和数字化转型领导小组统一领导下，加强组织领导，成立试点工作组，强化部门协同和上下联动，完善区级区块链发展管理统筹协调机制，建立健全政府、企业、行业组织、智库等共同参与的工作协同推进机制，加强在核心技术攻关突破、标准制订、产业生态构建等方面的协调配合。各责任单位制定任务细化落实方案，明确时间进度，确保目标完成和任务落地。</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default" w:ascii="宋体" w:hAnsi="宋体" w:eastAsia="仿宋_GB2312" w:cs="仿宋_GB2312"/>
          <w:b w:val="0"/>
          <w:bCs w:val="0"/>
          <w:color w:val="auto"/>
          <w:kern w:val="2"/>
          <w:sz w:val="32"/>
          <w:szCs w:val="32"/>
          <w:lang w:val="en-US" w:eastAsia="zh-CN" w:bidi="ar-SA"/>
        </w:rPr>
      </w:pPr>
      <w:bookmarkStart w:id="127" w:name="_Toc21746"/>
      <w:r>
        <w:rPr>
          <w:rFonts w:hint="eastAsia" w:ascii="宋体" w:hAnsi="宋体" w:eastAsia="楷体_GB2312" w:cs="楷体_GB2312"/>
          <w:b w:val="0"/>
          <w:bCs w:val="0"/>
          <w:color w:val="auto"/>
          <w:kern w:val="0"/>
          <w:sz w:val="32"/>
          <w:szCs w:val="36"/>
          <w:lang w:val="en-US" w:eastAsia="zh-CN" w:bidi="ar"/>
        </w:rPr>
        <w:t>（二）强化人才队伍建设</w:t>
      </w:r>
      <w:bookmarkEnd w:id="127"/>
      <w:r>
        <w:rPr>
          <w:rFonts w:hint="eastAsia" w:ascii="宋体" w:hAnsi="宋体" w:eastAsia="楷体_GB2312" w:cs="楷体_GB2312"/>
          <w:b w:val="0"/>
          <w:bCs w:val="0"/>
          <w:color w:val="auto"/>
          <w:kern w:val="0"/>
          <w:sz w:val="32"/>
          <w:szCs w:val="36"/>
          <w:lang w:val="en-US" w:eastAsia="zh-CN" w:bidi="ar"/>
        </w:rPr>
        <w:t>。</w:t>
      </w:r>
      <w:r>
        <w:rPr>
          <w:rFonts w:hint="eastAsia" w:ascii="宋体" w:hAnsi="宋体" w:eastAsia="仿宋_GB2312" w:cs="仿宋_GB2312"/>
          <w:b w:val="0"/>
          <w:bCs w:val="0"/>
          <w:color w:val="auto"/>
          <w:kern w:val="2"/>
          <w:sz w:val="32"/>
          <w:szCs w:val="32"/>
          <w:lang w:val="en-US" w:eastAsia="zh-CN" w:bidi="ar-SA"/>
        </w:rPr>
        <w:t>构建全方位、全要素、全周期的人才服务生态，多措并举强化科创人才引育，着力打造3个以上的区块链人才培训中心，作为区块链产业人才培养的抓手、区块链人才培养基地，主导和参与制定区块链人才培训标准和体系、组织落实人才教育培训、开展区块链专业人才认定。</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default" w:ascii="宋体" w:hAnsi="宋体" w:eastAsia="仿宋_GB2312" w:cs="仿宋_GB2312"/>
          <w:b w:val="0"/>
          <w:bCs w:val="0"/>
          <w:color w:val="auto"/>
          <w:kern w:val="2"/>
          <w:sz w:val="32"/>
          <w:szCs w:val="32"/>
          <w:lang w:val="en-US" w:eastAsia="zh-CN" w:bidi="ar-SA"/>
        </w:rPr>
      </w:pPr>
      <w:bookmarkStart w:id="128" w:name="_Toc23247"/>
      <w:r>
        <w:rPr>
          <w:rFonts w:hint="eastAsia" w:ascii="宋体" w:hAnsi="宋体" w:eastAsia="楷体_GB2312" w:cs="楷体_GB2312"/>
          <w:b w:val="0"/>
          <w:bCs w:val="0"/>
          <w:color w:val="auto"/>
          <w:kern w:val="0"/>
          <w:sz w:val="32"/>
          <w:szCs w:val="36"/>
          <w:lang w:val="en-US" w:eastAsia="zh-CN" w:bidi="ar"/>
        </w:rPr>
        <w:t>（三）强化政策引导支持</w:t>
      </w:r>
      <w:bookmarkEnd w:id="128"/>
      <w:r>
        <w:rPr>
          <w:rFonts w:hint="eastAsia" w:ascii="宋体" w:hAnsi="宋体" w:eastAsia="楷体_GB2312" w:cs="楷体_GB2312"/>
          <w:b w:val="0"/>
          <w:bCs w:val="0"/>
          <w:color w:val="auto"/>
          <w:kern w:val="0"/>
          <w:sz w:val="32"/>
          <w:szCs w:val="36"/>
          <w:lang w:val="en-US" w:eastAsia="zh-CN" w:bidi="ar"/>
        </w:rPr>
        <w:t>。</w:t>
      </w:r>
      <w:r>
        <w:rPr>
          <w:rFonts w:hint="eastAsia" w:ascii="宋体" w:hAnsi="宋体" w:eastAsia="仿宋_GB2312" w:cs="仿宋_GB2312"/>
          <w:b w:val="0"/>
          <w:bCs w:val="0"/>
          <w:color w:val="auto"/>
          <w:kern w:val="2"/>
          <w:sz w:val="32"/>
          <w:szCs w:val="32"/>
          <w:lang w:val="en-US" w:eastAsia="zh-CN" w:bidi="ar-SA"/>
        </w:rPr>
        <w:t>区级层面出台推动区块链发展相关文件，从技术研发、标准定制、人才引进、应用扶持等方面，梳理专项扶持政策，支持全区区块链技术研发和产业发展。用好产业扶持资金，坚持外引和内育结合，培育一批有潜力的重点企业，引导区块链企业在赣州落地集聚、发展壮大。强化园区产业集聚功能和应用支撑功能，支持鼓励赣州区块链技术产业园争创省级区块链产业发展集聚区及国家级区块链产业发展集聚区。鼓励企业在赣州发起中央网信办区块链项目备案，鼓励园区主体申报和争创国家级和省级区块链产 业发展集聚区，鼓励企业和研究机构参与国家级和省级区块链标准制定。</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default" w:ascii="宋体" w:hAnsi="宋体" w:eastAsia="仿宋_GB2312" w:cs="仿宋_GB2312"/>
          <w:b w:val="0"/>
          <w:bCs w:val="0"/>
          <w:color w:val="auto"/>
          <w:kern w:val="2"/>
          <w:sz w:val="32"/>
          <w:szCs w:val="32"/>
          <w:lang w:val="en-US" w:eastAsia="zh-CN" w:bidi="ar-SA"/>
        </w:rPr>
      </w:pPr>
      <w:bookmarkStart w:id="129" w:name="_Toc5772"/>
      <w:r>
        <w:rPr>
          <w:rFonts w:hint="eastAsia" w:ascii="宋体" w:hAnsi="宋体" w:eastAsia="楷体_GB2312" w:cs="楷体_GB2312"/>
          <w:b w:val="0"/>
          <w:bCs w:val="0"/>
          <w:color w:val="auto"/>
          <w:kern w:val="0"/>
          <w:sz w:val="32"/>
          <w:szCs w:val="36"/>
          <w:lang w:val="en-US" w:eastAsia="zh-CN" w:bidi="ar"/>
        </w:rPr>
        <w:t>（四）强化安全监管举措</w:t>
      </w:r>
      <w:bookmarkEnd w:id="129"/>
      <w:r>
        <w:rPr>
          <w:rFonts w:hint="eastAsia" w:ascii="宋体" w:hAnsi="宋体" w:eastAsia="楷体_GB2312" w:cs="楷体_GB2312"/>
          <w:b w:val="0"/>
          <w:bCs w:val="0"/>
          <w:color w:val="auto"/>
          <w:kern w:val="0"/>
          <w:sz w:val="32"/>
          <w:szCs w:val="36"/>
          <w:lang w:val="en-US" w:eastAsia="zh-CN" w:bidi="ar"/>
        </w:rPr>
        <w:t>。</w:t>
      </w:r>
      <w:r>
        <w:rPr>
          <w:rFonts w:hint="eastAsia" w:ascii="宋体" w:hAnsi="宋体" w:eastAsia="仿宋_GB2312" w:cs="仿宋_GB2312"/>
          <w:b w:val="0"/>
          <w:bCs w:val="0"/>
          <w:color w:val="auto"/>
          <w:kern w:val="2"/>
          <w:sz w:val="32"/>
          <w:szCs w:val="32"/>
          <w:lang w:val="en-US" w:eastAsia="zh-CN" w:bidi="ar-SA"/>
        </w:rPr>
        <w:t>加大对区块链主体、平台、业务的安全监管力度，推动数据追溯、数据水印、数据加密、身份认证等技术发展，严格执行身份实名制认证、区块链地址映射绑定、私钥安全存储等措施，有效应对解决区块链匿名化、去中心化特性导致的网络安全攻击、数字货币犯罪、共享信息滥用等问题。建立区块链信息服务安全评估工作体系，提升区块链场景应用安全监测和防护能力。以推进省级区块链产业发展集聚区建设为契机，探索“监管沙盒”模式，建立容错机制和包容审慎的监管机制，营造宽松开放的市场准入环境和监管环境。</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bookmarkStart w:id="130" w:name="_Toc4612"/>
      <w:r>
        <w:rPr>
          <w:rFonts w:hint="eastAsia" w:ascii="宋体" w:hAnsi="宋体" w:eastAsia="楷体_GB2312" w:cs="楷体_GB2312"/>
          <w:b w:val="0"/>
          <w:bCs w:val="0"/>
          <w:color w:val="auto"/>
          <w:kern w:val="0"/>
          <w:sz w:val="32"/>
          <w:szCs w:val="36"/>
          <w:lang w:val="en-US" w:eastAsia="zh-CN" w:bidi="ar"/>
        </w:rPr>
        <w:t>（五）强化发展环境营造</w:t>
      </w:r>
      <w:bookmarkEnd w:id="130"/>
      <w:r>
        <w:rPr>
          <w:rFonts w:hint="eastAsia" w:ascii="宋体" w:hAnsi="宋体" w:eastAsia="楷体_GB2312" w:cs="楷体_GB2312"/>
          <w:b w:val="0"/>
          <w:bCs w:val="0"/>
          <w:color w:val="auto"/>
          <w:kern w:val="0"/>
          <w:sz w:val="32"/>
          <w:szCs w:val="36"/>
          <w:lang w:val="en-US" w:eastAsia="zh-CN" w:bidi="ar"/>
        </w:rPr>
        <w:t>。</w:t>
      </w:r>
      <w:r>
        <w:rPr>
          <w:rFonts w:hint="eastAsia" w:ascii="宋体" w:hAnsi="宋体" w:eastAsia="仿宋_GB2312" w:cs="仿宋_GB2312"/>
          <w:b w:val="0"/>
          <w:bCs w:val="0"/>
          <w:color w:val="auto"/>
          <w:kern w:val="2"/>
          <w:sz w:val="32"/>
          <w:szCs w:val="32"/>
          <w:lang w:val="en-US" w:eastAsia="zh-CN" w:bidi="ar-SA"/>
        </w:rPr>
        <w:t>支持高等院校、科研院所、社会组织等面向企业和社会公众普及区块链知识。鼓励依规申报、举办各级各类区块链赛事、资源供需对接会、行业大会、高峰论坛等活动。征集展示具有明显行业和区域特色的区块链示范项目，充分发挥典型示范和辐射带动作用。通过各类媒体大力宣传区块链应用成效，营造推动区块链应用发展的良好氛围。切实发挥好区块链产业联盟在促进产业发展、加强行业自律、加深政企沟通等方面的作用，开展区块链核心技术研究、产业协作和行业交流，促进区块链技术和实体产业相结合，通过技术赋能推动产业升级和转型。</w:t>
      </w: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sectPr>
          <w:footerReference r:id="rId4" w:type="default"/>
          <w:pgSz w:w="11906" w:h="16838"/>
          <w:pgMar w:top="2098" w:right="1587" w:bottom="2098" w:left="1587" w:header="851" w:footer="1701" w:gutter="0"/>
          <w:pgNumType w:fmt="decimal"/>
          <w:cols w:space="0" w:num="1"/>
          <w:rtlGutter w:val="0"/>
          <w:docGrid w:type="lines" w:linePitch="312" w:charSpace="0"/>
        </w:sectPr>
      </w:pPr>
    </w:p>
    <w:tbl>
      <w:tblPr>
        <w:tblStyle w:val="16"/>
        <w:tblpPr w:leftFromText="180" w:rightFromText="180" w:vertAnchor="text" w:horzAnchor="page" w:tblpX="1585" w:tblpY="12069"/>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946" w:type="dxa"/>
            <w:tcBorders>
              <w:left w:val="nil"/>
              <w:right w:val="nil"/>
            </w:tcBorders>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宋体" w:hAnsi="宋体" w:eastAsia="仿宋" w:cs="Tahoma"/>
                <w:b w:val="0"/>
                <w:bCs w:val="0"/>
                <w:snapToGrid/>
                <w:color w:val="auto"/>
                <w:kern w:val="0"/>
                <w:sz w:val="28"/>
                <w:szCs w:val="28"/>
              </w:rPr>
            </w:pPr>
            <w:r>
              <w:rPr>
                <w:rFonts w:hint="eastAsia" w:ascii="宋体" w:hAnsi="宋体" w:eastAsia="仿宋_GB2312" w:cs="Times New Roman"/>
                <w:b w:val="0"/>
                <w:bCs w:val="0"/>
                <w:snapToGrid/>
                <w:color w:val="auto"/>
                <w:spacing w:val="-10"/>
                <w:kern w:val="2"/>
                <w:sz w:val="28"/>
                <w:szCs w:val="28"/>
              </w:rPr>
              <w:t>赣州经济技术开发区党政办公室</w:t>
            </w:r>
            <w:r>
              <w:rPr>
                <w:rFonts w:ascii="宋体" w:hAnsi="宋体" w:eastAsia="仿宋_GB2312" w:cs="Arial"/>
                <w:b w:val="0"/>
                <w:bCs w:val="0"/>
                <w:snapToGrid/>
                <w:color w:val="auto"/>
                <w:kern w:val="2"/>
                <w:sz w:val="28"/>
                <w:szCs w:val="28"/>
              </w:rPr>
              <w:t xml:space="preserve">    </w:t>
            </w:r>
            <w:r>
              <w:rPr>
                <w:rFonts w:hint="eastAsia" w:ascii="宋体" w:hAnsi="宋体" w:eastAsia="仿宋_GB2312" w:cs="Arial"/>
                <w:b w:val="0"/>
                <w:bCs w:val="0"/>
                <w:snapToGrid/>
                <w:color w:val="auto"/>
                <w:kern w:val="2"/>
                <w:sz w:val="28"/>
                <w:szCs w:val="28"/>
              </w:rPr>
              <w:t xml:space="preserve">  </w:t>
            </w:r>
            <w:r>
              <w:rPr>
                <w:rFonts w:hint="eastAsia" w:ascii="宋体" w:hAnsi="宋体" w:eastAsia="仿宋_GB2312" w:cs="Arial"/>
                <w:b w:val="0"/>
                <w:bCs w:val="0"/>
                <w:snapToGrid/>
                <w:color w:val="auto"/>
                <w:kern w:val="2"/>
                <w:sz w:val="28"/>
                <w:szCs w:val="28"/>
                <w:lang w:val="en-US" w:eastAsia="zh-CN"/>
              </w:rPr>
              <w:t xml:space="preserve"> </w:t>
            </w:r>
            <w:r>
              <w:rPr>
                <w:rFonts w:hint="eastAsia" w:ascii="宋体" w:hAnsi="宋体" w:eastAsia="仿宋_GB2312" w:cs="Arial"/>
                <w:b w:val="0"/>
                <w:bCs w:val="0"/>
                <w:snapToGrid/>
                <w:color w:val="auto"/>
                <w:kern w:val="2"/>
                <w:sz w:val="28"/>
                <w:szCs w:val="28"/>
              </w:rPr>
              <w:t xml:space="preserve">     </w:t>
            </w:r>
            <w:r>
              <w:rPr>
                <w:rFonts w:hint="eastAsia" w:ascii="宋体" w:hAnsi="宋体" w:eastAsia="仿宋_GB2312" w:cs="Arial"/>
                <w:b w:val="0"/>
                <w:bCs w:val="0"/>
                <w:snapToGrid/>
                <w:color w:val="auto"/>
                <w:kern w:val="2"/>
                <w:sz w:val="28"/>
                <w:szCs w:val="28"/>
                <w:lang w:val="en-US" w:eastAsia="zh-CN"/>
              </w:rPr>
              <w:t xml:space="preserve">  </w:t>
            </w:r>
            <w:r>
              <w:rPr>
                <w:rFonts w:hint="eastAsia" w:ascii="宋体" w:hAnsi="宋体" w:eastAsia="仿宋_GB2312" w:cs="Arial"/>
                <w:b w:val="0"/>
                <w:bCs w:val="0"/>
                <w:snapToGrid/>
                <w:color w:val="auto"/>
                <w:kern w:val="2"/>
                <w:sz w:val="28"/>
                <w:szCs w:val="28"/>
              </w:rPr>
              <w:t xml:space="preserve"> </w:t>
            </w:r>
            <w:r>
              <w:rPr>
                <w:rFonts w:ascii="宋体" w:hAnsi="宋体" w:eastAsia="仿宋_GB2312" w:cs="Arial"/>
                <w:b w:val="0"/>
                <w:bCs w:val="0"/>
                <w:snapToGrid/>
                <w:color w:val="auto"/>
                <w:kern w:val="2"/>
                <w:sz w:val="28"/>
                <w:szCs w:val="28"/>
              </w:rPr>
              <w:t xml:space="preserve"> </w:t>
            </w:r>
            <w:r>
              <w:rPr>
                <w:rFonts w:hint="eastAsia" w:ascii="宋体" w:hAnsi="宋体" w:eastAsia="仿宋_GB2312" w:cs="Arial"/>
                <w:b w:val="0"/>
                <w:bCs w:val="0"/>
                <w:snapToGrid/>
                <w:color w:val="auto"/>
                <w:kern w:val="2"/>
                <w:sz w:val="28"/>
                <w:szCs w:val="28"/>
                <w:lang w:val="en-US" w:eastAsia="zh-CN"/>
              </w:rPr>
              <w:t>202</w:t>
            </w:r>
            <w:r>
              <w:rPr>
                <w:rFonts w:hint="eastAsia" w:ascii="宋体" w:hAnsi="宋体" w:eastAsia="宋体" w:cs="Arial"/>
                <w:b w:val="0"/>
                <w:bCs w:val="0"/>
                <w:snapToGrid/>
                <w:color w:val="auto"/>
                <w:kern w:val="2"/>
                <w:sz w:val="28"/>
                <w:szCs w:val="28"/>
                <w:lang w:val="en-US" w:eastAsia="zh-CN"/>
              </w:rPr>
              <w:t>2</w:t>
            </w:r>
            <w:r>
              <w:rPr>
                <w:rFonts w:hint="eastAsia" w:ascii="宋体" w:hAnsi="宋体" w:eastAsia="仿宋_GB2312" w:cs="Arial"/>
                <w:b w:val="0"/>
                <w:bCs w:val="0"/>
                <w:snapToGrid/>
                <w:color w:val="auto"/>
                <w:kern w:val="2"/>
                <w:sz w:val="28"/>
                <w:szCs w:val="28"/>
              </w:rPr>
              <w:t>年</w:t>
            </w:r>
            <w:r>
              <w:rPr>
                <w:rFonts w:hint="eastAsia" w:ascii="宋体" w:hAnsi="宋体" w:eastAsia="宋体" w:cs="Arial"/>
                <w:b w:val="0"/>
                <w:bCs w:val="0"/>
                <w:snapToGrid/>
                <w:color w:val="auto"/>
                <w:kern w:val="2"/>
                <w:sz w:val="28"/>
                <w:szCs w:val="28"/>
                <w:lang w:val="en-US" w:eastAsia="zh-CN"/>
              </w:rPr>
              <w:t>9</w:t>
            </w:r>
            <w:r>
              <w:rPr>
                <w:rFonts w:hint="eastAsia" w:ascii="宋体" w:hAnsi="宋体" w:eastAsia="仿宋_GB2312" w:cs="Arial"/>
                <w:b w:val="0"/>
                <w:bCs w:val="0"/>
                <w:snapToGrid/>
                <w:color w:val="auto"/>
                <w:kern w:val="2"/>
                <w:sz w:val="28"/>
                <w:szCs w:val="28"/>
              </w:rPr>
              <w:t>月</w:t>
            </w:r>
            <w:r>
              <w:rPr>
                <w:rFonts w:hint="eastAsia" w:ascii="宋体" w:hAnsi="宋体" w:eastAsia="仿宋_GB2312" w:cs="Arial"/>
                <w:b w:val="0"/>
                <w:bCs w:val="0"/>
                <w:snapToGrid/>
                <w:color w:val="auto"/>
                <w:kern w:val="2"/>
                <w:sz w:val="28"/>
                <w:szCs w:val="28"/>
                <w:lang w:val="en-US" w:eastAsia="zh-CN"/>
              </w:rPr>
              <w:t>30</w:t>
            </w:r>
            <w:r>
              <w:rPr>
                <w:rFonts w:hint="eastAsia" w:ascii="宋体" w:hAnsi="宋体" w:eastAsia="仿宋_GB2312" w:cs="Arial"/>
                <w:b w:val="0"/>
                <w:bCs w:val="0"/>
                <w:snapToGrid/>
                <w:color w:val="auto"/>
                <w:kern w:val="2"/>
                <w:sz w:val="28"/>
                <w:szCs w:val="28"/>
              </w:rPr>
              <w:t>日印发</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center"/>
        <w:rPr>
          <w:rFonts w:hint="eastAsia" w:ascii="宋体" w:hAnsi="宋体" w:eastAsia="仿宋_GB2312" w:cs="仿宋_GB2312"/>
          <w:b w:val="0"/>
          <w:bCs w:val="0"/>
          <w:color w:val="auto"/>
          <w:kern w:val="2"/>
          <w:sz w:val="32"/>
          <w:szCs w:val="32"/>
          <w:lang w:val="en-US" w:eastAsia="zh-CN" w:bidi="ar-SA"/>
        </w:rPr>
      </w:pPr>
    </w:p>
    <w:sectPr>
      <w:pgSz w:w="11906" w:h="16838"/>
      <w:pgMar w:top="2098" w:right="1587" w:bottom="2098" w:left="1587" w:header="851"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ajorEastAsia"/>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Theme="majorEastAsia"/>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1MWMyNmViNTEzZjhiODQwZjg2MjE4OGM5NDliODMifQ=="/>
  </w:docVars>
  <w:rsids>
    <w:rsidRoot w:val="4EF06202"/>
    <w:rsid w:val="02A04DDA"/>
    <w:rsid w:val="04654D76"/>
    <w:rsid w:val="04AD306A"/>
    <w:rsid w:val="04EB0308"/>
    <w:rsid w:val="08002443"/>
    <w:rsid w:val="0C9C4E76"/>
    <w:rsid w:val="0D155D33"/>
    <w:rsid w:val="0E583695"/>
    <w:rsid w:val="0E8F110F"/>
    <w:rsid w:val="0EA20611"/>
    <w:rsid w:val="0F40581B"/>
    <w:rsid w:val="108D2CE2"/>
    <w:rsid w:val="13B11F44"/>
    <w:rsid w:val="167A2451"/>
    <w:rsid w:val="17A910FF"/>
    <w:rsid w:val="17B07FF5"/>
    <w:rsid w:val="18E52EEB"/>
    <w:rsid w:val="1A473CA6"/>
    <w:rsid w:val="1AFA6510"/>
    <w:rsid w:val="1B033F82"/>
    <w:rsid w:val="1C8D47D0"/>
    <w:rsid w:val="1CCC55A2"/>
    <w:rsid w:val="1F184338"/>
    <w:rsid w:val="1FAE0D48"/>
    <w:rsid w:val="2240356A"/>
    <w:rsid w:val="22BF751C"/>
    <w:rsid w:val="275720C7"/>
    <w:rsid w:val="280E3C96"/>
    <w:rsid w:val="28BA7F95"/>
    <w:rsid w:val="29606AF1"/>
    <w:rsid w:val="2B226A09"/>
    <w:rsid w:val="2DE13BB9"/>
    <w:rsid w:val="354A0945"/>
    <w:rsid w:val="35630F6A"/>
    <w:rsid w:val="364032B8"/>
    <w:rsid w:val="36C06E21"/>
    <w:rsid w:val="386B671F"/>
    <w:rsid w:val="38DD2B92"/>
    <w:rsid w:val="399749A7"/>
    <w:rsid w:val="3F0B311E"/>
    <w:rsid w:val="3F997C70"/>
    <w:rsid w:val="3FFE0DAE"/>
    <w:rsid w:val="406A16BE"/>
    <w:rsid w:val="41211144"/>
    <w:rsid w:val="41A924CD"/>
    <w:rsid w:val="41D547E4"/>
    <w:rsid w:val="42DA2A58"/>
    <w:rsid w:val="4554756B"/>
    <w:rsid w:val="45B31FB0"/>
    <w:rsid w:val="45C54AF3"/>
    <w:rsid w:val="4619219B"/>
    <w:rsid w:val="488C1070"/>
    <w:rsid w:val="4C2F2E03"/>
    <w:rsid w:val="4D662315"/>
    <w:rsid w:val="4EAF5148"/>
    <w:rsid w:val="4EF06202"/>
    <w:rsid w:val="54A20EA1"/>
    <w:rsid w:val="59296DD4"/>
    <w:rsid w:val="5BCE09C8"/>
    <w:rsid w:val="5C80234E"/>
    <w:rsid w:val="5DAA06B2"/>
    <w:rsid w:val="5E802B0B"/>
    <w:rsid w:val="5F796BB3"/>
    <w:rsid w:val="5FA863FE"/>
    <w:rsid w:val="6008663C"/>
    <w:rsid w:val="605A7445"/>
    <w:rsid w:val="6358722A"/>
    <w:rsid w:val="64456323"/>
    <w:rsid w:val="65FC1361"/>
    <w:rsid w:val="66A050A4"/>
    <w:rsid w:val="67953E29"/>
    <w:rsid w:val="6799046A"/>
    <w:rsid w:val="67E212DD"/>
    <w:rsid w:val="684B33EF"/>
    <w:rsid w:val="698469A1"/>
    <w:rsid w:val="6A626C0B"/>
    <w:rsid w:val="6DB4014F"/>
    <w:rsid w:val="6E4B4EE4"/>
    <w:rsid w:val="6EF56F9C"/>
    <w:rsid w:val="6F027AF6"/>
    <w:rsid w:val="6F210C5C"/>
    <w:rsid w:val="6FB235B1"/>
    <w:rsid w:val="6FF5793D"/>
    <w:rsid w:val="72104029"/>
    <w:rsid w:val="751D3132"/>
    <w:rsid w:val="764C58B7"/>
    <w:rsid w:val="77D5629E"/>
    <w:rsid w:val="7879112C"/>
    <w:rsid w:val="7A385094"/>
    <w:rsid w:val="7A4F0F30"/>
    <w:rsid w:val="7CC82989"/>
    <w:rsid w:val="7CCC0562"/>
    <w:rsid w:val="7DAA6E02"/>
    <w:rsid w:val="7FA8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00" w:lineRule="exact"/>
      <w:ind w:firstLine="640" w:firstLineChars="200"/>
      <w:jc w:val="left"/>
      <w:outlineLvl w:val="0"/>
    </w:pPr>
    <w:rPr>
      <w:rFonts w:ascii="Times New Roman" w:hAnsi="Times New Roman" w:eastAsia="黑体"/>
      <w:bCs/>
      <w:kern w:val="44"/>
      <w:sz w:val="32"/>
      <w:szCs w:val="44"/>
    </w:rPr>
  </w:style>
  <w:style w:type="paragraph" w:styleId="4">
    <w:name w:val="heading 2"/>
    <w:basedOn w:val="1"/>
    <w:next w:val="1"/>
    <w:link w:val="22"/>
    <w:unhideWhenUsed/>
    <w:qFormat/>
    <w:uiPriority w:val="0"/>
    <w:pPr>
      <w:spacing w:before="0" w:beforeAutospacing="0" w:after="0" w:afterAutospacing="0" w:line="500" w:lineRule="exact"/>
      <w:ind w:firstLine="883" w:firstLineChars="200"/>
      <w:jc w:val="left"/>
      <w:outlineLvl w:val="1"/>
    </w:pPr>
    <w:rPr>
      <w:rFonts w:hint="eastAsia" w:ascii="宋体" w:hAnsi="宋体" w:eastAsia="楷体" w:cs="宋体"/>
      <w:b/>
      <w:bCs/>
      <w:kern w:val="0"/>
      <w:sz w:val="32"/>
      <w:szCs w:val="36"/>
      <w:lang w:bidi="ar"/>
    </w:rPr>
  </w:style>
  <w:style w:type="paragraph" w:styleId="5">
    <w:name w:val="heading 3"/>
    <w:basedOn w:val="1"/>
    <w:next w:val="1"/>
    <w:link w:val="23"/>
    <w:unhideWhenUsed/>
    <w:qFormat/>
    <w:uiPriority w:val="0"/>
    <w:pPr>
      <w:keepNext/>
      <w:keepLines/>
      <w:numPr>
        <w:ilvl w:val="2"/>
        <w:numId w:val="0"/>
      </w:numPr>
      <w:spacing w:beforeLines="0" w:beforeAutospacing="0" w:afterLines="0" w:afterAutospacing="0" w:line="500" w:lineRule="exact"/>
      <w:ind w:firstLine="883" w:firstLineChars="200"/>
      <w:outlineLvl w:val="2"/>
    </w:pPr>
    <w:rPr>
      <w:rFonts w:ascii="Arial" w:hAnsi="Arial" w:eastAsia="仿宋" w:cs="Arial"/>
      <w:b/>
      <w:snapToGrid w:val="0"/>
      <w:color w:val="000000"/>
      <w:kern w:val="0"/>
      <w:sz w:val="32"/>
      <w:szCs w:val="21"/>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1"/>
    <w:unhideWhenUsed/>
    <w:qFormat/>
    <w:uiPriority w:val="99"/>
    <w:pPr>
      <w:ind w:left="0" w:leftChars="0" w:firstLine="420"/>
    </w:pPr>
    <w:rPr>
      <w:rFonts w:ascii="Times New Roman" w:hAnsi="Times New Roman" w:eastAsia="宋体" w:cs="宋体"/>
      <w:szCs w:val="21"/>
    </w:rPr>
  </w:style>
  <w:style w:type="paragraph" w:styleId="6">
    <w:name w:val="Normal Indent"/>
    <w:basedOn w:val="1"/>
    <w:next w:val="1"/>
    <w:qFormat/>
    <w:uiPriority w:val="0"/>
    <w:pPr>
      <w:ind w:firstLine="420"/>
    </w:pPr>
  </w:style>
  <w:style w:type="paragraph" w:styleId="7">
    <w:name w:val="annotation text"/>
    <w:basedOn w:val="1"/>
    <w:qFormat/>
    <w:uiPriority w:val="0"/>
    <w:pPr>
      <w:jc w:val="left"/>
    </w:pPr>
  </w:style>
  <w:style w:type="paragraph" w:styleId="8">
    <w:name w:val="Body Text"/>
    <w:basedOn w:val="1"/>
    <w:unhideWhenUsed/>
    <w:qFormat/>
    <w:uiPriority w:val="1"/>
    <w:pPr>
      <w:spacing w:beforeLines="0" w:afterLines="0"/>
    </w:pPr>
    <w:rPr>
      <w:rFonts w:hint="eastAsia"/>
      <w:sz w:val="32"/>
      <w:szCs w:val="32"/>
    </w:rPr>
  </w:style>
  <w:style w:type="paragraph" w:styleId="9">
    <w:name w:val="Body Text Indent"/>
    <w:basedOn w:val="1"/>
    <w:unhideWhenUsed/>
    <w:qFormat/>
    <w:uiPriority w:val="99"/>
    <w:pPr>
      <w:spacing w:after="120" w:afterLines="0"/>
      <w:ind w:left="420" w:leftChars="200"/>
    </w:pPr>
    <w:rPr>
      <w:rFonts w:ascii="Times New Roman" w:hAnsi="Times New Roman" w:eastAsia="宋体" w:cs="Times New Roma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character" w:customStyle="1" w:styleId="22">
    <w:name w:val="标题 2 Char1"/>
    <w:link w:val="4"/>
    <w:qFormat/>
    <w:uiPriority w:val="0"/>
    <w:rPr>
      <w:rFonts w:hint="eastAsia" w:ascii="宋体" w:hAnsi="宋体" w:eastAsia="楷体" w:cs="宋体"/>
      <w:b/>
      <w:bCs/>
      <w:kern w:val="0"/>
      <w:sz w:val="32"/>
      <w:szCs w:val="36"/>
      <w:lang w:val="en-US" w:eastAsia="zh-CN" w:bidi="ar"/>
    </w:rPr>
  </w:style>
  <w:style w:type="character" w:customStyle="1" w:styleId="23">
    <w:name w:val="标题 3 Char1"/>
    <w:link w:val="5"/>
    <w:qFormat/>
    <w:uiPriority w:val="0"/>
    <w:rPr>
      <w:rFonts w:ascii="Arial" w:hAnsi="Arial" w:eastAsia="仿宋" w:cs="Arial"/>
      <w:b/>
      <w:snapToGrid w:val="0"/>
      <w:color w:val="000000"/>
      <w:kern w:val="0"/>
      <w:sz w:val="32"/>
      <w:szCs w:val="21"/>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11683</Words>
  <Characters>11894</Characters>
  <Lines>0</Lines>
  <Paragraphs>0</Paragraphs>
  <TotalTime>8</TotalTime>
  <ScaleCrop>false</ScaleCrop>
  <LinksUpToDate>false</LinksUpToDate>
  <CharactersWithSpaces>13321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2022-06-26T02:55:00Z</dcterms:created>
  <dc:creator>zqw</dc:creator>
  <cp:lastModifiedBy>蔡宁</cp:lastModifiedBy>
  <cp:lastPrinted>2022-09-30T11:13:00Z</cp:lastPrinted>
  <dcterms:modified xsi:type="dcterms:W3CDTF">2023-01-20T02:48:26Z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D8838A2AF5D043329221121D70E58170</vt:lpwstr>
  </property>
</Properties>
</file>