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0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2024</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14</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sz w:val="44"/>
          <w:szCs w:val="44"/>
        </w:rPr>
        <w:t>关于印发《</w:t>
      </w:r>
      <w:r>
        <w:rPr>
          <w:rFonts w:hint="eastAsia" w:ascii="宋体" w:hAnsi="宋体" w:eastAsia="方正小标宋简体" w:cs="方正小标宋简体"/>
          <w:b w:val="0"/>
          <w:bCs w:val="0"/>
          <w:sz w:val="44"/>
          <w:szCs w:val="44"/>
          <w:lang w:val="en-US" w:eastAsia="zh-CN"/>
        </w:rPr>
        <w:t>2024年赣州经开区支持粮油生产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b w:val="0"/>
          <w:bCs w:val="0"/>
          <w:sz w:val="44"/>
          <w:szCs w:val="44"/>
          <w:lang w:val="en-US" w:eastAsia="zh-CN"/>
        </w:rPr>
        <w:t>发展奖补办法</w:t>
      </w:r>
      <w:r>
        <w:rPr>
          <w:rFonts w:hint="eastAsia" w:ascii="宋体" w:hAnsi="宋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各乡（镇），区直、驻区各有关部门（单位）：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经研究决定，现将《2024年赣州经开区支持粮油生产发展奖补办法》印发给你们，请认真抓好贯彻落实。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 xml:space="preserve">                      赣州经济技术开发区党政办公室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 xml:space="preserve">                            2024年1月26日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小标宋简体" w:cs="方正小标宋简体"/>
          <w:b w:val="0"/>
          <w:bCs w:val="0"/>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2024年赣州经开区支持粮油生产发展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奖补办法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为坚决贯彻落实习近平总书记关于粮食安全重要指示、批示精神，认真抓好中央、省市有关粮食安全工作要求，强化粮食生产能力，确保顺利完成2024年粮食生产任务，特制定本办法。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一、指导思想和目标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根据《关于切实做好2023年粮油生产工作的通知》（赣府厅发〔2023〕1号）、《关于切实抓好2023年粮食流通工作的通知》（赣市府办字〔2023〕14号），结合我区实际，进一步提高粮食生产奖补政策的导向性、针对性、激励性，广泛调动各方面积极性主动性，稳定农民种粮收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二、奖补范围和对象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从事粮食、油料生产的一般种植户、种粮大户、农民合作社、农业企业、家庭农场、村股份经济合作社以及社会化服务组织。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三、奖补项目及标准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（一）粮食生产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1.“双季稻”奖补：</w:t>
      </w:r>
      <w:r>
        <w:rPr>
          <w:rFonts w:ascii="宋体" w:hAnsi="宋体" w:eastAsia="仿宋_GB2312" w:cs="仿宋_GB2312"/>
          <w:b w:val="0"/>
          <w:bCs w:val="0"/>
          <w:color w:val="auto"/>
          <w:kern w:val="2"/>
          <w:sz w:val="32"/>
          <w:szCs w:val="32"/>
        </w:rPr>
        <w:t>按照</w:t>
      </w:r>
      <w:r>
        <w:rPr>
          <w:rFonts w:hint="eastAsia" w:ascii="宋体" w:hAnsi="宋体" w:eastAsia="仿宋_GB2312" w:cs="仿宋_GB2312"/>
          <w:b w:val="0"/>
          <w:bCs w:val="0"/>
          <w:color w:val="auto"/>
          <w:kern w:val="2"/>
          <w:sz w:val="32"/>
          <w:szCs w:val="32"/>
        </w:rPr>
        <w:t>“谁种谁得、多种多得”的原则，鼓励发展规模化种植，“双季稻”按早稻、晚稻实际种植面积分档奖补</w:t>
      </w:r>
      <w:r>
        <w:rPr>
          <w:rFonts w:hint="eastAsia" w:ascii="宋体" w:hAnsi="宋体"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宋体" w:cs="宋体"/>
          <w:b w:val="0"/>
          <w:bCs w:val="0"/>
          <w:color w:val="auto"/>
          <w:kern w:val="2"/>
          <w:sz w:val="32"/>
          <w:szCs w:val="32"/>
          <w:lang w:val="en-US" w:eastAsia="zh-CN"/>
        </w:rPr>
        <w:t>1</w:t>
      </w:r>
      <w:r>
        <w:rPr>
          <w:rFonts w:hint="eastAsia" w:ascii="宋体" w:hAnsi="宋体" w:eastAsia="宋体" w:cs="宋体"/>
          <w:b w:val="0"/>
          <w:bCs w:val="0"/>
          <w:color w:val="auto"/>
          <w:kern w:val="2"/>
          <w:sz w:val="32"/>
          <w:szCs w:val="32"/>
        </w:rPr>
        <w:t>0</w:t>
      </w:r>
      <w:r>
        <w:rPr>
          <w:rFonts w:hint="eastAsia" w:ascii="宋体" w:hAnsi="宋体" w:eastAsia="仿宋_GB2312" w:cs="仿宋_GB2312"/>
          <w:b w:val="0"/>
          <w:bCs w:val="0"/>
          <w:color w:val="auto"/>
          <w:kern w:val="2"/>
          <w:sz w:val="32"/>
          <w:szCs w:val="32"/>
        </w:rPr>
        <w:t>亩（不含）以下的</w:t>
      </w:r>
      <w:r>
        <w:rPr>
          <w:rFonts w:hint="eastAsia" w:ascii="宋体" w:hAnsi="宋体" w:eastAsia="仿宋_GB2312" w:cs="仿宋_GB2312"/>
          <w:b w:val="0"/>
          <w:bCs w:val="0"/>
          <w:color w:val="auto"/>
          <w:kern w:val="2"/>
          <w:sz w:val="32"/>
          <w:szCs w:val="32"/>
          <w:lang w:eastAsia="zh-CN"/>
        </w:rPr>
        <w:t>，早稻</w:t>
      </w:r>
      <w:r>
        <w:rPr>
          <w:rFonts w:hint="eastAsia" w:ascii="宋体" w:hAnsi="宋体" w:eastAsia="仿宋_GB2312" w:cs="仿宋_GB2312"/>
          <w:b w:val="0"/>
          <w:bCs w:val="0"/>
          <w:color w:val="auto"/>
          <w:kern w:val="2"/>
          <w:sz w:val="32"/>
          <w:szCs w:val="32"/>
          <w:lang w:val="en-US" w:eastAsia="zh-CN"/>
        </w:rPr>
        <w:t>120</w:t>
      </w:r>
      <w:r>
        <w:rPr>
          <w:rFonts w:hint="eastAsia" w:ascii="宋体" w:hAnsi="宋体" w:eastAsia="仿宋_GB2312" w:cs="仿宋_GB2312"/>
          <w:b w:val="0"/>
          <w:bCs w:val="0"/>
          <w:color w:val="auto"/>
          <w:sz w:val="32"/>
          <w:szCs w:val="32"/>
          <w:lang w:val="en-US" w:eastAsia="zh-CN"/>
        </w:rPr>
        <w:t>元/亩，晚稻150元/亩；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宋体" w:cs="宋体"/>
          <w:b w:val="0"/>
          <w:bCs w:val="0"/>
          <w:color w:val="auto"/>
          <w:kern w:val="2"/>
          <w:sz w:val="32"/>
          <w:szCs w:val="32"/>
          <w:lang w:val="en-US" w:eastAsia="zh-CN"/>
        </w:rPr>
        <w:t>1</w:t>
      </w:r>
      <w:r>
        <w:rPr>
          <w:rFonts w:hint="eastAsia" w:ascii="宋体" w:hAnsi="宋体" w:eastAsia="宋体" w:cs="宋体"/>
          <w:b w:val="0"/>
          <w:bCs w:val="0"/>
          <w:color w:val="auto"/>
          <w:kern w:val="2"/>
          <w:sz w:val="32"/>
          <w:szCs w:val="32"/>
        </w:rPr>
        <w:t>0</w:t>
      </w:r>
      <w:r>
        <w:rPr>
          <w:rFonts w:hint="eastAsia" w:ascii="宋体" w:hAnsi="宋体" w:eastAsia="仿宋_GB2312" w:cs="仿宋_GB2312"/>
          <w:b w:val="0"/>
          <w:bCs w:val="0"/>
          <w:color w:val="auto"/>
          <w:kern w:val="2"/>
          <w:sz w:val="32"/>
          <w:szCs w:val="32"/>
        </w:rPr>
        <w:t>亩</w:t>
      </w:r>
      <w:r>
        <w:rPr>
          <w:rFonts w:hint="eastAsia" w:ascii="宋体" w:hAnsi="宋体" w:eastAsia="仿宋_GB2312" w:cs="仿宋_GB2312"/>
          <w:b w:val="0"/>
          <w:bCs w:val="0"/>
          <w:color w:val="auto"/>
          <w:kern w:val="2"/>
          <w:sz w:val="32"/>
          <w:szCs w:val="32"/>
          <w:lang w:eastAsia="zh-CN"/>
        </w:rPr>
        <w:t>至</w:t>
      </w:r>
      <w:r>
        <w:rPr>
          <w:rFonts w:hint="eastAsia" w:ascii="宋体" w:hAnsi="宋体" w:eastAsia="仿宋_GB2312" w:cs="仿宋_GB2312"/>
          <w:b w:val="0"/>
          <w:bCs w:val="0"/>
          <w:color w:val="auto"/>
          <w:kern w:val="2"/>
          <w:sz w:val="32"/>
          <w:szCs w:val="32"/>
          <w:lang w:val="en-US" w:eastAsia="zh-CN"/>
        </w:rPr>
        <w:t>100亩</w:t>
      </w:r>
      <w:r>
        <w:rPr>
          <w:rFonts w:hint="eastAsia" w:ascii="宋体" w:hAnsi="宋体" w:eastAsia="仿宋_GB2312" w:cs="仿宋_GB2312"/>
          <w:b w:val="0"/>
          <w:bCs w:val="0"/>
          <w:color w:val="auto"/>
          <w:kern w:val="2"/>
          <w:sz w:val="32"/>
          <w:szCs w:val="32"/>
        </w:rPr>
        <w:t>（不含）</w:t>
      </w:r>
      <w:r>
        <w:rPr>
          <w:rFonts w:hint="eastAsia" w:ascii="宋体" w:hAnsi="宋体" w:eastAsia="仿宋_GB2312" w:cs="仿宋_GB2312"/>
          <w:b w:val="0"/>
          <w:bCs w:val="0"/>
          <w:color w:val="auto"/>
          <w:kern w:val="2"/>
          <w:sz w:val="32"/>
          <w:szCs w:val="32"/>
          <w:lang w:eastAsia="zh-CN"/>
        </w:rPr>
        <w:t>的，早稻</w:t>
      </w:r>
      <w:r>
        <w:rPr>
          <w:rFonts w:hint="eastAsia" w:ascii="宋体" w:hAnsi="宋体" w:eastAsia="仿宋_GB2312" w:cs="仿宋_GB2312"/>
          <w:b w:val="0"/>
          <w:bCs w:val="0"/>
          <w:color w:val="auto"/>
          <w:kern w:val="2"/>
          <w:sz w:val="32"/>
          <w:szCs w:val="32"/>
          <w:lang w:val="en-US" w:eastAsia="zh-CN"/>
        </w:rPr>
        <w:t>140</w:t>
      </w:r>
      <w:r>
        <w:rPr>
          <w:rFonts w:hint="eastAsia" w:ascii="宋体" w:hAnsi="宋体" w:eastAsia="仿宋_GB2312" w:cs="仿宋_GB2312"/>
          <w:b w:val="0"/>
          <w:bCs w:val="0"/>
          <w:color w:val="auto"/>
          <w:sz w:val="32"/>
          <w:szCs w:val="32"/>
          <w:lang w:val="en-US" w:eastAsia="zh-CN"/>
        </w:rPr>
        <w:t>元/亩，晚稻180元/亩；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kern w:val="2"/>
          <w:sz w:val="32"/>
          <w:szCs w:val="32"/>
          <w:lang w:val="en-US" w:eastAsia="zh-CN"/>
        </w:rPr>
        <w:t>100</w:t>
      </w:r>
      <w:r>
        <w:rPr>
          <w:rFonts w:hint="eastAsia" w:ascii="宋体" w:hAnsi="宋体" w:eastAsia="仿宋_GB2312" w:cs="仿宋_GB2312"/>
          <w:b w:val="0"/>
          <w:bCs w:val="0"/>
          <w:color w:val="auto"/>
          <w:kern w:val="2"/>
          <w:sz w:val="32"/>
          <w:szCs w:val="32"/>
        </w:rPr>
        <w:t>亩</w:t>
      </w:r>
      <w:r>
        <w:rPr>
          <w:rFonts w:hint="eastAsia" w:ascii="宋体" w:hAnsi="宋体" w:eastAsia="仿宋_GB2312" w:cs="仿宋_GB2312"/>
          <w:b w:val="0"/>
          <w:bCs w:val="0"/>
          <w:color w:val="auto"/>
          <w:kern w:val="2"/>
          <w:sz w:val="32"/>
          <w:szCs w:val="32"/>
          <w:lang w:eastAsia="zh-CN"/>
        </w:rPr>
        <w:t>至</w:t>
      </w:r>
      <w:r>
        <w:rPr>
          <w:rFonts w:hint="eastAsia" w:ascii="宋体" w:hAnsi="宋体" w:eastAsia="仿宋_GB2312" w:cs="仿宋_GB2312"/>
          <w:b w:val="0"/>
          <w:bCs w:val="0"/>
          <w:color w:val="auto"/>
          <w:kern w:val="2"/>
          <w:sz w:val="32"/>
          <w:szCs w:val="32"/>
          <w:lang w:val="en-US" w:eastAsia="zh-CN"/>
        </w:rPr>
        <w:t>200亩</w:t>
      </w:r>
      <w:r>
        <w:rPr>
          <w:rFonts w:hint="eastAsia" w:ascii="宋体" w:hAnsi="宋体" w:eastAsia="仿宋_GB2312" w:cs="仿宋_GB2312"/>
          <w:b w:val="0"/>
          <w:bCs w:val="0"/>
          <w:color w:val="auto"/>
          <w:kern w:val="2"/>
          <w:sz w:val="32"/>
          <w:szCs w:val="32"/>
        </w:rPr>
        <w:t>（不含）</w:t>
      </w:r>
      <w:r>
        <w:rPr>
          <w:rFonts w:hint="eastAsia" w:ascii="宋体" w:hAnsi="宋体" w:eastAsia="仿宋_GB2312" w:cs="仿宋_GB2312"/>
          <w:b w:val="0"/>
          <w:bCs w:val="0"/>
          <w:color w:val="auto"/>
          <w:kern w:val="2"/>
          <w:sz w:val="32"/>
          <w:szCs w:val="32"/>
          <w:lang w:eastAsia="zh-CN"/>
        </w:rPr>
        <w:t>的，早稻</w:t>
      </w:r>
      <w:r>
        <w:rPr>
          <w:rFonts w:hint="eastAsia" w:ascii="宋体" w:hAnsi="宋体" w:eastAsia="仿宋_GB2312" w:cs="仿宋_GB2312"/>
          <w:b w:val="0"/>
          <w:bCs w:val="0"/>
          <w:color w:val="auto"/>
          <w:kern w:val="2"/>
          <w:sz w:val="32"/>
          <w:szCs w:val="32"/>
          <w:lang w:val="en-US" w:eastAsia="zh-CN"/>
        </w:rPr>
        <w:t>170</w:t>
      </w:r>
      <w:r>
        <w:rPr>
          <w:rFonts w:hint="eastAsia" w:ascii="宋体" w:hAnsi="宋体" w:eastAsia="仿宋_GB2312" w:cs="仿宋_GB2312"/>
          <w:b w:val="0"/>
          <w:bCs w:val="0"/>
          <w:color w:val="auto"/>
          <w:sz w:val="32"/>
          <w:szCs w:val="32"/>
          <w:lang w:val="en-US" w:eastAsia="zh-CN"/>
        </w:rPr>
        <w:t>元/亩，晚稻200元/亩；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kern w:val="2"/>
          <w:sz w:val="32"/>
          <w:szCs w:val="32"/>
          <w:lang w:val="en-US" w:eastAsia="zh-CN"/>
        </w:rPr>
        <w:t>200</w:t>
      </w:r>
      <w:r>
        <w:rPr>
          <w:rFonts w:hint="eastAsia" w:ascii="宋体" w:hAnsi="宋体" w:eastAsia="仿宋_GB2312" w:cs="仿宋_GB2312"/>
          <w:b w:val="0"/>
          <w:bCs w:val="0"/>
          <w:color w:val="auto"/>
          <w:kern w:val="2"/>
          <w:sz w:val="32"/>
          <w:szCs w:val="32"/>
        </w:rPr>
        <w:t>亩</w:t>
      </w:r>
      <w:r>
        <w:rPr>
          <w:rFonts w:hint="eastAsia" w:ascii="宋体" w:hAnsi="宋体" w:eastAsia="仿宋_GB2312" w:cs="仿宋_GB2312"/>
          <w:b w:val="0"/>
          <w:bCs w:val="0"/>
          <w:color w:val="auto"/>
          <w:kern w:val="2"/>
          <w:sz w:val="32"/>
          <w:szCs w:val="32"/>
          <w:lang w:eastAsia="zh-CN"/>
        </w:rPr>
        <w:t>以上的，早稻</w:t>
      </w:r>
      <w:r>
        <w:rPr>
          <w:rFonts w:hint="eastAsia" w:ascii="宋体" w:hAnsi="宋体" w:eastAsia="仿宋_GB2312" w:cs="仿宋_GB2312"/>
          <w:b w:val="0"/>
          <w:bCs w:val="0"/>
          <w:color w:val="auto"/>
          <w:kern w:val="2"/>
          <w:sz w:val="32"/>
          <w:szCs w:val="32"/>
          <w:lang w:val="en-US" w:eastAsia="zh-CN"/>
        </w:rPr>
        <w:t>220</w:t>
      </w:r>
      <w:r>
        <w:rPr>
          <w:rFonts w:hint="eastAsia" w:ascii="宋体" w:hAnsi="宋体" w:eastAsia="仿宋_GB2312" w:cs="仿宋_GB2312"/>
          <w:b w:val="0"/>
          <w:bCs w:val="0"/>
          <w:color w:val="auto"/>
          <w:sz w:val="32"/>
          <w:szCs w:val="32"/>
          <w:lang w:val="en-US" w:eastAsia="zh-CN"/>
        </w:rPr>
        <w:t>元/亩，晚稻250元/亩。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2.脱贫户种植双季稻奖补：对脱贫户种植双季稻的给予300元/亩的奖励补助，上限3000元/户。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3.撂荒耕地复耕复种奖补：对2024年新治理的撂荒耕地复耕复种且种植了粮食作物的，按300元/亩一次性奖补复耕主体，2020年以来奖补过的地块，不再享受。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4.集中育秧奖补：对实施工厂化育秧中心育秧，早稻补助折大田100元/亩。（按照35盘/亩标准折算,单个主体单季最高奖补不超过30万元）。对采用传统育秧方式育秧，早稻集中连片育秧10亩（含）以上，能提供质量合格秧苗的，按2500元/亩给予育秧主体一次性奖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5.生产资料奖补：按早晚稻种植面积，给予种植主体100元/亩/季生产资料奖补，种植户使用工厂化育秧中心所供免费秧苗的，该项奖补的30%给予育秧中心。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6.水稻种植政策性保险：对参与水稻保险的，按播种面积，区级承担种植户保费。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7.富硒产品认证补助：通过申请并经区农办同意，经有资质的第三方认证机构对生长过程自然富集而非收获后人工添加硒的大米认证合格，获得认证证书的农业经营主体，按每个产品认证1万元的标准给予认证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（二）油菜生产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油菜种植奖补：对种植一定规模油菜的经营主体和农户视面积及种植方式不同分段奖补（含生产资料奖补）。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宋体" w:cs="宋体"/>
          <w:b w:val="0"/>
          <w:bCs w:val="0"/>
          <w:color w:val="auto"/>
          <w:kern w:val="2"/>
          <w:sz w:val="32"/>
          <w:szCs w:val="32"/>
          <w:lang w:val="en-US" w:eastAsia="zh-CN"/>
        </w:rPr>
        <w:t>1</w:t>
      </w:r>
      <w:r>
        <w:rPr>
          <w:rFonts w:hint="eastAsia" w:ascii="宋体" w:hAnsi="宋体" w:eastAsia="宋体" w:cs="宋体"/>
          <w:b w:val="0"/>
          <w:bCs w:val="0"/>
          <w:color w:val="auto"/>
          <w:kern w:val="2"/>
          <w:sz w:val="32"/>
          <w:szCs w:val="32"/>
        </w:rPr>
        <w:t>0</w:t>
      </w:r>
      <w:r>
        <w:rPr>
          <w:rFonts w:hint="eastAsia" w:ascii="宋体" w:hAnsi="宋体" w:eastAsia="仿宋_GB2312" w:cs="仿宋_GB2312"/>
          <w:b w:val="0"/>
          <w:bCs w:val="0"/>
          <w:color w:val="auto"/>
          <w:kern w:val="2"/>
          <w:sz w:val="32"/>
          <w:szCs w:val="32"/>
        </w:rPr>
        <w:t>亩（不含）以下的</w:t>
      </w:r>
      <w:r>
        <w:rPr>
          <w:rFonts w:hint="eastAsia" w:ascii="宋体" w:hAnsi="宋体" w:eastAsia="仿宋_GB2312" w:cs="仿宋_GB2312"/>
          <w:b w:val="0"/>
          <w:bCs w:val="0"/>
          <w:color w:val="auto"/>
          <w:kern w:val="2"/>
          <w:sz w:val="32"/>
          <w:szCs w:val="32"/>
          <w:lang w:eastAsia="zh-CN"/>
        </w:rPr>
        <w:t>，撒播</w:t>
      </w:r>
      <w:r>
        <w:rPr>
          <w:rFonts w:hint="eastAsia" w:ascii="宋体" w:hAnsi="宋体" w:eastAsia="仿宋_GB2312" w:cs="仿宋_GB2312"/>
          <w:b w:val="0"/>
          <w:bCs w:val="0"/>
          <w:color w:val="auto"/>
          <w:kern w:val="2"/>
          <w:sz w:val="32"/>
          <w:szCs w:val="32"/>
          <w:lang w:val="en-US" w:eastAsia="zh-CN"/>
        </w:rPr>
        <w:t>170元/亩，</w:t>
      </w:r>
      <w:r>
        <w:rPr>
          <w:rFonts w:hint="eastAsia" w:ascii="宋体" w:hAnsi="宋体" w:eastAsia="仿宋_GB2312" w:cs="仿宋_GB2312"/>
          <w:b w:val="0"/>
          <w:bCs w:val="0"/>
          <w:color w:val="auto"/>
          <w:kern w:val="2"/>
          <w:sz w:val="32"/>
          <w:szCs w:val="32"/>
          <w:lang w:eastAsia="zh-CN"/>
        </w:rPr>
        <w:t>人工或机械点播</w:t>
      </w:r>
      <w:r>
        <w:rPr>
          <w:rFonts w:hint="eastAsia" w:ascii="宋体" w:hAnsi="宋体" w:eastAsia="仿宋_GB2312" w:cs="仿宋_GB2312"/>
          <w:b w:val="0"/>
          <w:bCs w:val="0"/>
          <w:color w:val="auto"/>
          <w:kern w:val="2"/>
          <w:sz w:val="32"/>
          <w:szCs w:val="32"/>
          <w:lang w:val="en-US" w:eastAsia="zh-CN"/>
        </w:rPr>
        <w:t>200元/亩，育苗移栽</w:t>
      </w:r>
      <w:r>
        <w:rPr>
          <w:rFonts w:hint="eastAsia" w:ascii="宋体" w:hAnsi="宋体" w:eastAsia="仿宋_GB2312" w:cs="仿宋_GB2312"/>
          <w:b w:val="0"/>
          <w:bCs w:val="0"/>
          <w:color w:val="auto"/>
          <w:sz w:val="32"/>
          <w:szCs w:val="32"/>
          <w:lang w:val="en-US" w:eastAsia="zh-CN"/>
        </w:rPr>
        <w:t>300元/亩；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宋体" w:cs="宋体"/>
          <w:b w:val="0"/>
          <w:bCs w:val="0"/>
          <w:color w:val="auto"/>
          <w:kern w:val="2"/>
          <w:sz w:val="32"/>
          <w:szCs w:val="32"/>
          <w:lang w:val="en-US" w:eastAsia="zh-CN"/>
        </w:rPr>
        <w:t>1</w:t>
      </w:r>
      <w:r>
        <w:rPr>
          <w:rFonts w:hint="eastAsia" w:ascii="宋体" w:hAnsi="宋体" w:eastAsia="宋体" w:cs="宋体"/>
          <w:b w:val="0"/>
          <w:bCs w:val="0"/>
          <w:color w:val="auto"/>
          <w:kern w:val="2"/>
          <w:sz w:val="32"/>
          <w:szCs w:val="32"/>
        </w:rPr>
        <w:t>0</w:t>
      </w:r>
      <w:r>
        <w:rPr>
          <w:rFonts w:hint="eastAsia" w:ascii="宋体" w:hAnsi="宋体" w:eastAsia="仿宋_GB2312" w:cs="仿宋_GB2312"/>
          <w:b w:val="0"/>
          <w:bCs w:val="0"/>
          <w:color w:val="auto"/>
          <w:kern w:val="2"/>
          <w:sz w:val="32"/>
          <w:szCs w:val="32"/>
        </w:rPr>
        <w:t>亩</w:t>
      </w:r>
      <w:r>
        <w:rPr>
          <w:rFonts w:hint="eastAsia" w:ascii="宋体" w:hAnsi="宋体" w:eastAsia="仿宋_GB2312" w:cs="仿宋_GB2312"/>
          <w:b w:val="0"/>
          <w:bCs w:val="0"/>
          <w:color w:val="auto"/>
          <w:kern w:val="2"/>
          <w:sz w:val="32"/>
          <w:szCs w:val="32"/>
          <w:lang w:eastAsia="zh-CN"/>
        </w:rPr>
        <w:t>至</w:t>
      </w:r>
      <w:r>
        <w:rPr>
          <w:rFonts w:hint="eastAsia" w:ascii="宋体" w:hAnsi="宋体" w:eastAsia="仿宋_GB2312" w:cs="仿宋_GB2312"/>
          <w:b w:val="0"/>
          <w:bCs w:val="0"/>
          <w:color w:val="auto"/>
          <w:kern w:val="2"/>
          <w:sz w:val="32"/>
          <w:szCs w:val="32"/>
          <w:lang w:val="en-US" w:eastAsia="zh-CN"/>
        </w:rPr>
        <w:t>100亩</w:t>
      </w:r>
      <w:r>
        <w:rPr>
          <w:rFonts w:hint="eastAsia" w:ascii="宋体" w:hAnsi="宋体" w:eastAsia="仿宋_GB2312" w:cs="仿宋_GB2312"/>
          <w:b w:val="0"/>
          <w:bCs w:val="0"/>
          <w:color w:val="auto"/>
          <w:kern w:val="2"/>
          <w:sz w:val="32"/>
          <w:szCs w:val="32"/>
        </w:rPr>
        <w:t>（不含）</w:t>
      </w:r>
      <w:r>
        <w:rPr>
          <w:rFonts w:hint="eastAsia" w:ascii="宋体" w:hAnsi="宋体" w:eastAsia="仿宋_GB2312" w:cs="仿宋_GB2312"/>
          <w:b w:val="0"/>
          <w:bCs w:val="0"/>
          <w:color w:val="auto"/>
          <w:kern w:val="2"/>
          <w:sz w:val="32"/>
          <w:szCs w:val="32"/>
          <w:lang w:eastAsia="zh-CN"/>
        </w:rPr>
        <w:t>的，撒播</w:t>
      </w:r>
      <w:r>
        <w:rPr>
          <w:rFonts w:hint="eastAsia" w:ascii="宋体" w:hAnsi="宋体" w:eastAsia="仿宋_GB2312" w:cs="仿宋_GB2312"/>
          <w:b w:val="0"/>
          <w:bCs w:val="0"/>
          <w:color w:val="auto"/>
          <w:kern w:val="2"/>
          <w:sz w:val="32"/>
          <w:szCs w:val="32"/>
          <w:lang w:val="en-US" w:eastAsia="zh-CN"/>
        </w:rPr>
        <w:t>200元/亩，</w:t>
      </w:r>
      <w:r>
        <w:rPr>
          <w:rFonts w:hint="eastAsia" w:ascii="宋体" w:hAnsi="宋体" w:eastAsia="仿宋_GB2312" w:cs="仿宋_GB2312"/>
          <w:b w:val="0"/>
          <w:bCs w:val="0"/>
          <w:color w:val="auto"/>
          <w:kern w:val="2"/>
          <w:sz w:val="32"/>
          <w:szCs w:val="32"/>
          <w:lang w:eastAsia="zh-CN"/>
        </w:rPr>
        <w:t>人工或机械点播</w:t>
      </w:r>
      <w:r>
        <w:rPr>
          <w:rFonts w:hint="eastAsia" w:ascii="宋体" w:hAnsi="宋体" w:eastAsia="仿宋_GB2312" w:cs="仿宋_GB2312"/>
          <w:b w:val="0"/>
          <w:bCs w:val="0"/>
          <w:color w:val="auto"/>
          <w:kern w:val="2"/>
          <w:sz w:val="32"/>
          <w:szCs w:val="32"/>
          <w:lang w:val="en-US" w:eastAsia="zh-CN"/>
        </w:rPr>
        <w:t>230元/亩，育苗移栽</w:t>
      </w:r>
      <w:r>
        <w:rPr>
          <w:rFonts w:hint="eastAsia" w:ascii="宋体" w:hAnsi="宋体" w:eastAsia="仿宋_GB2312" w:cs="仿宋_GB2312"/>
          <w:b w:val="0"/>
          <w:bCs w:val="0"/>
          <w:color w:val="auto"/>
          <w:sz w:val="32"/>
          <w:szCs w:val="32"/>
          <w:lang w:val="en-US" w:eastAsia="zh-CN"/>
        </w:rPr>
        <w:t>350元/亩；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kern w:val="2"/>
          <w:sz w:val="32"/>
          <w:szCs w:val="32"/>
          <w:lang w:val="en-US" w:eastAsia="zh-CN"/>
        </w:rPr>
        <w:t>100</w:t>
      </w:r>
      <w:r>
        <w:rPr>
          <w:rFonts w:hint="eastAsia" w:ascii="宋体" w:hAnsi="宋体" w:eastAsia="仿宋_GB2312" w:cs="仿宋_GB2312"/>
          <w:b w:val="0"/>
          <w:bCs w:val="0"/>
          <w:color w:val="auto"/>
          <w:kern w:val="2"/>
          <w:sz w:val="32"/>
          <w:szCs w:val="32"/>
        </w:rPr>
        <w:t>亩</w:t>
      </w:r>
      <w:r>
        <w:rPr>
          <w:rFonts w:hint="eastAsia" w:ascii="宋体" w:hAnsi="宋体" w:eastAsia="仿宋_GB2312" w:cs="仿宋_GB2312"/>
          <w:b w:val="0"/>
          <w:bCs w:val="0"/>
          <w:color w:val="auto"/>
          <w:kern w:val="2"/>
          <w:sz w:val="32"/>
          <w:szCs w:val="32"/>
          <w:lang w:eastAsia="zh-CN"/>
        </w:rPr>
        <w:t>至</w:t>
      </w:r>
      <w:r>
        <w:rPr>
          <w:rFonts w:hint="eastAsia" w:ascii="宋体" w:hAnsi="宋体" w:eastAsia="仿宋_GB2312" w:cs="仿宋_GB2312"/>
          <w:b w:val="0"/>
          <w:bCs w:val="0"/>
          <w:color w:val="auto"/>
          <w:kern w:val="2"/>
          <w:sz w:val="32"/>
          <w:szCs w:val="32"/>
          <w:lang w:val="en-US" w:eastAsia="zh-CN"/>
        </w:rPr>
        <w:t>200亩</w:t>
      </w:r>
      <w:r>
        <w:rPr>
          <w:rFonts w:hint="eastAsia" w:ascii="宋体" w:hAnsi="宋体" w:eastAsia="仿宋_GB2312" w:cs="仿宋_GB2312"/>
          <w:b w:val="0"/>
          <w:bCs w:val="0"/>
          <w:color w:val="auto"/>
          <w:kern w:val="2"/>
          <w:sz w:val="32"/>
          <w:szCs w:val="32"/>
        </w:rPr>
        <w:t>（不含）</w:t>
      </w:r>
      <w:r>
        <w:rPr>
          <w:rFonts w:hint="eastAsia" w:ascii="宋体" w:hAnsi="宋体" w:eastAsia="仿宋_GB2312" w:cs="仿宋_GB2312"/>
          <w:b w:val="0"/>
          <w:bCs w:val="0"/>
          <w:color w:val="auto"/>
          <w:kern w:val="2"/>
          <w:sz w:val="32"/>
          <w:szCs w:val="32"/>
          <w:lang w:eastAsia="zh-CN"/>
        </w:rPr>
        <w:t>的，撒播</w:t>
      </w:r>
      <w:r>
        <w:rPr>
          <w:rFonts w:hint="eastAsia" w:ascii="宋体" w:hAnsi="宋体" w:eastAsia="仿宋_GB2312" w:cs="仿宋_GB2312"/>
          <w:b w:val="0"/>
          <w:bCs w:val="0"/>
          <w:color w:val="auto"/>
          <w:kern w:val="2"/>
          <w:sz w:val="32"/>
          <w:szCs w:val="32"/>
          <w:lang w:val="en-US" w:eastAsia="zh-CN"/>
        </w:rPr>
        <w:t>220元/亩，</w:t>
      </w:r>
      <w:r>
        <w:rPr>
          <w:rFonts w:hint="eastAsia" w:ascii="宋体" w:hAnsi="宋体" w:eastAsia="仿宋_GB2312" w:cs="仿宋_GB2312"/>
          <w:b w:val="0"/>
          <w:bCs w:val="0"/>
          <w:color w:val="auto"/>
          <w:kern w:val="2"/>
          <w:sz w:val="32"/>
          <w:szCs w:val="32"/>
          <w:lang w:eastAsia="zh-CN"/>
        </w:rPr>
        <w:t>人工或机械点播</w:t>
      </w:r>
      <w:r>
        <w:rPr>
          <w:rFonts w:hint="eastAsia" w:ascii="宋体" w:hAnsi="宋体" w:eastAsia="仿宋_GB2312" w:cs="仿宋_GB2312"/>
          <w:b w:val="0"/>
          <w:bCs w:val="0"/>
          <w:color w:val="auto"/>
          <w:kern w:val="2"/>
          <w:sz w:val="32"/>
          <w:szCs w:val="32"/>
          <w:lang w:val="en-US" w:eastAsia="zh-CN"/>
        </w:rPr>
        <w:t>250元/亩，育苗移栽</w:t>
      </w:r>
      <w:r>
        <w:rPr>
          <w:rFonts w:hint="eastAsia" w:ascii="宋体" w:hAnsi="宋体" w:eastAsia="仿宋_GB2312" w:cs="仿宋_GB2312"/>
          <w:b w:val="0"/>
          <w:bCs w:val="0"/>
          <w:color w:val="auto"/>
          <w:sz w:val="32"/>
          <w:szCs w:val="32"/>
          <w:lang w:val="en-US" w:eastAsia="zh-CN"/>
        </w:rPr>
        <w:t>400元/亩；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kern w:val="2"/>
          <w:sz w:val="32"/>
          <w:szCs w:val="32"/>
          <w:lang w:val="en-US" w:eastAsia="zh-CN"/>
        </w:rPr>
        <w:t>200</w:t>
      </w:r>
      <w:r>
        <w:rPr>
          <w:rFonts w:hint="eastAsia" w:ascii="宋体" w:hAnsi="宋体" w:eastAsia="仿宋_GB2312" w:cs="仿宋_GB2312"/>
          <w:b w:val="0"/>
          <w:bCs w:val="0"/>
          <w:color w:val="auto"/>
          <w:kern w:val="2"/>
          <w:sz w:val="32"/>
          <w:szCs w:val="32"/>
        </w:rPr>
        <w:t>亩</w:t>
      </w:r>
      <w:r>
        <w:rPr>
          <w:rFonts w:hint="eastAsia" w:ascii="宋体" w:hAnsi="宋体" w:eastAsia="仿宋_GB2312" w:cs="仿宋_GB2312"/>
          <w:b w:val="0"/>
          <w:bCs w:val="0"/>
          <w:color w:val="auto"/>
          <w:kern w:val="2"/>
          <w:sz w:val="32"/>
          <w:szCs w:val="32"/>
          <w:lang w:eastAsia="zh-CN"/>
        </w:rPr>
        <w:t>以上的</w:t>
      </w:r>
      <w:r>
        <w:rPr>
          <w:rFonts w:hint="eastAsia" w:ascii="宋体" w:hAnsi="宋体" w:eastAsia="仿宋_GB2312" w:cs="仿宋_GB2312"/>
          <w:b w:val="0"/>
          <w:bCs w:val="0"/>
          <w:color w:val="auto"/>
          <w:sz w:val="32"/>
          <w:szCs w:val="32"/>
          <w:lang w:val="en-US" w:eastAsia="zh-CN"/>
        </w:rPr>
        <w:t>，</w:t>
      </w:r>
      <w:r>
        <w:rPr>
          <w:rFonts w:hint="eastAsia" w:ascii="宋体" w:hAnsi="宋体" w:eastAsia="仿宋_GB2312" w:cs="仿宋_GB2312"/>
          <w:b w:val="0"/>
          <w:bCs w:val="0"/>
          <w:color w:val="auto"/>
          <w:kern w:val="2"/>
          <w:sz w:val="32"/>
          <w:szCs w:val="32"/>
          <w:lang w:eastAsia="zh-CN"/>
        </w:rPr>
        <w:t>撒播</w:t>
      </w:r>
      <w:r>
        <w:rPr>
          <w:rFonts w:hint="eastAsia" w:ascii="宋体" w:hAnsi="宋体" w:eastAsia="仿宋_GB2312" w:cs="仿宋_GB2312"/>
          <w:b w:val="0"/>
          <w:bCs w:val="0"/>
          <w:color w:val="auto"/>
          <w:kern w:val="2"/>
          <w:sz w:val="32"/>
          <w:szCs w:val="32"/>
          <w:lang w:val="en-US" w:eastAsia="zh-CN"/>
        </w:rPr>
        <w:t>250元/亩，</w:t>
      </w:r>
      <w:r>
        <w:rPr>
          <w:rFonts w:hint="eastAsia" w:ascii="宋体" w:hAnsi="宋体" w:eastAsia="仿宋_GB2312" w:cs="仿宋_GB2312"/>
          <w:b w:val="0"/>
          <w:bCs w:val="0"/>
          <w:color w:val="auto"/>
          <w:kern w:val="2"/>
          <w:sz w:val="32"/>
          <w:szCs w:val="32"/>
          <w:lang w:eastAsia="zh-CN"/>
        </w:rPr>
        <w:t>人工或机械点播</w:t>
      </w:r>
      <w:r>
        <w:rPr>
          <w:rFonts w:hint="eastAsia" w:ascii="宋体" w:hAnsi="宋体" w:eastAsia="仿宋_GB2312" w:cs="仿宋_GB2312"/>
          <w:b w:val="0"/>
          <w:bCs w:val="0"/>
          <w:color w:val="auto"/>
          <w:kern w:val="2"/>
          <w:sz w:val="32"/>
          <w:szCs w:val="32"/>
          <w:lang w:val="en-US" w:eastAsia="zh-CN"/>
        </w:rPr>
        <w:t>280元/亩，育苗移栽</w:t>
      </w:r>
      <w:r>
        <w:rPr>
          <w:rFonts w:hint="eastAsia" w:ascii="宋体" w:hAnsi="宋体" w:eastAsia="仿宋_GB2312" w:cs="仿宋_GB2312"/>
          <w:b w:val="0"/>
          <w:bCs w:val="0"/>
          <w:color w:val="auto"/>
          <w:sz w:val="32"/>
          <w:szCs w:val="32"/>
          <w:lang w:val="en-US" w:eastAsia="zh-CN"/>
        </w:rPr>
        <w:t>450元/亩。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楷体_GB2312" w:cs="楷体_GB2312"/>
          <w:b w:val="0"/>
          <w:bCs w:val="0"/>
          <w:sz w:val="32"/>
          <w:szCs w:val="32"/>
          <w:lang w:val="en-US" w:eastAsia="zh-CN"/>
        </w:rPr>
        <w:t>（一）强化组织领导。</w:t>
      </w:r>
      <w:r>
        <w:rPr>
          <w:rFonts w:hint="eastAsia" w:ascii="宋体" w:hAnsi="宋体" w:eastAsia="仿宋_GB2312" w:cs="仿宋_GB2312"/>
          <w:b w:val="0"/>
          <w:bCs w:val="0"/>
          <w:sz w:val="32"/>
          <w:szCs w:val="32"/>
          <w:lang w:val="en-US" w:eastAsia="zh-CN"/>
        </w:rPr>
        <w:t>各乡（镇）、科技城指挥部办公室要加强组织领导，积极宣传用好粮食、油料生产各项奖补政策，提高各经营主体的积极性，稳定粮食、油料面积和产量。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楷体_GB2312" w:cs="楷体_GB2312"/>
          <w:b w:val="0"/>
          <w:bCs w:val="0"/>
          <w:sz w:val="32"/>
          <w:szCs w:val="32"/>
          <w:lang w:val="en-US" w:eastAsia="zh-CN"/>
        </w:rPr>
        <w:t>（二）强化监管检查。</w:t>
      </w:r>
      <w:r>
        <w:rPr>
          <w:rFonts w:hint="eastAsia" w:ascii="宋体" w:hAnsi="宋体" w:eastAsia="仿宋_GB2312" w:cs="仿宋_GB2312"/>
          <w:b w:val="0"/>
          <w:bCs w:val="0"/>
          <w:sz w:val="32"/>
          <w:szCs w:val="32"/>
          <w:lang w:val="en-US" w:eastAsia="zh-CN"/>
        </w:rPr>
        <w:t>区农办、区财政局要加强对粮油政策奖补资金发放情况的监督检查，重点检查资金拨付是否及时、奖补发放材料档案是否齐全等。各乡（镇）、科技城指挥部办公室、各村要对奖补对象和奖励面积严格把关，对上报的数据真实性负责，坚决杜绝虚报冒领、截留、挤占、挪用奖励资金等违规行为。种植主体要抓好水稻和油菜的田间管理，确保收成，对因“重种轻管”或“只种不管”导致减产的，根据收成情况扣减部分奖补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宋体" w:hAnsi="宋体" w:eastAsia="仿宋_GB2312" w:cs="仿宋_GB2312"/>
          <w:b w:val="0"/>
          <w:bCs w:val="0"/>
          <w:color w:val="auto"/>
          <w:kern w:val="0"/>
          <w:sz w:val="32"/>
          <w:szCs w:val="32"/>
          <w:lang w:val="en-US" w:eastAsia="zh-CN"/>
        </w:rPr>
      </w:pPr>
      <w:r>
        <w:rPr>
          <w:rFonts w:hint="eastAsia" w:ascii="宋体" w:hAnsi="宋体" w:eastAsia="楷体_GB2312" w:cs="宋体"/>
          <w:b w:val="0"/>
          <w:bCs w:val="0"/>
          <w:color w:val="auto"/>
          <w:sz w:val="32"/>
          <w:szCs w:val="32"/>
          <w:lang w:val="en-US" w:eastAsia="zh-CN"/>
        </w:rPr>
        <w:t>（三）优化发放流程。</w:t>
      </w:r>
      <w:r>
        <w:rPr>
          <w:rFonts w:hint="eastAsia" w:ascii="宋体" w:hAnsi="宋体" w:eastAsia="仿宋_GB2312" w:cs="仿宋_GB2312"/>
          <w:b w:val="0"/>
          <w:bCs w:val="0"/>
          <w:color w:val="auto"/>
          <w:kern w:val="0"/>
          <w:sz w:val="32"/>
          <w:szCs w:val="32"/>
          <w:lang w:val="en-US" w:eastAsia="zh-CN"/>
        </w:rPr>
        <w:t>为落实丰产丰收工作要求，对油菜种植奖补进行优化，</w:t>
      </w:r>
      <w:r>
        <w:rPr>
          <w:rFonts w:hint="eastAsia" w:ascii="宋体" w:hAnsi="宋体" w:eastAsia="仿宋_GB2312" w:cs="仿宋_GB2312"/>
          <w:b w:val="0"/>
          <w:bCs w:val="0"/>
          <w:color w:val="auto"/>
          <w:sz w:val="32"/>
          <w:szCs w:val="32"/>
          <w:lang w:val="en-US" w:eastAsia="zh-CN"/>
        </w:rPr>
        <w:t>分三个阶段兑现奖补资金。第一阶段：2024年11月底之前，采用直播、移栽等方式完成油菜种植的，根据实际种植面积拨付奖补的20%。第二阶段：2025年4月底之前，通过区、镇、村三级联合验收评估，油菜田间管理到位、长势良好，经评估亩产油菜籽达到100公斤以上的，拨付奖补的40%。第三阶段：2025年5月20日之前，完成油菜采收后，兑现剩余40%奖补资金。对不收割榨油、充作绿肥的油菜，不予发放剩余奖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楷体_GB2312" w:cs="楷体_GB2312"/>
          <w:b w:val="0"/>
          <w:bCs w:val="0"/>
          <w:sz w:val="32"/>
          <w:szCs w:val="32"/>
          <w:lang w:val="en-US" w:eastAsia="zh-CN"/>
        </w:rPr>
        <w:t>（四）强化档案管理。</w:t>
      </w:r>
      <w:r>
        <w:rPr>
          <w:rFonts w:hint="eastAsia" w:ascii="宋体" w:hAnsi="宋体" w:eastAsia="仿宋_GB2312" w:cs="仿宋_GB2312"/>
          <w:b w:val="0"/>
          <w:bCs w:val="0"/>
          <w:sz w:val="32"/>
          <w:szCs w:val="32"/>
          <w:lang w:val="en-US" w:eastAsia="zh-CN"/>
        </w:rPr>
        <w:t>建立奖补资金信息档案管理制度，各乡（镇）、科技城指挥部办公室要做好各项奖补政策的台账管理，特别是双季稻和油菜种植台账，对办理奖补项目的材料报表要全部整理归档。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楷体_GB2312" w:cs="楷体_GB2312"/>
          <w:b w:val="0"/>
          <w:bCs w:val="0"/>
          <w:sz w:val="32"/>
          <w:szCs w:val="32"/>
          <w:lang w:val="en-US" w:eastAsia="zh-CN"/>
        </w:rPr>
        <w:t>（五）强化公示监督。</w:t>
      </w:r>
      <w:r>
        <w:rPr>
          <w:rFonts w:hint="eastAsia" w:ascii="宋体" w:hAnsi="宋体" w:eastAsia="仿宋_GB2312" w:cs="仿宋_GB2312"/>
          <w:b w:val="0"/>
          <w:bCs w:val="0"/>
          <w:sz w:val="32"/>
          <w:szCs w:val="32"/>
          <w:lang w:val="en-US" w:eastAsia="zh-CN"/>
        </w:rPr>
        <w:t>严格落实奖补资金公示制度，各行政村早中晚稻、油菜等种植面积、奖补金额必须张榜公示，广泛接受群众监督，并保存好公示图片。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本奖补办法自2024年2月25日起施行，由区农业农村工作办公室负责解释。适用于2024年1月1日至2024年12月31日的粮食生产及2024年冬播油菜。</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val="0"/>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val="0"/>
          <w:sz w:val="32"/>
          <w:szCs w:val="32"/>
          <w:lang w:val="en-US" w:eastAsia="zh-CN"/>
        </w:rPr>
      </w:pPr>
    </w:p>
    <w:tbl>
      <w:tblPr>
        <w:tblStyle w:val="9"/>
        <w:tblpPr w:leftFromText="180" w:rightFromText="180" w:vertAnchor="text" w:horzAnchor="page" w:tblpX="1585" w:tblpY="1140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2024</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1</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26</w:t>
            </w:r>
            <w:r>
              <w:rPr>
                <w:rFonts w:hint="eastAsia" w:ascii="宋体" w:hAnsi="宋体" w:eastAsia="仿宋_GB2312" w:cs="Arial"/>
                <w:b w:val="0"/>
                <w:bCs w:val="0"/>
                <w:snapToGrid/>
                <w:color w:val="auto"/>
                <w:kern w:val="2"/>
                <w:sz w:val="28"/>
                <w:szCs w:val="28"/>
                <w:u w:val="none" w:color="auto"/>
              </w:rPr>
              <w:t>日印发</w:t>
            </w:r>
          </w:p>
        </w:tc>
      </w:tr>
    </w:tbl>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b w:val="0"/>
          <w:bCs w:val="0"/>
          <w:sz w:val="32"/>
          <w:szCs w:val="32"/>
          <w:lang w:val="en-US" w:eastAsia="zh-CN"/>
        </w:rPr>
      </w:pPr>
    </w:p>
    <w:sectPr>
      <w:footerReference r:id="rId3" w:type="default"/>
      <w:pgSz w:w="11906" w:h="16838"/>
      <w:pgMar w:top="2098" w:right="1587" w:bottom="2098" w:left="1587" w:header="851" w:footer="170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319211b4-b2e9-4c9d-8cac-c0d74fcb5843"/>
  </w:docVars>
  <w:rsids>
    <w:rsidRoot w:val="00000000"/>
    <w:rsid w:val="0CA61B23"/>
    <w:rsid w:val="1FB258CB"/>
    <w:rsid w:val="21BF4251"/>
    <w:rsid w:val="21FC0048"/>
    <w:rsid w:val="26386784"/>
    <w:rsid w:val="31205EB5"/>
    <w:rsid w:val="3FA5179B"/>
    <w:rsid w:val="49D24CE6"/>
    <w:rsid w:val="4DF9529F"/>
    <w:rsid w:val="4EB805B5"/>
    <w:rsid w:val="56575206"/>
    <w:rsid w:val="6E3D68E6"/>
    <w:rsid w:val="6FFD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4">
    <w:name w:val="heading 2"/>
    <w:basedOn w:val="1"/>
    <w:next w:val="1"/>
    <w:qFormat/>
    <w:uiPriority w:val="0"/>
    <w:pPr>
      <w:keepNext/>
      <w:keepLines/>
      <w:spacing w:before="100" w:beforeLines="100" w:beforeAutospacing="0" w:afterAutospacing="0" w:line="600" w:lineRule="exact"/>
      <w:outlineLvl w:val="1"/>
    </w:pPr>
    <w:rPr>
      <w:rFonts w:ascii="Arial" w:hAnsi="Arial" w:eastAsia="黑体" w:cs="Times New Roman"/>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paragraph" w:styleId="8">
    <w:name w:val="Body Text First Indent 2"/>
    <w:basedOn w:val="1"/>
    <w:qFormat/>
    <w:uiPriority w:val="0"/>
    <w:pPr>
      <w:ind w:left="420" w:leftChars="200" w:firstLine="21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Normal Indent_b4a4d746-362f-424a-8152-d0c2fa0a4c73"/>
    <w:basedOn w:val="1"/>
    <w:qFormat/>
    <w:uiPriority w:val="0"/>
    <w:pPr>
      <w:ind w:firstLine="420" w:firstLineChars="200"/>
    </w:pPr>
    <w:rPr>
      <w:rFonts w:ascii="Calibri" w:hAnsi="Calibri" w:cs="黑体"/>
      <w:szCs w:val="22"/>
    </w:rPr>
  </w:style>
  <w:style w:type="character" w:customStyle="1" w:styleId="15">
    <w:name w:val="font51"/>
    <w:basedOn w:val="11"/>
    <w:qFormat/>
    <w:uiPriority w:val="0"/>
    <w:rPr>
      <w:rFonts w:hint="eastAsia" w:ascii="仿宋_GB2312" w:hAnsi="Times New Roman" w:eastAsia="仿宋_GB2312" w:cs="仿宋_GB2312"/>
      <w:b/>
      <w:color w:val="000000"/>
      <w:sz w:val="20"/>
      <w:szCs w:val="20"/>
      <w:u w:val="none"/>
    </w:rPr>
  </w:style>
  <w:style w:type="character" w:customStyle="1" w:styleId="16">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1961</Words>
  <Characters>2124</Characters>
  <Paragraphs>64</Paragraphs>
  <TotalTime>0</TotalTime>
  <ScaleCrop>false</ScaleCrop>
  <LinksUpToDate>false</LinksUpToDate>
  <CharactersWithSpaces>2817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2021-02-05T12:10:00Z</dcterms:created>
  <dc:creator>osh79</dc:creator>
  <cp:lastModifiedBy>声宇</cp:lastModifiedBy>
  <cp:lastPrinted>2024-01-29T01:23:34Z</cp:lastPrinted>
  <dcterms:modified xsi:type="dcterms:W3CDTF">2024-01-29T01:24:32Z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998030B13DDF4F7FA49E1D92D4AE57B6_13</vt:lpwstr>
  </property>
</Properties>
</file>