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both"/>
        <w:textAlignment w:val="auto"/>
        <w:rPr>
          <w:rFonts w:hint="default" w:ascii="宋体" w:hAnsi="宋体" w:eastAsia="黑体" w:cs="黑体"/>
          <w:b w:val="0"/>
          <w:bCs w:val="0"/>
          <w:snapToGrid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1" w:firstLineChars="0"/>
        <w:jc w:val="both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144"/>
          <w:u w:val="none" w:color="auto"/>
        </w:rPr>
      </w:pPr>
    </w:p>
    <w:p>
      <w:pPr>
        <w:keepNext w:val="0"/>
        <w:keepLines w:val="0"/>
        <w:pageBreakBefore w:val="0"/>
        <w:widowControl w:val="0"/>
        <w:tabs>
          <w:tab w:val="left" w:pos="5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160" w:lineRule="exact"/>
        <w:ind w:left="0" w:firstLine="643" w:firstLineChars="0"/>
        <w:jc w:val="both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144"/>
          <w:u w:val="none" w:color="auto"/>
        </w:rPr>
      </w:pPr>
      <w:r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144"/>
          <w:u w:val="none" w:color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144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0"/>
        <w:jc w:val="center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32"/>
          <w:u w:val="none" w:color="auto"/>
        </w:rPr>
      </w:pPr>
      <w:r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2"/>
          <w:szCs w:val="144"/>
          <w:u w:val="none" w:color="auto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883" w:firstLineChars="0"/>
        <w:jc w:val="center"/>
        <w:textAlignment w:val="auto"/>
        <w:rPr>
          <w:rFonts w:ascii="宋体" w:hAnsi="宋体" w:eastAsia="楷体_GB2312" w:cs="Times New Roman"/>
          <w:b w:val="0"/>
          <w:bCs w:val="0"/>
          <w:snapToGrid/>
          <w:color w:val="auto"/>
          <w:spacing w:val="0"/>
          <w:kern w:val="144"/>
          <w:sz w:val="44"/>
          <w:szCs w:val="44"/>
          <w:u w:val="none" w:color="auto"/>
        </w:rPr>
      </w:pPr>
      <w:r>
        <w:rPr>
          <w:rFonts w:ascii="宋体" w:hAnsi="宋体" w:eastAsia="楷体_GB2312" w:cs="Times New Roman"/>
          <w:b w:val="0"/>
          <w:bCs w:val="0"/>
          <w:snapToGrid/>
          <w:color w:val="auto"/>
          <w:spacing w:val="0"/>
          <w:kern w:val="144"/>
          <w:sz w:val="44"/>
          <w:szCs w:val="44"/>
          <w:u w:val="none" w:color="auto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880" w:firstLineChars="0"/>
        <w:jc w:val="center"/>
        <w:textAlignment w:val="auto"/>
        <w:rPr>
          <w:rFonts w:ascii="宋体" w:hAnsi="宋体" w:eastAsia="方正小标宋简体" w:cs="Times New Roman"/>
          <w:b w:val="0"/>
          <w:bCs w:val="0"/>
          <w:snapToGrid/>
          <w:color w:val="auto"/>
          <w:spacing w:val="0"/>
          <w:kern w:val="144"/>
          <w:sz w:val="48"/>
          <w:szCs w:val="48"/>
          <w:u w:val="none" w:color="auto"/>
        </w:rPr>
      </w:pPr>
      <w:r>
        <w:rPr>
          <w:rFonts w:ascii="宋体" w:hAnsi="宋体" w:eastAsia="方正小标宋简体" w:cs="Times New Roman"/>
          <w:b w:val="0"/>
          <w:bCs w:val="0"/>
          <w:snapToGrid/>
          <w:color w:val="auto"/>
          <w:spacing w:val="0"/>
          <w:kern w:val="144"/>
          <w:sz w:val="44"/>
          <w:szCs w:val="44"/>
          <w:u w:val="none" w:color="auto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879" w:firstLineChars="0"/>
        <w:jc w:val="both"/>
        <w:textAlignment w:val="auto"/>
        <w:rPr>
          <w:rFonts w:ascii="宋体" w:hAnsi="宋体" w:eastAsia="方正小标宋简体" w:cs="Times New Roman"/>
          <w:b w:val="0"/>
          <w:bCs w:val="0"/>
          <w:snapToGrid/>
          <w:color w:val="auto"/>
          <w:spacing w:val="0"/>
          <w:kern w:val="144"/>
          <w:sz w:val="44"/>
          <w:szCs w:val="44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 w:firstLineChars="0"/>
        <w:jc w:val="center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</w:rPr>
      </w:pPr>
      <w:r>
        <w:rPr>
          <w:rFonts w:hint="eastAsia"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</w:rPr>
        <w:t>赣经开办字〔</w:t>
      </w:r>
      <w:r>
        <w:rPr>
          <w:rFonts w:hint="eastAsia"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  <w:lang w:val="en-US" w:eastAsia="zh-CN"/>
        </w:rPr>
        <w:t>2023</w:t>
      </w:r>
      <w:r>
        <w:rPr>
          <w:rFonts w:hint="eastAsia"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</w:rPr>
        <w:t>〕</w:t>
      </w:r>
      <w:r>
        <w:rPr>
          <w:rFonts w:hint="eastAsia" w:ascii="宋体" w:hAnsi="宋体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  <w:lang w:val="en-US" w:eastAsia="zh-CN"/>
        </w:rPr>
        <w:t>64</w:t>
      </w:r>
      <w:bookmarkStart w:id="0" w:name="_GoBack"/>
      <w:bookmarkEnd w:id="0"/>
      <w:r>
        <w:rPr>
          <w:rFonts w:hint="eastAsia" w:ascii="宋体" w:hAnsi="宋体" w:eastAsia="仿宋_GB2312" w:cs="Times New Roman"/>
          <w:b w:val="0"/>
          <w:bCs w:val="0"/>
          <w:snapToGrid/>
          <w:color w:val="auto"/>
          <w:spacing w:val="0"/>
          <w:kern w:val="144"/>
          <w:sz w:val="36"/>
          <w:szCs w:val="36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720" w:firstLineChars="0"/>
        <w:jc w:val="both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2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firstLine="720" w:firstLineChars="0"/>
        <w:jc w:val="both"/>
        <w:textAlignment w:val="auto"/>
        <w:rPr>
          <w:rFonts w:ascii="宋体" w:hAnsi="宋体" w:eastAsia="仿宋_GB2312" w:cs="Times New Roman"/>
          <w:b w:val="0"/>
          <w:bCs w:val="0"/>
          <w:snapToGrid/>
          <w:color w:val="auto"/>
          <w:spacing w:val="0"/>
          <w:kern w:val="2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关于印发《</w:t>
      </w:r>
      <w:r>
        <w:rPr>
          <w:rFonts w:hint="eastAsia" w:ascii="Times New Roman" w:hAnsi="Times New Roman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赣州经济技术开发区关于促进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二手车消费市场规范经营的实施意见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default" w:ascii="宋体" w:hAnsi="宋体" w:cs="Times New Roman"/>
          <w:b w:val="0"/>
          <w:bCs w:val="0"/>
          <w:u w:val="none"/>
        </w:rPr>
      </w:pPr>
      <w:r>
        <w:rPr>
          <w:rFonts w:hint="eastAsia" w:ascii="Times New Roman" w:hAnsi="Times New Roman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的通知</w:t>
      </w:r>
    </w:p>
    <w:p>
      <w:pPr>
        <w:bidi w:val="0"/>
        <w:spacing w:line="560" w:lineRule="exact"/>
        <w:rPr>
          <w:rFonts w:hint="default" w:ascii="宋体" w:hAnsi="宋体" w:cs="Times New Roman"/>
          <w:b w:val="0"/>
          <w:bCs w:val="0"/>
          <w:u w:val="none"/>
        </w:rPr>
      </w:pPr>
    </w:p>
    <w:p>
      <w:pPr>
        <w:autoSpaceDE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赣州综保区、各乡（镇、街道）、赣州新能源科技城管理处，区直、驻区各部门（单位）、区属各国有企业：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2023年3月29日区管委会第133次主任办公会研究同意，现将《赣州经济技术开发区关于促进二手车消费市场规范经营的实施意见（试行）》印发给你们，请认真贯彻落实。</w:t>
      </w:r>
    </w:p>
    <w:p>
      <w:pPr>
        <w:autoSpaceDE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</w:p>
    <w:p>
      <w:pPr>
        <w:pStyle w:val="2"/>
        <w:rPr>
          <w:rFonts w:hint="eastAsia"/>
          <w:b w:val="0"/>
          <w:bCs w:val="0"/>
        </w:rPr>
      </w:pPr>
    </w:p>
    <w:p>
      <w:pPr>
        <w:autoSpaceDE w:val="0"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赣州经济技术开发区党政办公室</w:t>
      </w:r>
    </w:p>
    <w:p>
      <w:pPr>
        <w:autoSpaceDE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2023年4月6日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theme="majorEastAsia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赣州经济技术开发区关于促进二手车消费市场规范经营的实施意见（试行）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为深入贯彻落实党的二十大和中央经济工作会议精神，深入实施扩大内需战略，促进二手车汽车消费市场高质量发展，根据《商务部等17部门关于搞活汽车流通扩大汽车消费若干措施的通知》（商消费发〔2022〕92号）精神，结合我区实际，现制定以下实施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一、营造二手车流通的市场环境。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落实全面取消二手车限迁政策，促进二手车自由流通和企业跨区域经营。自2023年1月1日起，对自然人在一个自然年度内出售持有时间少于1年的二手车达到3辆及以上的，汽车销售企业、二手车交易市场、拍卖企业等不得为其开具二手车销售统一发票，公安交管部门不予办理转让登记手续。商务部门指导辖区内二手车销售企业、二手车交易市场等市场主体按有关规定做好备案。商务部门要及时将备案企业信息推送至公安机关、税务部门，便捷二手车销售统一发票开具。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〔责任单位：区招商局、区税务局、区交警大队〕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二、促进二手车行业规范化经营。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在二手车市场聘请第三方专业财务和法务人员，指导二手车销售企业建账建制，健全财务会计制度，依法缴纳税收，宣传统计法律法规，指导二手车销售企业依法依规入统。鼓励二手车经销企业实行品牌化、规模化、现代化管理，提升服务能力和水平，实现规范化经营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〔责任单位：区招商局、区税务局、区司法分局〕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三、支持二手车销售企业升限入统。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激励二手车销售企业升限入统，对经统计部门认定的年度新增限上二手车销售企业奖励11万元。对经统计部门认定的在7月31日、8月31日、9月30日前实现月度新增限上二手车销售企业分别奖励15万元、14万元、13万元。奖励资金按照入统当年奖励80%，第二年奖励20%的方式发放。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〔责任单位：区招商局、区经发局、区财政局〕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0000FF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rtl w:val="0"/>
          <w:lang w:val="en-US" w:eastAsia="zh-CN"/>
        </w:rPr>
        <w:t>、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rtl w:val="0"/>
          <w:lang w:val="zh-TW" w:eastAsia="zh-CN"/>
        </w:rPr>
        <w:t>给予二手车销售企业经济贡献奖励。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 w:bidi="ar"/>
        </w:rPr>
        <w:t>对限上二手车销售企业，三年内根据企业对地方经济的贡献予以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  <w:t>全额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 w:bidi="ar"/>
        </w:rPr>
        <w:t>奖励。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 w:bidi="ar"/>
        </w:rPr>
        <w:t>〔责任单位：区招商局、区财政局、区税务局〕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五、鼓励二手车销售企业做大做强。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以上一年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000000"/>
          <w:vertAlign w:val="baseline"/>
          <w:lang w:val="en-US" w:eastAsia="zh-CN" w:bidi="ar"/>
        </w:rPr>
        <w:t>销售额为基数(以纳税申报表为准)，对年度销售额2亿元以上且达到全市平均增速以上的限上二手车销售企业奖励20万元；对年度销售额1-2亿元且达到全市平均增速以上的限上二手车销售企业奖励10万元；对年度销售额5000万-1亿元且达到全市平均增速以上的限上二手车销售企业奖励5万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元。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〔责任单位：区招商局、区经发局、区财政局、区税务局〕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rtl w:val="0"/>
          <w:lang w:val="en-US" w:eastAsia="zh-CN"/>
        </w:rPr>
        <w:t>六、支持二手车市场发展壮大。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  <w:t>鼓励大型二手车市场自营销售，实现统一收银、统一纳税。对经统计部门认定入统的大型二手车市场，入统当年一次性奖励50万元，零售额(以纳税申报表为准)达到1亿元再奖励100万元。大型二手车市场公司入统后5年内，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u w:val="none" w:color="000000"/>
          <w:lang w:bidi="ar"/>
        </w:rPr>
        <w:t>根据企业对地方经济的贡献予以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u w:val="none" w:color="000000"/>
          <w:lang w:val="en-US" w:eastAsia="zh-CN" w:bidi="ar"/>
        </w:rPr>
        <w:t>全额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u w:val="none" w:color="000000"/>
          <w:lang w:bidi="ar"/>
        </w:rPr>
        <w:t>奖励。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〔责任单位：区招商局、区经发局、区税务局、区财政局〕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rtl w:val="0"/>
          <w:lang w:val="en-US" w:eastAsia="zh-CN"/>
        </w:rPr>
        <w:t>七、切实加强二手车行业管理。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  <w:t>建立由商务、交警、税务、统计、市监、财政、行政审批、司法、城管、消防、应急、综合执法等部门组成的二手车行业管理工作领导小组，区分管领导任组长，领导小组办公室设在区招商局（商务局）。加强对二手车交易市场及经营主体的监督管理。坚决取缔无照经营，对不符合条件的“三无”（无场地、无设施配套、无专业人员）市场限期整改或依法取消其经营资质，查处使用虚假材料或违法违规办理转移登记。严查不到场机动车通过查验检验或减少项目，降低标准为不符合要求的机动车通过查验检验，虚假注册备案二手车销售企业领票不用票等违法违规行为，维护市场秩序，保护消费者合法权益。发挥二手车市场、行业协会作用，强化行业自律，实现规范化管理。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  <w:t>〔责任单位：区招商局、区经发局、区财政局、区税务局、区市监分局、区行政审批局、区消防大队、区应急局、区综合执法大队、区交警大队、区司法分局〕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本政策同一企业若同时符合区级层面同类型资金奖励条件，按照“就高不重复”原则兑现，不重复奖励。区党工委、管委会及相关部门已出台的政策，如有与本政策规定不一致的，以本政策为准。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en-US" w:eastAsia="zh-CN" w:bidi="ar"/>
        </w:rPr>
        <w:t>各有关部门要切实加强组织领导，按职责细化工作举措，加强财政保障，推动相关政策措施尽快落地见效，进一步促进二手车行业高质量发展。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  <w:t>本意见自公布之日起30日后施行，奖励政策适用期限为2023年1月1日至2024年12月31日。由赣州经济技术开发区招商局负责解释。</w:t>
      </w: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tbl>
      <w:tblPr>
        <w:tblStyle w:val="12"/>
        <w:tblpPr w:leftFromText="180" w:rightFromText="180" w:vertAnchor="text" w:horzAnchor="page" w:tblpX="1525" w:tblpY="11370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4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仿宋" w:cs="Tahoma"/>
                <w:b w:val="0"/>
                <w:bCs w:val="0"/>
                <w:snapToGrid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napToGrid/>
                <w:color w:val="auto"/>
                <w:spacing w:val="-10"/>
                <w:kern w:val="2"/>
                <w:sz w:val="28"/>
                <w:szCs w:val="28"/>
                <w:u w:val="none" w:color="auto"/>
              </w:rPr>
              <w:t>赣州经济技术开发区党政办公室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2023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年</w:t>
            </w:r>
            <w:r>
              <w:rPr>
                <w:rFonts w:hint="eastAsia" w:ascii="宋体" w:hAnsi="宋体" w:eastAsia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月</w:t>
            </w:r>
            <w:r>
              <w:rPr>
                <w:rFonts w:hint="eastAsia" w:ascii="宋体" w:hAnsi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日印发</w:t>
            </w:r>
          </w:p>
        </w:tc>
      </w:tr>
    </w:tbl>
    <w:p>
      <w:pPr>
        <w:pStyle w:val="2"/>
        <w:rPr>
          <w:rFonts w:hint="default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2098" w:right="1587" w:bottom="2098" w:left="1587" w:header="851" w:footer="170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WMyNmViNTEzZjhiODQwZjg2MjE4OGM5NDliODMifQ=="/>
  </w:docVars>
  <w:rsids>
    <w:rsidRoot w:val="0CCB2483"/>
    <w:rsid w:val="005C53F7"/>
    <w:rsid w:val="00BE342E"/>
    <w:rsid w:val="00D03F63"/>
    <w:rsid w:val="01243C35"/>
    <w:rsid w:val="015C31F8"/>
    <w:rsid w:val="01CF7B47"/>
    <w:rsid w:val="027B7AFA"/>
    <w:rsid w:val="032C218E"/>
    <w:rsid w:val="03554D3D"/>
    <w:rsid w:val="035717DD"/>
    <w:rsid w:val="04391B2B"/>
    <w:rsid w:val="044E739D"/>
    <w:rsid w:val="04F80D9E"/>
    <w:rsid w:val="05203D0E"/>
    <w:rsid w:val="057B562E"/>
    <w:rsid w:val="06917443"/>
    <w:rsid w:val="069C1ED5"/>
    <w:rsid w:val="07367818"/>
    <w:rsid w:val="07983F9F"/>
    <w:rsid w:val="07CE62ED"/>
    <w:rsid w:val="082F109E"/>
    <w:rsid w:val="09523912"/>
    <w:rsid w:val="095D48F9"/>
    <w:rsid w:val="09D726B7"/>
    <w:rsid w:val="0C8573BB"/>
    <w:rsid w:val="0CCB2483"/>
    <w:rsid w:val="0CE5779E"/>
    <w:rsid w:val="0DFB198A"/>
    <w:rsid w:val="0FEF502F"/>
    <w:rsid w:val="10A61E99"/>
    <w:rsid w:val="10C95A18"/>
    <w:rsid w:val="111B19E8"/>
    <w:rsid w:val="11C16083"/>
    <w:rsid w:val="11CC7C14"/>
    <w:rsid w:val="11FB533A"/>
    <w:rsid w:val="12053DD9"/>
    <w:rsid w:val="127C29C0"/>
    <w:rsid w:val="13775071"/>
    <w:rsid w:val="151650E7"/>
    <w:rsid w:val="162714E3"/>
    <w:rsid w:val="168E25A3"/>
    <w:rsid w:val="16A550C0"/>
    <w:rsid w:val="176F6D92"/>
    <w:rsid w:val="1858668B"/>
    <w:rsid w:val="18E01256"/>
    <w:rsid w:val="19B4513C"/>
    <w:rsid w:val="1A5E686A"/>
    <w:rsid w:val="1AF20F2C"/>
    <w:rsid w:val="1BC87652"/>
    <w:rsid w:val="1BDF6493"/>
    <w:rsid w:val="1C1653D9"/>
    <w:rsid w:val="1CBC50B4"/>
    <w:rsid w:val="1CBF6E39"/>
    <w:rsid w:val="1CC21F65"/>
    <w:rsid w:val="1CFB6C98"/>
    <w:rsid w:val="1D654641"/>
    <w:rsid w:val="1D732FD5"/>
    <w:rsid w:val="1DEF3100"/>
    <w:rsid w:val="1E6B0A71"/>
    <w:rsid w:val="1E912681"/>
    <w:rsid w:val="1EFA59E6"/>
    <w:rsid w:val="1F5DF51D"/>
    <w:rsid w:val="1FAF04CB"/>
    <w:rsid w:val="20097C80"/>
    <w:rsid w:val="22700071"/>
    <w:rsid w:val="23005595"/>
    <w:rsid w:val="239F27A8"/>
    <w:rsid w:val="23DF2175"/>
    <w:rsid w:val="254B6DF9"/>
    <w:rsid w:val="25534569"/>
    <w:rsid w:val="25EB3B3B"/>
    <w:rsid w:val="27190546"/>
    <w:rsid w:val="272A30CC"/>
    <w:rsid w:val="27590A9B"/>
    <w:rsid w:val="27C5086A"/>
    <w:rsid w:val="2A6671C6"/>
    <w:rsid w:val="2AA1140C"/>
    <w:rsid w:val="2C1874AC"/>
    <w:rsid w:val="2CA14511"/>
    <w:rsid w:val="2CDC497D"/>
    <w:rsid w:val="2DA76C30"/>
    <w:rsid w:val="2E4B6463"/>
    <w:rsid w:val="2E6E74F1"/>
    <w:rsid w:val="2E8D2EEB"/>
    <w:rsid w:val="2EAE40F8"/>
    <w:rsid w:val="2EAE4CE8"/>
    <w:rsid w:val="2EEF4A27"/>
    <w:rsid w:val="2FE26F0A"/>
    <w:rsid w:val="306233EC"/>
    <w:rsid w:val="30744C88"/>
    <w:rsid w:val="320209E2"/>
    <w:rsid w:val="3270063B"/>
    <w:rsid w:val="32DF445D"/>
    <w:rsid w:val="33CF327C"/>
    <w:rsid w:val="359A5F52"/>
    <w:rsid w:val="35F7BC08"/>
    <w:rsid w:val="35FE4071"/>
    <w:rsid w:val="371D17AA"/>
    <w:rsid w:val="37ED4490"/>
    <w:rsid w:val="38D2058B"/>
    <w:rsid w:val="3ADF71D3"/>
    <w:rsid w:val="3AE56BAD"/>
    <w:rsid w:val="3AF6B318"/>
    <w:rsid w:val="3BA47F47"/>
    <w:rsid w:val="3C455B7B"/>
    <w:rsid w:val="3C4F0BEE"/>
    <w:rsid w:val="3C6250A3"/>
    <w:rsid w:val="3DBF28A4"/>
    <w:rsid w:val="3DDC1999"/>
    <w:rsid w:val="3E4A66E2"/>
    <w:rsid w:val="3E502AD5"/>
    <w:rsid w:val="3EAD0992"/>
    <w:rsid w:val="3EDF7E1F"/>
    <w:rsid w:val="3EF79891"/>
    <w:rsid w:val="3EFE8CA8"/>
    <w:rsid w:val="3F6FCA7D"/>
    <w:rsid w:val="3FAE7914"/>
    <w:rsid w:val="3FDD4681"/>
    <w:rsid w:val="3FDE40B1"/>
    <w:rsid w:val="3FFD45E2"/>
    <w:rsid w:val="400D75E7"/>
    <w:rsid w:val="407E5986"/>
    <w:rsid w:val="41474EB0"/>
    <w:rsid w:val="41BD3269"/>
    <w:rsid w:val="42D85084"/>
    <w:rsid w:val="43E31A3B"/>
    <w:rsid w:val="43FEFF57"/>
    <w:rsid w:val="44405ECA"/>
    <w:rsid w:val="45230F44"/>
    <w:rsid w:val="458637F9"/>
    <w:rsid w:val="460272CE"/>
    <w:rsid w:val="464B4747"/>
    <w:rsid w:val="47152F23"/>
    <w:rsid w:val="47222787"/>
    <w:rsid w:val="476736F6"/>
    <w:rsid w:val="477C4810"/>
    <w:rsid w:val="481B2D41"/>
    <w:rsid w:val="492552B2"/>
    <w:rsid w:val="4A5E47CC"/>
    <w:rsid w:val="4AB14E59"/>
    <w:rsid w:val="4ACE7DC2"/>
    <w:rsid w:val="4AD02A30"/>
    <w:rsid w:val="4B332FF0"/>
    <w:rsid w:val="4BCD61E5"/>
    <w:rsid w:val="4C0A1960"/>
    <w:rsid w:val="4C4D55AA"/>
    <w:rsid w:val="4CF587DE"/>
    <w:rsid w:val="4DFA5AD6"/>
    <w:rsid w:val="4FFE7434"/>
    <w:rsid w:val="4FFF9056"/>
    <w:rsid w:val="50727C82"/>
    <w:rsid w:val="52B76009"/>
    <w:rsid w:val="53777F05"/>
    <w:rsid w:val="53A31046"/>
    <w:rsid w:val="53AA1E74"/>
    <w:rsid w:val="54CF153C"/>
    <w:rsid w:val="55374899"/>
    <w:rsid w:val="55567D78"/>
    <w:rsid w:val="577E162D"/>
    <w:rsid w:val="587C3386"/>
    <w:rsid w:val="58E30CBE"/>
    <w:rsid w:val="58EF6882"/>
    <w:rsid w:val="590B26CE"/>
    <w:rsid w:val="59691FED"/>
    <w:rsid w:val="5A3B1864"/>
    <w:rsid w:val="5AB55CA5"/>
    <w:rsid w:val="5ABBE6C8"/>
    <w:rsid w:val="5ACE63A1"/>
    <w:rsid w:val="5ADAAB04"/>
    <w:rsid w:val="5AF54CD9"/>
    <w:rsid w:val="5B304FAA"/>
    <w:rsid w:val="5BD3399A"/>
    <w:rsid w:val="5BFDC844"/>
    <w:rsid w:val="5C35640B"/>
    <w:rsid w:val="5D945CB6"/>
    <w:rsid w:val="5DEEC317"/>
    <w:rsid w:val="5E3D59D6"/>
    <w:rsid w:val="5E6962BF"/>
    <w:rsid w:val="5E944C78"/>
    <w:rsid w:val="5EFA7CCD"/>
    <w:rsid w:val="5F4F5023"/>
    <w:rsid w:val="5FFF2C0D"/>
    <w:rsid w:val="603269F6"/>
    <w:rsid w:val="6044257D"/>
    <w:rsid w:val="60B93CBC"/>
    <w:rsid w:val="617221C8"/>
    <w:rsid w:val="62995613"/>
    <w:rsid w:val="62B80374"/>
    <w:rsid w:val="633D2BD8"/>
    <w:rsid w:val="63473D01"/>
    <w:rsid w:val="64332B11"/>
    <w:rsid w:val="64D67AF1"/>
    <w:rsid w:val="64EF1D02"/>
    <w:rsid w:val="64FD3107"/>
    <w:rsid w:val="660D00CF"/>
    <w:rsid w:val="667B3E2D"/>
    <w:rsid w:val="6874526D"/>
    <w:rsid w:val="68FF7789"/>
    <w:rsid w:val="69C6085F"/>
    <w:rsid w:val="69DC0C15"/>
    <w:rsid w:val="6A0C3D41"/>
    <w:rsid w:val="6A495025"/>
    <w:rsid w:val="6A716371"/>
    <w:rsid w:val="6AED2542"/>
    <w:rsid w:val="6B2744E4"/>
    <w:rsid w:val="6BD85D34"/>
    <w:rsid w:val="6C4433CA"/>
    <w:rsid w:val="6CDC6D74"/>
    <w:rsid w:val="6D131E03"/>
    <w:rsid w:val="6D833F33"/>
    <w:rsid w:val="6DFFDE12"/>
    <w:rsid w:val="6E85604E"/>
    <w:rsid w:val="6EC06EAB"/>
    <w:rsid w:val="6EC67DFF"/>
    <w:rsid w:val="6ED076BE"/>
    <w:rsid w:val="6F713E3E"/>
    <w:rsid w:val="6FEF3DF9"/>
    <w:rsid w:val="6FF5945B"/>
    <w:rsid w:val="700111D1"/>
    <w:rsid w:val="70652935"/>
    <w:rsid w:val="70AF47ED"/>
    <w:rsid w:val="710B6820"/>
    <w:rsid w:val="715C3187"/>
    <w:rsid w:val="71746275"/>
    <w:rsid w:val="728110E2"/>
    <w:rsid w:val="732C709D"/>
    <w:rsid w:val="73681688"/>
    <w:rsid w:val="73DBC7AE"/>
    <w:rsid w:val="74242CF0"/>
    <w:rsid w:val="74647D11"/>
    <w:rsid w:val="746C1CBF"/>
    <w:rsid w:val="74F66270"/>
    <w:rsid w:val="7581648D"/>
    <w:rsid w:val="75DE133B"/>
    <w:rsid w:val="76E30E67"/>
    <w:rsid w:val="774A1D91"/>
    <w:rsid w:val="777FB0A8"/>
    <w:rsid w:val="77826C36"/>
    <w:rsid w:val="778FCF80"/>
    <w:rsid w:val="77B74674"/>
    <w:rsid w:val="77FF3596"/>
    <w:rsid w:val="782C21D0"/>
    <w:rsid w:val="789B17B9"/>
    <w:rsid w:val="78C61B15"/>
    <w:rsid w:val="79765497"/>
    <w:rsid w:val="79F530BD"/>
    <w:rsid w:val="7A2E55C1"/>
    <w:rsid w:val="7A6B4218"/>
    <w:rsid w:val="7A94263C"/>
    <w:rsid w:val="7B613075"/>
    <w:rsid w:val="7B922396"/>
    <w:rsid w:val="7BCB2632"/>
    <w:rsid w:val="7BCFD156"/>
    <w:rsid w:val="7C2D91FE"/>
    <w:rsid w:val="7C3D9A0A"/>
    <w:rsid w:val="7C95645E"/>
    <w:rsid w:val="7CFA011A"/>
    <w:rsid w:val="7DDB4275"/>
    <w:rsid w:val="7DF13B08"/>
    <w:rsid w:val="7E0E07C7"/>
    <w:rsid w:val="7EF3C117"/>
    <w:rsid w:val="7F3E897D"/>
    <w:rsid w:val="7F6836D7"/>
    <w:rsid w:val="7F7D58EC"/>
    <w:rsid w:val="7FBBA6B1"/>
    <w:rsid w:val="7FBC1A0B"/>
    <w:rsid w:val="7FBC263E"/>
    <w:rsid w:val="7FC8FC99"/>
    <w:rsid w:val="7FDF75F1"/>
    <w:rsid w:val="7FE8F45F"/>
    <w:rsid w:val="7FF37189"/>
    <w:rsid w:val="7FF7E157"/>
    <w:rsid w:val="98773AA7"/>
    <w:rsid w:val="9D4B5CFF"/>
    <w:rsid w:val="9FFB5604"/>
    <w:rsid w:val="A16FD75F"/>
    <w:rsid w:val="A1DF31F9"/>
    <w:rsid w:val="A37ECB1F"/>
    <w:rsid w:val="A37FCA55"/>
    <w:rsid w:val="A9DD270E"/>
    <w:rsid w:val="AD839002"/>
    <w:rsid w:val="B4FBE202"/>
    <w:rsid w:val="BA7B23C6"/>
    <w:rsid w:val="BFDF3D2E"/>
    <w:rsid w:val="CBCF1B5C"/>
    <w:rsid w:val="CCFC269B"/>
    <w:rsid w:val="CDEA1493"/>
    <w:rsid w:val="D91B85A9"/>
    <w:rsid w:val="DD7EC69A"/>
    <w:rsid w:val="DF5FC607"/>
    <w:rsid w:val="E6CF3FE7"/>
    <w:rsid w:val="EA7F9384"/>
    <w:rsid w:val="EBAD3E15"/>
    <w:rsid w:val="EBFA0FB5"/>
    <w:rsid w:val="ED6D62D9"/>
    <w:rsid w:val="EEFF6588"/>
    <w:rsid w:val="EF346A15"/>
    <w:rsid w:val="EF3AF0AD"/>
    <w:rsid w:val="EFFD2BB9"/>
    <w:rsid w:val="F1FD430C"/>
    <w:rsid w:val="F4BE5BC4"/>
    <w:rsid w:val="F6F58558"/>
    <w:rsid w:val="F6FB288C"/>
    <w:rsid w:val="F74BCDE8"/>
    <w:rsid w:val="F76FE670"/>
    <w:rsid w:val="F77F09A8"/>
    <w:rsid w:val="F7BF5814"/>
    <w:rsid w:val="FAFF0B94"/>
    <w:rsid w:val="FCFF081D"/>
    <w:rsid w:val="FDBFB333"/>
    <w:rsid w:val="FDDA1BDD"/>
    <w:rsid w:val="FE565DD6"/>
    <w:rsid w:val="FE734873"/>
    <w:rsid w:val="FEEFF313"/>
    <w:rsid w:val="FEFB9BFA"/>
    <w:rsid w:val="FEFF6773"/>
    <w:rsid w:val="FF5B3885"/>
    <w:rsid w:val="FF7A3DCB"/>
    <w:rsid w:val="FF7C93AF"/>
    <w:rsid w:val="FFB59C4C"/>
    <w:rsid w:val="FFBDBBDD"/>
    <w:rsid w:val="FFDF54D8"/>
    <w:rsid w:val="FFFF5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08" w:lineRule="auto"/>
      <w:outlineLvl w:val="1"/>
    </w:pPr>
    <w:rPr>
      <w:rFonts w:ascii="Arial" w:hAnsi="Arial" w:cs="Arial"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4"/>
    <w:qFormat/>
    <w:uiPriority w:val="0"/>
    <w:pPr>
      <w:ind w:firstLine="643" w:firstLineChars="200"/>
    </w:pPr>
    <w:rPr>
      <w:rFonts w:eastAsia="仿宋_GB2312"/>
      <w:b/>
      <w:bCs/>
      <w:sz w:val="32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Normal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8">
    <w:name w:val="BodyText1I2"/>
    <w:basedOn w:val="1"/>
    <w:qFormat/>
    <w:uiPriority w:val="0"/>
    <w:pPr>
      <w:ind w:left="420" w:leftChars="200" w:firstLine="210"/>
      <w:jc w:val="both"/>
      <w:textAlignment w:val="baseline"/>
    </w:pPr>
    <w:rPr>
      <w:rFonts w:ascii="Calibri" w:hAnsi="Calibri" w:eastAsia="宋体" w:cs="Times New Roman"/>
    </w:rPr>
  </w:style>
  <w:style w:type="character" w:customStyle="1" w:styleId="19">
    <w:name w:val="font91"/>
    <w:qFormat/>
    <w:uiPriority w:val="0"/>
    <w:rPr>
      <w:rFonts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0">
    <w:name w:val="font101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1">
    <w:name w:val="font1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2">
    <w:name w:val="font1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1884</Words>
  <Characters>1932</Characters>
  <Lines>0</Lines>
  <Paragraphs>0</Paragraphs>
  <TotalTime>2</TotalTime>
  <ScaleCrop>false</ScaleCrop>
  <LinksUpToDate>false</LinksUpToDate>
  <CharactersWithSpaces>1934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2020-10-10T00:00:00Z</dcterms:created>
  <dc:creator>しゅうれん</dc:creator>
  <cp:lastModifiedBy>声宇</cp:lastModifiedBy>
  <cp:lastPrinted>2023-03-31T17:32:00Z</cp:lastPrinted>
  <dcterms:modified xsi:type="dcterms:W3CDTF">2023-04-07T02:27:59Z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33379A462D034E49974541ED80AD01A2</vt:lpwstr>
  </property>
</Properties>
</file>