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color w:val="000000" w:themeColor="text1"/>
          <w:sz w:val="44"/>
          <w:szCs w:val="44"/>
          <w:shd w:val="clear" w:color="auto" w:fill="FFFFFF"/>
        </w:rPr>
      </w:pPr>
      <w:r>
        <w:rPr>
          <w:rFonts w:hint="eastAsia" w:ascii="方正小标宋简体" w:hAnsi="方正小标宋简体" w:eastAsia="方正小标宋简体" w:cs="方正小标宋简体"/>
          <w:color w:val="000000" w:themeColor="text1"/>
          <w:sz w:val="44"/>
          <w:szCs w:val="44"/>
          <w:shd w:val="clear" w:color="auto" w:fill="FFFFFF"/>
        </w:rPr>
        <w:t>赣州经开区</w:t>
      </w:r>
      <w:r>
        <w:rPr>
          <w:rFonts w:hint="eastAsia" w:ascii="方正小标宋简体" w:hAnsi="方正小标宋简体" w:eastAsia="方正小标宋简体" w:cs="方正小标宋简体"/>
          <w:color w:val="000000" w:themeColor="text1"/>
          <w:sz w:val="44"/>
          <w:szCs w:val="44"/>
          <w:shd w:val="clear" w:color="auto" w:fill="FFFFFF"/>
          <w:lang w:val="en-US" w:eastAsia="zh-CN"/>
        </w:rPr>
        <w:t>蟠龙镇</w:t>
      </w:r>
      <w:r>
        <w:rPr>
          <w:rFonts w:ascii="方正小标宋简体" w:hAnsi="方正小标宋简体" w:eastAsia="方正小标宋简体" w:cs="方正小标宋简体"/>
          <w:color w:val="000000" w:themeColor="text1"/>
          <w:sz w:val="44"/>
          <w:szCs w:val="44"/>
          <w:shd w:val="clear" w:color="auto" w:fill="FFFFFF"/>
        </w:rPr>
        <w:t>20</w:t>
      </w:r>
      <w:r>
        <w:rPr>
          <w:rFonts w:hint="eastAsia" w:ascii="方正小标宋简体" w:hAnsi="方正小标宋简体" w:eastAsia="方正小标宋简体" w:cs="方正小标宋简体"/>
          <w:color w:val="000000" w:themeColor="text1"/>
          <w:sz w:val="44"/>
          <w:szCs w:val="44"/>
          <w:shd w:val="clear" w:color="auto" w:fill="FFFFFF"/>
          <w:lang w:val="en-US" w:eastAsia="zh-CN"/>
        </w:rPr>
        <w:t>20</w:t>
      </w:r>
      <w:r>
        <w:rPr>
          <w:rFonts w:hint="eastAsia" w:ascii="方正小标宋简体" w:hAnsi="方正小标宋简体" w:eastAsia="方正小标宋简体" w:cs="方正小标宋简体"/>
          <w:color w:val="000000" w:themeColor="text1"/>
          <w:sz w:val="44"/>
          <w:szCs w:val="44"/>
          <w:shd w:val="clear" w:color="auto" w:fill="FFFFFF"/>
        </w:rPr>
        <w:t>年政府信息公开工作年度报告</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color w:val="000000" w:themeColor="text1"/>
          <w:sz w:val="44"/>
          <w:szCs w:val="44"/>
          <w:shd w:val="clear" w:color="auto" w:fill="FFFFFF"/>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b w:val="0"/>
          <w:bCs w:val="0"/>
          <w:color w:val="auto"/>
          <w:sz w:val="32"/>
          <w:szCs w:val="32"/>
          <w:shd w:val="clear" w:color="auto" w:fill="FFFFFF"/>
        </w:rPr>
      </w:pPr>
      <w:r>
        <w:rPr>
          <w:rFonts w:hint="eastAsia" w:ascii="黑体" w:hAnsi="黑体" w:eastAsia="黑体" w:cs="黑体"/>
          <w:b w:val="0"/>
          <w:bCs w:val="0"/>
          <w:color w:val="auto"/>
          <w:sz w:val="32"/>
          <w:szCs w:val="32"/>
          <w:shd w:val="clear" w:color="auto" w:fill="FFFFFF"/>
        </w:rPr>
        <w:t>一、总体情况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40" w:firstLineChars="200"/>
        <w:textAlignment w:val="auto"/>
        <w:rPr>
          <w:rFonts w:hint="eastAsia" w:ascii="仿宋_GB2312" w:hAnsi="微软雅黑" w:eastAsia="仿宋_GB2312" w:cs="仿宋_GB2312"/>
          <w:b w:val="0"/>
          <w:i w:val="0"/>
          <w:caps w:val="0"/>
          <w:color w:val="333333"/>
          <w:spacing w:val="0"/>
          <w:kern w:val="0"/>
          <w:sz w:val="32"/>
          <w:szCs w:val="32"/>
          <w:shd w:val="clear" w:fill="FFFFFF"/>
          <w:lang w:val="en-US" w:eastAsia="zh-CN" w:bidi="ar"/>
        </w:rPr>
      </w:pP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2020年，蟠龙镇全面深入贯彻落实习近平新时代中国特色社会主义思想和党的十九大、十九届一中、二中、三中、四中、五中全会精神，坚决落实新修订的《中华人民共和国政府信息公开条例》、江西省《2020年政务公开工作要点》、赣州市《2020年政务公开工作实施方案》和区党政办公室有关政务信息公开等文件要求，高度重视政府信息公开工作，加大工作力度，提升政府信息主动公开数量和质量，2020年主动</w:t>
      </w:r>
      <w:r>
        <w:rPr>
          <w:rFonts w:hint="eastAsia" w:ascii="仿宋_GB2312" w:hAnsi="微软雅黑" w:eastAsia="仿宋_GB2312" w:cs="仿宋_GB2312"/>
          <w:b w:val="0"/>
          <w:i w:val="0"/>
          <w:caps w:val="0"/>
          <w:color w:val="000000" w:themeColor="text1"/>
          <w:spacing w:val="0"/>
          <w:kern w:val="0"/>
          <w:sz w:val="32"/>
          <w:szCs w:val="32"/>
          <w:shd w:val="clear" w:fill="FFFFFF"/>
          <w:lang w:val="en-US" w:eastAsia="zh-CN" w:bidi="ar"/>
        </w:rPr>
        <w:t>公开103条。</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坚持以公开为常态，紧紧围绕全镇经济社会发展和群众关注关切，强化政民互动，规范平台建设，积极推进法治政府、阳光政府和服务型政府建设。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480"/>
        <w:jc w:val="left"/>
        <w:rPr>
          <w:rFonts w:hint="eastAsia" w:ascii="微软雅黑" w:hAnsi="微软雅黑" w:eastAsia="微软雅黑" w:cs="微软雅黑"/>
          <w:i w:val="0"/>
          <w:caps w:val="0"/>
          <w:color w:val="333333"/>
          <w:spacing w:val="0"/>
          <w:sz w:val="26"/>
          <w:szCs w:val="26"/>
        </w:rPr>
      </w:pPr>
      <w:r>
        <w:rPr>
          <w:rFonts w:hint="eastAsia" w:ascii="黑体" w:hAnsi="宋体" w:eastAsia="黑体" w:cs="黑体"/>
          <w:i w:val="0"/>
          <w:caps w:val="0"/>
          <w:color w:val="333333"/>
          <w:spacing w:val="0"/>
          <w:kern w:val="0"/>
          <w:sz w:val="32"/>
          <w:szCs w:val="32"/>
          <w:shd w:val="clear" w:fill="FFFFFF"/>
          <w:lang w:val="en-US" w:eastAsia="zh-CN" w:bidi="ar"/>
        </w:rPr>
        <w:t>（一）主动公开政府信息情况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right="0" w:firstLine="640" w:firstLineChars="200"/>
        <w:jc w:val="left"/>
        <w:rPr>
          <w:rFonts w:hint="eastAsia" w:ascii="微软雅黑" w:hAnsi="微软雅黑" w:eastAsia="微软雅黑" w:cs="微软雅黑"/>
          <w:i w:val="0"/>
          <w:caps w:val="0"/>
          <w:color w:val="333333"/>
          <w:spacing w:val="0"/>
          <w:sz w:val="26"/>
          <w:szCs w:val="26"/>
        </w:rPr>
      </w:pP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蟠龙镇结合统计工作实际，由党政办认真开展政府信息公开工作，细化职责分工。通过多种渠道、多种方式向社会广泛公开政府信息，按照月度、季度、年度时点，及时在</w:t>
      </w:r>
      <w:r>
        <w:rPr>
          <w:rFonts w:hint="eastAsia" w:ascii="仿宋_GB2312" w:hAnsi="微软雅黑" w:eastAsia="仿宋_GB2312" w:cs="仿宋_GB2312"/>
          <w:i w:val="0"/>
          <w:caps w:val="0"/>
          <w:color w:val="333333"/>
          <w:spacing w:val="0"/>
          <w:kern w:val="0"/>
          <w:sz w:val="32"/>
          <w:szCs w:val="32"/>
          <w:shd w:val="clear" w:fill="FFFFFF"/>
          <w:lang w:val="en-US" w:eastAsia="zh-CN" w:bidi="ar"/>
        </w:rPr>
        <w:t>赣州市人民政府门户网站首页</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发布全镇大项工作推进情况，向《赣南日报》、客家新闻网、区手机报等新闻媒体投稿，常态化做好主要经济指标运行情况的解读诠释，确保信息公开真实性、及时性。通过网络问政平台，回复公众提问39次，及时回应群众关切，回复群众咨询，满足群众对数据的需求，解答群众疑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480"/>
        <w:jc w:val="left"/>
        <w:rPr>
          <w:rFonts w:hint="eastAsia" w:ascii="微软雅黑" w:hAnsi="微软雅黑" w:eastAsia="微软雅黑" w:cs="微软雅黑"/>
          <w:i w:val="0"/>
          <w:caps w:val="0"/>
          <w:color w:val="333333"/>
          <w:spacing w:val="0"/>
          <w:sz w:val="26"/>
          <w:szCs w:val="26"/>
        </w:rPr>
      </w:pPr>
      <w:r>
        <w:rPr>
          <w:rFonts w:hint="eastAsia" w:ascii="黑体" w:hAnsi="宋体" w:eastAsia="黑体" w:cs="黑体"/>
          <w:i w:val="0"/>
          <w:caps w:val="0"/>
          <w:color w:val="333333"/>
          <w:spacing w:val="0"/>
          <w:kern w:val="0"/>
          <w:sz w:val="32"/>
          <w:szCs w:val="32"/>
          <w:shd w:val="clear" w:fill="FFFFFF"/>
          <w:lang w:val="en-US" w:eastAsia="zh-CN" w:bidi="ar"/>
        </w:rPr>
        <w:t>（二）依申请公开政府信息情况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480"/>
        <w:jc w:val="left"/>
        <w:rPr>
          <w:rFonts w:hint="eastAsia" w:ascii="微软雅黑" w:hAnsi="微软雅黑" w:eastAsia="微软雅黑" w:cs="微软雅黑"/>
          <w:i w:val="0"/>
          <w:caps w:val="0"/>
          <w:color w:val="333333"/>
          <w:spacing w:val="0"/>
          <w:sz w:val="26"/>
          <w:szCs w:val="26"/>
        </w:rPr>
      </w:pPr>
      <w:r>
        <w:rPr>
          <w:rFonts w:hint="eastAsia" w:ascii="仿宋_GB2312" w:hAnsi="微软雅黑" w:eastAsia="仿宋_GB2312" w:cs="仿宋_GB2312"/>
          <w:i w:val="0"/>
          <w:caps w:val="0"/>
          <w:color w:val="333333"/>
          <w:spacing w:val="0"/>
          <w:kern w:val="0"/>
          <w:sz w:val="32"/>
          <w:szCs w:val="32"/>
          <w:shd w:val="clear" w:fill="FFFFFF"/>
          <w:lang w:val="en-US" w:eastAsia="zh-CN" w:bidi="ar"/>
        </w:rPr>
        <w:t>通过网站、信函、电子邮件、传真以及口头等形式接受社会各界依申请公开0条。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480"/>
        <w:jc w:val="left"/>
        <w:rPr>
          <w:rFonts w:hint="eastAsia" w:ascii="微软雅黑" w:hAnsi="微软雅黑" w:eastAsia="微软雅黑" w:cs="微软雅黑"/>
          <w:i w:val="0"/>
          <w:caps w:val="0"/>
          <w:color w:val="333333"/>
          <w:spacing w:val="0"/>
          <w:sz w:val="26"/>
          <w:szCs w:val="26"/>
        </w:rPr>
      </w:pPr>
      <w:r>
        <w:rPr>
          <w:rFonts w:hint="eastAsia" w:ascii="黑体" w:hAnsi="宋体" w:eastAsia="黑体" w:cs="黑体"/>
          <w:i w:val="0"/>
          <w:caps w:val="0"/>
          <w:color w:val="333333"/>
          <w:spacing w:val="0"/>
          <w:kern w:val="0"/>
          <w:sz w:val="32"/>
          <w:szCs w:val="32"/>
          <w:shd w:val="clear" w:fill="FFFFFF"/>
          <w:lang w:val="en-US" w:eastAsia="zh-CN" w:bidi="ar"/>
        </w:rPr>
        <w:t>（三）政府信息管理、平台建设、监督保障情况</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微软雅黑" w:eastAsia="仿宋_GB2312" w:cs="仿宋_GB2312"/>
          <w:b w:val="0"/>
          <w:i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caps w:val="0"/>
          <w:color w:val="333333"/>
          <w:spacing w:val="0"/>
          <w:kern w:val="0"/>
          <w:sz w:val="32"/>
          <w:szCs w:val="32"/>
          <w:shd w:val="clear" w:fill="FFFFFF"/>
          <w:lang w:val="en-US" w:eastAsia="zh-CN" w:bidi="ar"/>
        </w:rPr>
        <w:t>蟠龙镇</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在政府信息公开专栏上发布103条信息，</w:t>
      </w:r>
      <w:r>
        <w:rPr>
          <w:rFonts w:hint="eastAsia" w:ascii="仿宋_GB2312" w:hAnsi="微软雅黑" w:eastAsia="仿宋_GB2312" w:cs="仿宋_GB2312"/>
          <w:i w:val="0"/>
          <w:caps w:val="0"/>
          <w:color w:val="333333"/>
          <w:spacing w:val="0"/>
          <w:kern w:val="0"/>
          <w:sz w:val="32"/>
          <w:szCs w:val="32"/>
          <w:shd w:val="clear" w:fill="FFFFFF"/>
          <w:lang w:val="en-US" w:eastAsia="zh-CN" w:bidi="ar"/>
        </w:rPr>
        <w:t>主要包括概况信息、文件、发展规划、工作动态、人事信息、行政执法、部门年度报告、信息公开指南、信息公开目录、依申请公开等十类项目。</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建立信息公开保密审查机制，要求由科室负责人、分管领导严格把关公开的信息，保证公开内容符合国家法律政策规定，真实有效。</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b w:val="0"/>
          <w:bCs w:val="0"/>
          <w:color w:val="auto"/>
          <w:sz w:val="32"/>
          <w:szCs w:val="32"/>
          <w:shd w:val="clear" w:color="auto" w:fill="FFFFFF"/>
        </w:rPr>
      </w:pPr>
      <w:r>
        <w:rPr>
          <w:rFonts w:hint="eastAsia" w:ascii="黑体" w:hAnsi="黑体" w:eastAsia="黑体" w:cs="黑体"/>
          <w:b w:val="0"/>
          <w:bCs w:val="0"/>
          <w:color w:val="auto"/>
          <w:sz w:val="32"/>
          <w:szCs w:val="32"/>
          <w:shd w:val="clear" w:color="auto" w:fill="FFFFFF"/>
        </w:rPr>
        <w:t>二、主动公开政府信息情况</w:t>
      </w:r>
    </w:p>
    <w:tbl>
      <w:tblPr>
        <w:tblStyle w:val="4"/>
        <w:tblW w:w="8284" w:type="dxa"/>
        <w:jc w:val="center"/>
        <w:tblLayout w:type="fixed"/>
        <w:tblCellMar>
          <w:top w:w="0" w:type="dxa"/>
          <w:left w:w="0" w:type="dxa"/>
          <w:bottom w:w="0" w:type="dxa"/>
          <w:right w:w="0" w:type="dxa"/>
        </w:tblCellMar>
      </w:tblPr>
      <w:tblGrid>
        <w:gridCol w:w="2484"/>
        <w:gridCol w:w="2272"/>
        <w:gridCol w:w="1784"/>
        <w:gridCol w:w="1744"/>
      </w:tblGrid>
      <w:tr>
        <w:tblPrEx>
          <w:tblCellMar>
            <w:top w:w="0" w:type="dxa"/>
            <w:left w:w="0" w:type="dxa"/>
            <w:bottom w:w="0" w:type="dxa"/>
            <w:right w:w="0" w:type="dxa"/>
          </w:tblCellMar>
        </w:tblPrEx>
        <w:trPr>
          <w:trHeight w:val="495" w:hRule="atLeast"/>
          <w:jc w:val="center"/>
        </w:trPr>
        <w:tc>
          <w:tcPr>
            <w:tcW w:w="8284"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第二十条第（一）项</w:t>
            </w:r>
          </w:p>
        </w:tc>
      </w:tr>
      <w:tr>
        <w:tblPrEx>
          <w:tblCellMar>
            <w:top w:w="0" w:type="dxa"/>
            <w:left w:w="0" w:type="dxa"/>
            <w:bottom w:w="0" w:type="dxa"/>
            <w:right w:w="0" w:type="dxa"/>
          </w:tblCellMar>
        </w:tblPrEx>
        <w:trPr>
          <w:trHeight w:val="882" w:hRule="atLeast"/>
          <w:jc w:val="center"/>
        </w:trPr>
        <w:tc>
          <w:tcPr>
            <w:tcW w:w="248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信息内容</w:t>
            </w:r>
          </w:p>
        </w:tc>
        <w:tc>
          <w:tcPr>
            <w:tcW w:w="227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本年新</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kern w:val="0"/>
                <w:sz w:val="32"/>
                <w:szCs w:val="32"/>
              </w:rPr>
              <w:t>制作数量</w:t>
            </w:r>
          </w:p>
        </w:tc>
        <w:tc>
          <w:tcPr>
            <w:tcW w:w="178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本年新</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kern w:val="0"/>
                <w:sz w:val="32"/>
                <w:szCs w:val="32"/>
              </w:rPr>
              <w:t>公开数量</w:t>
            </w:r>
          </w:p>
        </w:tc>
        <w:tc>
          <w:tcPr>
            <w:tcW w:w="1744"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对外公开总数量</w:t>
            </w:r>
          </w:p>
        </w:tc>
      </w:tr>
      <w:tr>
        <w:tblPrEx>
          <w:tblCellMar>
            <w:top w:w="0" w:type="dxa"/>
            <w:left w:w="0" w:type="dxa"/>
            <w:bottom w:w="0" w:type="dxa"/>
            <w:right w:w="0" w:type="dxa"/>
          </w:tblCellMar>
        </w:tblPrEx>
        <w:trPr>
          <w:trHeight w:val="523" w:hRule="atLeast"/>
          <w:jc w:val="center"/>
        </w:trPr>
        <w:tc>
          <w:tcPr>
            <w:tcW w:w="248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规章</w:t>
            </w:r>
          </w:p>
        </w:tc>
        <w:tc>
          <w:tcPr>
            <w:tcW w:w="2272"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rPr>
              <w:t>0</w:t>
            </w:r>
          </w:p>
        </w:tc>
        <w:tc>
          <w:tcPr>
            <w:tcW w:w="1784"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rPr>
              <w:t>0</w:t>
            </w:r>
          </w:p>
        </w:tc>
        <w:tc>
          <w:tcPr>
            <w:tcW w:w="1744"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0</w:t>
            </w:r>
          </w:p>
        </w:tc>
      </w:tr>
      <w:tr>
        <w:tblPrEx>
          <w:tblCellMar>
            <w:top w:w="0" w:type="dxa"/>
            <w:left w:w="0" w:type="dxa"/>
            <w:bottom w:w="0" w:type="dxa"/>
            <w:right w:w="0" w:type="dxa"/>
          </w:tblCellMar>
        </w:tblPrEx>
        <w:trPr>
          <w:trHeight w:val="471" w:hRule="atLeast"/>
          <w:jc w:val="center"/>
        </w:trPr>
        <w:tc>
          <w:tcPr>
            <w:tcW w:w="248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规范性文件</w:t>
            </w:r>
          </w:p>
        </w:tc>
        <w:tc>
          <w:tcPr>
            <w:tcW w:w="2272"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rPr>
              <w:t>0</w:t>
            </w:r>
          </w:p>
        </w:tc>
        <w:tc>
          <w:tcPr>
            <w:tcW w:w="1784"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1744"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0</w:t>
            </w:r>
          </w:p>
        </w:tc>
      </w:tr>
      <w:tr>
        <w:tblPrEx>
          <w:tblCellMar>
            <w:top w:w="0" w:type="dxa"/>
            <w:left w:w="0" w:type="dxa"/>
            <w:bottom w:w="0" w:type="dxa"/>
            <w:right w:w="0" w:type="dxa"/>
          </w:tblCellMar>
        </w:tblPrEx>
        <w:trPr>
          <w:trHeight w:val="480" w:hRule="atLeast"/>
          <w:jc w:val="center"/>
        </w:trPr>
        <w:tc>
          <w:tcPr>
            <w:tcW w:w="8284"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第二十条第（五）项</w:t>
            </w:r>
          </w:p>
        </w:tc>
      </w:tr>
      <w:tr>
        <w:tblPrEx>
          <w:tblCellMar>
            <w:top w:w="0" w:type="dxa"/>
            <w:left w:w="0" w:type="dxa"/>
            <w:bottom w:w="0" w:type="dxa"/>
            <w:right w:w="0" w:type="dxa"/>
          </w:tblCellMar>
        </w:tblPrEx>
        <w:trPr>
          <w:trHeight w:val="634" w:hRule="atLeast"/>
          <w:jc w:val="center"/>
        </w:trPr>
        <w:tc>
          <w:tcPr>
            <w:tcW w:w="248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信息内容</w:t>
            </w:r>
          </w:p>
        </w:tc>
        <w:tc>
          <w:tcPr>
            <w:tcW w:w="227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上一年项目数量</w:t>
            </w:r>
          </w:p>
        </w:tc>
        <w:tc>
          <w:tcPr>
            <w:tcW w:w="178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本年增/减</w:t>
            </w:r>
          </w:p>
        </w:tc>
        <w:tc>
          <w:tcPr>
            <w:tcW w:w="1744"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处理决定数量</w:t>
            </w:r>
          </w:p>
        </w:tc>
      </w:tr>
      <w:tr>
        <w:tblPrEx>
          <w:tblCellMar>
            <w:top w:w="0" w:type="dxa"/>
            <w:left w:w="0" w:type="dxa"/>
            <w:bottom w:w="0" w:type="dxa"/>
            <w:right w:w="0" w:type="dxa"/>
          </w:tblCellMar>
        </w:tblPrEx>
        <w:trPr>
          <w:trHeight w:val="528" w:hRule="atLeast"/>
          <w:jc w:val="center"/>
        </w:trPr>
        <w:tc>
          <w:tcPr>
            <w:tcW w:w="248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行政许可</w:t>
            </w:r>
          </w:p>
        </w:tc>
        <w:tc>
          <w:tcPr>
            <w:tcW w:w="2272"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0</w:t>
            </w:r>
          </w:p>
        </w:tc>
        <w:tc>
          <w:tcPr>
            <w:tcW w:w="1784"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0</w:t>
            </w:r>
          </w:p>
        </w:tc>
        <w:tc>
          <w:tcPr>
            <w:tcW w:w="1744"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0</w:t>
            </w:r>
          </w:p>
        </w:tc>
      </w:tr>
      <w:tr>
        <w:tblPrEx>
          <w:tblCellMar>
            <w:top w:w="0" w:type="dxa"/>
            <w:left w:w="0" w:type="dxa"/>
            <w:bottom w:w="0" w:type="dxa"/>
            <w:right w:w="0" w:type="dxa"/>
          </w:tblCellMar>
        </w:tblPrEx>
        <w:trPr>
          <w:trHeight w:val="550" w:hRule="atLeast"/>
          <w:jc w:val="center"/>
        </w:trPr>
        <w:tc>
          <w:tcPr>
            <w:tcW w:w="248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其他对外管理服务事项</w:t>
            </w:r>
          </w:p>
        </w:tc>
        <w:tc>
          <w:tcPr>
            <w:tcW w:w="2272"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0</w:t>
            </w:r>
          </w:p>
        </w:tc>
        <w:tc>
          <w:tcPr>
            <w:tcW w:w="1784"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color w:val="000000"/>
                <w:kern w:val="0"/>
                <w:sz w:val="32"/>
                <w:szCs w:val="32"/>
                <w:lang w:val="en-US" w:eastAsia="zh-CN"/>
              </w:rPr>
              <w:t>0</w:t>
            </w:r>
          </w:p>
        </w:tc>
        <w:tc>
          <w:tcPr>
            <w:tcW w:w="1744"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color w:val="000000"/>
                <w:kern w:val="0"/>
                <w:sz w:val="32"/>
                <w:szCs w:val="32"/>
                <w:lang w:val="en-US" w:eastAsia="zh-CN"/>
              </w:rPr>
              <w:t>0</w:t>
            </w:r>
          </w:p>
        </w:tc>
      </w:tr>
      <w:tr>
        <w:tblPrEx>
          <w:tblCellMar>
            <w:top w:w="0" w:type="dxa"/>
            <w:left w:w="0" w:type="dxa"/>
            <w:bottom w:w="0" w:type="dxa"/>
            <w:right w:w="0" w:type="dxa"/>
          </w:tblCellMar>
        </w:tblPrEx>
        <w:trPr>
          <w:trHeight w:val="406" w:hRule="atLeast"/>
          <w:jc w:val="center"/>
        </w:trPr>
        <w:tc>
          <w:tcPr>
            <w:tcW w:w="8284" w:type="dxa"/>
            <w:gridSpan w:val="4"/>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第二十条第（六）项</w:t>
            </w:r>
          </w:p>
        </w:tc>
      </w:tr>
      <w:tr>
        <w:tblPrEx>
          <w:tblCellMar>
            <w:top w:w="0" w:type="dxa"/>
            <w:left w:w="0" w:type="dxa"/>
            <w:bottom w:w="0" w:type="dxa"/>
            <w:right w:w="0" w:type="dxa"/>
          </w:tblCellMar>
        </w:tblPrEx>
        <w:trPr>
          <w:trHeight w:val="634" w:hRule="atLeast"/>
          <w:jc w:val="center"/>
        </w:trPr>
        <w:tc>
          <w:tcPr>
            <w:tcW w:w="2484"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信息内容</w:t>
            </w:r>
          </w:p>
        </w:tc>
        <w:tc>
          <w:tcPr>
            <w:tcW w:w="2272"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上一年项目数量</w:t>
            </w:r>
          </w:p>
        </w:tc>
        <w:tc>
          <w:tcPr>
            <w:tcW w:w="1784"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本年增/减</w:t>
            </w:r>
          </w:p>
        </w:tc>
        <w:tc>
          <w:tcPr>
            <w:tcW w:w="1744"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处理决定数量</w:t>
            </w:r>
          </w:p>
        </w:tc>
      </w:tr>
      <w:tr>
        <w:tblPrEx>
          <w:tblCellMar>
            <w:top w:w="0" w:type="dxa"/>
            <w:left w:w="0" w:type="dxa"/>
            <w:bottom w:w="0" w:type="dxa"/>
            <w:right w:w="0" w:type="dxa"/>
          </w:tblCellMar>
        </w:tblPrEx>
        <w:trPr>
          <w:trHeight w:val="430" w:hRule="atLeast"/>
          <w:jc w:val="center"/>
        </w:trPr>
        <w:tc>
          <w:tcPr>
            <w:tcW w:w="2484"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行政处罚</w:t>
            </w:r>
          </w:p>
        </w:tc>
        <w:tc>
          <w:tcPr>
            <w:tcW w:w="2272"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0</w:t>
            </w:r>
          </w:p>
        </w:tc>
        <w:tc>
          <w:tcPr>
            <w:tcW w:w="1784"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0</w:t>
            </w:r>
          </w:p>
        </w:tc>
        <w:tc>
          <w:tcPr>
            <w:tcW w:w="1744"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0</w:t>
            </w:r>
          </w:p>
        </w:tc>
      </w:tr>
      <w:tr>
        <w:tblPrEx>
          <w:tblCellMar>
            <w:top w:w="0" w:type="dxa"/>
            <w:left w:w="0" w:type="dxa"/>
            <w:bottom w:w="0" w:type="dxa"/>
            <w:right w:w="0" w:type="dxa"/>
          </w:tblCellMar>
        </w:tblPrEx>
        <w:trPr>
          <w:trHeight w:val="409" w:hRule="atLeast"/>
          <w:jc w:val="center"/>
        </w:trPr>
        <w:tc>
          <w:tcPr>
            <w:tcW w:w="2484" w:type="dxa"/>
            <w:tcBorders>
              <w:top w:val="single" w:color="auto" w:sz="4"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行政强制</w:t>
            </w:r>
          </w:p>
        </w:tc>
        <w:tc>
          <w:tcPr>
            <w:tcW w:w="2272" w:type="dxa"/>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0</w:t>
            </w:r>
          </w:p>
        </w:tc>
        <w:tc>
          <w:tcPr>
            <w:tcW w:w="1784" w:type="dxa"/>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0</w:t>
            </w:r>
          </w:p>
        </w:tc>
        <w:tc>
          <w:tcPr>
            <w:tcW w:w="1744" w:type="dxa"/>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0</w:t>
            </w:r>
          </w:p>
        </w:tc>
      </w:tr>
      <w:tr>
        <w:tblPrEx>
          <w:tblCellMar>
            <w:top w:w="0" w:type="dxa"/>
            <w:left w:w="0" w:type="dxa"/>
            <w:bottom w:w="0" w:type="dxa"/>
            <w:right w:w="0" w:type="dxa"/>
          </w:tblCellMar>
        </w:tblPrEx>
        <w:trPr>
          <w:trHeight w:val="474" w:hRule="atLeast"/>
          <w:jc w:val="center"/>
        </w:trPr>
        <w:tc>
          <w:tcPr>
            <w:tcW w:w="8284"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第二十条第（八）项</w:t>
            </w:r>
          </w:p>
        </w:tc>
      </w:tr>
      <w:tr>
        <w:tblPrEx>
          <w:tblCellMar>
            <w:top w:w="0" w:type="dxa"/>
            <w:left w:w="0" w:type="dxa"/>
            <w:bottom w:w="0" w:type="dxa"/>
            <w:right w:w="0" w:type="dxa"/>
          </w:tblCellMar>
        </w:tblPrEx>
        <w:trPr>
          <w:trHeight w:val="270" w:hRule="atLeast"/>
          <w:jc w:val="center"/>
        </w:trPr>
        <w:tc>
          <w:tcPr>
            <w:tcW w:w="248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信息内容</w:t>
            </w:r>
          </w:p>
        </w:tc>
        <w:tc>
          <w:tcPr>
            <w:tcW w:w="2272"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上一年项目数量</w:t>
            </w:r>
          </w:p>
        </w:tc>
        <w:tc>
          <w:tcPr>
            <w:tcW w:w="3528" w:type="dxa"/>
            <w:gridSpan w:val="2"/>
            <w:tcBorders>
              <w:top w:val="single" w:color="auto" w:sz="8" w:space="0"/>
              <w:left w:val="nil"/>
              <w:bottom w:val="single" w:color="auto" w:sz="8" w:space="0"/>
              <w:right w:val="single" w:color="000000"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本年增/减</w:t>
            </w:r>
          </w:p>
        </w:tc>
      </w:tr>
      <w:tr>
        <w:tblPrEx>
          <w:tblCellMar>
            <w:top w:w="0" w:type="dxa"/>
            <w:left w:w="0" w:type="dxa"/>
            <w:bottom w:w="0" w:type="dxa"/>
            <w:right w:w="0" w:type="dxa"/>
          </w:tblCellMar>
        </w:tblPrEx>
        <w:trPr>
          <w:trHeight w:val="551" w:hRule="atLeast"/>
          <w:jc w:val="center"/>
        </w:trPr>
        <w:tc>
          <w:tcPr>
            <w:tcW w:w="248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行政事业性收费</w:t>
            </w:r>
          </w:p>
        </w:tc>
        <w:tc>
          <w:tcPr>
            <w:tcW w:w="2272"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0</w:t>
            </w:r>
          </w:p>
        </w:tc>
        <w:tc>
          <w:tcPr>
            <w:tcW w:w="3528"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rPr>
              <w:t>0</w:t>
            </w:r>
          </w:p>
        </w:tc>
      </w:tr>
      <w:tr>
        <w:tblPrEx>
          <w:tblCellMar>
            <w:top w:w="0" w:type="dxa"/>
            <w:left w:w="0" w:type="dxa"/>
            <w:bottom w:w="0" w:type="dxa"/>
            <w:right w:w="0" w:type="dxa"/>
          </w:tblCellMar>
        </w:tblPrEx>
        <w:trPr>
          <w:trHeight w:val="476" w:hRule="atLeast"/>
          <w:jc w:val="center"/>
        </w:trPr>
        <w:tc>
          <w:tcPr>
            <w:tcW w:w="8284"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第二十条第（九）项</w:t>
            </w:r>
          </w:p>
        </w:tc>
      </w:tr>
      <w:tr>
        <w:tblPrEx>
          <w:tblCellMar>
            <w:top w:w="0" w:type="dxa"/>
            <w:left w:w="0" w:type="dxa"/>
            <w:bottom w:w="0" w:type="dxa"/>
            <w:right w:w="0" w:type="dxa"/>
          </w:tblCellMar>
        </w:tblPrEx>
        <w:trPr>
          <w:trHeight w:val="585" w:hRule="atLeast"/>
          <w:jc w:val="center"/>
        </w:trPr>
        <w:tc>
          <w:tcPr>
            <w:tcW w:w="248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信息内容</w:t>
            </w:r>
          </w:p>
        </w:tc>
        <w:tc>
          <w:tcPr>
            <w:tcW w:w="227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采购项目数量</w:t>
            </w:r>
          </w:p>
        </w:tc>
        <w:tc>
          <w:tcPr>
            <w:tcW w:w="352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采购总金额</w:t>
            </w:r>
          </w:p>
        </w:tc>
      </w:tr>
      <w:tr>
        <w:tblPrEx>
          <w:tblCellMar>
            <w:top w:w="0" w:type="dxa"/>
            <w:left w:w="0" w:type="dxa"/>
            <w:bottom w:w="0" w:type="dxa"/>
            <w:right w:w="0" w:type="dxa"/>
          </w:tblCellMar>
        </w:tblPrEx>
        <w:trPr>
          <w:trHeight w:val="539" w:hRule="atLeast"/>
          <w:jc w:val="center"/>
        </w:trPr>
        <w:tc>
          <w:tcPr>
            <w:tcW w:w="248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政府集中采购</w:t>
            </w:r>
          </w:p>
        </w:tc>
        <w:tc>
          <w:tcPr>
            <w:tcW w:w="227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rPr>
              <w:t>9个</w:t>
            </w:r>
            <w:bookmarkStart w:id="0" w:name="_GoBack"/>
            <w:bookmarkEnd w:id="0"/>
          </w:p>
        </w:tc>
        <w:tc>
          <w:tcPr>
            <w:tcW w:w="352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600" w:lineRule="exact"/>
              <w:jc w:val="center"/>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kern w:val="0"/>
                <w:sz w:val="32"/>
                <w:szCs w:val="32"/>
                <w:lang w:val="en-US" w:eastAsia="zh-CN"/>
              </w:rPr>
              <w:t>180000元</w:t>
            </w:r>
          </w:p>
        </w:tc>
      </w:tr>
    </w:tbl>
    <w:p>
      <w:pPr>
        <w:pStyle w:val="3"/>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b w:val="0"/>
          <w:bCs w:val="0"/>
          <w:color w:val="333333"/>
          <w:sz w:val="32"/>
          <w:szCs w:val="32"/>
          <w:shd w:val="clear" w:color="auto" w:fill="FFFFFF"/>
        </w:rPr>
      </w:pPr>
      <w:r>
        <w:rPr>
          <w:rFonts w:hint="eastAsia" w:ascii="黑体" w:hAnsi="黑体" w:eastAsia="黑体" w:cs="黑体"/>
          <w:b w:val="0"/>
          <w:bCs w:val="0"/>
          <w:color w:val="333333"/>
          <w:sz w:val="32"/>
          <w:szCs w:val="32"/>
          <w:shd w:val="clear" w:color="auto" w:fill="FFFFFF"/>
        </w:rPr>
        <w:t>收到和处理政府信息公开申请情况</w:t>
      </w:r>
    </w:p>
    <w:tbl>
      <w:tblPr>
        <w:tblStyle w:val="4"/>
        <w:tblW w:w="90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76"/>
        <w:gridCol w:w="1056"/>
        <w:gridCol w:w="1816"/>
        <w:gridCol w:w="912"/>
        <w:gridCol w:w="728"/>
        <w:gridCol w:w="728"/>
        <w:gridCol w:w="781"/>
        <w:gridCol w:w="925"/>
        <w:gridCol w:w="690"/>
        <w:gridCol w:w="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648" w:type="dxa"/>
            <w:gridSpan w:val="3"/>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（本列数据的勾稽关系为：第一项加第二项之和，等于第三项加第四项之和）</w:t>
            </w:r>
          </w:p>
        </w:tc>
        <w:tc>
          <w:tcPr>
            <w:tcW w:w="5423" w:type="dxa"/>
            <w:gridSpan w:val="7"/>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48" w:type="dxa"/>
            <w:gridSpan w:val="3"/>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91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自然人</w:t>
            </w:r>
          </w:p>
        </w:tc>
        <w:tc>
          <w:tcPr>
            <w:tcW w:w="3852" w:type="dxa"/>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法人或其他组织</w:t>
            </w:r>
          </w:p>
        </w:tc>
        <w:tc>
          <w:tcPr>
            <w:tcW w:w="659"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48" w:type="dxa"/>
            <w:gridSpan w:val="3"/>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91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商业企业</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科研机构</w:t>
            </w:r>
          </w:p>
        </w:tc>
        <w:tc>
          <w:tcPr>
            <w:tcW w:w="78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社会公益组织</w:t>
            </w:r>
          </w:p>
        </w:tc>
        <w:tc>
          <w:tcPr>
            <w:tcW w:w="92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法律服务机构</w:t>
            </w:r>
          </w:p>
        </w:tc>
        <w:tc>
          <w:tcPr>
            <w:tcW w:w="69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其他</w:t>
            </w:r>
          </w:p>
        </w:tc>
        <w:tc>
          <w:tcPr>
            <w:tcW w:w="659"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48"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一、本年新收政府信息公开申请数量</w:t>
            </w:r>
          </w:p>
        </w:tc>
        <w:tc>
          <w:tcPr>
            <w:tcW w:w="91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9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48"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二、上年结转政府信息公开申请数量</w:t>
            </w:r>
          </w:p>
        </w:tc>
        <w:tc>
          <w:tcPr>
            <w:tcW w:w="91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9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三、本年度办理结果</w:t>
            </w:r>
          </w:p>
        </w:tc>
        <w:tc>
          <w:tcPr>
            <w:tcW w:w="287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（一）予以公开</w:t>
            </w:r>
          </w:p>
        </w:tc>
        <w:tc>
          <w:tcPr>
            <w:tcW w:w="91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9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5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287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（二）部分公开（区分处理的，只计这一情形，不计其他情形）</w:t>
            </w:r>
          </w:p>
        </w:tc>
        <w:tc>
          <w:tcPr>
            <w:tcW w:w="91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9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05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（三）不予公开</w:t>
            </w: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1.属于国家秘密</w:t>
            </w:r>
          </w:p>
        </w:tc>
        <w:tc>
          <w:tcPr>
            <w:tcW w:w="91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9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5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0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2.其他法律行政法规禁止公开</w:t>
            </w:r>
          </w:p>
        </w:tc>
        <w:tc>
          <w:tcPr>
            <w:tcW w:w="91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9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0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3.危及“三安全一稳定”</w:t>
            </w:r>
          </w:p>
        </w:tc>
        <w:tc>
          <w:tcPr>
            <w:tcW w:w="91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9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0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4.保护第三方合法权益</w:t>
            </w:r>
          </w:p>
        </w:tc>
        <w:tc>
          <w:tcPr>
            <w:tcW w:w="91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9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0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5.属于三类内部事务信息</w:t>
            </w:r>
          </w:p>
        </w:tc>
        <w:tc>
          <w:tcPr>
            <w:tcW w:w="91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9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0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6.属于四类过程性信息</w:t>
            </w:r>
          </w:p>
        </w:tc>
        <w:tc>
          <w:tcPr>
            <w:tcW w:w="91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9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0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7.属于行政执法案卷</w:t>
            </w:r>
          </w:p>
        </w:tc>
        <w:tc>
          <w:tcPr>
            <w:tcW w:w="91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9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0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8.属于行政查询事项</w:t>
            </w:r>
          </w:p>
        </w:tc>
        <w:tc>
          <w:tcPr>
            <w:tcW w:w="91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9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05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（四）无法提供</w:t>
            </w: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1.本机关不掌握相关政府信息</w:t>
            </w:r>
          </w:p>
        </w:tc>
        <w:tc>
          <w:tcPr>
            <w:tcW w:w="91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9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0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2.没有现成信息需要另行制作</w:t>
            </w:r>
          </w:p>
        </w:tc>
        <w:tc>
          <w:tcPr>
            <w:tcW w:w="91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9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0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3.补正后申请内容仍不明确</w:t>
            </w:r>
          </w:p>
        </w:tc>
        <w:tc>
          <w:tcPr>
            <w:tcW w:w="91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9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05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（五）不予处理</w:t>
            </w: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1.信访举报投诉类申请</w:t>
            </w:r>
          </w:p>
        </w:tc>
        <w:tc>
          <w:tcPr>
            <w:tcW w:w="91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9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0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2.重复申请</w:t>
            </w:r>
          </w:p>
        </w:tc>
        <w:tc>
          <w:tcPr>
            <w:tcW w:w="91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9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0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3.要求提供公开出版物</w:t>
            </w:r>
          </w:p>
        </w:tc>
        <w:tc>
          <w:tcPr>
            <w:tcW w:w="91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9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0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4.无正当理由大量反复申请</w:t>
            </w:r>
          </w:p>
        </w:tc>
        <w:tc>
          <w:tcPr>
            <w:tcW w:w="91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9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0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5.要求行政机关确认或重新出具已获取信息</w:t>
            </w:r>
          </w:p>
        </w:tc>
        <w:tc>
          <w:tcPr>
            <w:tcW w:w="91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9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287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（六）其他处理</w:t>
            </w:r>
          </w:p>
        </w:tc>
        <w:tc>
          <w:tcPr>
            <w:tcW w:w="91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9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287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（七）总计</w:t>
            </w:r>
          </w:p>
        </w:tc>
        <w:tc>
          <w:tcPr>
            <w:tcW w:w="91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9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9" w:hRule="atLeast"/>
        </w:trPr>
        <w:tc>
          <w:tcPr>
            <w:tcW w:w="3648"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四、结转下年度继续办理</w:t>
            </w:r>
          </w:p>
        </w:tc>
        <w:tc>
          <w:tcPr>
            <w:tcW w:w="91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7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9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r>
    </w:tbl>
    <w:p>
      <w:pPr>
        <w:pStyle w:val="3"/>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color w:val="auto"/>
          <w:sz w:val="32"/>
          <w:szCs w:val="32"/>
          <w:shd w:val="clear" w:color="auto" w:fill="FFFFFF"/>
          <w:lang w:val="en-US" w:eastAsia="zh-CN"/>
        </w:rPr>
      </w:pPr>
      <w:r>
        <w:rPr>
          <w:rFonts w:hint="eastAsia" w:ascii="黑体" w:hAnsi="黑体" w:eastAsia="黑体" w:cs="黑体"/>
          <w:color w:val="auto"/>
          <w:sz w:val="32"/>
          <w:szCs w:val="32"/>
          <w:shd w:val="clear" w:color="auto" w:fill="FFFFFF"/>
          <w:lang w:val="en-US" w:eastAsia="zh-CN"/>
        </w:rPr>
        <w:t>四、政府信息公开行政复议、行政诉讼情况</w:t>
      </w:r>
    </w:p>
    <w:tbl>
      <w:tblPr>
        <w:tblStyle w:val="4"/>
        <w:tblW w:w="90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074"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行政复议</w:t>
            </w:r>
          </w:p>
        </w:tc>
        <w:tc>
          <w:tcPr>
            <w:tcW w:w="5997" w:type="dxa"/>
            <w:gridSpan w:val="10"/>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结果维持</w:t>
            </w:r>
          </w:p>
        </w:tc>
        <w:tc>
          <w:tcPr>
            <w:tcW w:w="604"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结果纠正</w:t>
            </w:r>
          </w:p>
        </w:tc>
        <w:tc>
          <w:tcPr>
            <w:tcW w:w="604"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其他结果</w:t>
            </w:r>
          </w:p>
        </w:tc>
        <w:tc>
          <w:tcPr>
            <w:tcW w:w="604"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尚未审结</w:t>
            </w:r>
          </w:p>
        </w:tc>
        <w:tc>
          <w:tcPr>
            <w:tcW w:w="658"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总计</w:t>
            </w:r>
          </w:p>
        </w:tc>
        <w:tc>
          <w:tcPr>
            <w:tcW w:w="2970" w:type="dxa"/>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6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604"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604"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658"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仿宋_GB2312" w:hAnsi="仿宋_GB2312" w:eastAsia="仿宋_GB2312" w:cs="仿宋_GB2312"/>
                <w:i w:val="0"/>
                <w:caps w:val="0"/>
                <w:color w:val="333333"/>
                <w:spacing w:val="0"/>
                <w:sz w:val="32"/>
                <w:szCs w:val="32"/>
              </w:rPr>
            </w:pPr>
          </w:p>
        </w:tc>
        <w:tc>
          <w:tcPr>
            <w:tcW w:w="55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结果维持</w:t>
            </w:r>
          </w:p>
        </w:tc>
        <w:tc>
          <w:tcPr>
            <w:tcW w:w="6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结果纠正</w:t>
            </w:r>
          </w:p>
        </w:tc>
        <w:tc>
          <w:tcPr>
            <w:tcW w:w="60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其他结果</w:t>
            </w:r>
          </w:p>
        </w:tc>
        <w:tc>
          <w:tcPr>
            <w:tcW w:w="60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尚未审结</w:t>
            </w:r>
          </w:p>
        </w:tc>
        <w:tc>
          <w:tcPr>
            <w:tcW w:w="60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总计</w:t>
            </w:r>
          </w:p>
        </w:tc>
        <w:tc>
          <w:tcPr>
            <w:tcW w:w="60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结果维持</w:t>
            </w:r>
          </w:p>
        </w:tc>
        <w:tc>
          <w:tcPr>
            <w:tcW w:w="60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结果纠正</w:t>
            </w:r>
          </w:p>
        </w:tc>
        <w:tc>
          <w:tcPr>
            <w:tcW w:w="60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其他结果</w:t>
            </w:r>
          </w:p>
        </w:tc>
        <w:tc>
          <w:tcPr>
            <w:tcW w:w="60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尚未审结</w:t>
            </w:r>
          </w:p>
        </w:tc>
        <w:tc>
          <w:tcPr>
            <w:tcW w:w="60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0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0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0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5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55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0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c>
          <w:tcPr>
            <w:tcW w:w="60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20"/>
                <w:sz w:val="32"/>
                <w:szCs w:val="32"/>
              </w:rPr>
              <w:t>0</w:t>
            </w:r>
          </w:p>
        </w:tc>
      </w:tr>
    </w:tbl>
    <w:p>
      <w:pPr>
        <w:pStyle w:val="3"/>
        <w:keepNext w:val="0"/>
        <w:keepLines w:val="0"/>
        <w:pageBreakBefore w:val="0"/>
        <w:widowControl w:val="0"/>
        <w:numPr>
          <w:ilvl w:val="0"/>
          <w:numId w:val="2"/>
        </w:numPr>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黑体" w:hAnsi="黑体" w:eastAsia="黑体" w:cs="黑体"/>
          <w:color w:val="auto"/>
          <w:sz w:val="32"/>
          <w:szCs w:val="32"/>
          <w:shd w:val="clear" w:color="auto" w:fill="FFFFFF"/>
          <w:lang w:val="en-US" w:eastAsia="zh-CN"/>
        </w:rPr>
      </w:pPr>
      <w:r>
        <w:rPr>
          <w:rFonts w:hint="eastAsia" w:ascii="黑体" w:hAnsi="黑体" w:eastAsia="黑体" w:cs="黑体"/>
          <w:color w:val="auto"/>
          <w:sz w:val="32"/>
          <w:szCs w:val="32"/>
          <w:shd w:val="clear" w:color="auto" w:fill="FFFFFF"/>
          <w:lang w:val="en-US" w:eastAsia="zh-CN"/>
        </w:rPr>
        <w:t>存在的主要问题及改进情况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left="0" w:right="0" w:firstLine="480"/>
        <w:jc w:val="left"/>
        <w:textAlignment w:val="auto"/>
        <w:rPr>
          <w:rFonts w:hint="eastAsia" w:ascii="仿宋_GB2312" w:hAnsi="仿宋_GB2312" w:eastAsia="仿宋_GB2312" w:cs="仿宋_GB2312"/>
          <w:b w:val="0"/>
          <w:bCs/>
          <w:color w:val="000000" w:themeColor="text1"/>
          <w:sz w:val="32"/>
          <w:szCs w:val="32"/>
          <w:shd w:val="clear" w:fill="FFFFFF"/>
          <w:lang w:val="en-US" w:eastAsia="zh-CN"/>
        </w:rPr>
      </w:pPr>
      <w:r>
        <w:rPr>
          <w:rFonts w:hint="eastAsia" w:ascii="仿宋_GB2312" w:hAnsi="仿宋_GB2312" w:eastAsia="仿宋_GB2312" w:cs="仿宋_GB2312"/>
          <w:i w:val="0"/>
          <w:caps w:val="0"/>
          <w:color w:val="000000" w:themeColor="text1"/>
          <w:spacing w:val="0"/>
          <w:sz w:val="32"/>
          <w:szCs w:val="32"/>
          <w:shd w:val="clear" w:fill="FFFFFF"/>
          <w:lang w:val="en-US" w:eastAsia="zh-CN"/>
        </w:rPr>
        <w:t>2020</w:t>
      </w:r>
      <w:r>
        <w:rPr>
          <w:rFonts w:hint="eastAsia" w:ascii="仿宋_GB2312" w:hAnsi="仿宋_GB2312" w:eastAsia="仿宋_GB2312" w:cs="仿宋_GB2312"/>
          <w:i w:val="0"/>
          <w:caps w:val="0"/>
          <w:color w:val="000000" w:themeColor="text1"/>
          <w:spacing w:val="0"/>
          <w:sz w:val="32"/>
          <w:szCs w:val="32"/>
          <w:shd w:val="clear" w:fill="FFFFFF"/>
        </w:rPr>
        <w:t>年，</w:t>
      </w:r>
      <w:r>
        <w:rPr>
          <w:rFonts w:hint="eastAsia" w:ascii="仿宋_GB2312" w:hAnsi="仿宋_GB2312" w:eastAsia="仿宋_GB2312" w:cs="仿宋_GB2312"/>
          <w:i w:val="0"/>
          <w:caps w:val="0"/>
          <w:color w:val="000000" w:themeColor="text1"/>
          <w:spacing w:val="0"/>
          <w:sz w:val="32"/>
          <w:szCs w:val="32"/>
          <w:shd w:val="clear" w:fill="FFFFFF"/>
          <w:lang w:val="en-US" w:eastAsia="zh-CN"/>
        </w:rPr>
        <w:t>蟠龙镇</w:t>
      </w:r>
      <w:r>
        <w:rPr>
          <w:rFonts w:hint="eastAsia" w:ascii="仿宋_GB2312" w:hAnsi="仿宋_GB2312" w:eastAsia="仿宋_GB2312" w:cs="仿宋_GB2312"/>
          <w:i w:val="0"/>
          <w:caps w:val="0"/>
          <w:color w:val="000000" w:themeColor="text1"/>
          <w:spacing w:val="0"/>
          <w:sz w:val="32"/>
          <w:szCs w:val="32"/>
          <w:shd w:val="clear" w:fill="FFFFFF"/>
        </w:rPr>
        <w:t>高度重视政务公开工作，在完善</w:t>
      </w:r>
      <w:r>
        <w:rPr>
          <w:rFonts w:hint="eastAsia" w:ascii="仿宋_GB2312" w:hAnsi="仿宋_GB2312" w:eastAsia="仿宋_GB2312" w:cs="仿宋_GB2312"/>
          <w:i w:val="0"/>
          <w:caps w:val="0"/>
          <w:color w:val="000000" w:themeColor="text1"/>
          <w:spacing w:val="0"/>
          <w:sz w:val="32"/>
          <w:szCs w:val="32"/>
          <w:shd w:val="clear" w:fill="FFFFFF"/>
          <w:lang w:val="en-US" w:eastAsia="zh-CN"/>
        </w:rPr>
        <w:t>蟠龙镇</w:t>
      </w:r>
      <w:r>
        <w:rPr>
          <w:rFonts w:hint="eastAsia" w:ascii="仿宋_GB2312" w:hAnsi="仿宋_GB2312" w:eastAsia="仿宋_GB2312" w:cs="仿宋_GB2312"/>
          <w:i w:val="0"/>
          <w:caps w:val="0"/>
          <w:color w:val="000000" w:themeColor="text1"/>
          <w:spacing w:val="0"/>
          <w:sz w:val="32"/>
          <w:szCs w:val="32"/>
          <w:shd w:val="clear" w:fill="FFFFFF"/>
        </w:rPr>
        <w:t>政务公开工作中取得了较大进步，但与上级要求相比，还存在对政务公开的认识有待加深，政府信息公开的系统性有待增强，公开的质量有待提高，公开目录结构有待优化，基层工作队伍综合素质和业务能力亟待提高等问题。下一步重点抓好以下改进措施。　</w:t>
      </w:r>
    </w:p>
    <w:p>
      <w:pPr>
        <w:pStyle w:val="3"/>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Autospacing="0" w:line="520" w:lineRule="exact"/>
        <w:ind w:left="0" w:right="0" w:firstLine="641"/>
        <w:textAlignment w:val="auto"/>
        <w:rPr>
          <w:rFonts w:hint="eastAsia" w:ascii="仿宋_GB2312" w:hAnsi="仿宋_GB2312" w:eastAsia="仿宋_GB2312" w:cs="仿宋_GB2312"/>
          <w:b w:val="0"/>
          <w:bCs/>
          <w:color w:val="000000" w:themeColor="text1"/>
          <w:sz w:val="32"/>
          <w:szCs w:val="32"/>
        </w:rPr>
      </w:pPr>
      <w:r>
        <w:rPr>
          <w:rFonts w:hint="eastAsia" w:ascii="楷体_GB2312" w:hAnsi="楷体_GB2312" w:eastAsia="楷体_GB2312" w:cs="楷体_GB2312"/>
          <w:b/>
          <w:bCs w:val="0"/>
          <w:color w:val="000000" w:themeColor="text1"/>
          <w:sz w:val="32"/>
          <w:szCs w:val="32"/>
          <w:shd w:val="clear" w:fill="FFFFFF"/>
        </w:rPr>
        <w:t>牢固树立以公开促工作的理念。</w:t>
      </w:r>
      <w:r>
        <w:rPr>
          <w:rFonts w:hint="eastAsia" w:ascii="仿宋_GB2312" w:hAnsi="仿宋_GB2312" w:eastAsia="仿宋_GB2312" w:cs="仿宋_GB2312"/>
          <w:b w:val="0"/>
          <w:bCs/>
          <w:color w:val="000000" w:themeColor="text1"/>
          <w:sz w:val="32"/>
          <w:szCs w:val="32"/>
          <w:shd w:val="clear" w:fill="FFFFFF"/>
        </w:rPr>
        <w:t>充分认识做好政府信息公开工作的重大意义，切实转变思想观念，增强工作主动性和自觉性，以政府信息公开服务领导决策、服务中心工作开展、服务人民群众信息需求，着力做到以公开促公正、以公开立公信，维护法治政府、透明政府的良好形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41"/>
        <w:textAlignment w:val="auto"/>
        <w:rPr>
          <w:rFonts w:hint="eastAsia" w:ascii="仿宋_GB2312" w:hAnsi="仿宋_GB2312" w:eastAsia="仿宋_GB2312" w:cs="仿宋_GB2312"/>
          <w:b w:val="0"/>
          <w:bCs/>
          <w:color w:val="000000" w:themeColor="text1"/>
          <w:sz w:val="32"/>
          <w:szCs w:val="32"/>
        </w:rPr>
      </w:pPr>
      <w:r>
        <w:rPr>
          <w:rFonts w:hint="eastAsia" w:ascii="楷体_GB2312" w:hAnsi="楷体_GB2312" w:eastAsia="楷体_GB2312" w:cs="楷体_GB2312"/>
          <w:b/>
          <w:bCs w:val="0"/>
          <w:color w:val="000000" w:themeColor="text1"/>
          <w:sz w:val="32"/>
          <w:szCs w:val="32"/>
          <w:shd w:val="clear" w:fill="FFFFFF"/>
          <w:lang w:eastAsia="zh-CN"/>
        </w:rPr>
        <w:t>（</w:t>
      </w:r>
      <w:r>
        <w:rPr>
          <w:rFonts w:hint="eastAsia" w:ascii="楷体_GB2312" w:hAnsi="楷体_GB2312" w:eastAsia="楷体_GB2312" w:cs="楷体_GB2312"/>
          <w:b/>
          <w:bCs w:val="0"/>
          <w:color w:val="000000" w:themeColor="text1"/>
          <w:sz w:val="32"/>
          <w:szCs w:val="32"/>
          <w:shd w:val="clear" w:fill="FFFFFF"/>
          <w:lang w:val="en-US" w:eastAsia="zh-CN"/>
        </w:rPr>
        <w:t>二</w:t>
      </w:r>
      <w:r>
        <w:rPr>
          <w:rFonts w:hint="eastAsia" w:ascii="楷体_GB2312" w:hAnsi="楷体_GB2312" w:eastAsia="楷体_GB2312" w:cs="楷体_GB2312"/>
          <w:b/>
          <w:bCs w:val="0"/>
          <w:color w:val="000000" w:themeColor="text1"/>
          <w:sz w:val="32"/>
          <w:szCs w:val="32"/>
          <w:shd w:val="clear" w:fill="FFFFFF"/>
          <w:lang w:eastAsia="zh-CN"/>
        </w:rPr>
        <w:t>）</w:t>
      </w:r>
      <w:r>
        <w:rPr>
          <w:rFonts w:hint="eastAsia" w:ascii="楷体_GB2312" w:hAnsi="楷体_GB2312" w:eastAsia="楷体_GB2312" w:cs="楷体_GB2312"/>
          <w:b/>
          <w:bCs w:val="0"/>
          <w:color w:val="000000" w:themeColor="text1"/>
          <w:sz w:val="32"/>
          <w:szCs w:val="32"/>
          <w:shd w:val="clear" w:fill="FFFFFF"/>
        </w:rPr>
        <w:t>着力提升政府信息公开工作实效。</w:t>
      </w:r>
      <w:r>
        <w:rPr>
          <w:rFonts w:hint="eastAsia" w:ascii="仿宋_GB2312" w:hAnsi="仿宋_GB2312" w:eastAsia="仿宋_GB2312" w:cs="仿宋_GB2312"/>
          <w:b w:val="0"/>
          <w:bCs/>
          <w:color w:val="000000" w:themeColor="text1"/>
          <w:sz w:val="32"/>
          <w:szCs w:val="32"/>
          <w:shd w:val="clear" w:fill="FFFFFF"/>
        </w:rPr>
        <w:t>进一步深化群众关注的重点领域信息公开，明确各领域公开内容，修订完善主动公开目录，确保应公开尽公开。加大对政府重点工作、重要决策部署、重大改革措施的解读力度，及时关注舆情，回应社会关切。积极稳妥推进政府数据开放共享，服务社会管理创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41"/>
        <w:textAlignment w:val="auto"/>
        <w:rPr>
          <w:rFonts w:hint="eastAsia" w:ascii="仿宋_GB2312" w:hAnsi="仿宋_GB2312" w:eastAsia="仿宋_GB2312" w:cs="仿宋_GB2312"/>
          <w:b w:val="0"/>
          <w:bCs/>
          <w:color w:val="000000" w:themeColor="text1"/>
          <w:sz w:val="32"/>
          <w:szCs w:val="32"/>
        </w:rPr>
      </w:pPr>
      <w:r>
        <w:rPr>
          <w:rFonts w:hint="eastAsia" w:ascii="楷体_GB2312" w:hAnsi="楷体_GB2312" w:eastAsia="楷体_GB2312" w:cs="楷体_GB2312"/>
          <w:b/>
          <w:bCs w:val="0"/>
          <w:color w:val="000000" w:themeColor="text1"/>
          <w:sz w:val="32"/>
          <w:szCs w:val="32"/>
          <w:shd w:val="clear" w:fill="FFFFFF"/>
          <w:lang w:eastAsia="zh-CN"/>
        </w:rPr>
        <w:t>（</w:t>
      </w:r>
      <w:r>
        <w:rPr>
          <w:rFonts w:hint="eastAsia" w:ascii="楷体_GB2312" w:hAnsi="楷体_GB2312" w:eastAsia="楷体_GB2312" w:cs="楷体_GB2312"/>
          <w:b/>
          <w:bCs w:val="0"/>
          <w:color w:val="000000" w:themeColor="text1"/>
          <w:sz w:val="32"/>
          <w:szCs w:val="32"/>
          <w:shd w:val="clear" w:fill="FFFFFF"/>
          <w:lang w:val="en-US" w:eastAsia="zh-CN"/>
        </w:rPr>
        <w:t>三</w:t>
      </w:r>
      <w:r>
        <w:rPr>
          <w:rFonts w:hint="eastAsia" w:ascii="楷体_GB2312" w:hAnsi="楷体_GB2312" w:eastAsia="楷体_GB2312" w:cs="楷体_GB2312"/>
          <w:b/>
          <w:bCs w:val="0"/>
          <w:color w:val="000000" w:themeColor="text1"/>
          <w:sz w:val="32"/>
          <w:szCs w:val="32"/>
          <w:shd w:val="clear" w:fill="FFFFFF"/>
          <w:lang w:eastAsia="zh-CN"/>
        </w:rPr>
        <w:t>）</w:t>
      </w:r>
      <w:r>
        <w:rPr>
          <w:rFonts w:hint="eastAsia" w:ascii="楷体_GB2312" w:hAnsi="楷体_GB2312" w:eastAsia="楷体_GB2312" w:cs="楷体_GB2312"/>
          <w:b/>
          <w:bCs w:val="0"/>
          <w:color w:val="000000" w:themeColor="text1"/>
          <w:sz w:val="32"/>
          <w:szCs w:val="32"/>
          <w:shd w:val="clear" w:fill="FFFFFF"/>
        </w:rPr>
        <w:t>深入开展政府信息公开方法举措创新。</w:t>
      </w:r>
      <w:r>
        <w:rPr>
          <w:rFonts w:hint="eastAsia" w:ascii="仿宋_GB2312" w:hAnsi="仿宋_GB2312" w:eastAsia="仿宋_GB2312" w:cs="仿宋_GB2312"/>
          <w:b w:val="0"/>
          <w:bCs/>
          <w:color w:val="000000" w:themeColor="text1"/>
          <w:sz w:val="32"/>
          <w:szCs w:val="32"/>
          <w:shd w:val="clear" w:fill="FFFFFF"/>
        </w:rPr>
        <w:t>进一步整合优化政府信息公开平台，围绕公众关切梳理、整合各类信息，建设相关专题，使群众获取信息更加便捷；加强对“互联网</w:t>
      </w:r>
      <w:r>
        <w:rPr>
          <w:rFonts w:hint="eastAsia" w:ascii="仿宋_GB2312" w:hAnsi="仿宋_GB2312" w:eastAsia="仿宋_GB2312" w:cs="仿宋_GB2312"/>
          <w:b w:val="0"/>
          <w:bCs/>
          <w:color w:val="000000" w:themeColor="text1"/>
          <w:sz w:val="32"/>
          <w:szCs w:val="32"/>
          <w:shd w:val="clear" w:fill="FFFFFF"/>
          <w:lang w:val="en-US"/>
        </w:rPr>
        <w:t>+</w:t>
      </w:r>
      <w:r>
        <w:rPr>
          <w:rFonts w:hint="eastAsia" w:ascii="仿宋_GB2312" w:hAnsi="仿宋_GB2312" w:eastAsia="仿宋_GB2312" w:cs="仿宋_GB2312"/>
          <w:b w:val="0"/>
          <w:bCs/>
          <w:color w:val="000000" w:themeColor="text1"/>
          <w:sz w:val="32"/>
          <w:szCs w:val="32"/>
          <w:shd w:val="clear" w:fill="FFFFFF"/>
        </w:rPr>
        <w:t>”、微博、微信等新技术、新媒体的学习和应用，推进互联网和政府信息公开工作的深度融合，运用网络客户端、微博、微信主动及时向社会群众公开热点信息。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41"/>
        <w:textAlignment w:val="auto"/>
        <w:rPr>
          <w:rFonts w:hint="eastAsia" w:ascii="仿宋_GB2312" w:hAnsi="仿宋_GB2312" w:eastAsia="仿宋_GB2312" w:cs="仿宋_GB2312"/>
          <w:b w:val="0"/>
          <w:bCs/>
          <w:color w:val="000000" w:themeColor="text1"/>
          <w:sz w:val="32"/>
          <w:szCs w:val="32"/>
          <w:shd w:val="clear" w:fill="FFFFFF"/>
        </w:rPr>
      </w:pPr>
      <w:r>
        <w:rPr>
          <w:rFonts w:hint="eastAsia" w:ascii="楷体_GB2312" w:hAnsi="楷体_GB2312" w:eastAsia="楷体_GB2312" w:cs="楷体_GB2312"/>
          <w:b/>
          <w:bCs w:val="0"/>
          <w:color w:val="000000" w:themeColor="text1"/>
          <w:sz w:val="32"/>
          <w:szCs w:val="32"/>
          <w:shd w:val="clear" w:fill="FFFFFF"/>
          <w:lang w:eastAsia="zh-CN"/>
        </w:rPr>
        <w:t>（</w:t>
      </w:r>
      <w:r>
        <w:rPr>
          <w:rFonts w:hint="eastAsia" w:ascii="楷体_GB2312" w:hAnsi="楷体_GB2312" w:eastAsia="楷体_GB2312" w:cs="楷体_GB2312"/>
          <w:b/>
          <w:bCs w:val="0"/>
          <w:color w:val="000000" w:themeColor="text1"/>
          <w:sz w:val="32"/>
          <w:szCs w:val="32"/>
          <w:shd w:val="clear" w:fill="FFFFFF"/>
          <w:lang w:val="en-US" w:eastAsia="zh-CN"/>
        </w:rPr>
        <w:t>四</w:t>
      </w:r>
      <w:r>
        <w:rPr>
          <w:rFonts w:hint="eastAsia" w:ascii="楷体_GB2312" w:hAnsi="楷体_GB2312" w:eastAsia="楷体_GB2312" w:cs="楷体_GB2312"/>
          <w:b/>
          <w:bCs w:val="0"/>
          <w:color w:val="000000" w:themeColor="text1"/>
          <w:sz w:val="32"/>
          <w:szCs w:val="32"/>
          <w:shd w:val="clear" w:fill="FFFFFF"/>
          <w:lang w:eastAsia="zh-CN"/>
        </w:rPr>
        <w:t>）</w:t>
      </w:r>
      <w:r>
        <w:rPr>
          <w:rFonts w:hint="eastAsia" w:ascii="楷体_GB2312" w:hAnsi="楷体_GB2312" w:eastAsia="楷体_GB2312" w:cs="楷体_GB2312"/>
          <w:b/>
          <w:bCs w:val="0"/>
          <w:color w:val="000000" w:themeColor="text1"/>
          <w:sz w:val="32"/>
          <w:szCs w:val="32"/>
          <w:shd w:val="clear" w:fill="FFFFFF"/>
        </w:rPr>
        <w:t>加强业务人员学习培训。</w:t>
      </w:r>
      <w:r>
        <w:rPr>
          <w:rFonts w:hint="eastAsia" w:ascii="仿宋_GB2312" w:hAnsi="仿宋_GB2312" w:eastAsia="仿宋_GB2312" w:cs="仿宋_GB2312"/>
          <w:b w:val="0"/>
          <w:bCs/>
          <w:color w:val="000000" w:themeColor="text1"/>
          <w:sz w:val="32"/>
          <w:szCs w:val="32"/>
          <w:shd w:val="clear" w:fill="FFFFFF"/>
        </w:rPr>
        <w:t>制定年度学习培训规划，每年有重点、有侧重地开展学习培训。积极参加上级举办的信息公开相关专题培训，提高政府信息公开业务水平。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41"/>
        <w:textAlignment w:val="auto"/>
        <w:rPr>
          <w:rFonts w:hint="eastAsia" w:ascii="黑体" w:hAnsi="黑体" w:eastAsia="黑体" w:cs="黑体"/>
          <w:b w:val="0"/>
          <w:bCs/>
          <w:color w:val="000000" w:themeColor="text1"/>
          <w:sz w:val="32"/>
          <w:szCs w:val="32"/>
          <w:shd w:val="clear" w:fill="FFFFFF"/>
        </w:rPr>
      </w:pPr>
      <w:r>
        <w:rPr>
          <w:rFonts w:hint="eastAsia" w:ascii="黑体" w:hAnsi="黑体" w:eastAsia="黑体" w:cs="黑体"/>
          <w:b w:val="0"/>
          <w:bCs/>
          <w:color w:val="000000" w:themeColor="text1"/>
          <w:sz w:val="32"/>
          <w:szCs w:val="32"/>
          <w:shd w:val="clear" w:fill="FFFFFF"/>
          <w:lang w:val="en-US" w:eastAsia="zh-CN"/>
        </w:rPr>
        <w:t>六、其他需要报告的事项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41"/>
        <w:textAlignment w:val="auto"/>
        <w:rPr>
          <w:rFonts w:hint="eastAsia" w:ascii="仿宋_GB2312" w:hAnsi="仿宋_GB2312" w:eastAsia="仿宋_GB2312" w:cs="仿宋_GB2312"/>
          <w:b w:val="0"/>
          <w:bCs/>
          <w:color w:val="000000" w:themeColor="text1"/>
          <w:sz w:val="32"/>
          <w:szCs w:val="32"/>
          <w:shd w:val="clear" w:fill="FFFFFF"/>
        </w:rPr>
      </w:pPr>
      <w:r>
        <w:rPr>
          <w:rFonts w:hint="eastAsia" w:ascii="仿宋_GB2312" w:hAnsi="仿宋_GB2312" w:eastAsia="仿宋_GB2312" w:cs="仿宋_GB2312"/>
          <w:b w:val="0"/>
          <w:bCs/>
          <w:color w:val="000000" w:themeColor="text1"/>
          <w:sz w:val="32"/>
          <w:szCs w:val="32"/>
          <w:shd w:val="clear" w:fill="FFFFFF"/>
          <w:lang w:val="en-US" w:eastAsia="zh-CN"/>
        </w:rPr>
        <w:t>无。</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41"/>
        <w:textAlignment w:val="auto"/>
        <w:rPr>
          <w:rFonts w:hint="eastAsia" w:ascii="仿宋_GB2312" w:hAnsi="仿宋_GB2312" w:eastAsia="仿宋_GB2312" w:cs="仿宋_GB2312"/>
          <w:b w:val="0"/>
          <w:bCs/>
          <w:color w:val="000000" w:themeColor="text1"/>
          <w:sz w:val="32"/>
          <w:szCs w:val="3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41"/>
        <w:textAlignment w:val="auto"/>
        <w:rPr>
          <w:rFonts w:hint="eastAsia" w:ascii="仿宋_GB2312" w:hAnsi="仿宋_GB2312" w:eastAsia="仿宋_GB2312" w:cs="仿宋_GB2312"/>
          <w:b w:val="0"/>
          <w:bCs/>
          <w:color w:val="000000" w:themeColor="text1"/>
          <w:sz w:val="32"/>
          <w:szCs w:val="3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41"/>
        <w:jc w:val="right"/>
        <w:textAlignment w:val="auto"/>
        <w:rPr>
          <w:rFonts w:hint="eastAsia" w:ascii="仿宋_GB2312" w:hAnsi="仿宋_GB2312" w:eastAsia="仿宋_GB2312" w:cs="仿宋_GB2312"/>
          <w:b w:val="0"/>
          <w:bCs/>
          <w:color w:val="000000" w:themeColor="text1"/>
          <w:sz w:val="32"/>
          <w:szCs w:val="32"/>
          <w:shd w:val="clear" w:fill="FFFFFF"/>
          <w:lang w:val="en-US" w:eastAsia="zh-CN"/>
        </w:rPr>
      </w:pPr>
      <w:r>
        <w:rPr>
          <w:rFonts w:hint="eastAsia" w:ascii="仿宋_GB2312" w:hAnsi="仿宋_GB2312" w:eastAsia="仿宋_GB2312" w:cs="仿宋_GB2312"/>
          <w:b w:val="0"/>
          <w:bCs/>
          <w:color w:val="000000" w:themeColor="text1"/>
          <w:sz w:val="32"/>
          <w:szCs w:val="32"/>
          <w:shd w:val="clear" w:fill="FFFFFF"/>
          <w:lang w:val="en-US" w:eastAsia="zh-CN"/>
        </w:rPr>
        <w:t>赣州经济技术开发区蟠龙镇人民政府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41"/>
        <w:jc w:val="center"/>
        <w:textAlignment w:val="auto"/>
        <w:rPr>
          <w:rFonts w:hint="default" w:ascii="仿宋_GB2312" w:hAnsi="仿宋_GB2312" w:eastAsia="仿宋_GB2312" w:cs="仿宋_GB2312"/>
          <w:b w:val="0"/>
          <w:bCs/>
          <w:color w:val="000000" w:themeColor="text1"/>
          <w:sz w:val="32"/>
          <w:szCs w:val="32"/>
          <w:shd w:val="clear" w:fill="FFFFFF"/>
          <w:lang w:val="en-US" w:eastAsia="zh-CN"/>
        </w:rPr>
      </w:pPr>
      <w:r>
        <w:rPr>
          <w:rFonts w:hint="eastAsia" w:ascii="仿宋_GB2312" w:hAnsi="仿宋_GB2312" w:eastAsia="仿宋_GB2312" w:cs="仿宋_GB2312"/>
          <w:b w:val="0"/>
          <w:bCs/>
          <w:color w:val="000000" w:themeColor="text1"/>
          <w:sz w:val="32"/>
          <w:szCs w:val="32"/>
          <w:shd w:val="clear" w:fill="FFFFFF"/>
          <w:lang w:val="en-US" w:eastAsia="zh-CN"/>
        </w:rPr>
        <w:t xml:space="preserve">               2021年1月28日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F1EA5D"/>
    <w:multiLevelType w:val="singleLevel"/>
    <w:tmpl w:val="9AF1EA5D"/>
    <w:lvl w:ilvl="0" w:tentative="0">
      <w:start w:val="5"/>
      <w:numFmt w:val="chineseCounting"/>
      <w:suff w:val="nothing"/>
      <w:lvlText w:val="%1、"/>
      <w:lvlJc w:val="left"/>
      <w:rPr>
        <w:rFonts w:hint="eastAsia"/>
      </w:rPr>
    </w:lvl>
  </w:abstractNum>
  <w:abstractNum w:abstractNumId="1">
    <w:nsid w:val="EB7EC931"/>
    <w:multiLevelType w:val="singleLevel"/>
    <w:tmpl w:val="EB7EC931"/>
    <w:lvl w:ilvl="0" w:tentative="0">
      <w:start w:val="1"/>
      <w:numFmt w:val="chineseCounting"/>
      <w:suff w:val="nothing"/>
      <w:lvlText w:val="（%1）"/>
      <w:lvlJc w:val="left"/>
      <w:rPr>
        <w:rFonts w:hint="eastAsia"/>
      </w:rPr>
    </w:lvl>
  </w:abstractNum>
  <w:abstractNum w:abstractNumId="2">
    <w:nsid w:val="F1264FAF"/>
    <w:multiLevelType w:val="singleLevel"/>
    <w:tmpl w:val="F1264FAF"/>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5531"/>
    <w:rsid w:val="00085531"/>
    <w:rsid w:val="002E7993"/>
    <w:rsid w:val="0068525B"/>
    <w:rsid w:val="00785EC8"/>
    <w:rsid w:val="00927065"/>
    <w:rsid w:val="0096059C"/>
    <w:rsid w:val="00C37001"/>
    <w:rsid w:val="00D36213"/>
    <w:rsid w:val="00E02C27"/>
    <w:rsid w:val="0211194C"/>
    <w:rsid w:val="02A46F89"/>
    <w:rsid w:val="039918AD"/>
    <w:rsid w:val="03BA31D6"/>
    <w:rsid w:val="041064D9"/>
    <w:rsid w:val="046213A2"/>
    <w:rsid w:val="04C65128"/>
    <w:rsid w:val="05553AED"/>
    <w:rsid w:val="060E3F39"/>
    <w:rsid w:val="06B13960"/>
    <w:rsid w:val="07430C88"/>
    <w:rsid w:val="07F04BBF"/>
    <w:rsid w:val="0AB152D6"/>
    <w:rsid w:val="0B1406BB"/>
    <w:rsid w:val="0B601786"/>
    <w:rsid w:val="0BC4271F"/>
    <w:rsid w:val="0C6E77D4"/>
    <w:rsid w:val="0F8644B9"/>
    <w:rsid w:val="11E25099"/>
    <w:rsid w:val="12606553"/>
    <w:rsid w:val="13993B47"/>
    <w:rsid w:val="147519A4"/>
    <w:rsid w:val="148E6E06"/>
    <w:rsid w:val="14F1159E"/>
    <w:rsid w:val="15AF5FBE"/>
    <w:rsid w:val="16C1253F"/>
    <w:rsid w:val="187A0825"/>
    <w:rsid w:val="18B27E87"/>
    <w:rsid w:val="1A1C776B"/>
    <w:rsid w:val="1B504653"/>
    <w:rsid w:val="1D7F3D3C"/>
    <w:rsid w:val="1DCA7ED0"/>
    <w:rsid w:val="21043105"/>
    <w:rsid w:val="21316C47"/>
    <w:rsid w:val="21A35C7A"/>
    <w:rsid w:val="231D6B7F"/>
    <w:rsid w:val="24736EC8"/>
    <w:rsid w:val="262B727C"/>
    <w:rsid w:val="26497206"/>
    <w:rsid w:val="267127BC"/>
    <w:rsid w:val="2A130855"/>
    <w:rsid w:val="2A60022C"/>
    <w:rsid w:val="2ACF6173"/>
    <w:rsid w:val="2B9D15A3"/>
    <w:rsid w:val="2BAC3739"/>
    <w:rsid w:val="2E3C703A"/>
    <w:rsid w:val="2ED05D72"/>
    <w:rsid w:val="300C4880"/>
    <w:rsid w:val="302140A4"/>
    <w:rsid w:val="307B0568"/>
    <w:rsid w:val="30A756A5"/>
    <w:rsid w:val="30AF7600"/>
    <w:rsid w:val="313F1607"/>
    <w:rsid w:val="31781717"/>
    <w:rsid w:val="32C11BF2"/>
    <w:rsid w:val="32C4016A"/>
    <w:rsid w:val="334A210C"/>
    <w:rsid w:val="3426135F"/>
    <w:rsid w:val="343A368F"/>
    <w:rsid w:val="345A275E"/>
    <w:rsid w:val="34D13E5F"/>
    <w:rsid w:val="35553519"/>
    <w:rsid w:val="3A2B4F8A"/>
    <w:rsid w:val="3C2E7528"/>
    <w:rsid w:val="3E1E07A7"/>
    <w:rsid w:val="3E4B5C68"/>
    <w:rsid w:val="3F2538E3"/>
    <w:rsid w:val="3F7F2A13"/>
    <w:rsid w:val="3FC138BA"/>
    <w:rsid w:val="3FC42EA6"/>
    <w:rsid w:val="42463F48"/>
    <w:rsid w:val="42914B45"/>
    <w:rsid w:val="450D4B5C"/>
    <w:rsid w:val="47195473"/>
    <w:rsid w:val="49B10660"/>
    <w:rsid w:val="4A693F1D"/>
    <w:rsid w:val="4C715DF8"/>
    <w:rsid w:val="4CD263B0"/>
    <w:rsid w:val="4F3A276F"/>
    <w:rsid w:val="50E20D9D"/>
    <w:rsid w:val="510F6313"/>
    <w:rsid w:val="523171CC"/>
    <w:rsid w:val="54620DB7"/>
    <w:rsid w:val="54BD5C21"/>
    <w:rsid w:val="55CD40B8"/>
    <w:rsid w:val="56332A3B"/>
    <w:rsid w:val="57405322"/>
    <w:rsid w:val="58274FA0"/>
    <w:rsid w:val="58DB41F7"/>
    <w:rsid w:val="5C3A7074"/>
    <w:rsid w:val="5D530F82"/>
    <w:rsid w:val="5D8D2E31"/>
    <w:rsid w:val="60F46DFE"/>
    <w:rsid w:val="62105D35"/>
    <w:rsid w:val="639062A1"/>
    <w:rsid w:val="63B25550"/>
    <w:rsid w:val="644D7875"/>
    <w:rsid w:val="653751F2"/>
    <w:rsid w:val="67347C16"/>
    <w:rsid w:val="67C519E4"/>
    <w:rsid w:val="68B5714D"/>
    <w:rsid w:val="6A1526E7"/>
    <w:rsid w:val="6AD45A58"/>
    <w:rsid w:val="6B8052B9"/>
    <w:rsid w:val="6C192FE5"/>
    <w:rsid w:val="6C434EAD"/>
    <w:rsid w:val="6D1D79E0"/>
    <w:rsid w:val="6EF740E9"/>
    <w:rsid w:val="6F174E35"/>
    <w:rsid w:val="6F3145CD"/>
    <w:rsid w:val="6F82302D"/>
    <w:rsid w:val="6FBD301E"/>
    <w:rsid w:val="704A30D1"/>
    <w:rsid w:val="7096174A"/>
    <w:rsid w:val="70AC7E09"/>
    <w:rsid w:val="71000C48"/>
    <w:rsid w:val="717E5B76"/>
    <w:rsid w:val="72674E36"/>
    <w:rsid w:val="731B2453"/>
    <w:rsid w:val="73B01240"/>
    <w:rsid w:val="73B17673"/>
    <w:rsid w:val="741D7781"/>
    <w:rsid w:val="74764537"/>
    <w:rsid w:val="757D655B"/>
    <w:rsid w:val="75E11DD3"/>
    <w:rsid w:val="770723B8"/>
    <w:rsid w:val="77456C11"/>
    <w:rsid w:val="77533291"/>
    <w:rsid w:val="77B10E86"/>
    <w:rsid w:val="77D1787C"/>
    <w:rsid w:val="78B61093"/>
    <w:rsid w:val="7B3A042D"/>
    <w:rsid w:val="7B913F3E"/>
    <w:rsid w:val="7D731DF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99"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9"/>
    <w:qFormat/>
    <w:uiPriority w:val="99"/>
    <w:pPr>
      <w:keepNext/>
      <w:keepLines/>
      <w:spacing w:before="260" w:after="260" w:line="416" w:lineRule="auto"/>
      <w:outlineLvl w:val="1"/>
    </w:pPr>
    <w:rPr>
      <w:rFonts w:ascii="Cambria" w:hAnsi="Cambria" w:cs="Cambria"/>
      <w:b/>
      <w:bCs/>
      <w:sz w:val="32"/>
      <w:szCs w:val="32"/>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99"/>
    <w:pPr>
      <w:spacing w:beforeAutospacing="1" w:afterAutospacing="1"/>
      <w:jc w:val="left"/>
    </w:pPr>
    <w:rPr>
      <w:kern w:val="0"/>
      <w:sz w:val="24"/>
      <w:szCs w:val="24"/>
    </w:rPr>
  </w:style>
  <w:style w:type="character" w:styleId="6">
    <w:name w:val="FollowedHyperlink"/>
    <w:basedOn w:val="5"/>
    <w:semiHidden/>
    <w:unhideWhenUsed/>
    <w:qFormat/>
    <w:uiPriority w:val="99"/>
    <w:rPr>
      <w:color w:val="000000"/>
      <w:u w:val="none"/>
    </w:rPr>
  </w:style>
  <w:style w:type="character" w:styleId="7">
    <w:name w:val="Emphasis"/>
    <w:basedOn w:val="5"/>
    <w:qFormat/>
    <w:locked/>
    <w:uiPriority w:val="99"/>
    <w:rPr>
      <w:i/>
      <w:iCs/>
    </w:rPr>
  </w:style>
  <w:style w:type="character" w:styleId="8">
    <w:name w:val="Hyperlink"/>
    <w:basedOn w:val="5"/>
    <w:qFormat/>
    <w:uiPriority w:val="99"/>
    <w:rPr>
      <w:color w:val="000000"/>
      <w:u w:val="none"/>
    </w:rPr>
  </w:style>
  <w:style w:type="character" w:customStyle="1" w:styleId="9">
    <w:name w:val="Heading 2 Char"/>
    <w:basedOn w:val="5"/>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赣州经开区党政办</Company>
  <Pages>5</Pages>
  <Words>304</Words>
  <Characters>1736</Characters>
  <Lines>0</Lines>
  <Paragraphs>0</Paragraphs>
  <TotalTime>151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2020-01-13T01:55:00Z</dcterms:created>
  <dc:creator>Administrator</dc:creator>
  <cp:lastModifiedBy>Administrator</cp:lastModifiedBy>
  <dcterms:modified xsi:type="dcterms:W3CDTF">2021-01-29T09:06:47Z</dcterms:modified>
  <dc:title>政府信息公开工作年度报告格式模板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