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leftChars="0" w:right="0" w:firstLine="0" w:firstLineChars="0"/>
        <w:jc w:val="cente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rPr>
      </w:pPr>
      <w: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rPr>
        <w:t>赣州经开区农办2020年政府信息公开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leftChars="0" w:right="0" w:firstLine="0" w:firstLineChars="0"/>
        <w:jc w:val="cente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rPr>
      </w:pPr>
      <w: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rPr>
        <w:t>工作年度报告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right="0" w:firstLine="640" w:firstLineChars="200"/>
        <w:jc w:val="left"/>
        <w:rPr>
          <w:rFonts w:ascii="仿宋_GB2312" w:eastAsia="仿宋_GB2312" w:cs="仿宋_GB2312"/>
          <w:i w:val="0"/>
          <w:iCs w:val="0"/>
          <w:caps w:val="0"/>
          <w:color w:val="000000"/>
          <w:spacing w:val="0"/>
          <w:kern w:val="0"/>
          <w:sz w:val="32"/>
          <w:szCs w:val="32"/>
          <w:bdr w:val="none" w:color="auto" w:sz="0" w:space="0"/>
          <w:shd w:val="clear" w:fill="FFFFFF"/>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本报告依据《中华人民共和国政府信息公开条例》（国务院令第711号，以下简称新《条例》）和《国务院办公厅政府信息与政务公开办公室关于政府信息公开工作年度报告有关事项的通知》（国办公开办函〔2019〕60号）要求，由赣州经开区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赣州开发区网站上(www.gzkfq.gov.cn)下载。如对本报告有任何疑问，请与邱越联系（地址：赣州经开区华坚南路经开区管委会大楼，电话：0797－8378310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黑体" w:hAnsi="黑体" w:eastAsia="黑体" w:cs="黑体"/>
          <w:color w:val="000000"/>
          <w:kern w:val="2"/>
          <w:sz w:val="32"/>
          <w:szCs w:val="32"/>
          <w:lang w:val="en-US" w:eastAsia="zh-CN" w:bidi="ar"/>
        </w:rPr>
      </w:pPr>
      <w:r>
        <w:rPr>
          <w:rFonts w:hint="eastAsia" w:ascii="黑体" w:hAnsi="黑体" w:eastAsia="黑体" w:cs="黑体"/>
          <w:color w:val="000000"/>
          <w:kern w:val="2"/>
          <w:sz w:val="32"/>
          <w:szCs w:val="32"/>
          <w:lang w:val="en-US" w:eastAsia="zh-CN" w:bidi="ar"/>
        </w:rPr>
        <w:t>一、总体情况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2020年赣州经开区农办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贯彻落实《2020年江西省政务公开工作要点》，聚焦“六稳”工作、“六保”任务，强化解读回应；规范设置政府信息公开专栏，推进政务公开标准化规范化建设；加强政府网站建设，健全制度规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rPr>
          <w:rFonts w:hint="eastAsia" w:ascii="仿宋_GB2312" w:hAnsi="仿宋_GB2312" w:eastAsia="仿宋_GB2312" w:cs="仿宋_GB2312"/>
          <w:b/>
          <w:bCs/>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（一）</w:t>
      </w:r>
      <w:r>
        <w:rPr>
          <w:rFonts w:hint="default" w:ascii="仿宋_GB2312" w:hAnsi="仿宋_GB2312" w:eastAsia="仿宋_GB2312" w:cs="仿宋_GB2312"/>
          <w:b/>
          <w:bCs/>
          <w:color w:val="000000"/>
          <w:kern w:val="2"/>
          <w:sz w:val="32"/>
          <w:szCs w:val="32"/>
          <w:lang w:val="en-US" w:eastAsia="zh-CN" w:bidi="ar"/>
        </w:rPr>
        <w:t>主动公开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1.政府网站主动公开政府信息情况。截至2020年12月31日，我办政府门户网站政府信息公开栏目主动公开政府信息共计184条，主动公开政府信息主要包括机构职能、部门文件、工作动态、公告公示、财政预决算、年度报告。其中机构职能5条，部门文件6条，工作动态103条，公告公示59条，财政预决算10条，年度报告1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rPr>
          <w:rFonts w:hint="eastAsia" w:ascii="仿宋_GB2312" w:hAnsi="仿宋_GB2312" w:eastAsia="仿宋_GB2312" w:cs="仿宋_GB2312"/>
          <w:b/>
          <w:bCs/>
          <w:color w:val="000000"/>
          <w:kern w:val="2"/>
          <w:sz w:val="32"/>
          <w:szCs w:val="32"/>
          <w:lang w:val="en-US" w:eastAsia="zh-CN" w:bidi="ar"/>
        </w:rPr>
      </w:pPr>
      <w:r>
        <w:rPr>
          <w:rFonts w:hint="default" w:ascii="仿宋_GB2312" w:hAnsi="仿宋_GB2312" w:eastAsia="仿宋_GB2312" w:cs="仿宋_GB2312"/>
          <w:b/>
          <w:bCs/>
          <w:color w:val="000000"/>
          <w:kern w:val="2"/>
          <w:sz w:val="32"/>
          <w:szCs w:val="32"/>
          <w:lang w:val="en-US" w:eastAsia="zh-CN" w:bidi="ar"/>
        </w:rPr>
        <w:t>（二）依申请公开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2020年，我办未收到来自单位和个人的政府信息公开申请。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rPr>
          <w:rFonts w:hint="eastAsia" w:ascii="仿宋_GB2312" w:hAnsi="仿宋_GB2312" w:eastAsia="仿宋_GB2312" w:cs="仿宋_GB2312"/>
          <w:b/>
          <w:bCs/>
          <w:color w:val="000000"/>
          <w:kern w:val="2"/>
          <w:sz w:val="32"/>
          <w:szCs w:val="32"/>
          <w:lang w:val="en-US" w:eastAsia="zh-CN" w:bidi="ar"/>
        </w:rPr>
      </w:pPr>
      <w:r>
        <w:rPr>
          <w:rFonts w:hint="default" w:ascii="仿宋_GB2312" w:hAnsi="仿宋_GB2312" w:eastAsia="仿宋_GB2312" w:cs="仿宋_GB2312"/>
          <w:b/>
          <w:bCs/>
          <w:color w:val="000000"/>
          <w:kern w:val="2"/>
          <w:sz w:val="32"/>
          <w:szCs w:val="32"/>
          <w:lang w:val="en-US" w:eastAsia="zh-CN" w:bidi="ar"/>
        </w:rPr>
        <w:t>（三）政府信息管理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规范信息审核发布机制。我办建立了信息发布逐级审核机制，严格信息审核，凡是通过网站对外发布信息、文章等内容都要进行严格审核，确保信息内容合法、完整、准确、及时，切实维护网络意识形态安全。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rPr>
          <w:rFonts w:hint="eastAsia" w:ascii="仿宋_GB2312" w:hAnsi="仿宋_GB2312" w:eastAsia="仿宋_GB2312" w:cs="仿宋_GB2312"/>
          <w:b/>
          <w:bCs/>
          <w:color w:val="000000"/>
          <w:kern w:val="2"/>
          <w:sz w:val="32"/>
          <w:szCs w:val="32"/>
          <w:lang w:val="en-US" w:eastAsia="zh-CN" w:bidi="ar"/>
        </w:rPr>
      </w:pPr>
      <w:r>
        <w:rPr>
          <w:rFonts w:hint="default" w:ascii="仿宋_GB2312" w:hAnsi="仿宋_GB2312" w:eastAsia="仿宋_GB2312" w:cs="仿宋_GB2312"/>
          <w:b/>
          <w:bCs/>
          <w:color w:val="000000"/>
          <w:kern w:val="2"/>
          <w:sz w:val="32"/>
          <w:szCs w:val="32"/>
          <w:lang w:val="en-US" w:eastAsia="zh-CN" w:bidi="ar"/>
        </w:rPr>
        <w:t>（四）平台建设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我办大力推进政府网站、政务微博等公开平台建设，拓宽政务公开渠道。一是强化政府网站管理。加强门户网站内容建设，不断丰富信息资源。二是推进新媒体健康有序发展。充分发挥政务微博新媒体作用，及时精准推送政策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rPr>
          <w:rFonts w:hint="eastAsia" w:ascii="仿宋_GB2312" w:hAnsi="仿宋_GB2312" w:eastAsia="仿宋_GB2312" w:cs="仿宋_GB2312"/>
          <w:b/>
          <w:bCs/>
          <w:color w:val="000000"/>
          <w:kern w:val="2"/>
          <w:sz w:val="32"/>
          <w:szCs w:val="32"/>
          <w:lang w:val="en-US" w:eastAsia="zh-CN" w:bidi="ar"/>
        </w:rPr>
      </w:pPr>
      <w:r>
        <w:rPr>
          <w:rFonts w:hint="default" w:ascii="仿宋_GB2312" w:hAnsi="仿宋_GB2312" w:eastAsia="仿宋_GB2312" w:cs="仿宋_GB2312"/>
          <w:b/>
          <w:bCs/>
          <w:color w:val="000000"/>
          <w:kern w:val="2"/>
          <w:sz w:val="32"/>
          <w:szCs w:val="32"/>
          <w:lang w:val="en-US" w:eastAsia="zh-CN" w:bidi="ar"/>
        </w:rPr>
        <w:t>（五）监督保障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1.办党组高度重视政府信息公开工作，成立了以办主要领导为组长的政务公开工作领导小组，领导小组下设办公室，安排专人负责政务信息公开工作，同时将信息公开列入我办重要议事日程和年度绩效考核范围。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2.加大对政府信息公开工作监督检查力度。办综合科不定期对单位政务公开工作进行检查，督促落实政务公开工作。每季度接受省市区政府网站抽查，同时自觉接受社会、群众的监督,进一步畅通群众投诉渠道，拓宽便民的监督形式和方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3.完善政务信息公开审查机制。我办规范了信息公开程序，实行逐级审批制度，健全了信息公开责任、审核、监督等制度，促进政府信息公开工作走上制度化、规范化的轨道。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黑体" w:hAnsi="黑体" w:eastAsia="黑体" w:cs="黑体"/>
          <w:color w:val="000000"/>
          <w:kern w:val="2"/>
          <w:sz w:val="32"/>
          <w:szCs w:val="32"/>
          <w:lang w:val="en-US" w:eastAsia="zh-CN" w:bidi="ar"/>
        </w:rPr>
      </w:pPr>
      <w:r>
        <w:rPr>
          <w:rFonts w:hint="eastAsia" w:ascii="黑体" w:hAnsi="黑体" w:eastAsia="黑体" w:cs="黑体"/>
          <w:color w:val="000000"/>
          <w:kern w:val="2"/>
          <w:sz w:val="32"/>
          <w:szCs w:val="32"/>
          <w:lang w:val="en-US" w:eastAsia="zh-CN" w:bidi="ar"/>
        </w:rPr>
        <w:t>二、主动公开政府信息情况</w:t>
      </w:r>
    </w:p>
    <w:tbl>
      <w:tblPr>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ascii="仿宋" w:hAnsi="仿宋" w:eastAsia="仿宋" w:cs="仿宋"/>
                <w:color w:val="000000"/>
                <w:kern w:val="2"/>
                <w:sz w:val="24"/>
                <w:szCs w:val="24"/>
                <w:bdr w:val="none" w:color="auto" w:sz="0" w:space="0"/>
                <w:lang w:val="en-US" w:eastAsia="zh-CN"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信息内容</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本年新制作数量</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本年新公开数量</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规    章</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1"/>
                <w:szCs w:val="21"/>
                <w:bdr w:val="none" w:color="auto" w:sz="0" w:space="0"/>
                <w:lang w:val="en-US" w:eastAsia="zh-CN" w:bidi="ar"/>
              </w:rPr>
              <w:t>0</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1"/>
                <w:szCs w:val="21"/>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1"/>
                <w:szCs w:val="21"/>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规范性文件</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1"/>
                <w:szCs w:val="21"/>
                <w:bdr w:val="none" w:color="auto" w:sz="0" w:space="0"/>
                <w:lang w:val="en-US" w:eastAsia="zh-CN" w:bidi="ar"/>
              </w:rPr>
              <w:t>2</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1"/>
                <w:szCs w:val="21"/>
                <w:bdr w:val="none" w:color="auto" w:sz="0" w:space="0"/>
                <w:lang w:val="en-US" w:eastAsia="zh-CN" w:bidi="ar"/>
              </w:rPr>
              <w:t>2</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1"/>
                <w:szCs w:val="21"/>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信息内容</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上一年项目数量</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本年增/减</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行政许可</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1"/>
                <w:szCs w:val="21"/>
                <w:bdr w:val="none" w:color="auto" w:sz="0" w:space="0"/>
                <w:lang w:val="en-US" w:eastAsia="zh-CN" w:bidi="ar"/>
              </w:rPr>
              <w:t>0</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1"/>
                <w:szCs w:val="21"/>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1"/>
                <w:szCs w:val="21"/>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其他对外管理服务事项</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1"/>
                <w:szCs w:val="21"/>
                <w:bdr w:val="none" w:color="auto" w:sz="0" w:space="0"/>
                <w:lang w:val="en-US" w:eastAsia="zh-CN" w:bidi="ar"/>
              </w:rPr>
              <w:t>0</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1"/>
                <w:szCs w:val="21"/>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1"/>
                <w:szCs w:val="21"/>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信息内容</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上一年项目数量</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本年增/减</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行政处罚</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1"/>
                <w:szCs w:val="21"/>
                <w:bdr w:val="none" w:color="auto" w:sz="0" w:space="0"/>
                <w:lang w:val="en-US" w:eastAsia="zh-CN" w:bidi="ar"/>
              </w:rPr>
              <w:t>0</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1"/>
                <w:szCs w:val="21"/>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1"/>
                <w:szCs w:val="21"/>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行政强制</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1"/>
                <w:szCs w:val="21"/>
                <w:bdr w:val="none" w:color="auto" w:sz="0" w:space="0"/>
                <w:lang w:val="en-US" w:eastAsia="zh-CN" w:bidi="ar"/>
              </w:rPr>
              <w:t>0</w:t>
            </w:r>
          </w:p>
        </w:tc>
        <w:tc>
          <w:tcPr>
            <w:tcW w:w="202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1"/>
                <w:szCs w:val="21"/>
                <w:bdr w:val="none" w:color="auto" w:sz="0" w:space="0"/>
                <w:lang w:val="en-US" w:eastAsia="zh-CN" w:bidi="ar"/>
              </w:rPr>
              <w:t>0</w:t>
            </w:r>
          </w:p>
        </w:tc>
        <w:tc>
          <w:tcPr>
            <w:tcW w:w="2295"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1"/>
                <w:szCs w:val="21"/>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信息内容</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上一年项目数量</w:t>
            </w:r>
          </w:p>
        </w:tc>
        <w:tc>
          <w:tcPr>
            <w:tcW w:w="4320"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行政事业性收费</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1"/>
                <w:szCs w:val="21"/>
                <w:bdr w:val="none" w:color="auto" w:sz="0" w:space="0"/>
                <w:lang w:val="en-US" w:eastAsia="zh-CN" w:bidi="ar"/>
              </w:rPr>
              <w:t>0</w:t>
            </w:r>
          </w:p>
        </w:tc>
        <w:tc>
          <w:tcPr>
            <w:tcW w:w="4320"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1"/>
                <w:szCs w:val="21"/>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信息内容</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采购项目数量</w:t>
            </w:r>
          </w:p>
        </w:tc>
        <w:tc>
          <w:tcPr>
            <w:tcW w:w="4320"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color w:val="000000"/>
                <w:kern w:val="2"/>
                <w:sz w:val="24"/>
                <w:szCs w:val="24"/>
                <w:bdr w:val="none" w:color="auto" w:sz="0" w:space="0"/>
                <w:lang w:val="en-US" w:eastAsia="zh-CN" w:bidi="ar"/>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bdr w:val="none" w:color="auto" w:sz="0" w:space="0"/>
                <w:lang w:val="en-US" w:eastAsia="zh-CN" w:bidi="ar"/>
              </w:rPr>
              <w:t>政府集中采购</w:t>
            </w:r>
          </w:p>
        </w:tc>
        <w:tc>
          <w:tcPr>
            <w:tcW w:w="2460"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1"/>
                <w:szCs w:val="21"/>
                <w:bdr w:val="none" w:color="auto" w:sz="0" w:space="0"/>
                <w:lang w:val="en-US" w:eastAsia="zh-CN" w:bidi="ar"/>
              </w:rPr>
              <w:t>0</w:t>
            </w:r>
          </w:p>
        </w:tc>
        <w:tc>
          <w:tcPr>
            <w:tcW w:w="4320" w:type="dxa"/>
            <w:gridSpan w:val="2"/>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1"/>
                <w:szCs w:val="21"/>
                <w:bdr w:val="none" w:color="auto" w:sz="0" w:space="0"/>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黑体" w:hAnsi="黑体" w:eastAsia="黑体" w:cs="黑体"/>
          <w:color w:val="000000"/>
          <w:kern w:val="2"/>
          <w:sz w:val="32"/>
          <w:szCs w:val="32"/>
          <w:lang w:val="en-US" w:eastAsia="zh-CN" w:bidi="ar"/>
        </w:rPr>
      </w:pPr>
      <w:r>
        <w:rPr>
          <w:rFonts w:hint="eastAsia" w:ascii="黑体" w:hAnsi="黑体" w:eastAsia="黑体" w:cs="黑体"/>
          <w:color w:val="000000"/>
          <w:kern w:val="2"/>
          <w:sz w:val="32"/>
          <w:szCs w:val="32"/>
          <w:lang w:val="en-US" w:eastAsia="zh-CN" w:bidi="ar"/>
        </w:rPr>
        <w:t>三、收到和处理政府信息公开申请情况</w:t>
      </w:r>
    </w:p>
    <w:tbl>
      <w:tblPr>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349"/>
        <w:gridCol w:w="483"/>
        <w:gridCol w:w="1183"/>
        <w:gridCol w:w="1038"/>
        <w:gridCol w:w="964"/>
        <w:gridCol w:w="965"/>
        <w:gridCol w:w="1040"/>
        <w:gridCol w:w="1246"/>
        <w:gridCol w:w="911"/>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c>
          <w:tcPr>
            <w:tcW w:w="2015" w:type="dxa"/>
            <w:gridSpan w:val="3"/>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kern w:val="0"/>
                <w:sz w:val="20"/>
                <w:szCs w:val="20"/>
                <w:bdr w:val="none" w:color="auto" w:sz="0" w:space="0"/>
                <w:lang w:val="en-US" w:eastAsia="zh-CN" w:bidi="ar"/>
              </w:rPr>
              <w:t>（本列数据的勾稽关系为：</w:t>
            </w:r>
            <w:r>
              <w:rPr>
                <w:rFonts w:hint="eastAsia" w:ascii="宋体" w:hAnsi="宋体" w:eastAsia="宋体" w:cs="宋体"/>
                <w:color w:val="FF0000"/>
                <w:kern w:val="0"/>
                <w:sz w:val="20"/>
                <w:szCs w:val="20"/>
                <w:bdr w:val="none" w:color="auto" w:sz="0" w:space="0"/>
                <w:lang w:val="en-US" w:eastAsia="zh-CN" w:bidi="ar"/>
              </w:rPr>
              <w:t>第一项</w:t>
            </w:r>
            <w:r>
              <w:rPr>
                <w:rFonts w:hint="eastAsia" w:ascii="宋体" w:hAnsi="宋体" w:eastAsia="宋体" w:cs="宋体"/>
                <w:kern w:val="0"/>
                <w:sz w:val="20"/>
                <w:szCs w:val="20"/>
                <w:bdr w:val="none" w:color="auto" w:sz="0" w:space="0"/>
                <w:lang w:val="en-US" w:eastAsia="zh-CN" w:bidi="ar"/>
              </w:rPr>
              <w:t>加</w:t>
            </w:r>
            <w:r>
              <w:rPr>
                <w:rFonts w:hint="eastAsia" w:ascii="宋体" w:hAnsi="宋体" w:eastAsia="宋体" w:cs="宋体"/>
                <w:color w:val="FF0000"/>
                <w:kern w:val="0"/>
                <w:sz w:val="20"/>
                <w:szCs w:val="20"/>
                <w:bdr w:val="none" w:color="auto" w:sz="0" w:space="0"/>
                <w:lang w:val="en-US" w:eastAsia="zh-CN" w:bidi="ar"/>
              </w:rPr>
              <w:t>第二项</w:t>
            </w:r>
            <w:r>
              <w:rPr>
                <w:rFonts w:hint="eastAsia" w:ascii="宋体" w:hAnsi="宋体" w:eastAsia="宋体" w:cs="宋体"/>
                <w:kern w:val="0"/>
                <w:sz w:val="20"/>
                <w:szCs w:val="20"/>
                <w:bdr w:val="none" w:color="auto" w:sz="0" w:space="0"/>
                <w:lang w:val="en-US" w:eastAsia="zh-CN" w:bidi="ar"/>
              </w:rPr>
              <w:t>之和，等于</w:t>
            </w:r>
            <w:r>
              <w:rPr>
                <w:rFonts w:hint="eastAsia" w:ascii="宋体" w:hAnsi="宋体" w:eastAsia="宋体" w:cs="宋体"/>
                <w:color w:val="FF0000"/>
                <w:kern w:val="0"/>
                <w:sz w:val="20"/>
                <w:szCs w:val="20"/>
                <w:bdr w:val="none" w:color="auto" w:sz="0" w:space="0"/>
                <w:lang w:val="en-US" w:eastAsia="zh-CN" w:bidi="ar"/>
              </w:rPr>
              <w:t>第三项</w:t>
            </w:r>
            <w:r>
              <w:rPr>
                <w:rFonts w:hint="eastAsia" w:ascii="宋体" w:hAnsi="宋体" w:eastAsia="宋体" w:cs="宋体"/>
                <w:kern w:val="0"/>
                <w:sz w:val="20"/>
                <w:szCs w:val="20"/>
                <w:bdr w:val="none" w:color="auto" w:sz="0" w:space="0"/>
                <w:lang w:val="en-US" w:eastAsia="zh-CN" w:bidi="ar"/>
              </w:rPr>
              <w:t>加</w:t>
            </w:r>
            <w:r>
              <w:rPr>
                <w:rFonts w:hint="eastAsia" w:ascii="宋体" w:hAnsi="宋体" w:eastAsia="宋体" w:cs="宋体"/>
                <w:color w:val="FF0000"/>
                <w:kern w:val="0"/>
                <w:sz w:val="20"/>
                <w:szCs w:val="20"/>
                <w:bdr w:val="none" w:color="auto" w:sz="0" w:space="0"/>
                <w:lang w:val="en-US" w:eastAsia="zh-CN" w:bidi="ar"/>
              </w:rPr>
              <w:t>第四项</w:t>
            </w:r>
            <w:r>
              <w:rPr>
                <w:rFonts w:hint="eastAsia" w:ascii="宋体" w:hAnsi="宋体" w:eastAsia="宋体" w:cs="宋体"/>
                <w:kern w:val="0"/>
                <w:sz w:val="20"/>
                <w:szCs w:val="20"/>
                <w:bdr w:val="none" w:color="auto" w:sz="0" w:space="0"/>
                <w:lang w:val="en-US" w:eastAsia="zh-CN" w:bidi="ar"/>
              </w:rPr>
              <w:t>之和）</w:t>
            </w:r>
          </w:p>
        </w:tc>
        <w:tc>
          <w:tcPr>
            <w:tcW w:w="7031"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kern w:val="0"/>
                <w:sz w:val="20"/>
                <w:szCs w:val="20"/>
                <w:bdr w:val="none" w:color="auto" w:sz="0" w:space="0"/>
                <w:lang w:val="en-US" w:eastAsia="zh-CN"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5" w:type="dxa"/>
            <w:gridSpan w:val="3"/>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38"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kern w:val="0"/>
                <w:sz w:val="20"/>
                <w:szCs w:val="20"/>
                <w:bdr w:val="none" w:color="auto" w:sz="0" w:space="0"/>
                <w:lang w:val="en-US" w:eastAsia="zh-CN" w:bidi="ar"/>
              </w:rPr>
              <w:t>自然人</w:t>
            </w:r>
          </w:p>
        </w:tc>
        <w:tc>
          <w:tcPr>
            <w:tcW w:w="5126"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kern w:val="0"/>
                <w:sz w:val="20"/>
                <w:szCs w:val="20"/>
                <w:bdr w:val="none" w:color="auto" w:sz="0" w:space="0"/>
                <w:lang w:val="en-US" w:eastAsia="zh-CN" w:bidi="ar"/>
              </w:rPr>
              <w:t>法人或其他组织</w:t>
            </w:r>
          </w:p>
        </w:tc>
        <w:tc>
          <w:tcPr>
            <w:tcW w:w="867"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kern w:val="0"/>
                <w:sz w:val="20"/>
                <w:szCs w:val="20"/>
                <w:bdr w:val="none" w:color="auto" w:sz="0" w:space="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2015" w:type="dxa"/>
            <w:gridSpan w:val="3"/>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038"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kern w:val="0"/>
                <w:sz w:val="20"/>
                <w:szCs w:val="20"/>
                <w:bdr w:val="none" w:color="auto" w:sz="0" w:space="0"/>
                <w:lang w:val="en-US" w:eastAsia="zh-CN" w:bidi="ar"/>
              </w:rPr>
              <w:t>商业企业</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kern w:val="0"/>
                <w:sz w:val="20"/>
                <w:szCs w:val="20"/>
                <w:bdr w:val="none" w:color="auto" w:sz="0" w:space="0"/>
                <w:lang w:val="en-US" w:eastAsia="zh-CN" w:bidi="ar"/>
              </w:rPr>
              <w:t>科研机构</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kern w:val="0"/>
                <w:sz w:val="20"/>
                <w:szCs w:val="20"/>
                <w:bdr w:val="none" w:color="auto" w:sz="0" w:space="0"/>
                <w:lang w:val="en-US" w:eastAsia="zh-CN" w:bidi="ar"/>
              </w:rPr>
              <w:t>社会公益组织</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kern w:val="0"/>
                <w:sz w:val="20"/>
                <w:szCs w:val="20"/>
                <w:bdr w:val="none" w:color="auto" w:sz="0" w:space="0"/>
                <w:lang w:val="en-US" w:eastAsia="zh-CN" w:bidi="ar"/>
              </w:rPr>
              <w:t>法律服务机构</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kern w:val="0"/>
                <w:sz w:val="20"/>
                <w:szCs w:val="20"/>
                <w:bdr w:val="none" w:color="auto" w:sz="0" w:space="0"/>
                <w:lang w:val="en-US" w:eastAsia="zh-CN" w:bidi="ar"/>
              </w:rPr>
              <w:t>其他</w:t>
            </w:r>
          </w:p>
        </w:tc>
        <w:tc>
          <w:tcPr>
            <w:tcW w:w="867"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color w:val="FF0000"/>
                <w:kern w:val="0"/>
                <w:sz w:val="20"/>
                <w:szCs w:val="20"/>
                <w:bdr w:val="none" w:color="auto" w:sz="0" w:space="0"/>
                <w:lang w:val="en-US" w:eastAsia="zh-CN" w:bidi="ar"/>
              </w:rPr>
              <w:t>一、</w:t>
            </w:r>
            <w:r>
              <w:rPr>
                <w:rFonts w:hint="eastAsia" w:ascii="宋体" w:hAnsi="宋体" w:eastAsia="宋体" w:cs="宋体"/>
                <w:kern w:val="0"/>
                <w:sz w:val="20"/>
                <w:szCs w:val="20"/>
                <w:bdr w:val="none" w:color="auto" w:sz="0" w:space="0"/>
                <w:lang w:val="en-US" w:eastAsia="zh-CN" w:bidi="ar"/>
              </w:rPr>
              <w:t>本年新收政府信息公开申请数量</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2"/>
                <w:sz w:val="21"/>
                <w:szCs w:val="21"/>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2"/>
                <w:sz w:val="21"/>
                <w:szCs w:val="21"/>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2"/>
                <w:sz w:val="21"/>
                <w:szCs w:val="21"/>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2"/>
                <w:sz w:val="21"/>
                <w:szCs w:val="21"/>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color w:val="FF0000"/>
                <w:kern w:val="0"/>
                <w:sz w:val="20"/>
                <w:szCs w:val="20"/>
                <w:bdr w:val="none" w:color="auto" w:sz="0" w:space="0"/>
                <w:lang w:val="en-US" w:eastAsia="zh-CN" w:bidi="ar"/>
              </w:rPr>
              <w:t>二、</w:t>
            </w:r>
            <w:r>
              <w:rPr>
                <w:rFonts w:hint="eastAsia" w:ascii="宋体" w:hAnsi="宋体" w:eastAsia="宋体" w:cs="宋体"/>
                <w:kern w:val="0"/>
                <w:sz w:val="20"/>
                <w:szCs w:val="20"/>
                <w:bdr w:val="none" w:color="auto" w:sz="0" w:space="0"/>
                <w:lang w:val="en-US" w:eastAsia="zh-CN" w:bidi="ar"/>
              </w:rPr>
              <w:t>上年结转政府信息公开申请数量</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349"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color w:val="FF0000"/>
                <w:kern w:val="0"/>
                <w:sz w:val="20"/>
                <w:szCs w:val="20"/>
                <w:bdr w:val="none" w:color="auto" w:sz="0" w:space="0"/>
                <w:lang w:val="en-US" w:eastAsia="zh-CN" w:bidi="ar"/>
              </w:rPr>
              <w:t>三、</w:t>
            </w:r>
            <w:r>
              <w:rPr>
                <w:rFonts w:hint="eastAsia" w:ascii="宋体" w:hAnsi="宋体" w:eastAsia="宋体" w:cs="宋体"/>
                <w:kern w:val="0"/>
                <w:sz w:val="20"/>
                <w:szCs w:val="20"/>
                <w:bdr w:val="none" w:color="auto" w:sz="0" w:space="0"/>
                <w:lang w:val="en-US" w:eastAsia="zh-CN" w:bidi="ar"/>
              </w:rPr>
              <w:t>本年度办理结果</w:t>
            </w:r>
          </w:p>
        </w:tc>
        <w:tc>
          <w:tcPr>
            <w:tcW w:w="1666"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left"/>
            </w:pPr>
            <w:r>
              <w:rPr>
                <w:rFonts w:ascii="楷体" w:hAnsi="楷体" w:eastAsia="楷体" w:cs="楷体"/>
                <w:kern w:val="0"/>
                <w:sz w:val="20"/>
                <w:szCs w:val="20"/>
                <w:bdr w:val="none" w:color="auto" w:sz="0" w:space="0"/>
                <w:lang w:val="en-US" w:eastAsia="zh-CN" w:bidi="ar"/>
              </w:rPr>
              <w:t>（一）予以公开</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666"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楷体" w:hAnsi="楷体" w:eastAsia="楷体" w:cs="楷体"/>
                <w:kern w:val="0"/>
                <w:sz w:val="20"/>
                <w:szCs w:val="20"/>
                <w:bdr w:val="none" w:color="auto" w:sz="0" w:space="0"/>
                <w:lang w:val="en-US" w:eastAsia="zh-CN" w:bidi="ar"/>
              </w:rPr>
              <w:t>（二）部分公开（区分处理的，只计这一情形，不计其他情形）</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483"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楷体" w:hAnsi="楷体" w:eastAsia="楷体" w:cs="楷体"/>
                <w:kern w:val="0"/>
                <w:sz w:val="20"/>
                <w:szCs w:val="20"/>
                <w:bdr w:val="none" w:color="auto" w:sz="0" w:space="0"/>
                <w:lang w:val="en-US" w:eastAsia="zh-CN" w:bidi="ar"/>
              </w:rPr>
              <w:t>（三）不予公开</w:t>
            </w:r>
          </w:p>
        </w:tc>
        <w:tc>
          <w:tcPr>
            <w:tcW w:w="118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both"/>
            </w:pPr>
            <w:r>
              <w:rPr>
                <w:rFonts w:hint="eastAsia" w:ascii="楷体" w:hAnsi="楷体" w:eastAsia="楷体" w:cs="楷体"/>
                <w:kern w:val="0"/>
                <w:sz w:val="20"/>
                <w:szCs w:val="20"/>
                <w:bdr w:val="none" w:color="auto" w:sz="0" w:space="0"/>
                <w:lang w:val="en-US" w:eastAsia="zh-CN" w:bidi="ar"/>
              </w:rPr>
              <w:t>1.属于国家秘密</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48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8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both"/>
            </w:pPr>
            <w:r>
              <w:rPr>
                <w:rFonts w:hint="eastAsia" w:ascii="楷体" w:hAnsi="楷体" w:eastAsia="楷体" w:cs="楷体"/>
                <w:kern w:val="0"/>
                <w:sz w:val="20"/>
                <w:szCs w:val="20"/>
                <w:bdr w:val="none" w:color="auto" w:sz="0" w:space="0"/>
                <w:lang w:val="en-US" w:eastAsia="zh-CN" w:bidi="ar"/>
              </w:rPr>
              <w:t>2.其他法律行政法规禁止公开</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48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8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both"/>
            </w:pPr>
            <w:r>
              <w:rPr>
                <w:rFonts w:hint="eastAsia" w:ascii="楷体" w:hAnsi="楷体" w:eastAsia="楷体" w:cs="楷体"/>
                <w:kern w:val="0"/>
                <w:sz w:val="20"/>
                <w:szCs w:val="20"/>
                <w:bdr w:val="none" w:color="auto" w:sz="0" w:space="0"/>
                <w:lang w:val="en-US" w:eastAsia="zh-CN" w:bidi="ar"/>
              </w:rPr>
              <w:t>3.危及“三安全一稳定”</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48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8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both"/>
            </w:pPr>
            <w:r>
              <w:rPr>
                <w:rFonts w:hint="eastAsia" w:ascii="楷体" w:hAnsi="楷体" w:eastAsia="楷体" w:cs="楷体"/>
                <w:kern w:val="0"/>
                <w:sz w:val="20"/>
                <w:szCs w:val="20"/>
                <w:bdr w:val="none" w:color="auto" w:sz="0" w:space="0"/>
                <w:lang w:val="en-US" w:eastAsia="zh-CN" w:bidi="ar"/>
              </w:rPr>
              <w:t>4.保护第三方合法权益</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48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8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both"/>
            </w:pPr>
            <w:r>
              <w:rPr>
                <w:rFonts w:hint="eastAsia" w:ascii="楷体" w:hAnsi="楷体" w:eastAsia="楷体" w:cs="楷体"/>
                <w:kern w:val="0"/>
                <w:sz w:val="20"/>
                <w:szCs w:val="20"/>
                <w:bdr w:val="none" w:color="auto" w:sz="0" w:space="0"/>
                <w:lang w:val="en-US" w:eastAsia="zh-CN" w:bidi="ar"/>
              </w:rPr>
              <w:t>5.属于三类内部事务信息</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48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8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both"/>
            </w:pPr>
            <w:r>
              <w:rPr>
                <w:rFonts w:hint="eastAsia" w:ascii="楷体" w:hAnsi="楷体" w:eastAsia="楷体" w:cs="楷体"/>
                <w:kern w:val="0"/>
                <w:sz w:val="20"/>
                <w:szCs w:val="20"/>
                <w:bdr w:val="none" w:color="auto" w:sz="0" w:space="0"/>
                <w:lang w:val="en-US" w:eastAsia="zh-CN" w:bidi="ar"/>
              </w:rPr>
              <w:t>6.属于四类过程性信息</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48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8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both"/>
            </w:pPr>
            <w:r>
              <w:rPr>
                <w:rFonts w:hint="eastAsia" w:ascii="楷体" w:hAnsi="楷体" w:eastAsia="楷体" w:cs="楷体"/>
                <w:kern w:val="0"/>
                <w:sz w:val="20"/>
                <w:szCs w:val="20"/>
                <w:bdr w:val="none" w:color="auto" w:sz="0" w:space="0"/>
                <w:lang w:val="en-US" w:eastAsia="zh-CN" w:bidi="ar"/>
              </w:rPr>
              <w:t>7.属于行政执法案卷</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48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8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both"/>
            </w:pPr>
            <w:r>
              <w:rPr>
                <w:rFonts w:hint="eastAsia" w:ascii="楷体" w:hAnsi="楷体" w:eastAsia="楷体" w:cs="楷体"/>
                <w:kern w:val="0"/>
                <w:sz w:val="20"/>
                <w:szCs w:val="20"/>
                <w:bdr w:val="none" w:color="auto" w:sz="0" w:space="0"/>
                <w:lang w:val="en-US" w:eastAsia="zh-CN" w:bidi="ar"/>
              </w:rPr>
              <w:t>8.属于行政查询事项</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483"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楷体" w:hAnsi="楷体" w:eastAsia="楷体" w:cs="楷体"/>
                <w:kern w:val="0"/>
                <w:sz w:val="20"/>
                <w:szCs w:val="20"/>
                <w:bdr w:val="none" w:color="auto" w:sz="0" w:space="0"/>
                <w:lang w:val="en-US" w:eastAsia="zh-CN" w:bidi="ar"/>
              </w:rPr>
              <w:t>（四）无法提供</w:t>
            </w:r>
          </w:p>
        </w:tc>
        <w:tc>
          <w:tcPr>
            <w:tcW w:w="118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both"/>
            </w:pPr>
            <w:r>
              <w:rPr>
                <w:rFonts w:hint="eastAsia" w:ascii="楷体" w:hAnsi="楷体" w:eastAsia="楷体" w:cs="楷体"/>
                <w:kern w:val="0"/>
                <w:sz w:val="20"/>
                <w:szCs w:val="20"/>
                <w:bdr w:val="none" w:color="auto" w:sz="0" w:space="0"/>
                <w:lang w:val="en-US" w:eastAsia="zh-CN" w:bidi="ar"/>
              </w:rPr>
              <w:t>1.本机关不掌握相关政府信息</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48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8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both"/>
            </w:pPr>
            <w:r>
              <w:rPr>
                <w:rFonts w:hint="eastAsia" w:ascii="楷体" w:hAnsi="楷体" w:eastAsia="楷体" w:cs="楷体"/>
                <w:kern w:val="0"/>
                <w:sz w:val="20"/>
                <w:szCs w:val="20"/>
                <w:bdr w:val="none" w:color="auto" w:sz="0" w:space="0"/>
                <w:lang w:val="en-US" w:eastAsia="zh-CN" w:bidi="ar"/>
              </w:rPr>
              <w:t>2.没有现成信息需要另行制作</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48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8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both"/>
            </w:pPr>
            <w:r>
              <w:rPr>
                <w:rFonts w:hint="eastAsia" w:ascii="楷体" w:hAnsi="楷体" w:eastAsia="楷体" w:cs="楷体"/>
                <w:kern w:val="0"/>
                <w:sz w:val="20"/>
                <w:szCs w:val="20"/>
                <w:bdr w:val="none" w:color="auto" w:sz="0" w:space="0"/>
                <w:lang w:val="en-US" w:eastAsia="zh-CN" w:bidi="ar"/>
              </w:rPr>
              <w:t>3.补正后申请内容仍不明确</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483"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楷体" w:hAnsi="楷体" w:eastAsia="楷体" w:cs="楷体"/>
                <w:kern w:val="0"/>
                <w:sz w:val="20"/>
                <w:szCs w:val="20"/>
                <w:bdr w:val="none" w:color="auto" w:sz="0" w:space="0"/>
                <w:lang w:val="en-US" w:eastAsia="zh-CN" w:bidi="ar"/>
              </w:rPr>
              <w:t>（五）不予处理</w:t>
            </w:r>
          </w:p>
        </w:tc>
        <w:tc>
          <w:tcPr>
            <w:tcW w:w="118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both"/>
            </w:pPr>
            <w:r>
              <w:rPr>
                <w:rFonts w:hint="eastAsia" w:ascii="楷体" w:hAnsi="楷体" w:eastAsia="楷体" w:cs="楷体"/>
                <w:kern w:val="0"/>
                <w:sz w:val="20"/>
                <w:szCs w:val="20"/>
                <w:bdr w:val="none" w:color="auto" w:sz="0" w:space="0"/>
                <w:lang w:val="en-US" w:eastAsia="zh-CN" w:bidi="ar"/>
              </w:rPr>
              <w:t>1.信访举报投诉类申请</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48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8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both"/>
            </w:pPr>
            <w:r>
              <w:rPr>
                <w:rFonts w:hint="eastAsia" w:ascii="楷体" w:hAnsi="楷体" w:eastAsia="楷体" w:cs="楷体"/>
                <w:kern w:val="0"/>
                <w:sz w:val="20"/>
                <w:szCs w:val="20"/>
                <w:bdr w:val="none" w:color="auto" w:sz="0" w:space="0"/>
                <w:lang w:val="en-US" w:eastAsia="zh-CN" w:bidi="ar"/>
              </w:rPr>
              <w:t>2.重复申请</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48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8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both"/>
            </w:pPr>
            <w:r>
              <w:rPr>
                <w:rFonts w:hint="eastAsia" w:ascii="楷体" w:hAnsi="楷体" w:eastAsia="楷体" w:cs="楷体"/>
                <w:kern w:val="0"/>
                <w:sz w:val="20"/>
                <w:szCs w:val="20"/>
                <w:bdr w:val="none" w:color="auto" w:sz="0" w:space="0"/>
                <w:lang w:val="en-US" w:eastAsia="zh-CN" w:bidi="ar"/>
              </w:rPr>
              <w:t>3.要求提供公开出版物</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48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8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both"/>
            </w:pPr>
            <w:r>
              <w:rPr>
                <w:rFonts w:hint="eastAsia" w:ascii="楷体" w:hAnsi="楷体" w:eastAsia="楷体" w:cs="楷体"/>
                <w:kern w:val="0"/>
                <w:sz w:val="20"/>
                <w:szCs w:val="20"/>
                <w:bdr w:val="none" w:color="auto" w:sz="0" w:space="0"/>
                <w:lang w:val="en-US" w:eastAsia="zh-CN" w:bidi="ar"/>
              </w:rPr>
              <w:t>4.无正当理由大量反复申请</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483"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118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both"/>
            </w:pPr>
            <w:r>
              <w:rPr>
                <w:rFonts w:hint="eastAsia" w:ascii="楷体" w:hAnsi="楷体" w:eastAsia="楷体" w:cs="楷体"/>
                <w:kern w:val="0"/>
                <w:sz w:val="20"/>
                <w:szCs w:val="20"/>
                <w:bdr w:val="none" w:color="auto" w:sz="0" w:space="0"/>
                <w:lang w:val="en-US" w:eastAsia="zh-CN" w:bidi="ar"/>
              </w:rPr>
              <w:t>5.要求行政机关确认或重新出具已获取信息</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666"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楷体" w:hAnsi="楷体" w:eastAsia="楷体" w:cs="楷体"/>
                <w:kern w:val="0"/>
                <w:sz w:val="20"/>
                <w:szCs w:val="20"/>
                <w:bdr w:val="none" w:color="auto" w:sz="0" w:space="0"/>
                <w:lang w:val="en-US" w:eastAsia="zh-CN" w:bidi="ar"/>
              </w:rPr>
              <w:t>（六）其他处理</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1666"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楷体" w:hAnsi="楷体" w:eastAsia="楷体" w:cs="楷体"/>
                <w:kern w:val="0"/>
                <w:sz w:val="20"/>
                <w:szCs w:val="20"/>
                <w:bdr w:val="none" w:color="auto" w:sz="0" w:space="0"/>
                <w:lang w:val="en-US" w:eastAsia="zh-CN" w:bidi="ar"/>
              </w:rPr>
              <w:t>（七）总计</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0"/>
                <w:sz w:val="20"/>
                <w:szCs w:val="20"/>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Calibri" w:hAnsi="Calibri" w:eastAsia="宋体" w:cs="Times New Roman"/>
                <w:kern w:val="2"/>
                <w:sz w:val="21"/>
                <w:szCs w:val="21"/>
                <w:bdr w:val="none" w:color="auto" w:sz="0" w:space="0"/>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color w:val="FF0000"/>
                <w:kern w:val="0"/>
                <w:sz w:val="20"/>
                <w:szCs w:val="20"/>
                <w:bdr w:val="none" w:color="auto" w:sz="0" w:space="0"/>
                <w:lang w:val="en-US" w:eastAsia="zh-CN" w:bidi="ar"/>
              </w:rPr>
              <w:t>四、</w:t>
            </w:r>
            <w:r>
              <w:rPr>
                <w:rFonts w:hint="eastAsia" w:ascii="宋体" w:hAnsi="宋体" w:eastAsia="宋体" w:cs="宋体"/>
                <w:kern w:val="0"/>
                <w:sz w:val="20"/>
                <w:szCs w:val="20"/>
                <w:bdr w:val="none" w:color="auto" w:sz="0" w:space="0"/>
                <w:lang w:val="en-US" w:eastAsia="zh-CN" w:bidi="ar"/>
              </w:rPr>
              <w:t>结转下年度继续办理</w:t>
            </w:r>
          </w:p>
        </w:tc>
        <w:tc>
          <w:tcPr>
            <w:tcW w:w="10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0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124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default" w:ascii="Calibri" w:hAnsi="Calibri" w:eastAsia="宋体" w:cs="Times New Roman"/>
                <w:kern w:val="0"/>
                <w:sz w:val="20"/>
                <w:szCs w:val="20"/>
                <w:bdr w:val="none" w:color="auto" w:sz="0" w:space="0"/>
                <w:lang w:val="en-US" w:eastAsia="zh-CN" w:bidi="ar"/>
              </w:rPr>
              <w:t>0</w:t>
            </w:r>
          </w:p>
        </w:tc>
        <w:tc>
          <w:tcPr>
            <w:tcW w:w="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ascii="宋体" w:hAnsi="Calibri" w:eastAsia="宋体" w:cs="宋体"/>
                <w:kern w:val="2"/>
                <w:sz w:val="24"/>
                <w:szCs w:val="24"/>
                <w:bdr w:val="none" w:color="auto" w:sz="0" w:space="0"/>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黑体" w:hAnsi="黑体" w:eastAsia="黑体" w:cs="黑体"/>
          <w:color w:val="000000"/>
          <w:kern w:val="2"/>
          <w:sz w:val="32"/>
          <w:szCs w:val="32"/>
          <w:lang w:val="en-US" w:eastAsia="zh-CN" w:bidi="ar"/>
        </w:rPr>
      </w:pPr>
      <w:r>
        <w:rPr>
          <w:rFonts w:hint="eastAsia" w:ascii="黑体" w:hAnsi="黑体" w:eastAsia="黑体" w:cs="黑体"/>
          <w:color w:val="000000"/>
          <w:kern w:val="2"/>
          <w:sz w:val="32"/>
          <w:szCs w:val="32"/>
          <w:lang w:val="en-US" w:eastAsia="zh-CN" w:bidi="ar"/>
        </w:rPr>
        <w:t>四、政府信息公开行政复议、行政诉讼情况</w:t>
      </w:r>
    </w:p>
    <w:tbl>
      <w:tblP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c>
          <w:tcPr>
            <w:tcW w:w="2840"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行政复议</w:t>
            </w:r>
            <w:r>
              <w:rPr>
                <w:rFonts w:hint="eastAsia" w:ascii="仿宋" w:hAnsi="仿宋" w:eastAsia="仿宋" w:cs="仿宋"/>
                <w:color w:val="000000"/>
                <w:kern w:val="2"/>
                <w:sz w:val="24"/>
                <w:szCs w:val="24"/>
                <w:bdr w:val="none" w:color="auto" w:sz="0" w:space="0"/>
                <w:lang w:val="en-US" w:eastAsia="zh-CN" w:bidi="ar"/>
              </w:rPr>
              <w:br w:type="textWrapping"/>
            </w:r>
            <w:r>
              <w:rPr>
                <w:rFonts w:hint="eastAsia" w:ascii="仿宋" w:hAnsi="仿宋" w:eastAsia="仿宋" w:cs="仿宋"/>
                <w:b/>
                <w:bCs/>
                <w:color w:val="000000"/>
                <w:kern w:val="2"/>
                <w:sz w:val="24"/>
                <w:szCs w:val="24"/>
                <w:bdr w:val="none" w:color="auto" w:sz="0" w:space="0"/>
                <w:lang w:val="en-US" w:eastAsia="zh-CN" w:bidi="ar"/>
              </w:rPr>
              <w:t>（因政府信息公开被行政复议）</w:t>
            </w:r>
          </w:p>
        </w:tc>
        <w:tc>
          <w:tcPr>
            <w:tcW w:w="5680" w:type="dxa"/>
            <w:gridSpan w:val="10"/>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行政诉讼</w:t>
            </w:r>
            <w:r>
              <w:rPr>
                <w:rFonts w:hint="eastAsia" w:ascii="仿宋" w:hAnsi="仿宋" w:eastAsia="仿宋" w:cs="仿宋"/>
                <w:color w:val="000000"/>
                <w:kern w:val="2"/>
                <w:sz w:val="24"/>
                <w:szCs w:val="24"/>
                <w:bdr w:val="none" w:color="auto" w:sz="0" w:space="0"/>
                <w:lang w:val="en-US" w:eastAsia="zh-CN" w:bidi="ar"/>
              </w:rPr>
              <w:br w:type="textWrapping"/>
            </w:r>
            <w:r>
              <w:rPr>
                <w:rFonts w:hint="eastAsia" w:ascii="仿宋" w:hAnsi="仿宋" w:eastAsia="仿宋" w:cs="仿宋"/>
                <w:b/>
                <w:bCs/>
                <w:color w:val="000000"/>
                <w:kern w:val="2"/>
                <w:sz w:val="24"/>
                <w:szCs w:val="24"/>
                <w:bdr w:val="none" w:color="auto" w:sz="0" w:space="0"/>
                <w:lang w:val="en-US" w:eastAsia="zh-CN" w:bidi="ar"/>
              </w:rPr>
              <w:t>（因政府信息公开被行政诉讼）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结果维护</w:t>
            </w:r>
          </w:p>
        </w:tc>
        <w:tc>
          <w:tcPr>
            <w:tcW w:w="568"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结果纠正</w:t>
            </w:r>
          </w:p>
        </w:tc>
        <w:tc>
          <w:tcPr>
            <w:tcW w:w="568"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其他结果</w:t>
            </w:r>
          </w:p>
        </w:tc>
        <w:tc>
          <w:tcPr>
            <w:tcW w:w="568"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尚未审结</w:t>
            </w:r>
          </w:p>
        </w:tc>
        <w:tc>
          <w:tcPr>
            <w:tcW w:w="568"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总计</w:t>
            </w:r>
          </w:p>
        </w:tc>
        <w:tc>
          <w:tcPr>
            <w:tcW w:w="284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shd w:val="clear" w:fill="FFFFFF"/>
                <w:lang w:val="en-US" w:eastAsia="zh-CN" w:bidi="ar"/>
              </w:rPr>
              <w:t>未经复议直接起诉</w:t>
            </w:r>
          </w:p>
        </w:tc>
        <w:tc>
          <w:tcPr>
            <w:tcW w:w="284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568"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568"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c>
          <w:tcPr>
            <w:tcW w:w="568"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c>
          <w:tcPr>
            <w:tcW w:w="568"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结果维护</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结果纠正</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其他结果</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尚未审结</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总计</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结果维护</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结果纠正</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其他结果</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尚未审结</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cs="仿宋_GB2312"/>
                <w:color w:val="000000"/>
                <w:kern w:val="2"/>
                <w:sz w:val="24"/>
                <w:szCs w:val="24"/>
                <w:bdr w:val="none" w:color="auto" w:sz="0" w:space="0"/>
                <w:lang w:val="en-US" w:eastAsia="zh-CN" w:bidi="ar"/>
              </w:rPr>
              <w:t>0</w:t>
            </w:r>
            <w:r>
              <w:rPr>
                <w:rFonts w:hint="eastAsia" w:ascii="仿宋_GB2312" w:hAnsi="仿宋_GB2312" w:eastAsia="仿宋_GB2312" w:cs="仿宋_GB2312"/>
                <w:color w:val="000000"/>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cs="仿宋_GB2312"/>
                <w:color w:val="000000"/>
                <w:kern w:val="2"/>
                <w:sz w:val="24"/>
                <w:szCs w:val="24"/>
                <w:bdr w:val="none" w:color="auto" w:sz="0" w:space="0"/>
                <w:lang w:val="en-US" w:eastAsia="zh-CN" w:bidi="ar"/>
              </w:rPr>
              <w:t>0</w:t>
            </w:r>
            <w:r>
              <w:rPr>
                <w:rFonts w:hint="eastAsia" w:ascii="仿宋_GB2312" w:hAnsi="仿宋_GB2312" w:eastAsia="仿宋_GB2312" w:cs="仿宋_GB2312"/>
                <w:color w:val="000000"/>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cs="仿宋_GB2312"/>
                <w:color w:val="000000"/>
                <w:kern w:val="2"/>
                <w:sz w:val="24"/>
                <w:szCs w:val="24"/>
                <w:bdr w:val="none" w:color="auto" w:sz="0" w:space="0"/>
                <w:lang w:val="en-US" w:eastAsia="zh-CN" w:bidi="ar"/>
              </w:rPr>
              <w:t>0</w:t>
            </w:r>
            <w:r>
              <w:rPr>
                <w:rFonts w:hint="eastAsia" w:ascii="仿宋_GB2312" w:hAnsi="仿宋_GB2312" w:eastAsia="仿宋_GB2312" w:cs="仿宋_GB2312"/>
                <w:color w:val="000000"/>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cs="仿宋_GB2312"/>
                <w:color w:val="000000"/>
                <w:kern w:val="2"/>
                <w:sz w:val="24"/>
                <w:szCs w:val="24"/>
                <w:bdr w:val="none" w:color="auto" w:sz="0" w:space="0"/>
                <w:lang w:val="en-US" w:eastAsia="zh-CN" w:bidi="ar"/>
              </w:rPr>
              <w:t>0</w:t>
            </w:r>
            <w:r>
              <w:rPr>
                <w:rFonts w:hint="eastAsia" w:ascii="仿宋_GB2312" w:hAnsi="仿宋_GB2312" w:eastAsia="仿宋_GB2312" w:cs="仿宋_GB2312"/>
                <w:color w:val="000000"/>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cs="仿宋_GB2312"/>
                <w:color w:val="000000"/>
                <w:kern w:val="2"/>
                <w:sz w:val="24"/>
                <w:szCs w:val="24"/>
                <w:bdr w:val="none" w:color="auto" w:sz="0" w:space="0"/>
                <w:lang w:val="en-US" w:eastAsia="zh-CN" w:bidi="ar"/>
              </w:rPr>
              <w:t>0</w:t>
            </w:r>
            <w:r>
              <w:rPr>
                <w:rFonts w:hint="eastAsia" w:ascii="仿宋_GB2312" w:hAnsi="仿宋_GB2312" w:eastAsia="仿宋_GB2312" w:cs="仿宋_GB2312"/>
                <w:color w:val="000000"/>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cs="仿宋_GB2312"/>
                <w:color w:val="000000"/>
                <w:kern w:val="2"/>
                <w:sz w:val="24"/>
                <w:szCs w:val="24"/>
                <w:bdr w:val="none" w:color="auto" w:sz="0" w:space="0"/>
                <w:lang w:val="en-US" w:eastAsia="zh-CN" w:bidi="ar"/>
              </w:rPr>
              <w:t>0</w:t>
            </w:r>
            <w:r>
              <w:rPr>
                <w:rFonts w:hint="eastAsia" w:ascii="仿宋_GB2312" w:hAnsi="仿宋_GB2312" w:eastAsia="仿宋_GB2312" w:cs="仿宋_GB2312"/>
                <w:color w:val="000000"/>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cs="仿宋_GB2312"/>
                <w:color w:val="000000"/>
                <w:kern w:val="2"/>
                <w:sz w:val="24"/>
                <w:szCs w:val="24"/>
                <w:bdr w:val="none" w:color="auto" w:sz="0" w:space="0"/>
                <w:lang w:val="en-US" w:eastAsia="zh-CN" w:bidi="ar"/>
              </w:rPr>
              <w:t>0</w:t>
            </w:r>
            <w:r>
              <w:rPr>
                <w:rFonts w:hint="eastAsia" w:ascii="仿宋_GB2312" w:hAnsi="仿宋_GB2312" w:eastAsia="仿宋_GB2312" w:cs="仿宋_GB2312"/>
                <w:color w:val="000000"/>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cs="仿宋_GB2312"/>
                <w:color w:val="000000"/>
                <w:kern w:val="2"/>
                <w:sz w:val="24"/>
                <w:szCs w:val="24"/>
                <w:bdr w:val="none" w:color="auto" w:sz="0" w:space="0"/>
                <w:lang w:val="en-US" w:eastAsia="zh-CN" w:bidi="ar"/>
              </w:rPr>
              <w:t>0</w:t>
            </w:r>
            <w:r>
              <w:rPr>
                <w:rFonts w:hint="eastAsia" w:ascii="仿宋_GB2312" w:hAnsi="仿宋_GB2312" w:eastAsia="仿宋_GB2312" w:cs="仿宋_GB2312"/>
                <w:color w:val="000000"/>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cs="仿宋_GB2312"/>
                <w:color w:val="000000"/>
                <w:kern w:val="2"/>
                <w:sz w:val="24"/>
                <w:szCs w:val="24"/>
                <w:bdr w:val="none" w:color="auto" w:sz="0" w:space="0"/>
                <w:lang w:val="en-US" w:eastAsia="zh-CN" w:bidi="ar"/>
              </w:rPr>
              <w:t>0</w:t>
            </w:r>
            <w:r>
              <w:rPr>
                <w:rFonts w:hint="eastAsia" w:ascii="仿宋_GB2312" w:hAnsi="仿宋_GB2312" w:eastAsia="仿宋_GB2312" w:cs="仿宋_GB2312"/>
                <w:color w:val="000000"/>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cs="仿宋_GB2312"/>
                <w:color w:val="000000"/>
                <w:kern w:val="2"/>
                <w:sz w:val="24"/>
                <w:szCs w:val="24"/>
                <w:bdr w:val="none" w:color="auto" w:sz="0" w:space="0"/>
                <w:lang w:val="en-US" w:eastAsia="zh-CN" w:bidi="ar"/>
              </w:rPr>
              <w:t>0</w:t>
            </w:r>
            <w:r>
              <w:rPr>
                <w:rFonts w:hint="eastAsia" w:ascii="仿宋_GB2312" w:hAnsi="仿宋_GB2312" w:eastAsia="仿宋_GB2312" w:cs="仿宋_GB2312"/>
                <w:color w:val="000000"/>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cs="仿宋_GB2312"/>
                <w:color w:val="000000"/>
                <w:kern w:val="2"/>
                <w:sz w:val="24"/>
                <w:szCs w:val="24"/>
                <w:bdr w:val="none" w:color="auto" w:sz="0" w:space="0"/>
                <w:lang w:val="en-US" w:eastAsia="zh-CN" w:bidi="ar"/>
              </w:rPr>
              <w:t>0</w:t>
            </w:r>
            <w:r>
              <w:rPr>
                <w:rFonts w:hint="eastAsia" w:ascii="仿宋_GB2312" w:hAnsi="仿宋_GB2312" w:eastAsia="仿宋_GB2312" w:cs="仿宋_GB2312"/>
                <w:color w:val="000000"/>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cs="仿宋_GB2312"/>
                <w:color w:val="000000"/>
                <w:kern w:val="2"/>
                <w:sz w:val="24"/>
                <w:szCs w:val="24"/>
                <w:bdr w:val="none" w:color="auto" w:sz="0" w:space="0"/>
                <w:lang w:val="en-US" w:eastAsia="zh-CN" w:bidi="ar"/>
              </w:rPr>
              <w:t>0</w:t>
            </w:r>
            <w:r>
              <w:rPr>
                <w:rFonts w:hint="eastAsia" w:ascii="仿宋_GB2312" w:hAnsi="仿宋_GB2312" w:eastAsia="仿宋_GB2312" w:cs="仿宋_GB2312"/>
                <w:color w:val="000000"/>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cs="仿宋_GB2312"/>
                <w:color w:val="000000"/>
                <w:kern w:val="2"/>
                <w:sz w:val="24"/>
                <w:szCs w:val="24"/>
                <w:bdr w:val="none" w:color="auto" w:sz="0" w:space="0"/>
                <w:lang w:val="en-US" w:eastAsia="zh-CN" w:bidi="ar"/>
              </w:rPr>
              <w:t>0</w:t>
            </w:r>
            <w:r>
              <w:rPr>
                <w:rFonts w:hint="eastAsia" w:ascii="仿宋_GB2312" w:hAnsi="仿宋_GB2312" w:eastAsia="仿宋_GB2312" w:cs="仿宋_GB2312"/>
                <w:color w:val="000000"/>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cs="仿宋_GB2312"/>
                <w:color w:val="000000"/>
                <w:kern w:val="2"/>
                <w:sz w:val="24"/>
                <w:szCs w:val="24"/>
                <w:bdr w:val="none" w:color="auto" w:sz="0" w:space="0"/>
                <w:lang w:val="en-US" w:eastAsia="zh-CN" w:bidi="ar"/>
              </w:rPr>
              <w:t>0</w:t>
            </w:r>
            <w:r>
              <w:rPr>
                <w:rFonts w:hint="eastAsia" w:ascii="仿宋_GB2312" w:hAnsi="仿宋_GB2312" w:eastAsia="仿宋_GB2312" w:cs="仿宋_GB2312"/>
                <w:color w:val="000000"/>
                <w:kern w:val="2"/>
                <w:sz w:val="24"/>
                <w:szCs w:val="24"/>
                <w:bdr w:val="none" w:color="auto" w:sz="0" w:space="0"/>
                <w:lang w:val="en-US" w:eastAsia="zh-CN" w:bidi="ar"/>
              </w:rPr>
              <w:t>0</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600" w:lineRule="exact"/>
              <w:ind w:left="0" w:right="0"/>
              <w:jc w:val="center"/>
            </w:pPr>
            <w:r>
              <w:rPr>
                <w:rFonts w:hint="eastAsia" w:cs="仿宋_GB2312"/>
                <w:color w:val="000000"/>
                <w:kern w:val="2"/>
                <w:sz w:val="24"/>
                <w:szCs w:val="24"/>
                <w:bdr w:val="none" w:color="auto" w:sz="0" w:space="0"/>
                <w:lang w:val="en-US" w:eastAsia="zh-CN" w:bidi="ar"/>
              </w:rPr>
              <w:t>0</w:t>
            </w:r>
            <w:r>
              <w:rPr>
                <w:rFonts w:hint="eastAsia" w:ascii="仿宋_GB2312" w:hAnsi="仿宋_GB2312" w:eastAsia="仿宋_GB2312" w:cs="仿宋_GB2312"/>
                <w:color w:val="000000"/>
                <w:kern w:val="2"/>
                <w:sz w:val="24"/>
                <w:szCs w:val="24"/>
                <w:bdr w:val="none" w:color="auto" w:sz="0" w:space="0"/>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黑体" w:hAnsi="黑体" w:eastAsia="黑体" w:cs="黑体"/>
          <w:color w:val="000000"/>
          <w:kern w:val="2"/>
          <w:sz w:val="32"/>
          <w:szCs w:val="32"/>
          <w:lang w:val="en-US" w:eastAsia="zh-CN" w:bidi="ar"/>
        </w:rPr>
      </w:pPr>
      <w:r>
        <w:rPr>
          <w:rFonts w:hint="eastAsia" w:ascii="黑体" w:hAnsi="黑体" w:eastAsia="黑体" w:cs="黑体"/>
          <w:color w:val="000000"/>
          <w:kern w:val="2"/>
          <w:sz w:val="32"/>
          <w:szCs w:val="32"/>
          <w:lang w:val="en-US" w:eastAsia="zh-CN" w:bidi="ar"/>
        </w:rPr>
        <w:t>五、存在的主要问题及改进情况</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hint="eastAsia" w:ascii="仿宋_GB2312" w:hAnsi="仿宋_GB2312" w:eastAsia="仿宋_GB2312" w:cs="仿宋_GB2312"/>
          <w:i w:val="0"/>
          <w:iCs w:val="0"/>
          <w:caps w:val="0"/>
          <w:color w:val="000000"/>
          <w:spacing w:val="0"/>
          <w:kern w:val="2"/>
          <w:sz w:val="32"/>
          <w:szCs w:val="32"/>
          <w:bdr w:val="none" w:color="auto" w:sz="0" w:space="0"/>
          <w:shd w:val="clear" w:fill="FFFFFF"/>
          <w:lang w:val="en-US" w:eastAsia="zh-CN" w:bidi="ar"/>
        </w:rPr>
        <w:t>2020年，我办信息公开工作虽然取得了一定成绩，但还存在涉企政策宣传解读有待加强，信息公开质量有待提高等问题，下一步重点抓好以下改进措施：</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3" w:firstLineChars="200"/>
        <w:jc w:val="left"/>
      </w:pPr>
      <w:r>
        <w:rPr>
          <w:rFonts w:hint="eastAsia" w:ascii="仿宋_GB2312" w:hAnsi="仿宋_GB2312" w:eastAsia="仿宋_GB2312" w:cs="仿宋_GB2312"/>
          <w:b/>
          <w:bCs/>
          <w:i w:val="0"/>
          <w:iCs w:val="0"/>
          <w:caps w:val="0"/>
          <w:color w:val="000000"/>
          <w:spacing w:val="0"/>
          <w:kern w:val="2"/>
          <w:sz w:val="32"/>
          <w:szCs w:val="32"/>
          <w:bdr w:val="none" w:color="auto" w:sz="0" w:space="0"/>
          <w:shd w:val="clear" w:fill="FFFFFF"/>
          <w:lang w:val="en-US" w:eastAsia="zh-CN" w:bidi="ar"/>
        </w:rPr>
        <w:t>一是</w:t>
      </w:r>
      <w:r>
        <w:rPr>
          <w:rFonts w:hint="eastAsia" w:ascii="仿宋_GB2312" w:hAnsi="仿宋_GB2312" w:eastAsia="仿宋_GB2312" w:cs="仿宋_GB2312"/>
          <w:i w:val="0"/>
          <w:iCs w:val="0"/>
          <w:caps w:val="0"/>
          <w:color w:val="000000"/>
          <w:spacing w:val="0"/>
          <w:kern w:val="2"/>
          <w:sz w:val="32"/>
          <w:szCs w:val="32"/>
          <w:bdr w:val="none" w:color="auto" w:sz="0" w:space="0"/>
          <w:shd w:val="clear" w:fill="FFFFFF"/>
          <w:lang w:val="en-US" w:eastAsia="zh-CN" w:bidi="ar"/>
        </w:rPr>
        <w:t>提高认识，切实加强《中华人民共和国政府信息公开条例》及政务公开有关文件的学习，不断提高对信息公开工作重要性的认识，进一步提高政务公开工作水平。</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3" w:firstLineChars="200"/>
        <w:jc w:val="left"/>
      </w:pPr>
      <w:r>
        <w:rPr>
          <w:rFonts w:hint="eastAsia" w:ascii="仿宋_GB2312" w:hAnsi="仿宋_GB2312" w:eastAsia="仿宋_GB2312" w:cs="仿宋_GB2312"/>
          <w:b/>
          <w:bCs/>
          <w:i w:val="0"/>
          <w:iCs w:val="0"/>
          <w:caps w:val="0"/>
          <w:color w:val="000000"/>
          <w:spacing w:val="0"/>
          <w:kern w:val="2"/>
          <w:sz w:val="32"/>
          <w:szCs w:val="32"/>
          <w:bdr w:val="none" w:color="auto" w:sz="0" w:space="0"/>
          <w:shd w:val="clear" w:fill="FFFFFF"/>
          <w:lang w:val="en-US" w:eastAsia="zh-CN" w:bidi="ar"/>
        </w:rPr>
        <w:t>二是</w:t>
      </w:r>
      <w:r>
        <w:rPr>
          <w:rFonts w:hint="eastAsia" w:ascii="仿宋_GB2312" w:hAnsi="仿宋_GB2312" w:eastAsia="仿宋_GB2312" w:cs="仿宋_GB2312"/>
          <w:i w:val="0"/>
          <w:iCs w:val="0"/>
          <w:caps w:val="0"/>
          <w:color w:val="000000"/>
          <w:spacing w:val="0"/>
          <w:kern w:val="2"/>
          <w:sz w:val="32"/>
          <w:szCs w:val="32"/>
          <w:bdr w:val="none" w:color="auto" w:sz="0" w:space="0"/>
          <w:shd w:val="clear" w:fill="FFFFFF"/>
          <w:lang w:val="en-US" w:eastAsia="zh-CN" w:bidi="ar"/>
        </w:rPr>
        <w:t>结合我办重点中心工作，进一步丰富信息公开形式，丰富信息公开内容，增强信息公开工作的针对性和有效性</w:t>
      </w:r>
      <w:r>
        <w:rPr>
          <w:rFonts w:hint="eastAsia" w:ascii="仿宋_GB2312" w:hAnsi="仿宋_GB2312" w:eastAsia="仿宋_GB2312" w:cs="仿宋_GB2312"/>
          <w:b w:val="0"/>
          <w:bCs w:val="0"/>
          <w:i w:val="0"/>
          <w:iCs w:val="0"/>
          <w:caps w:val="0"/>
          <w:color w:val="000000"/>
          <w:spacing w:val="0"/>
          <w:kern w:val="2"/>
          <w:sz w:val="32"/>
          <w:szCs w:val="32"/>
          <w:bdr w:val="none" w:color="auto" w:sz="0" w:space="0"/>
          <w:shd w:val="clear" w:fill="FFFFFF"/>
          <w:lang w:val="en-US" w:eastAsia="zh-CN" w:bidi="ar"/>
        </w:rPr>
        <w:t>，推进政务信息公开工作上新台阶。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3" w:firstLineChars="200"/>
        <w:jc w:val="left"/>
      </w:pPr>
      <w:r>
        <w:rPr>
          <w:rFonts w:hint="eastAsia" w:ascii="仿宋_GB2312" w:hAnsi="仿宋_GB2312" w:eastAsia="仿宋_GB2312" w:cs="仿宋_GB2312"/>
          <w:b/>
          <w:bCs/>
          <w:i w:val="0"/>
          <w:iCs w:val="0"/>
          <w:caps w:val="0"/>
          <w:color w:val="000000"/>
          <w:spacing w:val="0"/>
          <w:kern w:val="2"/>
          <w:sz w:val="32"/>
          <w:szCs w:val="32"/>
          <w:bdr w:val="none" w:color="auto" w:sz="0" w:space="0"/>
          <w:shd w:val="clear" w:fill="FFFFFF"/>
          <w:lang w:val="en-US" w:eastAsia="zh-CN" w:bidi="ar"/>
        </w:rPr>
        <w:t>三是</w:t>
      </w:r>
      <w:r>
        <w:rPr>
          <w:rFonts w:hint="eastAsia" w:ascii="仿宋_GB2312" w:hAnsi="仿宋_GB2312" w:eastAsia="仿宋_GB2312" w:cs="仿宋_GB2312"/>
          <w:i w:val="0"/>
          <w:iCs w:val="0"/>
          <w:caps w:val="0"/>
          <w:color w:val="000000"/>
          <w:spacing w:val="0"/>
          <w:kern w:val="2"/>
          <w:sz w:val="32"/>
          <w:szCs w:val="32"/>
          <w:bdr w:val="none" w:color="auto" w:sz="0" w:space="0"/>
          <w:shd w:val="clear" w:fill="FFFFFF"/>
          <w:lang w:val="en-US" w:eastAsia="zh-CN" w:bidi="ar"/>
        </w:rPr>
        <w:t>完善政务信息公开体制机制。进一步规范工作流程，</w:t>
      </w:r>
      <w:r>
        <w:rPr>
          <w:rFonts w:hint="eastAsia" w:ascii="仿宋_GB2312" w:hAnsi="仿宋_GB2312" w:eastAsia="仿宋_GB2312" w:cs="仿宋_GB2312"/>
          <w:b w:val="0"/>
          <w:bCs w:val="0"/>
          <w:i w:val="0"/>
          <w:iCs w:val="0"/>
          <w:caps w:val="0"/>
          <w:color w:val="000000"/>
          <w:spacing w:val="0"/>
          <w:kern w:val="2"/>
          <w:sz w:val="32"/>
          <w:szCs w:val="32"/>
          <w:bdr w:val="none" w:color="auto" w:sz="0" w:space="0"/>
          <w:shd w:val="clear" w:fill="FFFFFF"/>
          <w:lang w:val="en-US" w:eastAsia="zh-CN" w:bidi="ar"/>
        </w:rPr>
        <w:t>规范信息公开程序，实行逐级审批制度，加强对信息发布平台的动态监管和信息内容的审核、把关，确保信息公开内容准确。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黑体" w:hAnsi="黑体" w:eastAsia="黑体" w:cs="黑体"/>
          <w:color w:val="000000"/>
          <w:kern w:val="2"/>
          <w:sz w:val="32"/>
          <w:szCs w:val="32"/>
          <w:lang w:val="en-US" w:eastAsia="zh-CN" w:bidi="ar"/>
        </w:rPr>
      </w:pPr>
      <w:r>
        <w:rPr>
          <w:rFonts w:hint="eastAsia" w:ascii="黑体" w:hAnsi="黑体" w:eastAsia="黑体" w:cs="黑体"/>
          <w:color w:val="000000"/>
          <w:kern w:val="2"/>
          <w:sz w:val="32"/>
          <w:szCs w:val="32"/>
          <w:lang w:val="en-US" w:eastAsia="zh-CN" w:bidi="ar"/>
        </w:rPr>
        <w:t>六、其他需要报告的事项</w:t>
      </w:r>
    </w:p>
    <w:p>
      <w:pPr>
        <w:keepNext w:val="0"/>
        <w:keepLines w:val="0"/>
        <w:widowControl w:val="0"/>
        <w:suppressLineNumbers w:val="0"/>
        <w:spacing w:before="0" w:beforeAutospacing="1" w:after="0" w:afterAutospacing="1" w:line="640" w:lineRule="exact"/>
        <w:ind w:left="0" w:right="0" w:firstLine="640" w:firstLineChars="200"/>
        <w:jc w:val="left"/>
      </w:pPr>
      <w:r>
        <w:rPr>
          <w:rFonts w:hint="eastAsia" w:ascii="仿宋_GB2312" w:hAnsi="仿宋_GB2312" w:eastAsia="仿宋_GB2312" w:cs="仿宋_GB2312"/>
          <w:i w:val="0"/>
          <w:iCs w:val="0"/>
          <w:caps w:val="0"/>
          <w:color w:val="000000"/>
          <w:spacing w:val="0"/>
          <w:kern w:val="2"/>
          <w:sz w:val="32"/>
          <w:szCs w:val="32"/>
          <w:shd w:val="clear" w:fill="FFFFFF"/>
          <w:lang w:val="en-US" w:eastAsia="zh-CN" w:bidi="ar"/>
        </w:rPr>
        <w:t>无</w:t>
      </w:r>
    </w:p>
    <w:p>
      <w:pPr>
        <w:keepNext w:val="0"/>
        <w:keepLines w:val="0"/>
        <w:widowControl w:val="0"/>
        <w:suppressLineNumbers w:val="0"/>
        <w:spacing w:before="0" w:beforeAutospacing="1" w:after="0" w:afterAutospacing="1" w:line="640" w:lineRule="exact"/>
        <w:ind w:left="0" w:right="0" w:firstLine="640" w:firstLineChars="200"/>
        <w:jc w:val="right"/>
      </w:pPr>
      <w:r>
        <w:rPr>
          <w:rFonts w:hint="eastAsia" w:ascii="仿宋_GB2312" w:hAnsi="仿宋_GB2312" w:eastAsia="仿宋_GB2312" w:cs="仿宋_GB2312"/>
          <w:i w:val="0"/>
          <w:iCs w:val="0"/>
          <w:caps w:val="0"/>
          <w:color w:val="000000"/>
          <w:spacing w:val="0"/>
          <w:kern w:val="2"/>
          <w:sz w:val="32"/>
          <w:szCs w:val="32"/>
          <w:shd w:val="clear" w:fill="FFFFFF"/>
          <w:lang w:val="en-US" w:eastAsia="zh-CN" w:bidi="ar"/>
        </w:rPr>
        <w:t>赣州经济技术开发区农业农村工作办公室</w:t>
      </w:r>
    </w:p>
    <w:p>
      <w:pPr>
        <w:keepNext w:val="0"/>
        <w:keepLines w:val="0"/>
        <w:widowControl w:val="0"/>
        <w:suppressLineNumbers w:val="0"/>
        <w:spacing w:before="0" w:beforeAutospacing="1" w:after="0" w:afterAutospacing="1" w:line="640" w:lineRule="exact"/>
        <w:ind w:left="0" w:right="0" w:firstLine="640" w:firstLineChars="200"/>
        <w:jc w:val="center"/>
      </w:pPr>
      <w:r>
        <w:rPr>
          <w:rFonts w:hint="eastAsia" w:cs="仿宋_GB2312"/>
          <w:i w:val="0"/>
          <w:iCs w:val="0"/>
          <w:caps w:val="0"/>
          <w:color w:val="000000"/>
          <w:spacing w:val="0"/>
          <w:kern w:val="2"/>
          <w:sz w:val="32"/>
          <w:szCs w:val="32"/>
          <w:shd w:val="clear" w:fill="FFFFFF"/>
          <w:lang w:val="en-US" w:eastAsia="zh-CN" w:bidi="ar"/>
        </w:rPr>
        <w:t xml:space="preserve">              </w:t>
      </w:r>
      <w:r>
        <w:rPr>
          <w:rFonts w:hint="eastAsia" w:ascii="仿宋_GB2312" w:hAnsi="仿宋_GB2312" w:eastAsia="仿宋_GB2312" w:cs="仿宋_GB2312"/>
          <w:i w:val="0"/>
          <w:iCs w:val="0"/>
          <w:caps w:val="0"/>
          <w:color w:val="000000"/>
          <w:spacing w:val="0"/>
          <w:kern w:val="2"/>
          <w:sz w:val="32"/>
          <w:szCs w:val="32"/>
          <w:shd w:val="clear" w:fill="FFFFFF"/>
          <w:lang w:val="en-US" w:eastAsia="zh-CN" w:bidi="ar"/>
        </w:rPr>
        <w:t>2021年1月29日</w:t>
      </w:r>
    </w:p>
    <w:p>
      <w:bookmarkStart w:id="0" w:name="_GoBack"/>
      <w:bookmarkEnd w:id="0"/>
    </w:p>
    <w:sectPr>
      <w:pgSz w:w="11906" w:h="16838"/>
      <w:pgMar w:top="2098" w:right="1587" w:bottom="2098" w:left="1587" w:header="851" w:footer="992" w:gutter="0"/>
      <w:cols w:space="0" w:num="1"/>
      <w:rtlGutter w:val="0"/>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0053C8"/>
    <w:rsid w:val="134671A9"/>
    <w:rsid w:val="29CE02ED"/>
    <w:rsid w:val="2AC74D13"/>
    <w:rsid w:val="2F104ADA"/>
    <w:rsid w:val="31E9078F"/>
    <w:rsid w:val="34710896"/>
    <w:rsid w:val="3A36046F"/>
    <w:rsid w:val="3C2B5E59"/>
    <w:rsid w:val="3EA55EB9"/>
    <w:rsid w:val="4031782E"/>
    <w:rsid w:val="49F70AD3"/>
    <w:rsid w:val="558B5B44"/>
    <w:rsid w:val="5DFF09A2"/>
    <w:rsid w:val="7A2A2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left"/>
    </w:pPr>
    <w:rPr>
      <w:rFonts w:ascii="仿宋_GB2312" w:hAnsi="仿宋_GB2312" w:eastAsia="仿宋_GB2312" w:cs="仿宋_GB2312"/>
      <w:kern w:val="2"/>
      <w:sz w:val="32"/>
      <w:szCs w:val="32"/>
      <w:lang w:val="en-US" w:eastAsia="zh-CN" w:bidi="ar-SA"/>
    </w:rPr>
  </w:style>
  <w:style w:type="paragraph" w:styleId="2">
    <w:name w:val="heading 1"/>
    <w:basedOn w:val="1"/>
    <w:next w:val="1"/>
    <w:link w:val="7"/>
    <w:qFormat/>
    <w:uiPriority w:val="0"/>
    <w:pPr>
      <w:spacing w:before="0" w:beforeAutospacing="0" w:after="0" w:afterAutospacing="0" w:line="560" w:lineRule="exact"/>
      <w:ind w:left="0" w:right="0"/>
      <w:jc w:val="center"/>
      <w:outlineLvl w:val="0"/>
    </w:pPr>
    <w:rPr>
      <w:rFonts w:hint="eastAsia" w:ascii="宋体" w:hAnsi="宋体" w:eastAsia="方正小标宋简体" w:cs="宋体"/>
      <w:kern w:val="44"/>
      <w:sz w:val="44"/>
      <w:szCs w:val="48"/>
      <w:lang w:bidi="ar"/>
    </w:rPr>
  </w:style>
  <w:style w:type="paragraph" w:styleId="3">
    <w:name w:val="heading 2"/>
    <w:basedOn w:val="1"/>
    <w:next w:val="1"/>
    <w:semiHidden/>
    <w:unhideWhenUsed/>
    <w:qFormat/>
    <w:uiPriority w:val="0"/>
    <w:pPr>
      <w:widowControl/>
      <w:spacing w:line="560" w:lineRule="exact"/>
      <w:jc w:val="center"/>
      <w:outlineLvl w:val="1"/>
    </w:pPr>
    <w:rPr>
      <w:rFonts w:ascii="Arial" w:hAnsi="Arial" w:eastAsia="楷体" w:cs="Arial"/>
      <w:bCs/>
      <w:kern w:val="0"/>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标题 1 Char"/>
    <w:link w:val="2"/>
    <w:qFormat/>
    <w:uiPriority w:val="0"/>
    <w:rPr>
      <w:rFonts w:ascii="宋体" w:hAnsi="宋体" w:eastAsia="方正小标宋简体" w:cs="宋体"/>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邱越</cp:lastModifiedBy>
  <dcterms:modified xsi:type="dcterms:W3CDTF">2021-04-12T06:45:47Z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281651537BC94B07B050EA7C4C8E1A3E</vt:lpwstr>
  </property>
</Properties>
</file>