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1" w:after="0" w:afterAutospacing="1"/>
        <w:ind w:left="0" w:leftChars="0" w:right="0" w:rightChars="0" w:firstLine="640" w:firstLineChars="200"/>
        <w:jc w:val="center"/>
        <w:rPr>
          <w:rFonts w:hint="eastAsia" w:ascii="方正小标宋简体" w:hAnsi="方正小标宋简体" w:eastAsia="方正小标宋简体" w:cs="方正小标宋简体"/>
          <w:i w:val="0"/>
          <w:caps w:val="0"/>
          <w:color w:val="333333"/>
          <w:spacing w:val="0"/>
          <w:kern w:val="2"/>
          <w:sz w:val="44"/>
          <w:szCs w:val="44"/>
          <w:lang w:val="en-US" w:eastAsia="zh-CN" w:bidi="ar"/>
        </w:rPr>
      </w:pPr>
      <w:r>
        <w:rPr>
          <w:rFonts w:hint="eastAsia" w:ascii="方正小标宋简体" w:hAnsi="方正小标宋简体" w:eastAsia="方正小标宋简体" w:cs="方正小标宋简体"/>
          <w:i w:val="0"/>
          <w:caps w:val="0"/>
          <w:color w:val="333333"/>
          <w:spacing w:val="0"/>
          <w:kern w:val="2"/>
          <w:sz w:val="44"/>
          <w:szCs w:val="44"/>
          <w:lang w:val="en-US" w:eastAsia="zh-CN" w:bidi="ar"/>
        </w:rPr>
        <w:t>赣州经济技术开发区财政局2020年政府信息公开工作年度报告</w:t>
      </w:r>
    </w:p>
    <w:p>
      <w:pPr>
        <w:keepNext w:val="0"/>
        <w:keepLines w:val="0"/>
        <w:widowControl w:val="0"/>
        <w:suppressLineNumbers w:val="0"/>
        <w:autoSpaceDE w:val="0"/>
        <w:autoSpaceDN/>
        <w:spacing w:before="0" w:beforeAutospacing="1" w:after="0" w:afterAutospacing="1"/>
        <w:ind w:left="0" w:leftChars="0" w:right="0" w:rightChars="0" w:firstLine="640" w:firstLineChars="200"/>
        <w:jc w:val="left"/>
      </w:pPr>
      <w:r>
        <w:rPr>
          <w:rFonts w:ascii="仿宋_GB2312" w:eastAsia="仿宋_GB2312" w:cs="仿宋_GB2312" w:hAnsiTheme="minorHAnsi"/>
          <w:i w:val="0"/>
          <w:caps w:val="0"/>
          <w:color w:val="333333"/>
          <w:spacing w:val="0"/>
          <w:kern w:val="2"/>
          <w:sz w:val="32"/>
          <w:szCs w:val="32"/>
          <w:lang w:val="en-US" w:eastAsia="zh-CN" w:bidi="ar"/>
        </w:rPr>
        <w:t>本报告依据《中华人民共和国政府信息公开条例》（国务院令第</w:t>
      </w:r>
      <w:r>
        <w:rPr>
          <w:rFonts w:hint="eastAsia" w:ascii="仿宋_GB2312" w:eastAsia="仿宋_GB2312" w:cs="仿宋_GB2312" w:hAnsiTheme="minorHAnsi"/>
          <w:i w:val="0"/>
          <w:caps w:val="0"/>
          <w:color w:val="333333"/>
          <w:spacing w:val="0"/>
          <w:kern w:val="2"/>
          <w:sz w:val="32"/>
          <w:szCs w:val="32"/>
          <w:lang w:val="en-US" w:eastAsia="zh-CN" w:bidi="ar"/>
        </w:rPr>
        <w:t>711号，以下简称新《条例》）和《国务院办公厅政府信息与政务公开办公室关于政府信息公开工作年度报告有关事项的通知》（国办公开办函〔2019〕60号）要求，由赣州经济技术开发区财政局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w:t>
      </w:r>
    </w:p>
    <w:p>
      <w:pPr>
        <w:keepNext w:val="0"/>
        <w:keepLines w:val="0"/>
        <w:widowControl w:val="0"/>
        <w:numPr>
          <w:ilvl w:val="0"/>
          <w:numId w:val="0"/>
        </w:numPr>
        <w:suppressLineNumbers w:val="0"/>
        <w:autoSpaceDE w:val="0"/>
        <w:autoSpaceDN/>
        <w:spacing w:before="0" w:beforeAutospacing="1" w:after="0" w:afterAutospacing="1"/>
        <w:ind w:left="0" w:leftChars="0" w:right="0" w:rightChars="0" w:firstLine="640" w:firstLineChars="200"/>
        <w:jc w:val="left"/>
      </w:pPr>
      <w:r>
        <w:rPr>
          <w:rFonts w:ascii="黑体" w:hAnsi="宋体" w:eastAsia="黑体" w:cs="黑体"/>
          <w:b w:val="0"/>
          <w:i w:val="0"/>
          <w:caps w:val="0"/>
          <w:color w:val="333333"/>
          <w:spacing w:val="0"/>
          <w:kern w:val="2"/>
          <w:sz w:val="32"/>
          <w:szCs w:val="32"/>
          <w:shd w:val="clear" w:fill="FFFFFF"/>
          <w:lang w:val="en-US" w:eastAsia="zh-CN" w:bidi="ar"/>
        </w:rPr>
        <w:t>一、</w:t>
      </w:r>
      <w:r>
        <w:rPr>
          <w:rFonts w:hint="eastAsia" w:ascii="黑体" w:hAnsi="宋体" w:eastAsia="黑体" w:cs="黑体"/>
          <w:b w:val="0"/>
          <w:i w:val="0"/>
          <w:caps w:val="0"/>
          <w:color w:val="333333"/>
          <w:spacing w:val="0"/>
          <w:kern w:val="2"/>
          <w:sz w:val="32"/>
          <w:szCs w:val="32"/>
          <w:shd w:val="clear" w:fill="FFFFFF"/>
          <w:lang w:val="en-US" w:eastAsia="zh-CN" w:bidi="ar"/>
        </w:rPr>
        <w:t>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640" w:firstLineChars="200"/>
        <w:jc w:val="both"/>
      </w:pPr>
      <w:r>
        <w:rPr>
          <w:rFonts w:hint="eastAsia" w:ascii="仿宋_GB2312" w:eastAsia="仿宋_GB2312" w:cs="仿宋_GB2312"/>
          <w:i w:val="0"/>
          <w:caps w:val="0"/>
          <w:color w:val="333333"/>
          <w:spacing w:val="0"/>
          <w:kern w:val="2"/>
          <w:sz w:val="32"/>
          <w:szCs w:val="32"/>
          <w:shd w:val="clear" w:fill="FFFFFF"/>
        </w:rPr>
        <w:t>2020年区财政局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积极对</w:t>
      </w:r>
      <w:r>
        <w:rPr>
          <w:rFonts w:hint="eastAsia" w:ascii="仿宋_GB2312" w:eastAsia="仿宋_GB2312" w:cs="仿宋_GB2312"/>
          <w:color w:val="000000"/>
          <w:kern w:val="0"/>
          <w:sz w:val="32"/>
          <w:szCs w:val="32"/>
          <w:shd w:val="clear" w:fill="FFFFFF"/>
        </w:rPr>
        <w:t>《关于印发全市政务公开定期通报制度》赣市府办字〔2020〕68号和《赣州经济技术开发区全面推进基层政务公开标准化规范化实施方案》赣经开办字〔2020〕122号</w:t>
      </w:r>
      <w:r>
        <w:rPr>
          <w:rFonts w:hint="eastAsia" w:ascii="仿宋_GB2312" w:eastAsia="仿宋_GB2312" w:cs="仿宋_GB2312"/>
          <w:i w:val="0"/>
          <w:caps w:val="0"/>
          <w:color w:val="333333"/>
          <w:spacing w:val="0"/>
          <w:kern w:val="2"/>
          <w:sz w:val="32"/>
          <w:szCs w:val="32"/>
          <w:shd w:val="clear" w:fill="FFFFFF"/>
        </w:rPr>
        <w:t>明确目标任务，紧紧围绕省委、省政府中心工作及社会群众关注关切，着力提升政府信息公开质量，推进拓宽政府信息公开渠道，不断增强政府信息公开实效。</w:t>
      </w:r>
    </w:p>
    <w:p>
      <w:pPr>
        <w:keepNext w:val="0"/>
        <w:keepLines w:val="0"/>
        <w:widowControl/>
        <w:suppressLineNumbers w:val="0"/>
        <w:spacing w:before="0" w:beforeAutospacing="1" w:after="0" w:afterAutospacing="1"/>
        <w:ind w:left="0" w:right="0" w:firstLine="640" w:firstLineChars="200"/>
        <w:jc w:val="left"/>
      </w:pPr>
      <w:r>
        <w:rPr>
          <w:rFonts w:hint="eastAsia" w:ascii="仿宋_GB2312" w:eastAsia="仿宋_GB2312" w:cs="仿宋_GB2312" w:hAnsiTheme="minorHAnsi"/>
          <w:color w:val="000000"/>
          <w:kern w:val="0"/>
          <w:sz w:val="32"/>
          <w:szCs w:val="32"/>
          <w:lang w:val="en-US" w:eastAsia="zh-CN" w:bidi="ar"/>
        </w:rPr>
        <w:t>1、强化组织保障。我局成立了以主要领导任组长，分管领导任副组长，各处室负责人为成员的政务公开工作领导小组，为政府信息公开工作长期有效开展提供组织保障。</w:t>
      </w:r>
    </w:p>
    <w:p>
      <w:pPr>
        <w:keepNext w:val="0"/>
        <w:keepLines w:val="0"/>
        <w:widowControl/>
        <w:suppressLineNumbers w:val="0"/>
        <w:spacing w:before="0" w:beforeAutospacing="1" w:after="0" w:afterAutospacing="1"/>
        <w:ind w:left="0" w:right="0" w:firstLine="640" w:firstLineChars="200"/>
        <w:jc w:val="left"/>
      </w:pPr>
      <w:r>
        <w:rPr>
          <w:rFonts w:hint="eastAsia" w:ascii="仿宋_GB2312" w:eastAsia="仿宋_GB2312" w:cs="仿宋_GB2312" w:hAnsiTheme="minorHAnsi"/>
          <w:color w:val="000000"/>
          <w:kern w:val="0"/>
          <w:sz w:val="32"/>
          <w:szCs w:val="32"/>
          <w:lang w:val="en-US" w:eastAsia="zh-CN" w:bidi="ar"/>
        </w:rPr>
        <w:t>2、突出重点领域信息公开。根据赣州市人民政府办公厅出台的《关于印发全市政务公开定期通报制度》赣市府办字〔2020〕68号、《赣州经济技术开发区全面推进基层政务公开标准化规范化实施方案》赣经开办字〔2020〕122号等文件精神，我局突出重点领域信息公开。一是全面公布区级行政事业性收费、政府性基金以及实施政府定价或指导价的经营服务性收费目录清单。二是推进预决算信息公开，进一步做好使用财政资金的部门和单位预决算公开工作。三是推进政府采购信息公开，对财政部门作出的投诉和监督检查等处理决定等信息进行公开，着力打造阳光采购。</w:t>
      </w:r>
    </w:p>
    <w:p>
      <w:pPr>
        <w:keepNext w:val="0"/>
        <w:keepLines w:val="0"/>
        <w:widowControl w:val="0"/>
        <w:numPr>
          <w:ilvl w:val="0"/>
          <w:numId w:val="0"/>
        </w:numPr>
        <w:suppressLineNumbers w:val="0"/>
        <w:autoSpaceDE w:val="0"/>
        <w:autoSpaceDN/>
        <w:spacing w:before="0" w:beforeAutospacing="1" w:after="0" w:afterAutospacing="1"/>
        <w:ind w:left="0" w:leftChars="200" w:right="0" w:rightChars="0"/>
        <w:jc w:val="left"/>
      </w:pPr>
      <w:r>
        <w:rPr>
          <w:rFonts w:ascii="楷体" w:hAnsi="楷体" w:eastAsia="楷体" w:cs="楷体"/>
          <w:i w:val="0"/>
          <w:caps w:val="0"/>
          <w:color w:val="333333"/>
          <w:spacing w:val="0"/>
          <w:kern w:val="2"/>
          <w:sz w:val="32"/>
          <w:szCs w:val="32"/>
          <w:shd w:val="clear" w:fill="FFFFFF"/>
          <w:lang w:val="en-US" w:eastAsia="zh-CN" w:bidi="ar"/>
        </w:rPr>
        <w:t>(一)</w:t>
      </w:r>
      <w:r>
        <w:rPr>
          <w:rFonts w:hint="eastAsia" w:ascii="楷体" w:hAnsi="楷体" w:eastAsia="楷体" w:cs="楷体"/>
          <w:i w:val="0"/>
          <w:caps w:val="0"/>
          <w:color w:val="333333"/>
          <w:spacing w:val="0"/>
          <w:kern w:val="2"/>
          <w:sz w:val="32"/>
          <w:szCs w:val="32"/>
          <w:shd w:val="clear" w:fill="FFFFFF"/>
          <w:lang w:val="en-US" w:eastAsia="zh-CN" w:bidi="ar"/>
        </w:rPr>
        <w:t>主动公开</w:t>
      </w:r>
    </w:p>
    <w:p>
      <w:pPr>
        <w:keepNext w:val="0"/>
        <w:keepLines w:val="0"/>
        <w:widowControl/>
        <w:numPr>
          <w:ilvl w:val="0"/>
          <w:numId w:val="0"/>
        </w:numPr>
        <w:suppressLineNumbers w:val="0"/>
        <w:spacing w:before="0" w:beforeAutospacing="1" w:after="0" w:afterAutospacing="1"/>
        <w:ind w:left="0" w:right="0" w:firstLine="640" w:firstLineChars="200"/>
        <w:jc w:val="left"/>
      </w:pPr>
      <w:r>
        <w:rPr>
          <w:rFonts w:hint="eastAsia" w:ascii="仿宋_GB2312" w:eastAsia="仿宋_GB2312" w:cs="仿宋_GB2312" w:hAnsiTheme="minorHAnsi"/>
          <w:kern w:val="2"/>
          <w:sz w:val="32"/>
          <w:szCs w:val="32"/>
          <w:lang w:val="en-US" w:eastAsia="zh-CN" w:bidi="ar"/>
        </w:rPr>
        <w:t>一、围绕建设法治政府，全过程推进政务公开，持续推进国资监管和国企改革信息公开。</w:t>
      </w:r>
    </w:p>
    <w:p>
      <w:pPr>
        <w:keepNext w:val="0"/>
        <w:keepLines w:val="0"/>
        <w:widowControl/>
        <w:numPr>
          <w:ilvl w:val="0"/>
          <w:numId w:val="0"/>
        </w:numPr>
        <w:suppressLineNumbers w:val="0"/>
        <w:spacing w:before="0" w:beforeAutospacing="1" w:after="0" w:afterAutospacing="1"/>
        <w:ind w:left="0" w:right="0" w:firstLine="640" w:firstLineChars="200"/>
        <w:jc w:val="left"/>
      </w:pPr>
      <w:r>
        <w:rPr>
          <w:rFonts w:hint="eastAsia" w:ascii="仿宋_GB2312" w:eastAsia="仿宋_GB2312" w:cs="仿宋_GB2312" w:hAnsiTheme="minorHAnsi"/>
          <w:kern w:val="2"/>
          <w:sz w:val="32"/>
          <w:szCs w:val="32"/>
          <w:lang w:val="en-US" w:eastAsia="zh-CN" w:bidi="ar"/>
        </w:rPr>
        <w:t>二、围绕促进中心工作，全方位解读政策回应关切。实时发布保居民就业、保基本民生、保市场主体、保粮食能源安全、保产业链供应链稳定、保基层运转等相关政策信息。紧紧围绕着力稳企业保就业、增强发展新动能、实施扩大内需战略、确保实现脱贫攻坚目标、稳住外贸外资基本盘、保障和改善民生等重大部署和重点工作任务，解读好相关政策措施、执行情况和工作成效。尤其要加大为企业纾困、激发市场活力等规模性政策的公开力度，确保政策资金流向、使用公开透明，真正直达基层、直达企业</w:t>
      </w:r>
      <w:bookmarkStart w:id="0" w:name="_GoBack"/>
      <w:bookmarkEnd w:id="0"/>
      <w:r>
        <w:rPr>
          <w:rFonts w:hint="eastAsia" w:ascii="仿宋_GB2312" w:eastAsia="仿宋_GB2312" w:cs="仿宋_GB2312" w:hAnsiTheme="minorHAnsi"/>
          <w:kern w:val="2"/>
          <w:sz w:val="32"/>
          <w:szCs w:val="32"/>
          <w:lang w:val="en-US" w:eastAsia="zh-CN" w:bidi="ar"/>
        </w:rPr>
        <w:t>、直达民生，落到企业特别是中小微企业，落到社保、低保、失业、养老和特困人员身上。</w:t>
      </w:r>
    </w:p>
    <w:p>
      <w:pPr>
        <w:keepNext w:val="0"/>
        <w:keepLines w:val="0"/>
        <w:widowControl/>
        <w:numPr>
          <w:ilvl w:val="0"/>
          <w:numId w:val="0"/>
        </w:numPr>
        <w:suppressLineNumbers w:val="0"/>
        <w:spacing w:before="0" w:beforeAutospacing="1" w:after="0" w:afterAutospacing="1"/>
        <w:ind w:left="0" w:right="0" w:firstLine="640" w:firstLineChars="200"/>
        <w:jc w:val="left"/>
      </w:pPr>
      <w:r>
        <w:rPr>
          <w:rFonts w:hint="eastAsia" w:ascii="仿宋_GB2312" w:eastAsia="仿宋_GB2312" w:cs="仿宋_GB2312" w:hAnsiTheme="minorHAnsi"/>
          <w:kern w:val="2"/>
          <w:sz w:val="32"/>
          <w:szCs w:val="32"/>
          <w:lang w:val="en-US" w:eastAsia="zh-CN" w:bidi="ar"/>
        </w:rPr>
        <w:t>三、截至2020年底，我局政务公开门户网站信息公开栏目主动公开信息累计</w:t>
      </w:r>
      <w:r>
        <w:rPr>
          <w:rFonts w:hint="eastAsia" w:ascii="仿宋_GB2312" w:eastAsia="仿宋_GB2312" w:cs="仿宋_GB2312"/>
          <w:kern w:val="2"/>
          <w:sz w:val="32"/>
          <w:szCs w:val="32"/>
          <w:lang w:val="en-US" w:eastAsia="zh-CN" w:bidi="ar"/>
        </w:rPr>
        <w:t>120条，</w:t>
      </w:r>
      <w:r>
        <w:rPr>
          <w:rFonts w:ascii="仿宋_GB2312" w:hAnsi="宋体" w:eastAsia="仿宋_GB2312" w:cs="仿宋_GB2312"/>
          <w:i w:val="0"/>
          <w:caps w:val="0"/>
          <w:color w:val="333333"/>
          <w:spacing w:val="0"/>
          <w:sz w:val="32"/>
          <w:szCs w:val="32"/>
          <w:shd w:val="clear" w:fill="FFFFFF"/>
        </w:rPr>
        <w:t>机构职能4条，部门文件</w:t>
      </w:r>
      <w:r>
        <w:rPr>
          <w:rFonts w:hint="eastAsia" w:ascii="仿宋_GB2312" w:hAnsi="宋体" w:eastAsia="仿宋_GB2312" w:cs="仿宋_GB2312"/>
          <w:i w:val="0"/>
          <w:caps w:val="0"/>
          <w:color w:val="333333"/>
          <w:spacing w:val="0"/>
          <w:sz w:val="32"/>
          <w:szCs w:val="32"/>
          <w:shd w:val="clear" w:fill="FFFFFF"/>
          <w:lang w:val="en-US" w:eastAsia="zh-CN"/>
        </w:rPr>
        <w:t>3</w:t>
      </w:r>
      <w:r>
        <w:rPr>
          <w:rFonts w:ascii="仿宋_GB2312" w:hAnsi="宋体" w:eastAsia="仿宋_GB2312" w:cs="仿宋_GB2312"/>
          <w:i w:val="0"/>
          <w:caps w:val="0"/>
          <w:color w:val="333333"/>
          <w:spacing w:val="0"/>
          <w:sz w:val="32"/>
          <w:szCs w:val="32"/>
          <w:shd w:val="clear" w:fill="FFFFFF"/>
        </w:rPr>
        <w:t>份，政务动态信息</w:t>
      </w:r>
      <w:r>
        <w:rPr>
          <w:rFonts w:hint="eastAsia" w:ascii="仿宋_GB2312" w:hAnsi="宋体" w:eastAsia="仿宋_GB2312" w:cs="仿宋_GB2312"/>
          <w:i w:val="0"/>
          <w:caps w:val="0"/>
          <w:color w:val="333333"/>
          <w:spacing w:val="0"/>
          <w:sz w:val="32"/>
          <w:szCs w:val="32"/>
          <w:shd w:val="clear" w:fill="FFFFFF"/>
          <w:lang w:val="en-US" w:eastAsia="zh-CN"/>
        </w:rPr>
        <w:t>62</w:t>
      </w:r>
      <w:r>
        <w:rPr>
          <w:rFonts w:ascii="仿宋_GB2312" w:hAnsi="宋体" w:eastAsia="仿宋_GB2312" w:cs="仿宋_GB2312"/>
          <w:i w:val="0"/>
          <w:caps w:val="0"/>
          <w:color w:val="333333"/>
          <w:spacing w:val="0"/>
          <w:sz w:val="32"/>
          <w:szCs w:val="32"/>
          <w:shd w:val="clear" w:fill="FFFFFF"/>
        </w:rPr>
        <w:t>条，</w:t>
      </w:r>
      <w:r>
        <w:rPr>
          <w:rFonts w:hint="eastAsia" w:ascii="仿宋_GB2312" w:hAnsi="宋体" w:eastAsia="仿宋_GB2312" w:cs="仿宋_GB2312"/>
          <w:i w:val="0"/>
          <w:caps w:val="0"/>
          <w:color w:val="333333"/>
          <w:spacing w:val="0"/>
          <w:sz w:val="32"/>
          <w:szCs w:val="32"/>
          <w:shd w:val="clear" w:fill="FFFFFF"/>
          <w:lang w:eastAsia="zh-CN"/>
        </w:rPr>
        <w:t>财政预决算</w:t>
      </w:r>
      <w:r>
        <w:rPr>
          <w:rFonts w:hint="eastAsia" w:ascii="仿宋_GB2312" w:hAnsi="宋体" w:eastAsia="仿宋_GB2312" w:cs="仿宋_GB2312"/>
          <w:i w:val="0"/>
          <w:caps w:val="0"/>
          <w:color w:val="333333"/>
          <w:spacing w:val="0"/>
          <w:sz w:val="32"/>
          <w:szCs w:val="32"/>
          <w:shd w:val="clear" w:fill="FFFFFF"/>
          <w:lang w:val="en-US" w:eastAsia="zh-CN"/>
        </w:rPr>
        <w:t>18条，</w:t>
      </w:r>
      <w:r>
        <w:rPr>
          <w:rFonts w:ascii="仿宋_GB2312" w:hAnsi="宋体" w:eastAsia="仿宋_GB2312" w:cs="仿宋_GB2312"/>
          <w:i w:val="0"/>
          <w:caps w:val="0"/>
          <w:color w:val="333333"/>
          <w:spacing w:val="0"/>
          <w:sz w:val="32"/>
          <w:szCs w:val="32"/>
          <w:shd w:val="clear" w:fill="FFFFFF"/>
        </w:rPr>
        <w:t>公示公告</w:t>
      </w:r>
      <w:r>
        <w:rPr>
          <w:rFonts w:hint="eastAsia" w:ascii="仿宋_GB2312" w:hAnsi="宋体" w:eastAsia="仿宋_GB2312" w:cs="仿宋_GB2312"/>
          <w:i w:val="0"/>
          <w:caps w:val="0"/>
          <w:color w:val="333333"/>
          <w:spacing w:val="0"/>
          <w:sz w:val="32"/>
          <w:szCs w:val="32"/>
          <w:shd w:val="clear" w:fill="FFFFFF"/>
          <w:lang w:val="en-US" w:eastAsia="zh-CN"/>
        </w:rPr>
        <w:t>32</w:t>
      </w:r>
      <w:r>
        <w:rPr>
          <w:rFonts w:ascii="仿宋_GB2312" w:hAnsi="宋体" w:eastAsia="仿宋_GB2312" w:cs="仿宋_GB2312"/>
          <w:i w:val="0"/>
          <w:caps w:val="0"/>
          <w:color w:val="333333"/>
          <w:spacing w:val="0"/>
          <w:sz w:val="32"/>
          <w:szCs w:val="32"/>
          <w:shd w:val="clear" w:fill="FFFFFF"/>
        </w:rPr>
        <w:t>条</w:t>
      </w:r>
      <w:r>
        <w:rPr>
          <w:rFonts w:hint="eastAsia" w:ascii="仿宋_GB2312" w:hAnsi="宋体" w:eastAsia="仿宋_GB2312" w:cs="仿宋_GB2312"/>
          <w:i w:val="0"/>
          <w:caps w:val="0"/>
          <w:color w:val="333333"/>
          <w:spacing w:val="0"/>
          <w:sz w:val="32"/>
          <w:szCs w:val="32"/>
          <w:shd w:val="clear" w:fill="FFFFFF"/>
          <w:lang w:eastAsia="zh-CN"/>
        </w:rPr>
        <w:t>，年度报告</w:t>
      </w:r>
      <w:r>
        <w:rPr>
          <w:rFonts w:hint="eastAsia" w:ascii="仿宋_GB2312" w:hAnsi="宋体" w:eastAsia="仿宋_GB2312" w:cs="仿宋_GB2312"/>
          <w:i w:val="0"/>
          <w:caps w:val="0"/>
          <w:color w:val="333333"/>
          <w:spacing w:val="0"/>
          <w:sz w:val="32"/>
          <w:szCs w:val="32"/>
          <w:shd w:val="clear" w:fill="FFFFFF"/>
          <w:lang w:val="en-US" w:eastAsia="zh-CN"/>
        </w:rPr>
        <w:t>1条。</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200" w:right="0" w:rightChars="0"/>
        <w:jc w:val="both"/>
      </w:pPr>
      <w:r>
        <w:rPr>
          <w:rFonts w:hint="eastAsia" w:ascii="楷体" w:hAnsi="楷体" w:eastAsia="楷体" w:cs="楷体"/>
          <w:i w:val="0"/>
          <w:caps w:val="0"/>
          <w:color w:val="333333"/>
          <w:spacing w:val="0"/>
          <w:kern w:val="0"/>
          <w:sz w:val="32"/>
          <w:szCs w:val="32"/>
          <w:shd w:val="clear" w:fill="FFFFFF"/>
        </w:rPr>
        <w:t>(二)依申请公开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ightChars="0"/>
        <w:jc w:val="both"/>
        <w:rPr>
          <w:rFonts w:hint="eastAsia" w:ascii="仿宋_GB2312" w:eastAsia="仿宋_GB2312" w:cs="仿宋_GB2312"/>
          <w:color w:val="000000"/>
          <w:kern w:val="0"/>
          <w:sz w:val="32"/>
          <w:szCs w:val="32"/>
          <w:shd w:val="clear" w:fill="FFFFFF"/>
        </w:rPr>
      </w:pPr>
      <w:r>
        <w:rPr>
          <w:rFonts w:hint="eastAsia" w:ascii="仿宋_GB2312" w:eastAsia="仿宋_GB2312" w:cs="仿宋_GB2312"/>
          <w:color w:val="000000"/>
          <w:kern w:val="0"/>
          <w:sz w:val="32"/>
          <w:szCs w:val="32"/>
          <w:shd w:val="clear" w:fill="FFFFFF"/>
        </w:rPr>
        <w:t xml:space="preserve"> 2020年，我局未收到来自单位和个人的政府信息公开申请。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ightChars="0"/>
        <w:jc w:val="both"/>
        <w:rPr>
          <w:rFonts w:hint="eastAsia" w:ascii="仿宋_GB2312" w:eastAsia="仿宋_GB2312" w:cs="仿宋_GB2312"/>
          <w:color w:val="000000"/>
          <w:kern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ightChars="0"/>
        <w:jc w:val="both"/>
        <w:rPr>
          <w:rFonts w:hint="eastAsia" w:ascii="仿宋_GB2312" w:eastAsia="仿宋_GB2312" w:cs="仿宋_GB2312"/>
          <w:color w:val="000000"/>
          <w:kern w:val="0"/>
          <w:sz w:val="32"/>
          <w:szCs w:val="32"/>
          <w:shd w:val="clear" w:fill="FFFFFF"/>
        </w:rPr>
      </w:pPr>
    </w:p>
    <w:p>
      <w:pPr>
        <w:keepNext w:val="0"/>
        <w:keepLines w:val="0"/>
        <w:widowControl/>
        <w:suppressLineNumbers w:val="0"/>
        <w:spacing w:before="0" w:beforeAutospacing="1" w:after="0" w:afterAutospacing="1" w:line="540" w:lineRule="exact"/>
        <w:ind w:left="0" w:right="0"/>
        <w:jc w:val="left"/>
      </w:pPr>
      <w:r>
        <w:rPr>
          <w:rFonts w:hint="eastAsia" w:ascii="黑体" w:hAnsi="宋体" w:eastAsia="黑体" w:cs="黑体"/>
          <w:b w:val="0"/>
          <w:kern w:val="2"/>
          <w:sz w:val="32"/>
          <w:szCs w:val="32"/>
          <w:lang w:val="en-US" w:eastAsia="zh-CN" w:bidi="ar"/>
        </w:rPr>
        <w:t xml:space="preserve"> 二、主动公开政府信息情况</w:t>
      </w:r>
    </w:p>
    <w:tbl>
      <w:tblPr>
        <w:tblStyle w:val="4"/>
        <w:tblW w:w="80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817"/>
        <w:gridCol w:w="1939"/>
        <w:gridCol w:w="122"/>
        <w:gridCol w:w="1314"/>
        <w:gridCol w:w="18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8055"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ascii="仿宋" w:hAnsi="仿宋" w:eastAsia="仿宋" w:cs="仿宋"/>
                <w:kern w:val="2"/>
                <w:sz w:val="24"/>
                <w:szCs w:val="24"/>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2" w:hRule="atLeast"/>
        </w:trPr>
        <w:tc>
          <w:tcPr>
            <w:tcW w:w="2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信息内容</w:t>
            </w:r>
          </w:p>
        </w:tc>
        <w:tc>
          <w:tcPr>
            <w:tcW w:w="193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本年新制作数量</w:t>
            </w:r>
          </w:p>
        </w:tc>
        <w:tc>
          <w:tcPr>
            <w:tcW w:w="1436"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本年新公开数量</w:t>
            </w:r>
          </w:p>
        </w:tc>
        <w:tc>
          <w:tcPr>
            <w:tcW w:w="18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3" w:hRule="atLeast"/>
        </w:trPr>
        <w:tc>
          <w:tcPr>
            <w:tcW w:w="2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规章</w:t>
            </w:r>
          </w:p>
        </w:tc>
        <w:tc>
          <w:tcPr>
            <w:tcW w:w="193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0</w:t>
            </w:r>
          </w:p>
        </w:tc>
        <w:tc>
          <w:tcPr>
            <w:tcW w:w="1436"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0</w:t>
            </w:r>
          </w:p>
        </w:tc>
        <w:tc>
          <w:tcPr>
            <w:tcW w:w="18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1" w:hRule="atLeast"/>
        </w:trPr>
        <w:tc>
          <w:tcPr>
            <w:tcW w:w="2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规范性文件</w:t>
            </w:r>
          </w:p>
        </w:tc>
        <w:tc>
          <w:tcPr>
            <w:tcW w:w="193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1</w:t>
            </w:r>
          </w:p>
        </w:tc>
        <w:tc>
          <w:tcPr>
            <w:tcW w:w="1436"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1</w:t>
            </w:r>
          </w:p>
        </w:tc>
        <w:tc>
          <w:tcPr>
            <w:tcW w:w="18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055" w:type="dxa"/>
            <w:gridSpan w:val="5"/>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4" w:hRule="atLeast"/>
        </w:trPr>
        <w:tc>
          <w:tcPr>
            <w:tcW w:w="2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信息内容</w:t>
            </w:r>
          </w:p>
        </w:tc>
        <w:tc>
          <w:tcPr>
            <w:tcW w:w="193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上一年项目数量</w:t>
            </w:r>
          </w:p>
        </w:tc>
        <w:tc>
          <w:tcPr>
            <w:tcW w:w="1436"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本年增/减</w:t>
            </w:r>
          </w:p>
        </w:tc>
        <w:tc>
          <w:tcPr>
            <w:tcW w:w="18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8" w:hRule="atLeast"/>
        </w:trPr>
        <w:tc>
          <w:tcPr>
            <w:tcW w:w="2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行政许可</w:t>
            </w:r>
          </w:p>
        </w:tc>
        <w:tc>
          <w:tcPr>
            <w:tcW w:w="2061"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0"/>
                <w:sz w:val="24"/>
                <w:szCs w:val="24"/>
                <w:lang w:val="en-US" w:eastAsia="zh-CN" w:bidi="ar"/>
              </w:rPr>
              <w:t>1</w:t>
            </w:r>
          </w:p>
        </w:tc>
        <w:tc>
          <w:tcPr>
            <w:tcW w:w="13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0"/>
                <w:sz w:val="24"/>
                <w:szCs w:val="24"/>
                <w:lang w:val="en-US" w:eastAsia="zh-CN" w:bidi="ar"/>
              </w:rPr>
              <w:t>1</w:t>
            </w:r>
          </w:p>
        </w:tc>
        <w:tc>
          <w:tcPr>
            <w:tcW w:w="18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atLeast"/>
        </w:trPr>
        <w:tc>
          <w:tcPr>
            <w:tcW w:w="2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其他对外管理服务事项</w:t>
            </w:r>
          </w:p>
        </w:tc>
        <w:tc>
          <w:tcPr>
            <w:tcW w:w="2061"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0</w:t>
            </w:r>
          </w:p>
        </w:tc>
        <w:tc>
          <w:tcPr>
            <w:tcW w:w="13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0</w:t>
            </w:r>
          </w:p>
        </w:tc>
        <w:tc>
          <w:tcPr>
            <w:tcW w:w="18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trPr>
        <w:tc>
          <w:tcPr>
            <w:tcW w:w="8055" w:type="dxa"/>
            <w:gridSpan w:val="5"/>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4" w:hRule="atLeast"/>
        </w:trPr>
        <w:tc>
          <w:tcPr>
            <w:tcW w:w="2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信息内容</w:t>
            </w:r>
          </w:p>
        </w:tc>
        <w:tc>
          <w:tcPr>
            <w:tcW w:w="193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上一年项目数量</w:t>
            </w:r>
          </w:p>
        </w:tc>
        <w:tc>
          <w:tcPr>
            <w:tcW w:w="1436"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p>
          <w:p>
            <w:pPr>
              <w:keepNext w:val="0"/>
              <w:keepLines w:val="0"/>
              <w:widowControl/>
              <w:suppressLineNumbers w:val="0"/>
              <w:spacing w:before="0" w:beforeAutospacing="1" w:after="0" w:afterAutospacing="1" w:line="300" w:lineRule="exact"/>
              <w:ind w:left="0" w:right="0"/>
              <w:jc w:val="center"/>
            </w:pPr>
          </w:p>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本年增/减</w:t>
            </w:r>
          </w:p>
        </w:tc>
        <w:tc>
          <w:tcPr>
            <w:tcW w:w="18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0" w:hRule="atLeast"/>
        </w:trPr>
        <w:tc>
          <w:tcPr>
            <w:tcW w:w="2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行政处罚</w:t>
            </w:r>
          </w:p>
        </w:tc>
        <w:tc>
          <w:tcPr>
            <w:tcW w:w="2061"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0</w:t>
            </w:r>
          </w:p>
        </w:tc>
        <w:tc>
          <w:tcPr>
            <w:tcW w:w="13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0</w:t>
            </w:r>
          </w:p>
        </w:tc>
        <w:tc>
          <w:tcPr>
            <w:tcW w:w="18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rPr>
        <w:tc>
          <w:tcPr>
            <w:tcW w:w="2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行政强制</w:t>
            </w:r>
          </w:p>
        </w:tc>
        <w:tc>
          <w:tcPr>
            <w:tcW w:w="2061"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0</w:t>
            </w:r>
          </w:p>
        </w:tc>
        <w:tc>
          <w:tcPr>
            <w:tcW w:w="13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0</w:t>
            </w:r>
          </w:p>
        </w:tc>
        <w:tc>
          <w:tcPr>
            <w:tcW w:w="18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4" w:hRule="atLeast"/>
        </w:trPr>
        <w:tc>
          <w:tcPr>
            <w:tcW w:w="8055" w:type="dxa"/>
            <w:gridSpan w:val="5"/>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信息内容</w:t>
            </w:r>
          </w:p>
        </w:tc>
        <w:tc>
          <w:tcPr>
            <w:tcW w:w="2061"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上一年项目数量</w:t>
            </w:r>
          </w:p>
        </w:tc>
        <w:tc>
          <w:tcPr>
            <w:tcW w:w="3177" w:type="dxa"/>
            <w:gridSpan w:val="2"/>
            <w:tcBorders>
              <w:top w:val="single" w:color="auto" w:sz="8" w:space="0"/>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1" w:hRule="atLeast"/>
        </w:trPr>
        <w:tc>
          <w:tcPr>
            <w:tcW w:w="2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行政事业性收费</w:t>
            </w:r>
          </w:p>
        </w:tc>
        <w:tc>
          <w:tcPr>
            <w:tcW w:w="2061"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57</w:t>
            </w:r>
          </w:p>
        </w:tc>
        <w:tc>
          <w:tcPr>
            <w:tcW w:w="3177" w:type="dxa"/>
            <w:gridSpan w:val="2"/>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6" w:hRule="atLeast"/>
        </w:trPr>
        <w:tc>
          <w:tcPr>
            <w:tcW w:w="8055" w:type="dxa"/>
            <w:gridSpan w:val="5"/>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2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信息内容</w:t>
            </w:r>
          </w:p>
        </w:tc>
        <w:tc>
          <w:tcPr>
            <w:tcW w:w="2061"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采购项目数量</w:t>
            </w:r>
          </w:p>
        </w:tc>
        <w:tc>
          <w:tcPr>
            <w:tcW w:w="3177"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trPr>
        <w:tc>
          <w:tcPr>
            <w:tcW w:w="2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政府集中采购</w:t>
            </w:r>
          </w:p>
        </w:tc>
        <w:tc>
          <w:tcPr>
            <w:tcW w:w="2061"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8</w:t>
            </w:r>
          </w:p>
        </w:tc>
        <w:tc>
          <w:tcPr>
            <w:tcW w:w="317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309366元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817" w:type="dxa"/>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left"/>
            </w:pPr>
            <w:r>
              <w:rPr>
                <w:rFonts w:hint="eastAsia" w:ascii="宋体" w:hAnsi="Calibri" w:eastAsia="宋体" w:cs="Times New Roman"/>
                <w:kern w:val="2"/>
                <w:sz w:val="24"/>
                <w:szCs w:val="24"/>
                <w:lang w:val="en-US" w:eastAsia="zh-CN" w:bidi="ar"/>
              </w:rPr>
              <w:t> </w:t>
            </w:r>
          </w:p>
        </w:tc>
        <w:tc>
          <w:tcPr>
            <w:tcW w:w="1939" w:type="dxa"/>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left"/>
            </w:pPr>
            <w:r>
              <w:rPr>
                <w:rFonts w:hint="eastAsia" w:ascii="宋体" w:hAnsi="Calibri" w:eastAsia="宋体" w:cs="Times New Roman"/>
                <w:kern w:val="2"/>
                <w:sz w:val="24"/>
                <w:szCs w:val="24"/>
                <w:lang w:val="en-US" w:eastAsia="zh-CN" w:bidi="ar"/>
              </w:rPr>
              <w:t> </w:t>
            </w:r>
          </w:p>
        </w:tc>
        <w:tc>
          <w:tcPr>
            <w:tcW w:w="122" w:type="dxa"/>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left"/>
            </w:pPr>
            <w:r>
              <w:rPr>
                <w:rFonts w:hint="eastAsia" w:ascii="宋体" w:hAnsi="Calibri" w:eastAsia="宋体" w:cs="Times New Roman"/>
                <w:kern w:val="2"/>
                <w:sz w:val="24"/>
                <w:szCs w:val="24"/>
                <w:lang w:val="en-US" w:eastAsia="zh-CN" w:bidi="ar"/>
              </w:rPr>
              <w:t> </w:t>
            </w:r>
          </w:p>
        </w:tc>
        <w:tc>
          <w:tcPr>
            <w:tcW w:w="1314" w:type="dxa"/>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left"/>
            </w:pPr>
            <w:r>
              <w:rPr>
                <w:rFonts w:hint="eastAsia" w:ascii="宋体" w:hAnsi="Calibri" w:eastAsia="宋体" w:cs="Times New Roman"/>
                <w:kern w:val="2"/>
                <w:sz w:val="24"/>
                <w:szCs w:val="24"/>
                <w:lang w:val="en-US" w:eastAsia="zh-CN" w:bidi="ar"/>
              </w:rPr>
              <w:t> </w:t>
            </w:r>
          </w:p>
        </w:tc>
        <w:tc>
          <w:tcPr>
            <w:tcW w:w="1863" w:type="dxa"/>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left"/>
            </w:pPr>
            <w:r>
              <w:rPr>
                <w:rFonts w:hint="eastAsia" w:ascii="宋体" w:hAnsi="Calibri" w:eastAsia="宋体" w:cs="Times New Roman"/>
                <w:kern w:val="2"/>
                <w:sz w:val="24"/>
                <w:szCs w:val="24"/>
                <w:lang w:val="en-US" w:eastAsia="zh-CN" w:bidi="ar"/>
              </w:rPr>
              <w:t> </w:t>
            </w:r>
          </w:p>
        </w:tc>
      </w:tr>
    </w:tbl>
    <w:p>
      <w:pPr>
        <w:pStyle w:val="2"/>
        <w:keepNext w:val="0"/>
        <w:keepLines w:val="0"/>
        <w:widowControl/>
        <w:suppressLineNumbers w:val="0"/>
        <w:shd w:val="clear" w:fill="FFFFFF"/>
        <w:spacing w:before="0" w:beforeAutospacing="1" w:after="0" w:afterAutospacing="1" w:line="600" w:lineRule="exact"/>
        <w:ind w:left="0" w:right="0"/>
        <w:jc w:val="both"/>
      </w:pPr>
      <w:r>
        <w:rPr>
          <w:rFonts w:hint="eastAsia" w:ascii="黑体" w:hAnsi="宋体" w:eastAsia="黑体" w:cs="黑体"/>
          <w:b w:val="0"/>
          <w:kern w:val="2"/>
          <w:sz w:val="32"/>
          <w:szCs w:val="32"/>
          <w:shd w:val="clear" w:fill="FFFFFF"/>
        </w:rPr>
        <w:t>三、收到和处理政府信息公开申请情况</w:t>
      </w:r>
    </w:p>
    <w:tbl>
      <w:tblPr>
        <w:tblStyle w:val="4"/>
        <w:tblW w:w="90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18"/>
        <w:gridCol w:w="855"/>
        <w:gridCol w:w="2090"/>
        <w:gridCol w:w="814"/>
        <w:gridCol w:w="756"/>
        <w:gridCol w:w="756"/>
        <w:gridCol w:w="815"/>
        <w:gridCol w:w="976"/>
        <w:gridCol w:w="713"/>
        <w:gridCol w:w="6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3563"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5509"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宋体" w:hAnsi="宋体" w:eastAsia="宋体" w:cs="宋体"/>
                <w:kern w:val="0"/>
                <w:sz w:val="20"/>
                <w:szCs w:val="20"/>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563"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1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宋体" w:hAnsi="宋体" w:eastAsia="宋体" w:cs="宋体"/>
                <w:kern w:val="0"/>
                <w:sz w:val="20"/>
                <w:szCs w:val="20"/>
                <w:lang w:val="en-US" w:eastAsia="zh-CN" w:bidi="ar"/>
              </w:rPr>
              <w:t>自然人</w:t>
            </w:r>
          </w:p>
        </w:tc>
        <w:tc>
          <w:tcPr>
            <w:tcW w:w="4016"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宋体" w:hAnsi="宋体" w:eastAsia="宋体" w:cs="宋体"/>
                <w:kern w:val="0"/>
                <w:sz w:val="20"/>
                <w:szCs w:val="20"/>
                <w:lang w:val="en-US" w:eastAsia="zh-CN" w:bidi="ar"/>
              </w:rPr>
              <w:t>法人或其他组织</w:t>
            </w:r>
          </w:p>
        </w:tc>
        <w:tc>
          <w:tcPr>
            <w:tcW w:w="67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宋体" w:hAnsi="宋体" w:eastAsia="宋体" w:cs="宋体"/>
                <w:kern w:val="0"/>
                <w:sz w:val="20"/>
                <w:szCs w:val="2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50" w:hRule="atLeast"/>
        </w:trPr>
        <w:tc>
          <w:tcPr>
            <w:tcW w:w="3563"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1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宋体" w:hAnsi="宋体" w:eastAsia="宋体" w:cs="宋体"/>
                <w:kern w:val="0"/>
                <w:sz w:val="20"/>
                <w:szCs w:val="20"/>
                <w:lang w:val="en-US" w:eastAsia="zh-CN" w:bidi="ar"/>
              </w:rPr>
              <w:t>商业企业</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宋体" w:hAnsi="宋体" w:eastAsia="宋体" w:cs="宋体"/>
                <w:kern w:val="0"/>
                <w:sz w:val="20"/>
                <w:szCs w:val="20"/>
                <w:lang w:val="en-US" w:eastAsia="zh-CN" w:bidi="ar"/>
              </w:rPr>
              <w:t>科研机构</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宋体" w:hAnsi="宋体" w:eastAsia="宋体" w:cs="宋体"/>
                <w:kern w:val="0"/>
                <w:sz w:val="20"/>
                <w:szCs w:val="20"/>
                <w:lang w:val="en-US" w:eastAsia="zh-CN" w:bidi="ar"/>
              </w:rPr>
              <w:t>社会公益组织</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宋体" w:hAnsi="宋体" w:eastAsia="宋体" w:cs="宋体"/>
                <w:kern w:val="0"/>
                <w:sz w:val="20"/>
                <w:szCs w:val="20"/>
                <w:lang w:val="en-US" w:eastAsia="zh-CN" w:bidi="ar"/>
              </w:rPr>
              <w:t>法律服务机构</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宋体" w:hAnsi="宋体" w:eastAsia="宋体" w:cs="宋体"/>
                <w:kern w:val="0"/>
                <w:sz w:val="20"/>
                <w:szCs w:val="20"/>
                <w:lang w:val="en-US" w:eastAsia="zh-CN" w:bidi="ar"/>
              </w:rPr>
              <w:t>其他</w:t>
            </w:r>
          </w:p>
        </w:tc>
        <w:tc>
          <w:tcPr>
            <w:tcW w:w="67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563"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宋体" w:hAnsi="宋体" w:eastAsia="宋体" w:cs="宋体"/>
                <w:kern w:val="0"/>
                <w:sz w:val="20"/>
                <w:szCs w:val="20"/>
                <w:lang w:val="en-US" w:eastAsia="zh-CN" w:bidi="ar"/>
              </w:rPr>
              <w:t>一、本年新收政府信息公开申请数量</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563"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宋体" w:hAnsi="宋体" w:eastAsia="宋体" w:cs="宋体"/>
                <w:kern w:val="0"/>
                <w:sz w:val="20"/>
                <w:szCs w:val="20"/>
                <w:lang w:val="en-US" w:eastAsia="zh-CN" w:bidi="ar"/>
              </w:rPr>
              <w:t>二、上年结转政府信息公开申请数量</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1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 </w:t>
            </w:r>
          </w:p>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 </w:t>
            </w:r>
          </w:p>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 </w:t>
            </w:r>
          </w:p>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 </w:t>
            </w:r>
          </w:p>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 </w:t>
            </w:r>
          </w:p>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 </w:t>
            </w:r>
          </w:p>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 </w:t>
            </w:r>
          </w:p>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 </w:t>
            </w:r>
          </w:p>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 </w:t>
            </w:r>
          </w:p>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 </w:t>
            </w:r>
          </w:p>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 </w:t>
            </w:r>
          </w:p>
          <w:p>
            <w:pPr>
              <w:keepNext w:val="0"/>
              <w:keepLines w:val="0"/>
              <w:widowControl/>
              <w:suppressLineNumbers w:val="0"/>
              <w:spacing w:before="0" w:beforeAutospacing="1" w:after="0" w:afterAutospacing="1" w:line="300" w:lineRule="exact"/>
              <w:ind w:left="0" w:right="0"/>
              <w:jc w:val="left"/>
            </w:pPr>
            <w:r>
              <w:rPr>
                <w:rFonts w:hint="eastAsia" w:ascii="宋体" w:hAnsi="宋体" w:eastAsia="宋体" w:cs="宋体"/>
                <w:color w:val="FF0000"/>
                <w:kern w:val="0"/>
                <w:sz w:val="20"/>
                <w:szCs w:val="20"/>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eastAsia" w:ascii="宋体" w:hAnsi="宋体" w:eastAsia="宋体" w:cs="宋体"/>
                <w:color w:val="FF0000"/>
                <w:kern w:val="0"/>
                <w:sz w:val="20"/>
                <w:szCs w:val="20"/>
                <w:lang w:val="en-US" w:eastAsia="zh-CN" w:bidi="ar"/>
              </w:rPr>
              <w:t>       </w:t>
            </w:r>
            <w:r>
              <w:rPr>
                <w:rFonts w:hint="eastAsia" w:ascii="宋体" w:hAnsi="宋体" w:eastAsia="宋体" w:cs="宋体"/>
                <w:kern w:val="0"/>
                <w:sz w:val="20"/>
                <w:szCs w:val="20"/>
                <w:lang w:val="en-US" w:eastAsia="zh-CN" w:bidi="ar"/>
              </w:rPr>
              <w:t>三、本年度办理结果</w:t>
            </w:r>
          </w:p>
        </w:tc>
        <w:tc>
          <w:tcPr>
            <w:tcW w:w="2945"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（一）予以公开</w:t>
            </w:r>
          </w:p>
        </w:tc>
        <w:tc>
          <w:tcPr>
            <w:tcW w:w="8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67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宋体"/>
                <w:sz w:val="24"/>
                <w:szCs w:val="24"/>
              </w:rPr>
            </w:pPr>
          </w:p>
        </w:tc>
        <w:tc>
          <w:tcPr>
            <w:tcW w:w="2945"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600" w:lineRule="exact"/>
              <w:ind w:left="0" w:right="0"/>
              <w:jc w:val="left"/>
            </w:pPr>
            <w:r>
              <w:rPr>
                <w:rFonts w:hint="eastAsia" w:ascii="仿宋" w:hAnsi="仿宋" w:eastAsia="仿宋" w:cs="仿宋"/>
                <w:kern w:val="2"/>
                <w:sz w:val="24"/>
                <w:szCs w:val="24"/>
                <w:lang w:val="en-US" w:eastAsia="zh-CN" w:bidi="ar"/>
              </w:rPr>
              <w:t>（二）部分公开（区分处理的，只计这一情形，不计其他情形）</w:t>
            </w:r>
          </w:p>
        </w:tc>
        <w:tc>
          <w:tcPr>
            <w:tcW w:w="8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67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宋体"/>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600" w:lineRule="exact"/>
              <w:ind w:left="0" w:right="0"/>
              <w:jc w:val="left"/>
            </w:pPr>
            <w:r>
              <w:rPr>
                <w:rFonts w:hint="eastAsia" w:ascii="仿宋" w:hAnsi="仿宋" w:eastAsia="仿宋" w:cs="仿宋"/>
                <w:kern w:val="2"/>
                <w:sz w:val="24"/>
                <w:szCs w:val="24"/>
                <w:lang w:val="en-US" w:eastAsia="zh-CN" w:bidi="ar"/>
              </w:rPr>
              <w:t>（三）不予公开</w:t>
            </w:r>
          </w:p>
        </w:tc>
        <w:tc>
          <w:tcPr>
            <w:tcW w:w="2090"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600" w:lineRule="exact"/>
              <w:ind w:left="0" w:right="0"/>
              <w:jc w:val="left"/>
            </w:pPr>
            <w:r>
              <w:rPr>
                <w:rFonts w:hint="eastAsia" w:ascii="仿宋" w:hAnsi="仿宋" w:eastAsia="仿宋" w:cs="仿宋"/>
                <w:kern w:val="2"/>
                <w:sz w:val="24"/>
                <w:szCs w:val="24"/>
                <w:lang w:val="en-US" w:eastAsia="zh-CN" w:bidi="ar"/>
              </w:rPr>
              <w:t>1.属于国家秘密</w:t>
            </w:r>
          </w:p>
        </w:tc>
        <w:tc>
          <w:tcPr>
            <w:tcW w:w="8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67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top"/>
          </w:tcPr>
          <w:p>
            <w:pPr>
              <w:rPr>
                <w:rFonts w:hint="eastAsia" w:ascii="宋体"/>
                <w:sz w:val="24"/>
                <w:szCs w:val="24"/>
              </w:rPr>
            </w:pPr>
          </w:p>
        </w:tc>
        <w:tc>
          <w:tcPr>
            <w:tcW w:w="2090"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600" w:lineRule="exact"/>
              <w:ind w:left="0" w:right="0"/>
              <w:jc w:val="left"/>
            </w:pPr>
            <w:r>
              <w:rPr>
                <w:rFonts w:hint="eastAsia" w:ascii="仿宋" w:hAnsi="仿宋" w:eastAsia="仿宋" w:cs="仿宋"/>
                <w:kern w:val="2"/>
                <w:sz w:val="24"/>
                <w:szCs w:val="24"/>
                <w:lang w:val="en-US" w:eastAsia="zh-CN" w:bidi="ar"/>
              </w:rPr>
              <w:t>2.其他法律行政法规禁止公开</w:t>
            </w:r>
          </w:p>
        </w:tc>
        <w:tc>
          <w:tcPr>
            <w:tcW w:w="8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67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top"/>
          </w:tcPr>
          <w:p>
            <w:pPr>
              <w:rPr>
                <w:rFonts w:hint="eastAsia" w:ascii="宋体"/>
                <w:sz w:val="24"/>
                <w:szCs w:val="24"/>
              </w:rPr>
            </w:pPr>
          </w:p>
        </w:tc>
        <w:tc>
          <w:tcPr>
            <w:tcW w:w="2090"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600" w:lineRule="exact"/>
              <w:ind w:left="0" w:right="0"/>
              <w:jc w:val="left"/>
            </w:pPr>
            <w:r>
              <w:rPr>
                <w:rFonts w:hint="eastAsia" w:ascii="仿宋" w:hAnsi="仿宋" w:eastAsia="仿宋" w:cs="仿宋"/>
                <w:kern w:val="2"/>
                <w:sz w:val="24"/>
                <w:szCs w:val="24"/>
                <w:lang w:val="en-US" w:eastAsia="zh-CN" w:bidi="ar"/>
              </w:rPr>
              <w:t>3.危及“三安全一稳定”</w:t>
            </w:r>
          </w:p>
        </w:tc>
        <w:tc>
          <w:tcPr>
            <w:tcW w:w="8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67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top"/>
          </w:tcPr>
          <w:p>
            <w:pPr>
              <w:rPr>
                <w:rFonts w:hint="eastAsia" w:ascii="宋体"/>
                <w:sz w:val="24"/>
                <w:szCs w:val="24"/>
              </w:rPr>
            </w:pPr>
          </w:p>
        </w:tc>
        <w:tc>
          <w:tcPr>
            <w:tcW w:w="2090"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600" w:lineRule="exact"/>
              <w:ind w:left="0" w:right="0"/>
              <w:jc w:val="left"/>
            </w:pPr>
            <w:r>
              <w:rPr>
                <w:rFonts w:hint="eastAsia" w:ascii="仿宋" w:hAnsi="仿宋" w:eastAsia="仿宋" w:cs="仿宋"/>
                <w:kern w:val="2"/>
                <w:sz w:val="24"/>
                <w:szCs w:val="24"/>
                <w:lang w:val="en-US" w:eastAsia="zh-CN" w:bidi="ar"/>
              </w:rPr>
              <w:t>4.保护第三方合法权益</w:t>
            </w:r>
          </w:p>
        </w:tc>
        <w:tc>
          <w:tcPr>
            <w:tcW w:w="8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67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top"/>
          </w:tcPr>
          <w:p>
            <w:pPr>
              <w:rPr>
                <w:rFonts w:hint="eastAsia" w:ascii="宋体"/>
                <w:sz w:val="24"/>
                <w:szCs w:val="24"/>
              </w:rPr>
            </w:pPr>
          </w:p>
        </w:tc>
        <w:tc>
          <w:tcPr>
            <w:tcW w:w="2090"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5.属于三类内部事务信息</w:t>
            </w:r>
          </w:p>
        </w:tc>
        <w:tc>
          <w:tcPr>
            <w:tcW w:w="8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67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top"/>
          </w:tcPr>
          <w:p>
            <w:pPr>
              <w:rPr>
                <w:rFonts w:hint="eastAsia" w:ascii="宋体"/>
                <w:sz w:val="24"/>
                <w:szCs w:val="24"/>
              </w:rPr>
            </w:pPr>
          </w:p>
        </w:tc>
        <w:tc>
          <w:tcPr>
            <w:tcW w:w="2090"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6.属于四类过程性信息</w:t>
            </w:r>
          </w:p>
        </w:tc>
        <w:tc>
          <w:tcPr>
            <w:tcW w:w="8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67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top"/>
          </w:tcPr>
          <w:p>
            <w:pPr>
              <w:rPr>
                <w:rFonts w:hint="eastAsia" w:ascii="宋体"/>
                <w:sz w:val="24"/>
                <w:szCs w:val="24"/>
              </w:rPr>
            </w:pPr>
          </w:p>
        </w:tc>
        <w:tc>
          <w:tcPr>
            <w:tcW w:w="209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7.属于行政执法案卷</w:t>
            </w:r>
          </w:p>
        </w:tc>
        <w:tc>
          <w:tcPr>
            <w:tcW w:w="8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67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top"/>
          </w:tcPr>
          <w:p>
            <w:pPr>
              <w:rPr>
                <w:rFonts w:hint="eastAsia" w:ascii="宋体"/>
                <w:sz w:val="24"/>
                <w:szCs w:val="24"/>
              </w:rPr>
            </w:pPr>
          </w:p>
        </w:tc>
        <w:tc>
          <w:tcPr>
            <w:tcW w:w="20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8.属于行政查询事项</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宋体"/>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（四）无法提供</w:t>
            </w:r>
          </w:p>
        </w:tc>
        <w:tc>
          <w:tcPr>
            <w:tcW w:w="20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1.本机关不掌握相关政府信息</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2.没有现成信息需要另行制作</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3.补正后申请内容仍不明确</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3" w:hRule="atLeast"/>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宋体"/>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（五）不予处理</w:t>
            </w:r>
          </w:p>
        </w:tc>
        <w:tc>
          <w:tcPr>
            <w:tcW w:w="20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1.信访举报投诉类申请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2.重复申请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3.要求提供公开出版物</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4.无正当理由大量反复申请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5.要求行政机关确认或重新出具已获取信息</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宋体"/>
                <w:sz w:val="24"/>
                <w:szCs w:val="24"/>
              </w:rPr>
            </w:pPr>
          </w:p>
        </w:tc>
        <w:tc>
          <w:tcPr>
            <w:tcW w:w="294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（六）其他处理</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宋体"/>
                <w:sz w:val="24"/>
                <w:szCs w:val="24"/>
              </w:rPr>
            </w:pPr>
          </w:p>
        </w:tc>
        <w:tc>
          <w:tcPr>
            <w:tcW w:w="2945"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（七）总计</w:t>
            </w:r>
          </w:p>
        </w:tc>
        <w:tc>
          <w:tcPr>
            <w:tcW w:w="8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67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563"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600" w:lineRule="exact"/>
              <w:ind w:left="0" w:right="0"/>
              <w:jc w:val="left"/>
            </w:pPr>
            <w:r>
              <w:rPr>
                <w:rFonts w:hint="eastAsia" w:ascii="宋体" w:hAnsi="宋体" w:eastAsia="宋体" w:cs="宋体"/>
                <w:kern w:val="0"/>
                <w:sz w:val="20"/>
                <w:szCs w:val="20"/>
                <w:lang w:val="en-US" w:eastAsia="zh-CN" w:bidi="ar"/>
              </w:rPr>
              <w:t>四、结转下年度继续办理</w:t>
            </w:r>
          </w:p>
        </w:tc>
        <w:tc>
          <w:tcPr>
            <w:tcW w:w="8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c>
          <w:tcPr>
            <w:tcW w:w="67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center"/>
            </w:pPr>
            <w:r>
              <w:rPr>
                <w:rFonts w:hint="eastAsia" w:ascii="Calibri" w:hAnsi="Calibri" w:eastAsia="宋体" w:cs="Times New Roman"/>
                <w:kern w:val="0"/>
                <w:sz w:val="20"/>
                <w:szCs w:val="20"/>
                <w:lang w:val="en-US" w:eastAsia="zh-CN" w:bidi="ar"/>
              </w:rPr>
              <w:t>0</w:t>
            </w:r>
          </w:p>
        </w:tc>
      </w:tr>
    </w:tbl>
    <w:p>
      <w:pPr>
        <w:pStyle w:val="2"/>
        <w:keepNext w:val="0"/>
        <w:keepLines w:val="0"/>
        <w:widowControl/>
        <w:suppressLineNumbers w:val="0"/>
        <w:shd w:val="clear" w:fill="FFFFFF"/>
        <w:spacing w:before="0" w:beforeAutospacing="1" w:after="0" w:afterAutospacing="1" w:line="600" w:lineRule="exact"/>
        <w:ind w:left="0" w:right="0" w:firstLine="420"/>
        <w:jc w:val="both"/>
      </w:pPr>
      <w:r>
        <w:rPr>
          <w:rFonts w:hint="eastAsia" w:ascii="宋体" w:hAnsi="宋体" w:eastAsia="宋体" w:cs="宋体"/>
          <w:kern w:val="0"/>
          <w:sz w:val="24"/>
          <w:szCs w:val="24"/>
          <w:shd w:val="clear" w:fill="FFFFFF"/>
        </w:rPr>
        <w:t xml:space="preserve">  </w:t>
      </w:r>
    </w:p>
    <w:p>
      <w:pPr>
        <w:keepNext w:val="0"/>
        <w:keepLines w:val="0"/>
        <w:widowControl/>
        <w:suppressLineNumbers w:val="0"/>
        <w:spacing w:before="0" w:beforeAutospacing="1" w:after="0" w:afterAutospacing="1" w:line="540" w:lineRule="exact"/>
        <w:ind w:left="0" w:right="0"/>
        <w:jc w:val="left"/>
      </w:pPr>
      <w:r>
        <w:rPr>
          <w:rFonts w:hint="eastAsia" w:ascii="黑体" w:hAnsi="宋体" w:eastAsia="黑体" w:cs="黑体"/>
          <w:b w:val="0"/>
          <w:kern w:val="2"/>
          <w:sz w:val="32"/>
          <w:szCs w:val="32"/>
          <w:lang w:val="en-US" w:eastAsia="zh-CN" w:bidi="ar"/>
        </w:rPr>
        <w:t xml:space="preserve">四、政府信息公开行政复议、行政诉讼情况     </w:t>
      </w:r>
    </w:p>
    <w:tbl>
      <w:tblPr>
        <w:tblStyle w:val="4"/>
        <w:tblW w:w="90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宋体" w:hAnsi="宋体" w:eastAsia="宋体" w:cs="宋体"/>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宋体" w:hAnsi="宋体" w:eastAsia="宋体" w:cs="宋体"/>
                <w:kern w:val="0"/>
                <w:sz w:val="20"/>
                <w:szCs w:val="20"/>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04" w:type="dxa"/>
            <w:tcBorders>
              <w:top w:val="nil"/>
              <w:left w:val="single" w:color="auto" w:sz="8" w:space="0"/>
              <w:bottom w:val="nil"/>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lang w:val="en-US" w:eastAsia="zh-CN" w:bidi="ar"/>
              </w:rPr>
              <w:t>0</w:t>
            </w:r>
          </w:p>
        </w:tc>
        <w:tc>
          <w:tcPr>
            <w:tcW w:w="604" w:type="dxa"/>
            <w:tcBorders>
              <w:top w:val="nil"/>
              <w:left w:val="nil"/>
              <w:bottom w:val="nil"/>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lang w:val="en-US" w:eastAsia="zh-CN" w:bidi="ar"/>
              </w:rPr>
              <w:t>0</w:t>
            </w:r>
          </w:p>
        </w:tc>
        <w:tc>
          <w:tcPr>
            <w:tcW w:w="604" w:type="dxa"/>
            <w:tcBorders>
              <w:top w:val="nil"/>
              <w:left w:val="nil"/>
              <w:bottom w:val="nil"/>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lang w:val="en-US" w:eastAsia="zh-CN" w:bidi="ar"/>
              </w:rPr>
              <w:t>0</w:t>
            </w:r>
          </w:p>
        </w:tc>
        <w:tc>
          <w:tcPr>
            <w:tcW w:w="604" w:type="dxa"/>
            <w:tcBorders>
              <w:top w:val="nil"/>
              <w:left w:val="nil"/>
              <w:bottom w:val="nil"/>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lang w:val="en-US" w:eastAsia="zh-CN" w:bidi="ar"/>
              </w:rPr>
              <w:t>0</w:t>
            </w:r>
          </w:p>
        </w:tc>
        <w:tc>
          <w:tcPr>
            <w:tcW w:w="658" w:type="dxa"/>
            <w:tcBorders>
              <w:top w:val="nil"/>
              <w:left w:val="nil"/>
              <w:bottom w:val="nil"/>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lang w:val="en-US" w:eastAsia="zh-CN" w:bidi="ar"/>
              </w:rPr>
              <w:t>0</w:t>
            </w:r>
          </w:p>
        </w:tc>
        <w:tc>
          <w:tcPr>
            <w:tcW w:w="550" w:type="dxa"/>
            <w:tcBorders>
              <w:top w:val="nil"/>
              <w:left w:val="nil"/>
              <w:bottom w:val="nil"/>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lang w:val="en-US" w:eastAsia="zh-CN" w:bidi="ar"/>
              </w:rPr>
              <w:t>0</w:t>
            </w:r>
          </w:p>
        </w:tc>
        <w:tc>
          <w:tcPr>
            <w:tcW w:w="605" w:type="dxa"/>
            <w:tcBorders>
              <w:top w:val="nil"/>
              <w:left w:val="nil"/>
              <w:bottom w:val="nil"/>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lang w:val="en-US" w:eastAsia="zh-CN" w:bidi="ar"/>
              </w:rPr>
              <w:t>0</w:t>
            </w:r>
          </w:p>
        </w:tc>
        <w:tc>
          <w:tcPr>
            <w:tcW w:w="605" w:type="dxa"/>
            <w:tcBorders>
              <w:top w:val="nil"/>
              <w:left w:val="nil"/>
              <w:bottom w:val="nil"/>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lang w:val="en-US" w:eastAsia="zh-CN" w:bidi="ar"/>
              </w:rPr>
              <w:t>0</w:t>
            </w:r>
          </w:p>
        </w:tc>
        <w:tc>
          <w:tcPr>
            <w:tcW w:w="605" w:type="dxa"/>
            <w:tcBorders>
              <w:top w:val="nil"/>
              <w:left w:val="nil"/>
              <w:bottom w:val="nil"/>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lang w:val="en-US" w:eastAsia="zh-CN" w:bidi="ar"/>
              </w:rPr>
              <w:t>0</w:t>
            </w:r>
          </w:p>
        </w:tc>
        <w:tc>
          <w:tcPr>
            <w:tcW w:w="605" w:type="dxa"/>
            <w:tcBorders>
              <w:top w:val="nil"/>
              <w:left w:val="nil"/>
              <w:bottom w:val="nil"/>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lang w:val="en-US" w:eastAsia="zh-CN" w:bidi="ar"/>
              </w:rPr>
              <w:t>0</w:t>
            </w:r>
          </w:p>
        </w:tc>
        <w:tc>
          <w:tcPr>
            <w:tcW w:w="605" w:type="dxa"/>
            <w:tcBorders>
              <w:top w:val="nil"/>
              <w:left w:val="nil"/>
              <w:bottom w:val="nil"/>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lang w:val="en-US" w:eastAsia="zh-CN" w:bidi="ar"/>
              </w:rPr>
              <w:t>0</w:t>
            </w:r>
          </w:p>
        </w:tc>
        <w:tc>
          <w:tcPr>
            <w:tcW w:w="605" w:type="dxa"/>
            <w:tcBorders>
              <w:top w:val="nil"/>
              <w:left w:val="nil"/>
              <w:bottom w:val="nil"/>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lang w:val="en-US" w:eastAsia="zh-CN" w:bidi="ar"/>
              </w:rPr>
              <w:t>0</w:t>
            </w:r>
          </w:p>
        </w:tc>
        <w:tc>
          <w:tcPr>
            <w:tcW w:w="605" w:type="dxa"/>
            <w:tcBorders>
              <w:top w:val="nil"/>
              <w:left w:val="nil"/>
              <w:bottom w:val="nil"/>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lang w:val="en-US" w:eastAsia="zh-CN" w:bidi="ar"/>
              </w:rPr>
              <w:t>0</w:t>
            </w:r>
          </w:p>
        </w:tc>
        <w:tc>
          <w:tcPr>
            <w:tcW w:w="606" w:type="dxa"/>
            <w:tcBorders>
              <w:top w:val="nil"/>
              <w:left w:val="nil"/>
              <w:bottom w:val="nil"/>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lang w:val="en-US" w:eastAsia="zh-CN" w:bidi="ar"/>
              </w:rPr>
              <w:t>0</w:t>
            </w:r>
          </w:p>
        </w:tc>
        <w:tc>
          <w:tcPr>
            <w:tcW w:w="606" w:type="dxa"/>
            <w:tcBorders>
              <w:top w:val="nil"/>
              <w:left w:val="nil"/>
              <w:bottom w:val="nil"/>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left"/>
            </w:pPr>
            <w:r>
              <w:rPr>
                <w:rFonts w:hint="eastAsia" w:ascii="Calibri" w:hAnsi="Calibri"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lang w:val="en-US" w:eastAsia="zh-CN" w:bidi="ar"/>
              </w:rPr>
              <w:t> </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lang w:val="en-US" w:eastAsia="zh-CN" w:bidi="ar"/>
              </w:rPr>
              <w:t> </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lang w:val="en-US" w:eastAsia="zh-CN" w:bidi="ar"/>
              </w:rPr>
              <w:t>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lang w:val="en-US" w:eastAsia="zh-CN" w:bidi="ar"/>
              </w:rPr>
              <w:t>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left"/>
            </w:pPr>
            <w:r>
              <w:rPr>
                <w:rFonts w:hint="eastAsia" w:ascii="宋体" w:hAnsi="Calibri" w:eastAsia="宋体" w:cs="Times New Roman"/>
                <w:kern w:val="0"/>
                <w:sz w:val="24"/>
                <w:szCs w:val="24"/>
                <w:lang w:val="en-US" w:eastAsia="zh-CN" w:bidi="ar"/>
              </w:rPr>
              <w:t> </w:t>
            </w:r>
          </w:p>
        </w:tc>
      </w:tr>
    </w:tbl>
    <w:p>
      <w:pPr>
        <w:keepNext w:val="0"/>
        <w:keepLines w:val="0"/>
        <w:widowControl/>
        <w:numPr>
          <w:ilvl w:val="0"/>
          <w:numId w:val="0"/>
        </w:numPr>
        <w:suppressLineNumbers w:val="0"/>
        <w:spacing w:before="0" w:beforeAutospacing="1" w:after="0" w:afterAutospacing="1"/>
        <w:ind w:left="0" w:right="0"/>
        <w:jc w:val="left"/>
      </w:pPr>
      <w:r>
        <w:rPr>
          <w:rFonts w:hint="eastAsia" w:ascii="黑体" w:hAnsi="宋体" w:eastAsia="黑体" w:cs="黑体"/>
          <w:b w:val="0"/>
          <w:i w:val="0"/>
          <w:caps w:val="0"/>
          <w:color w:val="333333"/>
          <w:spacing w:val="0"/>
          <w:kern w:val="0"/>
          <w:sz w:val="32"/>
          <w:szCs w:val="32"/>
          <w:shd w:val="clear" w:fill="FFFFFF"/>
          <w:lang w:val="en-US" w:eastAsia="zh-CN" w:bidi="ar"/>
        </w:rPr>
        <w:t>五、存在的主要问题及改进情况</w:t>
      </w:r>
    </w:p>
    <w:p>
      <w:pPr>
        <w:keepNext w:val="0"/>
        <w:keepLines w:val="0"/>
        <w:widowControl/>
        <w:suppressLineNumbers w:val="0"/>
        <w:spacing w:before="0" w:beforeAutospacing="1" w:after="0" w:afterAutospacing="1"/>
        <w:ind w:left="0" w:right="0" w:rightChars="0"/>
        <w:jc w:val="left"/>
      </w:pPr>
      <w:r>
        <w:rPr>
          <w:rFonts w:hint="eastAsia" w:ascii="仿宋_GB2312" w:eastAsia="仿宋_GB2312" w:cs="仿宋_GB2312" w:hAnsiTheme="minorHAnsi"/>
          <w:color w:val="000000"/>
          <w:kern w:val="0"/>
          <w:sz w:val="32"/>
          <w:szCs w:val="32"/>
          <w:lang w:val="en-US" w:eastAsia="zh-CN" w:bidi="ar"/>
        </w:rPr>
        <w:t>   2020年，我局在推行政务信息公开工作中有了一定的进步，但仍然存在一些不足，一是政府信息公开工作做的不够细致；二是政府信息公开的数量、质量和时效性还有待提高。2020年，我局将继续深入贯彻落实《中华人民共和国政府信息公开条例》和《赣州市政府信息公开规定》有关精神，加大信息公开力度，提高公开工作效率，加强时效性，切实做好信息公开。</w:t>
      </w:r>
    </w:p>
    <w:p>
      <w:pPr>
        <w:pStyle w:val="2"/>
        <w:keepNext w:val="0"/>
        <w:keepLines w:val="0"/>
        <w:widowControl/>
        <w:suppressLineNumbers w:val="0"/>
        <w:shd w:val="clear" w:fill="FFFFFF"/>
        <w:spacing w:before="0" w:beforeAutospacing="1" w:after="0" w:afterAutospacing="1" w:line="600" w:lineRule="exact"/>
        <w:ind w:left="0" w:right="0"/>
        <w:jc w:val="both"/>
      </w:pPr>
      <w:r>
        <w:rPr>
          <w:rFonts w:hint="eastAsia" w:ascii="黑体" w:hAnsi="宋体" w:eastAsia="黑体" w:cs="黑体"/>
          <w:b w:val="0"/>
          <w:i w:val="0"/>
          <w:caps w:val="0"/>
          <w:color w:val="333333"/>
          <w:spacing w:val="0"/>
          <w:kern w:val="0"/>
          <w:sz w:val="32"/>
          <w:szCs w:val="32"/>
          <w:shd w:val="clear" w:fill="FFFFFF"/>
        </w:rPr>
        <w:t>六、其他需要报告的事项</w:t>
      </w:r>
    </w:p>
    <w:p>
      <w:pPr>
        <w:pStyle w:val="2"/>
        <w:keepNext w:val="0"/>
        <w:keepLines w:val="0"/>
        <w:widowControl/>
        <w:suppressLineNumbers w:val="0"/>
        <w:shd w:val="clear" w:fill="FFFFFF"/>
        <w:spacing w:before="0" w:beforeAutospacing="1" w:after="0" w:afterAutospacing="1" w:line="600" w:lineRule="exact"/>
        <w:ind w:left="0" w:right="0" w:firstLine="420"/>
        <w:jc w:val="both"/>
      </w:pPr>
      <w:r>
        <w:rPr>
          <w:rFonts w:hint="eastAsia" w:ascii="仿宋_GB2312" w:eastAsia="仿宋_GB2312" w:cs="仿宋_GB2312"/>
          <w:color w:val="333333"/>
          <w:kern w:val="0"/>
          <w:sz w:val="32"/>
          <w:szCs w:val="32"/>
          <w:shd w:val="clear" w:fill="FFFFFF"/>
        </w:rPr>
        <w:t>无</w:t>
      </w:r>
    </w:p>
    <w:p>
      <w:pPr>
        <w:pStyle w:val="2"/>
        <w:keepNext w:val="0"/>
        <w:keepLines w:val="0"/>
        <w:widowControl/>
        <w:suppressLineNumbers w:val="0"/>
        <w:shd w:val="clear" w:fill="FFFFFF"/>
        <w:spacing w:before="0" w:beforeAutospacing="1" w:after="0" w:afterAutospacing="1" w:line="600" w:lineRule="exact"/>
        <w:ind w:left="0" w:right="0" w:firstLine="420"/>
        <w:jc w:val="right"/>
      </w:pPr>
      <w:r>
        <w:rPr>
          <w:rFonts w:hint="eastAsia" w:ascii="仿宋_GB2312" w:eastAsia="仿宋_GB2312" w:cs="仿宋_GB2312"/>
          <w:kern w:val="0"/>
          <w:sz w:val="32"/>
          <w:szCs w:val="32"/>
          <w:shd w:val="clear" w:fill="FFFFFF"/>
        </w:rPr>
        <w:t xml:space="preserve">  </w:t>
      </w:r>
      <w:r>
        <w:rPr>
          <w:rFonts w:hint="eastAsia" w:ascii="仿宋_GB2312" w:eastAsia="仿宋_GB2312" w:cs="仿宋_GB2312"/>
          <w:color w:val="333333"/>
          <w:kern w:val="0"/>
          <w:sz w:val="32"/>
          <w:szCs w:val="32"/>
          <w:shd w:val="clear" w:fill="FFFFFF"/>
        </w:rPr>
        <w:t>赣州经济技术开发区财政局</w:t>
      </w:r>
    </w:p>
    <w:p>
      <w:pPr>
        <w:keepNext w:val="0"/>
        <w:keepLines w:val="0"/>
        <w:widowControl/>
        <w:suppressLineNumbers w:val="0"/>
        <w:spacing w:before="0" w:beforeAutospacing="1" w:after="0" w:afterAutospacing="1"/>
        <w:ind w:left="0" w:right="0"/>
        <w:jc w:val="right"/>
      </w:pPr>
      <w:r>
        <w:rPr>
          <w:rFonts w:hint="eastAsia" w:ascii="仿宋_GB2312" w:eastAsia="仿宋_GB2312" w:cs="仿宋_GB2312" w:hAnsiTheme="minorHAnsi"/>
          <w:kern w:val="2"/>
          <w:sz w:val="32"/>
          <w:szCs w:val="32"/>
          <w:shd w:val="clear" w:fill="FFFFFF"/>
          <w:lang w:val="en-US" w:eastAsia="zh-CN" w:bidi="ar"/>
        </w:rPr>
        <w:t xml:space="preserve">  </w:t>
      </w:r>
      <w:r>
        <w:rPr>
          <w:rFonts w:hint="eastAsia" w:ascii="仿宋_GB2312" w:eastAsia="仿宋_GB2312" w:cs="仿宋_GB2312" w:hAnsiTheme="minorHAnsi"/>
          <w:color w:val="333333"/>
          <w:kern w:val="2"/>
          <w:sz w:val="32"/>
          <w:szCs w:val="32"/>
          <w:shd w:val="clear" w:fill="FFFFFF"/>
          <w:lang w:val="en-US" w:eastAsia="zh-CN" w:bidi="ar"/>
        </w:rPr>
        <w:t>2021年1月29日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2662BB"/>
    <w:rsid w:val="2EF61F6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2021-04-13T02:12:09Z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