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b w:val="0"/>
          <w:bCs w:val="0"/>
          <w:snapToGrid/>
          <w:color w:val="auto"/>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b w:val="0"/>
          <w:bCs w:val="0"/>
          <w:snapToGrid/>
          <w:color w:val="auto"/>
          <w:sz w:val="44"/>
          <w:szCs w:val="44"/>
        </w:rPr>
      </w:pPr>
      <w:r>
        <w:rPr>
          <w:rFonts w:hint="eastAsia" w:ascii="方正小标宋简体" w:hAnsi="方正小标宋简体" w:eastAsia="方正小标宋简体" w:cs="方正小标宋简体"/>
          <w:b w:val="0"/>
          <w:bCs w:val="0"/>
          <w:snapToGrid/>
          <w:color w:val="auto"/>
          <w:sz w:val="44"/>
          <w:szCs w:val="44"/>
          <w:lang w:val="en-US" w:eastAsia="zh-CN"/>
        </w:rPr>
        <w:t>赣州经开区保税管理局2023年</w:t>
      </w:r>
      <w:r>
        <w:rPr>
          <w:rFonts w:hint="eastAsia" w:ascii="方正小标宋简体" w:hAnsi="方正小标宋简体" w:eastAsia="方正小标宋简体" w:cs="方正小标宋简体"/>
          <w:b w:val="0"/>
          <w:bCs w:val="0"/>
          <w:snapToGrid/>
          <w:color w:val="auto"/>
          <w:sz w:val="44"/>
          <w:szCs w:val="44"/>
        </w:rPr>
        <w:t>政府信息公开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b w:val="0"/>
          <w:bCs w:val="0"/>
          <w:snapToGrid/>
          <w:color w:val="auto"/>
          <w:sz w:val="44"/>
          <w:szCs w:val="44"/>
        </w:rPr>
      </w:pPr>
      <w:r>
        <w:rPr>
          <w:rFonts w:hint="eastAsia" w:ascii="方正小标宋简体" w:hAnsi="方正小标宋简体" w:eastAsia="方正小标宋简体" w:cs="方正小标宋简体"/>
          <w:b w:val="0"/>
          <w:bCs w:val="0"/>
          <w:snapToGrid/>
          <w:color w:val="auto"/>
          <w:sz w:val="44"/>
          <w:szCs w:val="44"/>
        </w:rPr>
        <w:t>工作年度报告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textAlignment w:val="auto"/>
        <w:rPr>
          <w:rFonts w:hint="eastAsia" w:ascii="宋体" w:hAnsi="宋体" w:eastAsia="宋体" w:cs="宋体"/>
          <w:snapToGrid/>
          <w:color w:val="auto"/>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32" w:firstLineChars="200"/>
        <w:textAlignment w:val="auto"/>
        <w:rPr>
          <w:rFonts w:hint="eastAsia" w:ascii="黑体" w:hAnsi="黑体" w:eastAsia="黑体" w:cs="宋体"/>
          <w:b w:val="0"/>
          <w:bCs w:val="0"/>
          <w:snapToGrid/>
          <w:color w:val="auto"/>
          <w:szCs w:val="32"/>
        </w:rPr>
      </w:pPr>
      <w:r>
        <w:rPr>
          <w:rFonts w:hint="eastAsia" w:ascii="黑体" w:hAnsi="黑体" w:eastAsia="黑体" w:cs="宋体"/>
          <w:b w:val="0"/>
          <w:bCs w:val="0"/>
          <w:snapToGrid/>
          <w:color w:val="auto"/>
          <w:szCs w:val="32"/>
        </w:rPr>
        <w:t>一、总体情况</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20</w:t>
      </w:r>
      <w:r>
        <w:rPr>
          <w:rFonts w:hint="eastAsia" w:ascii="仿宋_GB2312" w:hAnsi="仿宋_GB2312" w:eastAsia="仿宋_GB2312" w:cs="仿宋_GB2312"/>
          <w:b w:val="0"/>
          <w:bCs w:val="0"/>
          <w:color w:val="auto"/>
          <w:sz w:val="32"/>
          <w:szCs w:val="32"/>
          <w:shd w:val="clear" w:color="auto" w:fill="FFFFFF"/>
          <w:lang w:val="en-US" w:eastAsia="zh-CN"/>
        </w:rPr>
        <w:t>23</w:t>
      </w:r>
      <w:r>
        <w:rPr>
          <w:rFonts w:hint="eastAsia" w:ascii="仿宋_GB2312" w:hAnsi="仿宋_GB2312" w:eastAsia="仿宋_GB2312" w:cs="仿宋_GB2312"/>
          <w:b w:val="0"/>
          <w:bCs w:val="0"/>
          <w:color w:val="auto"/>
          <w:sz w:val="32"/>
          <w:szCs w:val="32"/>
          <w:shd w:val="clear" w:color="auto" w:fill="FFFFFF"/>
        </w:rPr>
        <w:t>年，</w:t>
      </w:r>
      <w:r>
        <w:rPr>
          <w:rFonts w:hint="eastAsia" w:ascii="仿宋_GB2312" w:hAnsi="仿宋_GB2312" w:eastAsia="仿宋_GB2312" w:cs="仿宋_GB2312"/>
          <w:b w:val="0"/>
          <w:bCs w:val="0"/>
          <w:color w:val="auto"/>
          <w:sz w:val="32"/>
          <w:szCs w:val="32"/>
          <w:shd w:val="clear" w:color="auto" w:fill="FFFFFF"/>
          <w:lang w:eastAsia="zh-CN"/>
        </w:rPr>
        <w:t>区保税管理局坚持</w:t>
      </w:r>
      <w:r>
        <w:rPr>
          <w:rFonts w:hint="eastAsia" w:ascii="仿宋_GB2312" w:hAnsi="仿宋_GB2312" w:eastAsia="仿宋_GB2312" w:cs="仿宋_GB2312"/>
          <w:b w:val="0"/>
          <w:bCs w:val="0"/>
          <w:color w:val="auto"/>
          <w:sz w:val="32"/>
          <w:szCs w:val="32"/>
          <w:shd w:val="clear" w:color="auto" w:fill="FFFFFF"/>
        </w:rPr>
        <w:t>以习近平新时代中国特色社会主义思想为指导，深入贯彻落实《中华人民共和国政府信息公开条例》和《赣州市政府信息公开规定》，按照赣州经济技术开发区</w:t>
      </w:r>
      <w:r>
        <w:rPr>
          <w:rFonts w:hint="eastAsia" w:ascii="仿宋_GB2312" w:hAnsi="仿宋_GB2312" w:eastAsia="仿宋_GB2312" w:cs="仿宋_GB2312"/>
          <w:b w:val="0"/>
          <w:bCs w:val="0"/>
          <w:color w:val="auto"/>
          <w:sz w:val="32"/>
          <w:szCs w:val="32"/>
          <w:shd w:val="clear" w:color="auto" w:fill="FFFFFF"/>
          <w:lang w:eastAsia="zh-CN"/>
        </w:rPr>
        <w:t>党政办公室</w:t>
      </w:r>
      <w:r>
        <w:rPr>
          <w:rFonts w:hint="eastAsia" w:ascii="仿宋_GB2312" w:hAnsi="仿宋_GB2312" w:eastAsia="仿宋_GB2312" w:cs="仿宋_GB2312"/>
          <w:b w:val="0"/>
          <w:bCs w:val="0"/>
          <w:color w:val="auto"/>
          <w:sz w:val="32"/>
          <w:szCs w:val="32"/>
          <w:shd w:val="clear" w:color="auto" w:fill="FFFFFF"/>
        </w:rPr>
        <w:t>政务公开工作通知要求,紧紧围绕中心工作和公众期盼，坚持以公开为常态、不公开为例外的原则，推进重点领域信息公开，加强信息发布工作，有效保障了群众依法获取我区政务信息。</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b w:val="0"/>
          <w:bCs w:val="0"/>
          <w:color w:val="auto"/>
          <w:sz w:val="32"/>
          <w:szCs w:val="32"/>
          <w:shd w:val="clear" w:color="auto" w:fill="FFFFFF"/>
        </w:rPr>
      </w:pPr>
      <w:r>
        <w:rPr>
          <w:rFonts w:hint="eastAsia" w:ascii="楷体" w:hAnsi="楷体" w:eastAsia="楷体" w:cs="楷体"/>
          <w:b w:val="0"/>
          <w:bCs w:val="0"/>
          <w:color w:val="auto"/>
          <w:sz w:val="32"/>
          <w:szCs w:val="32"/>
          <w:shd w:val="clear" w:color="auto" w:fill="FFFFFF"/>
          <w:lang w:eastAsia="zh-CN"/>
        </w:rPr>
        <w:t>（</w:t>
      </w:r>
      <w:r>
        <w:rPr>
          <w:rFonts w:hint="eastAsia" w:ascii="楷体" w:hAnsi="楷体" w:eastAsia="楷体" w:cs="楷体"/>
          <w:b w:val="0"/>
          <w:bCs w:val="0"/>
          <w:color w:val="auto"/>
          <w:sz w:val="32"/>
          <w:szCs w:val="32"/>
          <w:shd w:val="clear" w:color="auto" w:fill="FFFFFF"/>
          <w:lang w:val="en-US" w:eastAsia="zh-CN"/>
        </w:rPr>
        <w:t>一</w:t>
      </w:r>
      <w:r>
        <w:rPr>
          <w:rFonts w:hint="eastAsia" w:ascii="楷体" w:hAnsi="楷体" w:eastAsia="楷体" w:cs="楷体"/>
          <w:b w:val="0"/>
          <w:bCs w:val="0"/>
          <w:color w:val="auto"/>
          <w:sz w:val="32"/>
          <w:szCs w:val="32"/>
          <w:shd w:val="clear" w:color="auto" w:fill="FFFFFF"/>
          <w:lang w:eastAsia="zh-CN"/>
        </w:rPr>
        <w:t>）</w:t>
      </w:r>
      <w:r>
        <w:rPr>
          <w:rFonts w:hint="eastAsia" w:ascii="楷体" w:hAnsi="楷体" w:eastAsia="楷体" w:cs="楷体"/>
          <w:b w:val="0"/>
          <w:bCs w:val="0"/>
          <w:color w:val="auto"/>
          <w:sz w:val="32"/>
          <w:szCs w:val="32"/>
          <w:shd w:val="clear" w:color="auto" w:fill="FFFFFF"/>
          <w:lang w:val="en-US" w:eastAsia="zh-CN"/>
        </w:rPr>
        <w:t>加强政务信息主动公开。</w:t>
      </w:r>
      <w:r>
        <w:rPr>
          <w:rFonts w:hint="eastAsia" w:ascii="仿宋_GB2312" w:hAnsi="仿宋_GB2312" w:eastAsia="仿宋_GB2312" w:cs="仿宋_GB2312"/>
          <w:b w:val="0"/>
          <w:bCs w:val="0"/>
          <w:color w:val="auto"/>
          <w:sz w:val="32"/>
          <w:szCs w:val="32"/>
          <w:shd w:val="clear" w:color="auto" w:fill="FFFFFF"/>
        </w:rPr>
        <w:t>综合运用赣州经济技术开发区</w:t>
      </w:r>
      <w:r>
        <w:rPr>
          <w:rFonts w:hint="eastAsia" w:ascii="仿宋_GB2312" w:hAnsi="仿宋_GB2312" w:eastAsia="仿宋_GB2312" w:cs="仿宋_GB2312"/>
          <w:b w:val="0"/>
          <w:bCs w:val="0"/>
          <w:color w:val="auto"/>
          <w:sz w:val="32"/>
          <w:szCs w:val="32"/>
          <w:shd w:val="clear" w:color="auto" w:fill="FFFFFF"/>
          <w:lang w:val="en-US" w:eastAsia="zh-CN"/>
        </w:rPr>
        <w:t>政务信息公开</w:t>
      </w:r>
      <w:r>
        <w:rPr>
          <w:rFonts w:hint="eastAsia" w:ascii="仿宋_GB2312" w:hAnsi="仿宋_GB2312" w:eastAsia="仿宋_GB2312" w:cs="仿宋_GB2312"/>
          <w:b w:val="0"/>
          <w:bCs w:val="0"/>
          <w:color w:val="auto"/>
          <w:sz w:val="32"/>
          <w:szCs w:val="32"/>
          <w:shd w:val="clear" w:color="auto" w:fill="FFFFFF"/>
        </w:rPr>
        <w:t>网站等</w:t>
      </w:r>
      <w:r>
        <w:rPr>
          <w:rFonts w:hint="eastAsia" w:ascii="仿宋_GB2312" w:hAnsi="仿宋_GB2312" w:eastAsia="仿宋_GB2312" w:cs="仿宋_GB2312"/>
          <w:b w:val="0"/>
          <w:bCs w:val="0"/>
          <w:color w:val="auto"/>
          <w:sz w:val="32"/>
          <w:szCs w:val="32"/>
          <w:shd w:val="clear" w:color="auto" w:fill="FFFFFF"/>
          <w:lang w:val="en-US" w:eastAsia="zh-CN"/>
        </w:rPr>
        <w:t>平台，主动</w:t>
      </w:r>
      <w:r>
        <w:rPr>
          <w:rFonts w:hint="eastAsia" w:ascii="仿宋_GB2312" w:hAnsi="仿宋_GB2312" w:eastAsia="仿宋_GB2312" w:cs="仿宋_GB2312"/>
          <w:b w:val="0"/>
          <w:bCs w:val="0"/>
          <w:color w:val="auto"/>
          <w:sz w:val="32"/>
          <w:szCs w:val="32"/>
          <w:shd w:val="clear" w:color="auto" w:fill="FFFFFF"/>
        </w:rPr>
        <w:t>发布信息。在赣州经济技术开发区</w:t>
      </w:r>
      <w:r>
        <w:rPr>
          <w:rFonts w:hint="eastAsia" w:ascii="仿宋_GB2312" w:hAnsi="仿宋_GB2312" w:eastAsia="仿宋_GB2312" w:cs="仿宋_GB2312"/>
          <w:b w:val="0"/>
          <w:bCs w:val="0"/>
          <w:color w:val="auto"/>
          <w:sz w:val="32"/>
          <w:szCs w:val="32"/>
          <w:shd w:val="clear" w:color="auto" w:fill="FFFFFF"/>
          <w:lang w:val="en-US" w:eastAsia="zh-CN"/>
        </w:rPr>
        <w:t>政务信息公开</w:t>
      </w:r>
      <w:r>
        <w:rPr>
          <w:rFonts w:hint="eastAsia" w:ascii="仿宋_GB2312" w:hAnsi="仿宋_GB2312" w:eastAsia="仿宋_GB2312" w:cs="仿宋_GB2312"/>
          <w:b w:val="0"/>
          <w:bCs w:val="0"/>
          <w:color w:val="auto"/>
          <w:sz w:val="32"/>
          <w:szCs w:val="32"/>
          <w:shd w:val="clear" w:color="auto" w:fill="FFFFFF"/>
          <w:lang w:eastAsia="zh-CN"/>
        </w:rPr>
        <w:t>网</w:t>
      </w:r>
      <w:r>
        <w:rPr>
          <w:rFonts w:hint="eastAsia" w:ascii="仿宋_GB2312" w:hAnsi="仿宋_GB2312" w:eastAsia="仿宋_GB2312" w:cs="仿宋_GB2312"/>
          <w:b w:val="0"/>
          <w:bCs w:val="0"/>
          <w:color w:val="auto"/>
          <w:sz w:val="32"/>
          <w:szCs w:val="32"/>
          <w:shd w:val="clear" w:color="auto" w:fill="FFFFFF"/>
        </w:rPr>
        <w:t>主动公开政府信息</w:t>
      </w:r>
      <w:r>
        <w:rPr>
          <w:rFonts w:hint="eastAsia" w:ascii="仿宋_GB2312" w:hAnsi="仿宋_GB2312" w:eastAsia="仿宋_GB2312" w:cs="仿宋_GB2312"/>
          <w:b w:val="0"/>
          <w:bCs w:val="0"/>
          <w:color w:val="auto"/>
          <w:sz w:val="32"/>
          <w:szCs w:val="32"/>
          <w:shd w:val="clear" w:color="auto" w:fill="FFFFFF"/>
          <w:lang w:val="en-US" w:eastAsia="zh-CN"/>
        </w:rPr>
        <w:t>38</w:t>
      </w:r>
      <w:r>
        <w:rPr>
          <w:rFonts w:hint="eastAsia" w:ascii="仿宋_GB2312" w:hAnsi="仿宋_GB2312" w:eastAsia="仿宋_GB2312" w:cs="仿宋_GB2312"/>
          <w:b w:val="0"/>
          <w:bCs w:val="0"/>
          <w:color w:val="auto"/>
          <w:sz w:val="32"/>
          <w:szCs w:val="32"/>
          <w:shd w:val="clear" w:color="auto" w:fill="FFFFFF"/>
        </w:rPr>
        <w:t>条（含</w:t>
      </w:r>
      <w:r>
        <w:rPr>
          <w:rFonts w:hint="eastAsia" w:ascii="仿宋_GB2312" w:hAnsi="仿宋_GB2312" w:eastAsia="仿宋_GB2312" w:cs="仿宋_GB2312"/>
          <w:b w:val="0"/>
          <w:bCs w:val="0"/>
          <w:color w:val="auto"/>
          <w:sz w:val="32"/>
          <w:szCs w:val="32"/>
          <w:shd w:val="clear" w:color="auto" w:fill="FFFFFF"/>
          <w:lang w:eastAsia="zh-CN"/>
        </w:rPr>
        <w:t>信息公开指南</w:t>
      </w:r>
      <w:r>
        <w:rPr>
          <w:rFonts w:hint="eastAsia" w:ascii="仿宋_GB2312" w:hAnsi="仿宋_GB2312" w:eastAsia="仿宋_GB2312" w:cs="仿宋_GB2312"/>
          <w:b w:val="0"/>
          <w:bCs w:val="0"/>
          <w:color w:val="auto"/>
          <w:sz w:val="32"/>
          <w:szCs w:val="32"/>
          <w:shd w:val="clear" w:color="auto" w:fill="FFFFFF"/>
          <w:lang w:val="en-US" w:eastAsia="zh-CN"/>
        </w:rPr>
        <w:t>1条、</w:t>
      </w:r>
      <w:r>
        <w:rPr>
          <w:rFonts w:hint="eastAsia" w:ascii="仿宋_GB2312" w:hAnsi="仿宋_GB2312" w:eastAsia="仿宋_GB2312" w:cs="仿宋_GB2312"/>
          <w:b w:val="0"/>
          <w:bCs w:val="0"/>
          <w:color w:val="auto"/>
          <w:sz w:val="32"/>
          <w:szCs w:val="32"/>
          <w:shd w:val="clear" w:color="auto" w:fill="FFFFFF"/>
        </w:rPr>
        <w:t>年度报告1条、</w:t>
      </w:r>
      <w:r>
        <w:rPr>
          <w:rFonts w:hint="eastAsia" w:ascii="仿宋_GB2312" w:hAnsi="仿宋_GB2312" w:eastAsia="仿宋_GB2312" w:cs="仿宋_GB2312"/>
          <w:b w:val="0"/>
          <w:bCs w:val="0"/>
          <w:color w:val="auto"/>
          <w:sz w:val="32"/>
          <w:szCs w:val="32"/>
          <w:shd w:val="clear" w:color="auto" w:fill="FFFFFF"/>
          <w:lang w:eastAsia="zh-CN"/>
        </w:rPr>
        <w:t>机构职能</w:t>
      </w:r>
      <w:r>
        <w:rPr>
          <w:rFonts w:hint="eastAsia" w:ascii="仿宋_GB2312" w:hAnsi="仿宋_GB2312" w:eastAsia="仿宋_GB2312" w:cs="仿宋_GB2312"/>
          <w:b w:val="0"/>
          <w:bCs w:val="0"/>
          <w:color w:val="auto"/>
          <w:sz w:val="32"/>
          <w:szCs w:val="32"/>
          <w:shd w:val="clear" w:color="auto" w:fill="FFFFFF"/>
          <w:lang w:val="en-US" w:eastAsia="zh-CN"/>
        </w:rPr>
        <w:t>1条、</w:t>
      </w:r>
      <w:r>
        <w:rPr>
          <w:rFonts w:hint="eastAsia" w:ascii="仿宋_GB2312" w:hAnsi="仿宋_GB2312" w:eastAsia="仿宋_GB2312" w:cs="仿宋_GB2312"/>
          <w:b w:val="0"/>
          <w:bCs w:val="0"/>
          <w:color w:val="auto"/>
          <w:sz w:val="32"/>
          <w:szCs w:val="32"/>
          <w:shd w:val="clear" w:color="auto" w:fill="FFFFFF"/>
        </w:rPr>
        <w:t>工作动态</w:t>
      </w:r>
      <w:r>
        <w:rPr>
          <w:rFonts w:hint="eastAsia" w:ascii="仿宋_GB2312" w:hAnsi="仿宋_GB2312" w:eastAsia="仿宋_GB2312" w:cs="仿宋_GB2312"/>
          <w:b w:val="0"/>
          <w:bCs w:val="0"/>
          <w:color w:val="auto"/>
          <w:sz w:val="32"/>
          <w:szCs w:val="32"/>
          <w:shd w:val="clear" w:color="auto" w:fill="FFFFFF"/>
          <w:lang w:val="en-US" w:eastAsia="zh-CN"/>
        </w:rPr>
        <w:t>3</w:t>
      </w:r>
      <w:r>
        <w:rPr>
          <w:rFonts w:hint="default" w:ascii="仿宋_GB2312" w:hAnsi="仿宋_GB2312" w:eastAsia="仿宋_GB2312" w:cs="仿宋_GB2312"/>
          <w:b w:val="0"/>
          <w:bCs w:val="0"/>
          <w:color w:val="auto"/>
          <w:sz w:val="32"/>
          <w:szCs w:val="32"/>
          <w:shd w:val="clear" w:color="auto" w:fill="FFFFFF"/>
          <w:lang w:val="en-US" w:eastAsia="zh-CN"/>
        </w:rPr>
        <w:t>1</w:t>
      </w:r>
      <w:r>
        <w:rPr>
          <w:rFonts w:hint="eastAsia" w:ascii="仿宋_GB2312" w:hAnsi="仿宋_GB2312" w:eastAsia="仿宋_GB2312" w:cs="仿宋_GB2312"/>
          <w:b w:val="0"/>
          <w:bCs w:val="0"/>
          <w:color w:val="auto"/>
          <w:sz w:val="32"/>
          <w:szCs w:val="32"/>
          <w:shd w:val="clear" w:color="auto" w:fill="FFFFFF"/>
        </w:rPr>
        <w:t>条、</w:t>
      </w:r>
      <w:r>
        <w:rPr>
          <w:rFonts w:hint="eastAsia" w:ascii="仿宋_GB2312" w:hAnsi="仿宋_GB2312" w:eastAsia="仿宋_GB2312" w:cs="仿宋_GB2312"/>
          <w:b w:val="0"/>
          <w:bCs w:val="0"/>
          <w:color w:val="auto"/>
          <w:sz w:val="32"/>
          <w:szCs w:val="32"/>
          <w:shd w:val="clear" w:color="auto" w:fill="FFFFFF"/>
          <w:lang w:eastAsia="zh-CN"/>
        </w:rPr>
        <w:t>部门文件</w:t>
      </w:r>
      <w:r>
        <w:rPr>
          <w:rFonts w:hint="eastAsia" w:ascii="仿宋_GB2312" w:hAnsi="仿宋_GB2312" w:eastAsia="仿宋_GB2312" w:cs="仿宋_GB2312"/>
          <w:b w:val="0"/>
          <w:bCs w:val="0"/>
          <w:color w:val="auto"/>
          <w:sz w:val="32"/>
          <w:szCs w:val="32"/>
          <w:shd w:val="clear" w:color="auto" w:fill="FFFFFF"/>
          <w:lang w:val="en-US" w:eastAsia="zh-CN"/>
        </w:rPr>
        <w:t>2条、</w:t>
      </w:r>
      <w:r>
        <w:rPr>
          <w:rFonts w:hint="eastAsia" w:ascii="仿宋_GB2312" w:hAnsi="仿宋_GB2312" w:eastAsia="仿宋_GB2312" w:cs="仿宋_GB2312"/>
          <w:b w:val="0"/>
          <w:bCs w:val="0"/>
          <w:color w:val="auto"/>
          <w:sz w:val="32"/>
          <w:szCs w:val="32"/>
          <w:shd w:val="clear" w:color="auto" w:fill="FFFFFF"/>
        </w:rPr>
        <w:t>财经信息</w:t>
      </w:r>
      <w:r>
        <w:rPr>
          <w:rFonts w:hint="eastAsia" w:ascii="仿宋_GB2312" w:hAnsi="仿宋_GB2312" w:eastAsia="仿宋_GB2312" w:cs="仿宋_GB2312"/>
          <w:b w:val="0"/>
          <w:bCs w:val="0"/>
          <w:color w:val="auto"/>
          <w:sz w:val="32"/>
          <w:szCs w:val="32"/>
          <w:shd w:val="clear" w:color="auto" w:fill="FFFFFF"/>
          <w:lang w:val="en-US" w:eastAsia="zh-CN"/>
        </w:rPr>
        <w:t>2</w:t>
      </w:r>
      <w:r>
        <w:rPr>
          <w:rFonts w:hint="eastAsia" w:ascii="仿宋_GB2312" w:hAnsi="仿宋_GB2312" w:eastAsia="仿宋_GB2312" w:cs="仿宋_GB2312"/>
          <w:b w:val="0"/>
          <w:bCs w:val="0"/>
          <w:color w:val="auto"/>
          <w:sz w:val="32"/>
          <w:szCs w:val="32"/>
          <w:shd w:val="clear" w:color="auto" w:fill="FFFFFF"/>
        </w:rPr>
        <w:t>条）。</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楷体" w:hAnsi="楷体" w:eastAsia="楷体" w:cs="楷体"/>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（二）依申请公开</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2023年未收到依申请信息公开的事项。针对不属于本单位掌握范围或非权限内事项已建议申请者向有关部门咨询。</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b w:val="0"/>
          <w:bCs w:val="0"/>
          <w:color w:val="auto"/>
          <w:sz w:val="32"/>
          <w:szCs w:val="32"/>
          <w:shd w:val="clear" w:color="auto" w:fill="FFFFFF"/>
        </w:rPr>
      </w:pPr>
      <w:r>
        <w:rPr>
          <w:rFonts w:hint="eastAsia" w:ascii="楷体" w:hAnsi="楷体" w:eastAsia="楷体" w:cs="楷体"/>
          <w:i w:val="0"/>
          <w:caps w:val="0"/>
          <w:color w:val="auto"/>
          <w:spacing w:val="0"/>
          <w:sz w:val="32"/>
          <w:szCs w:val="32"/>
          <w:shd w:val="clear" w:fill="FFFFFF"/>
          <w:lang w:val="en-US" w:eastAsia="zh-CN"/>
        </w:rPr>
        <w:t>（三）加强</w:t>
      </w:r>
      <w:r>
        <w:rPr>
          <w:rFonts w:hint="eastAsia" w:ascii="楷体" w:hAnsi="楷体" w:eastAsia="楷体" w:cs="楷体"/>
          <w:i w:val="0"/>
          <w:caps w:val="0"/>
          <w:color w:val="auto"/>
          <w:spacing w:val="0"/>
          <w:sz w:val="32"/>
          <w:szCs w:val="32"/>
          <w:shd w:val="clear" w:fill="FFFFFF"/>
          <w:lang w:eastAsia="zh-CN"/>
        </w:rPr>
        <w:t>政府信息管理。</w:t>
      </w:r>
      <w:r>
        <w:rPr>
          <w:rFonts w:hint="eastAsia" w:ascii="仿宋_GB2312" w:hAnsi="仿宋_GB2312" w:eastAsia="仿宋_GB2312" w:cs="仿宋_GB2312"/>
          <w:b w:val="0"/>
          <w:bCs w:val="0"/>
          <w:color w:val="auto"/>
          <w:sz w:val="32"/>
          <w:szCs w:val="32"/>
          <w:shd w:val="clear" w:color="auto" w:fill="FFFFFF"/>
        </w:rPr>
        <w:t>严格执行信息公开保密审查制度，对拟公开的政府信息，依法依规做好保密审查；涉及其他行政机关的，及时与有关行政机关沟通确认，确保了公开的政府信息准确一致。严格执行主动公开制度、依申请公开制度等相关制度。</w:t>
      </w:r>
      <w:r>
        <w:rPr>
          <w:rFonts w:hint="eastAsia" w:ascii="仿宋_GB2312" w:hAnsi="仿宋_GB2312" w:eastAsia="仿宋_GB2312" w:cs="仿宋_GB2312"/>
          <w:b w:val="0"/>
          <w:bCs w:val="0"/>
          <w:color w:val="auto"/>
          <w:sz w:val="32"/>
          <w:szCs w:val="32"/>
          <w:shd w:val="clear" w:color="auto" w:fill="FFFFFF"/>
          <w:lang w:eastAsia="zh-CN"/>
        </w:rPr>
        <w:t>区保税管理局</w:t>
      </w:r>
      <w:r>
        <w:rPr>
          <w:rFonts w:hint="eastAsia" w:ascii="仿宋_GB2312" w:hAnsi="仿宋_GB2312" w:eastAsia="仿宋_GB2312" w:cs="仿宋_GB2312"/>
          <w:b w:val="0"/>
          <w:bCs w:val="0"/>
          <w:color w:val="auto"/>
          <w:sz w:val="32"/>
          <w:szCs w:val="32"/>
          <w:shd w:val="clear" w:color="auto" w:fill="FFFFFF"/>
        </w:rPr>
        <w:t>的政府信息公开工作运行正常。</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楷体" w:hAnsi="楷体" w:eastAsia="楷体" w:cs="楷体"/>
          <w:b w:val="0"/>
          <w:bCs w:val="0"/>
          <w:color w:val="auto"/>
          <w:sz w:val="32"/>
          <w:szCs w:val="32"/>
          <w:shd w:val="clear" w:color="auto" w:fill="FFFFFF"/>
          <w:lang w:eastAsia="zh-CN"/>
        </w:rPr>
      </w:pPr>
      <w:r>
        <w:rPr>
          <w:rFonts w:hint="eastAsia" w:ascii="楷体" w:hAnsi="楷体" w:eastAsia="楷体" w:cs="楷体"/>
          <w:b w:val="0"/>
          <w:bCs w:val="0"/>
          <w:color w:val="auto"/>
          <w:sz w:val="32"/>
          <w:szCs w:val="32"/>
          <w:shd w:val="clear" w:color="auto" w:fill="FFFFFF"/>
          <w:lang w:eastAsia="zh-CN"/>
        </w:rPr>
        <w:t>（四）平台建设</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楷体" w:hAnsi="楷体" w:eastAsia="楷体" w:cs="楷体"/>
          <w:b w:val="0"/>
          <w:bCs w:val="0"/>
          <w:color w:val="auto"/>
          <w:sz w:val="32"/>
          <w:szCs w:val="32"/>
          <w:shd w:val="clear" w:color="auto" w:fill="FFFFFF"/>
          <w:lang w:eastAsia="zh-CN"/>
        </w:rPr>
      </w:pPr>
      <w:r>
        <w:rPr>
          <w:rFonts w:hint="eastAsia" w:ascii="仿宋_GB2312" w:hAnsi="仿宋_GB2312" w:eastAsia="仿宋_GB2312" w:cs="仿宋_GB2312"/>
          <w:b w:val="0"/>
          <w:bCs w:val="0"/>
          <w:color w:val="auto"/>
          <w:sz w:val="32"/>
          <w:szCs w:val="32"/>
          <w:shd w:val="clear" w:color="auto" w:fill="FFFFFF"/>
          <w:lang w:eastAsia="zh-CN"/>
        </w:rPr>
        <w:t>自区保税管理局机构改革以来，迅速做好了本单位网站各类信息变更，细化栏目分类。目前，区保税管理局</w:t>
      </w:r>
      <w:bookmarkStart w:id="0" w:name="_GoBack"/>
      <w:bookmarkEnd w:id="0"/>
      <w:r>
        <w:rPr>
          <w:rFonts w:hint="eastAsia" w:ascii="仿宋_GB2312" w:hAnsi="仿宋_GB2312" w:eastAsia="仿宋_GB2312" w:cs="仿宋_GB2312"/>
          <w:b w:val="0"/>
          <w:bCs w:val="0"/>
          <w:color w:val="auto"/>
          <w:sz w:val="32"/>
          <w:szCs w:val="32"/>
          <w:shd w:val="clear" w:color="auto" w:fill="FFFFFF"/>
          <w:lang w:eastAsia="zh-CN"/>
        </w:rPr>
        <w:t>信息公开类一级栏目</w:t>
      </w:r>
      <w:r>
        <w:rPr>
          <w:rFonts w:hint="eastAsia" w:ascii="仿宋_GB2312" w:hAnsi="仿宋_GB2312" w:eastAsia="仿宋_GB2312" w:cs="仿宋_GB2312"/>
          <w:b w:val="0"/>
          <w:bCs w:val="0"/>
          <w:color w:val="auto"/>
          <w:sz w:val="32"/>
          <w:szCs w:val="32"/>
          <w:shd w:val="clear" w:color="auto" w:fill="FFFFFF"/>
          <w:lang w:val="en-US" w:eastAsia="zh-CN"/>
        </w:rPr>
        <w:t>7</w:t>
      </w:r>
      <w:r>
        <w:rPr>
          <w:rFonts w:hint="eastAsia" w:ascii="仿宋_GB2312" w:hAnsi="仿宋_GB2312" w:eastAsia="仿宋_GB2312" w:cs="仿宋_GB2312"/>
          <w:b w:val="0"/>
          <w:bCs w:val="0"/>
          <w:color w:val="auto"/>
          <w:sz w:val="32"/>
          <w:szCs w:val="32"/>
          <w:shd w:val="clear" w:color="auto" w:fill="FFFFFF"/>
          <w:lang w:eastAsia="zh-CN"/>
        </w:rPr>
        <w:t>项，包括：信息公开指南、年度报告、机构职能、工作动态、部门文件、公告公示、财政预决算。建立健全政府信息管理动态调整机制，及时更新政府信息公开指南和政府信息公开目录，满足群众信息需求，提升政府信息传播力和影响力。大力推进政府网站等公开平台建设，拓宽政务公开渠道。强化政府网站管理，不断丰富信息资源。</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宋体" w:hAnsi="宋体" w:eastAsia="仿宋_GB2312" w:cs="宋体"/>
          <w:snapToGrid/>
          <w:color w:val="auto"/>
          <w:sz w:val="24"/>
          <w:szCs w:val="24"/>
          <w:lang w:eastAsia="zh-CN"/>
        </w:rPr>
      </w:pPr>
      <w:r>
        <w:rPr>
          <w:rFonts w:hint="eastAsia" w:ascii="楷体" w:hAnsi="楷体" w:eastAsia="楷体" w:cs="楷体"/>
          <w:b w:val="0"/>
          <w:bCs w:val="0"/>
          <w:color w:val="auto"/>
          <w:sz w:val="32"/>
          <w:szCs w:val="32"/>
          <w:shd w:val="clear" w:color="auto" w:fill="FFFFFF"/>
          <w:lang w:eastAsia="zh-CN"/>
        </w:rPr>
        <w:t>（五）</w:t>
      </w:r>
      <w:r>
        <w:rPr>
          <w:rFonts w:hint="eastAsia" w:ascii="楷体" w:hAnsi="楷体" w:eastAsia="楷体" w:cs="楷体"/>
          <w:b w:val="0"/>
          <w:bCs w:val="0"/>
          <w:color w:val="auto"/>
          <w:sz w:val="32"/>
          <w:szCs w:val="32"/>
          <w:shd w:val="clear" w:color="auto" w:fill="FFFFFF"/>
          <w:lang w:val="en-US" w:eastAsia="zh-CN"/>
        </w:rPr>
        <w:t>加强</w:t>
      </w:r>
      <w:r>
        <w:rPr>
          <w:rFonts w:hint="eastAsia" w:ascii="楷体" w:hAnsi="楷体" w:eastAsia="楷体" w:cs="楷体"/>
          <w:i w:val="0"/>
          <w:caps w:val="0"/>
          <w:color w:val="auto"/>
          <w:spacing w:val="0"/>
          <w:sz w:val="32"/>
          <w:szCs w:val="32"/>
          <w:shd w:val="clear" w:fill="FFFFFF"/>
          <w:lang w:val="en-US" w:eastAsia="zh-CN"/>
        </w:rPr>
        <w:t>工作</w:t>
      </w:r>
      <w:r>
        <w:rPr>
          <w:rFonts w:hint="eastAsia" w:ascii="楷体" w:hAnsi="楷体" w:eastAsia="楷体" w:cs="楷体"/>
          <w:i w:val="0"/>
          <w:caps w:val="0"/>
          <w:color w:val="auto"/>
          <w:spacing w:val="0"/>
          <w:sz w:val="32"/>
          <w:szCs w:val="32"/>
          <w:shd w:val="clear" w:fill="FFFFFF"/>
          <w:lang w:eastAsia="zh-CN"/>
        </w:rPr>
        <w:t>保障。</w:t>
      </w:r>
      <w:r>
        <w:rPr>
          <w:rFonts w:hint="eastAsia" w:ascii="仿宋_GB2312" w:hAnsi="仿宋_GB2312" w:eastAsia="仿宋_GB2312" w:cs="仿宋_GB2312"/>
          <w:b w:val="0"/>
          <w:bCs w:val="0"/>
          <w:color w:val="auto"/>
          <w:sz w:val="32"/>
          <w:szCs w:val="32"/>
          <w:shd w:val="clear" w:color="auto" w:fill="FFFFFF"/>
        </w:rPr>
        <w:t>将政府信息公开工作纳入</w:t>
      </w:r>
      <w:r>
        <w:rPr>
          <w:rFonts w:hint="eastAsia" w:ascii="仿宋_GB2312" w:hAnsi="仿宋_GB2312" w:eastAsia="仿宋_GB2312" w:cs="仿宋_GB2312"/>
          <w:b w:val="0"/>
          <w:bCs w:val="0"/>
          <w:color w:val="auto"/>
          <w:sz w:val="32"/>
          <w:szCs w:val="32"/>
          <w:shd w:val="clear" w:color="auto" w:fill="FFFFFF"/>
          <w:lang w:eastAsia="zh-CN"/>
        </w:rPr>
        <w:t>局</w:t>
      </w:r>
      <w:r>
        <w:rPr>
          <w:rFonts w:hint="eastAsia" w:ascii="仿宋_GB2312" w:hAnsi="仿宋_GB2312" w:eastAsia="仿宋_GB2312" w:cs="仿宋_GB2312"/>
          <w:b w:val="0"/>
          <w:bCs w:val="0"/>
          <w:color w:val="auto"/>
          <w:sz w:val="32"/>
          <w:szCs w:val="32"/>
          <w:shd w:val="clear" w:color="auto" w:fill="FFFFFF"/>
        </w:rPr>
        <w:t>领导班子重要议事日程，区</w:t>
      </w:r>
      <w:r>
        <w:rPr>
          <w:rFonts w:hint="eastAsia" w:ascii="仿宋_GB2312" w:hAnsi="仿宋_GB2312" w:eastAsia="仿宋_GB2312" w:cs="仿宋_GB2312"/>
          <w:b w:val="0"/>
          <w:bCs w:val="0"/>
          <w:color w:val="auto"/>
          <w:sz w:val="32"/>
          <w:szCs w:val="32"/>
          <w:shd w:val="clear" w:color="auto" w:fill="FFFFFF"/>
          <w:lang w:eastAsia="zh-CN"/>
        </w:rPr>
        <w:t>保税管理局</w:t>
      </w:r>
      <w:r>
        <w:rPr>
          <w:rFonts w:hint="eastAsia" w:ascii="仿宋_GB2312" w:hAnsi="仿宋_GB2312" w:eastAsia="仿宋_GB2312" w:cs="仿宋_GB2312"/>
          <w:b w:val="0"/>
          <w:bCs w:val="0"/>
          <w:color w:val="auto"/>
          <w:sz w:val="32"/>
          <w:szCs w:val="32"/>
          <w:shd w:val="clear" w:color="auto" w:fill="FFFFFF"/>
        </w:rPr>
        <w:t>主要</w:t>
      </w:r>
      <w:r>
        <w:rPr>
          <w:rFonts w:hint="eastAsia" w:ascii="仿宋_GB2312" w:hAnsi="仿宋_GB2312" w:eastAsia="仿宋_GB2312" w:cs="仿宋_GB2312"/>
          <w:b w:val="0"/>
          <w:bCs w:val="0"/>
          <w:color w:val="auto"/>
          <w:sz w:val="32"/>
          <w:szCs w:val="32"/>
          <w:shd w:val="clear" w:color="auto" w:fill="FFFFFF"/>
          <w:lang w:eastAsia="zh-CN"/>
        </w:rPr>
        <w:t>负责同志</w:t>
      </w:r>
      <w:r>
        <w:rPr>
          <w:rFonts w:hint="eastAsia" w:ascii="仿宋_GB2312" w:hAnsi="仿宋_GB2312" w:eastAsia="仿宋_GB2312" w:cs="仿宋_GB2312"/>
          <w:b w:val="0"/>
          <w:bCs w:val="0"/>
          <w:color w:val="auto"/>
          <w:sz w:val="32"/>
          <w:szCs w:val="32"/>
          <w:shd w:val="clear" w:color="auto" w:fill="FFFFFF"/>
        </w:rPr>
        <w:t>定期听取信息公开情况汇报，与中心工作紧密结合，同步研究、同步部署、同步推进。切实加强人员配备，安排了一名</w:t>
      </w:r>
      <w:r>
        <w:rPr>
          <w:rFonts w:hint="eastAsia" w:ascii="仿宋_GB2312" w:hAnsi="仿宋_GB2312" w:eastAsia="仿宋_GB2312" w:cs="仿宋_GB2312"/>
          <w:b w:val="0"/>
          <w:bCs w:val="0"/>
          <w:color w:val="auto"/>
          <w:sz w:val="32"/>
          <w:szCs w:val="32"/>
          <w:shd w:val="clear" w:color="auto" w:fill="FFFFFF"/>
          <w:lang w:eastAsia="zh-CN"/>
        </w:rPr>
        <w:t>局</w:t>
      </w:r>
      <w:r>
        <w:rPr>
          <w:rFonts w:hint="eastAsia" w:ascii="仿宋_GB2312" w:hAnsi="仿宋_GB2312" w:eastAsia="仿宋_GB2312" w:cs="仿宋_GB2312"/>
          <w:b w:val="0"/>
          <w:bCs w:val="0"/>
          <w:color w:val="auto"/>
          <w:sz w:val="32"/>
          <w:szCs w:val="32"/>
          <w:shd w:val="clear" w:color="auto" w:fill="FFFFFF"/>
        </w:rPr>
        <w:t>领导分管信息公开工作，并明确由</w:t>
      </w:r>
      <w:r>
        <w:rPr>
          <w:rFonts w:hint="eastAsia" w:ascii="仿宋_GB2312" w:hAnsi="仿宋_GB2312" w:eastAsia="仿宋_GB2312" w:cs="仿宋_GB2312"/>
          <w:b w:val="0"/>
          <w:bCs w:val="0"/>
          <w:color w:val="auto"/>
          <w:sz w:val="32"/>
          <w:szCs w:val="32"/>
          <w:shd w:val="clear" w:color="auto" w:fill="FFFFFF"/>
          <w:lang w:eastAsia="zh-CN"/>
        </w:rPr>
        <w:t>政务组</w:t>
      </w:r>
      <w:r>
        <w:rPr>
          <w:rFonts w:hint="eastAsia" w:ascii="仿宋_GB2312" w:hAnsi="仿宋_GB2312" w:eastAsia="仿宋_GB2312" w:cs="仿宋_GB2312"/>
          <w:b w:val="0"/>
          <w:bCs w:val="0"/>
          <w:color w:val="auto"/>
          <w:sz w:val="32"/>
          <w:szCs w:val="32"/>
          <w:shd w:val="clear" w:color="auto" w:fill="FFFFFF"/>
        </w:rPr>
        <w:t>牵头负责、各</w:t>
      </w:r>
      <w:r>
        <w:rPr>
          <w:rFonts w:hint="eastAsia" w:ascii="仿宋_GB2312" w:hAnsi="仿宋_GB2312" w:eastAsia="仿宋_GB2312" w:cs="仿宋_GB2312"/>
          <w:b w:val="0"/>
          <w:bCs w:val="0"/>
          <w:color w:val="auto"/>
          <w:sz w:val="32"/>
          <w:szCs w:val="32"/>
          <w:shd w:val="clear" w:color="auto" w:fill="FFFFFF"/>
          <w:lang w:eastAsia="zh-CN"/>
        </w:rPr>
        <w:t>工作组</w:t>
      </w:r>
      <w:r>
        <w:rPr>
          <w:rFonts w:hint="eastAsia" w:ascii="仿宋_GB2312" w:hAnsi="仿宋_GB2312" w:eastAsia="仿宋_GB2312" w:cs="仿宋_GB2312"/>
          <w:b w:val="0"/>
          <w:bCs w:val="0"/>
          <w:color w:val="auto"/>
          <w:sz w:val="32"/>
          <w:szCs w:val="32"/>
          <w:shd w:val="clear" w:color="auto" w:fill="FFFFFF"/>
        </w:rPr>
        <w:t>密切配合，统筹做好政府信息公开工作</w:t>
      </w:r>
      <w:r>
        <w:rPr>
          <w:rFonts w:hint="eastAsia" w:ascii="仿宋_GB2312" w:hAnsi="仿宋_GB2312" w:eastAsia="仿宋_GB2312" w:cs="仿宋_GB2312"/>
          <w:b w:val="0"/>
          <w:bCs w:val="0"/>
          <w:color w:val="auto"/>
          <w:sz w:val="32"/>
          <w:szCs w:val="32"/>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90" w:firstLineChars="250"/>
        <w:textAlignment w:val="auto"/>
        <w:rPr>
          <w:rFonts w:hint="eastAsia" w:ascii="宋体" w:hAnsi="宋体" w:eastAsia="宋体" w:cs="宋体"/>
          <w:snapToGrid/>
          <w:color w:val="auto"/>
          <w:sz w:val="24"/>
          <w:szCs w:val="24"/>
        </w:rPr>
      </w:pPr>
      <w:r>
        <w:rPr>
          <w:rFonts w:hint="eastAsia" w:ascii="黑体" w:hAnsi="黑体" w:eastAsia="黑体" w:cs="宋体"/>
          <w:b w:val="0"/>
          <w:bCs w:val="0"/>
          <w:snapToGrid/>
          <w:color w:val="auto"/>
          <w:szCs w:val="32"/>
        </w:rPr>
        <w:t>二、主动公开政府信息情况</w:t>
      </w:r>
    </w:p>
    <w:tbl>
      <w:tblPr>
        <w:tblStyle w:val="9"/>
        <w:tblW w:w="9740" w:type="dxa"/>
        <w:jc w:val="center"/>
        <w:shd w:val="clear" w:color="auto" w:fill="auto"/>
        <w:tblLayout w:type="autofit"/>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本年</w:t>
            </w:r>
            <w:r>
              <w:rPr>
                <w:rFonts w:ascii="宋体" w:hAnsi="宋体" w:eastAsia="宋体" w:cs="Calibri"/>
                <w:snapToGrid/>
                <w:color w:val="auto"/>
                <w:sz w:val="20"/>
              </w:rPr>
              <w:t>制</w:t>
            </w:r>
            <w:r>
              <w:rPr>
                <w:rFonts w:hint="eastAsia" w:ascii="宋体" w:hAnsi="宋体" w:eastAsia="宋体" w:cs="宋体"/>
                <w:snapToGrid/>
                <w:color w:val="auto"/>
                <w:sz w:val="20"/>
              </w:rPr>
              <w:t>发件</w:t>
            </w:r>
            <w:r>
              <w:rPr>
                <w:rFonts w:ascii="宋体" w:hAnsi="宋体" w:eastAsia="宋体" w:cs="Calibri"/>
                <w:snapToGrid/>
                <w:color w:val="auto"/>
                <w:sz w:val="20"/>
              </w:rPr>
              <w:t>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现行有效件</w:t>
            </w:r>
            <w:r>
              <w:rPr>
                <w:rFonts w:ascii="宋体" w:hAnsi="宋体" w:eastAsia="宋体" w:cs="Calibri"/>
                <w:snapToGrid/>
                <w:color w:val="auto"/>
                <w:sz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4"/>
                <w:szCs w:val="24"/>
                <w:lang w:val="en-US" w:eastAsia="zh-CN"/>
              </w:rPr>
            </w:pPr>
            <w:r>
              <w:rPr>
                <w:rFonts w:hint="eastAsia" w:ascii="宋体" w:hAnsi="宋体" w:eastAsia="宋体" w:cs="宋体"/>
                <w:snapToGrid/>
                <w:color w:val="auto"/>
                <w:sz w:val="20"/>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4"/>
                <w:szCs w:val="24"/>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4"/>
                <w:szCs w:val="24"/>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4"/>
                <w:szCs w:val="24"/>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4"/>
                <w:szCs w:val="24"/>
                <w:lang w:val="en-US" w:eastAsia="zh-CN"/>
              </w:rPr>
            </w:pPr>
            <w:r>
              <w:rPr>
                <w:rFonts w:hint="eastAsia" w:ascii="宋体" w:hAnsi="宋体" w:eastAsia="宋体" w:cs="宋体"/>
                <w:snapToGrid/>
                <w:color w:val="auto"/>
                <w:sz w:val="20"/>
                <w:lang w:val="en-US" w:eastAsia="zh-CN"/>
              </w:rPr>
              <w:t>0</w:t>
            </w:r>
          </w:p>
        </w:tc>
      </w:tr>
    </w:tbl>
    <w:p>
      <w:pPr>
        <w:widowControl/>
        <w:autoSpaceDE/>
        <w:autoSpaceDN/>
        <w:snapToGrid/>
        <w:spacing w:line="240" w:lineRule="auto"/>
        <w:ind w:firstLine="0"/>
        <w:jc w:val="left"/>
        <w:rPr>
          <w:rFonts w:hint="eastAsia" w:ascii="宋体" w:hAnsi="宋体" w:eastAsia="宋体" w:cs="宋体"/>
          <w:snapToGrid/>
          <w:color w:val="auto"/>
          <w:sz w:val="24"/>
          <w:szCs w:val="24"/>
        </w:rPr>
      </w:pPr>
    </w:p>
    <w:p>
      <w:pPr>
        <w:widowControl/>
        <w:shd w:val="clear" w:color="auto" w:fill="FFFFFF"/>
        <w:autoSpaceDE/>
        <w:autoSpaceDN/>
        <w:snapToGrid/>
        <w:spacing w:line="240" w:lineRule="auto"/>
        <w:ind w:firstLine="480"/>
        <w:rPr>
          <w:rFonts w:ascii="黑体" w:hAnsi="黑体" w:eastAsia="黑体" w:cs="宋体"/>
          <w:b w:val="0"/>
          <w:bCs w:val="0"/>
          <w:snapToGrid/>
          <w:color w:val="auto"/>
          <w:szCs w:val="32"/>
        </w:rPr>
      </w:pPr>
      <w:r>
        <w:rPr>
          <w:rFonts w:hint="eastAsia" w:ascii="黑体" w:hAnsi="黑体" w:eastAsia="黑体" w:cs="宋体"/>
          <w:b w:val="0"/>
          <w:bCs w:val="0"/>
          <w:snapToGrid/>
          <w:color w:val="auto"/>
          <w:szCs w:val="32"/>
        </w:rPr>
        <w:t>三、收到和处理政府信息公开申请情况</w:t>
      </w:r>
    </w:p>
    <w:tbl>
      <w:tblPr>
        <w:tblStyle w:val="9"/>
        <w:tblW w:w="9748" w:type="dxa"/>
        <w:jc w:val="center"/>
        <w:tblLayout w:type="autofit"/>
        <w:tblCellMar>
          <w:top w:w="0" w:type="dxa"/>
          <w:left w:w="0" w:type="dxa"/>
          <w:bottom w:w="0" w:type="dxa"/>
          <w:right w:w="0" w:type="dxa"/>
        </w:tblCellMar>
      </w:tblPr>
      <w:tblGrid>
        <w:gridCol w:w="768"/>
        <w:gridCol w:w="943"/>
        <w:gridCol w:w="3221"/>
        <w:gridCol w:w="770"/>
        <w:gridCol w:w="606"/>
        <w:gridCol w:w="688"/>
        <w:gridCol w:w="688"/>
        <w:gridCol w:w="688"/>
        <w:gridCol w:w="688"/>
        <w:gridCol w:w="688"/>
      </w:tblGrid>
      <w:tr>
        <w:tblPrEx>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楷体" w:hAnsi="楷体" w:eastAsia="楷体" w:cs="宋体"/>
                <w:snapToGrid/>
                <w:color w:val="auto"/>
                <w:sz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77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自然人</w:t>
            </w:r>
          </w:p>
        </w:tc>
        <w:tc>
          <w:tcPr>
            <w:tcW w:w="3358"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77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商业</w:t>
            </w:r>
          </w:p>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科研</w:t>
            </w:r>
          </w:p>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一、本年新收政府信息公开申请数量</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二、上年结转政府信息公开申请数量</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三、本年度办理结果</w:t>
            </w:r>
          </w:p>
        </w:tc>
        <w:tc>
          <w:tcPr>
            <w:tcW w:w="416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（一）予以公开</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416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（二）部分公开</w:t>
            </w:r>
            <w:r>
              <w:rPr>
                <w:rFonts w:hint="eastAsia" w:ascii="楷体" w:hAnsi="楷体" w:eastAsia="楷体" w:cs="宋体"/>
                <w:snapToGrid/>
                <w:color w:val="auto"/>
                <w:sz w:val="20"/>
              </w:rPr>
              <w:t>（区分处理的，只计这一情形，不计其他情形）</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（三）不予公开</w:t>
            </w: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1.属于国家秘密</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2.其他法律行政法规禁止公开</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3.危及“三安全一稳定”</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4.保护第三方合法权益</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5.属于三类内部事务信息</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6.属于四类过程性信息</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7.属于行政执法案卷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8.属于行政查询事项</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（四）无法提供</w:t>
            </w: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1.本机关不掌握相关政府信息</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2.没有现成信息需要另行制作</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3.补正后申请内容仍不明确</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（五）不予处理</w:t>
            </w: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1.信访举报投诉类申请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2.重复申请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3.要求提供公开出版物</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4.无正当理由大量反复申请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322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color w:val="auto"/>
                <w:sz w:val="24"/>
                <w:szCs w:val="24"/>
              </w:rPr>
            </w:pPr>
            <w:r>
              <w:rPr>
                <w:rFonts w:hint="eastAsia" w:ascii="宋体" w:hAnsi="宋体" w:eastAsia="宋体" w:cs="宋体"/>
                <w:snapToGrid/>
                <w:color w:val="auto"/>
                <w:sz w:val="20"/>
              </w:rPr>
              <w:t>5.要求行政机关确认或重新出具已获取信息</w:t>
            </w:r>
          </w:p>
        </w:tc>
        <w:tc>
          <w:tcPr>
            <w:tcW w:w="77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（六）其他处理</w:t>
            </w:r>
          </w:p>
        </w:tc>
        <w:tc>
          <w:tcPr>
            <w:tcW w:w="322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color w:val="auto"/>
                <w:sz w:val="24"/>
                <w:szCs w:val="24"/>
              </w:rPr>
            </w:pPr>
            <w:r>
              <w:rPr>
                <w:rFonts w:hint="eastAsia" w:ascii="宋体" w:hAnsi="宋体" w:eastAsia="宋体" w:cs="宋体"/>
                <w:snapToGrid/>
                <w:color w:val="auto"/>
                <w:sz w:val="20"/>
              </w:rPr>
              <w:t>1.申请人无正当理由逾期不补正、行政机关不再处理其政府信息公开申请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color w:val="auto"/>
                <w:sz w:val="24"/>
                <w:szCs w:val="24"/>
              </w:rPr>
            </w:pPr>
            <w:r>
              <w:rPr>
                <w:rFonts w:hint="eastAsia" w:ascii="宋体" w:hAnsi="宋体" w:eastAsia="宋体" w:cs="宋体"/>
                <w:snapToGrid/>
                <w:color w:val="auto"/>
                <w:sz w:val="20"/>
              </w:rPr>
              <w:t>2.申请人逾期未按收费通知要求缴纳费用、行政机关不再处理其政府信息公开申请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3.其他</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trHeight w:val="443"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416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（七）总计</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r>
        <w:tblPrEx>
          <w:tblCellMar>
            <w:top w:w="0" w:type="dxa"/>
            <w:left w:w="0" w:type="dxa"/>
            <w:bottom w:w="0" w:type="dxa"/>
            <w:right w:w="0" w:type="dxa"/>
          </w:tblCellMar>
        </w:tblPrEx>
        <w:trPr>
          <w:trHeight w:val="631" w:hRule="atLeast"/>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color w:val="auto"/>
                <w:sz w:val="24"/>
                <w:szCs w:val="24"/>
              </w:rPr>
            </w:pPr>
            <w:r>
              <w:rPr>
                <w:rFonts w:hint="eastAsia" w:ascii="宋体" w:hAnsi="宋体" w:eastAsia="宋体" w:cs="宋体"/>
                <w:snapToGrid/>
                <w:color w:val="auto"/>
                <w:sz w:val="20"/>
              </w:rPr>
              <w:t>四、结转下年度继续办理</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0"/>
                <w:lang w:val="en-US" w:eastAsia="zh-CN"/>
              </w:rPr>
            </w:pPr>
            <w:r>
              <w:rPr>
                <w:rFonts w:hint="eastAsia" w:ascii="宋体" w:hAnsi="宋体" w:eastAsia="宋体" w:cs="宋体"/>
                <w:snapToGrid/>
                <w:color w:val="auto"/>
                <w:sz w:val="20"/>
                <w:lang w:val="en-US" w:eastAsia="zh-CN"/>
              </w:rPr>
              <w:t>0</w:t>
            </w:r>
          </w:p>
        </w:tc>
      </w:tr>
    </w:tbl>
    <w:p>
      <w:pPr>
        <w:widowControl/>
        <w:shd w:val="clear" w:color="auto" w:fill="FFFFFF"/>
        <w:autoSpaceDE/>
        <w:autoSpaceDN/>
        <w:snapToGrid/>
        <w:spacing w:line="240" w:lineRule="auto"/>
        <w:ind w:firstLine="0"/>
        <w:jc w:val="center"/>
        <w:rPr>
          <w:rFonts w:hint="eastAsia" w:ascii="宋体" w:hAnsi="宋体" w:eastAsia="宋体" w:cs="宋体"/>
          <w:snapToGrid/>
          <w:color w:val="auto"/>
          <w:sz w:val="24"/>
          <w:szCs w:val="24"/>
        </w:rPr>
      </w:pPr>
    </w:p>
    <w:p>
      <w:pPr>
        <w:widowControl/>
        <w:shd w:val="clear" w:color="auto" w:fill="FFFFFF"/>
        <w:autoSpaceDE/>
        <w:autoSpaceDN/>
        <w:snapToGrid/>
        <w:spacing w:line="240" w:lineRule="auto"/>
        <w:ind w:firstLine="480"/>
        <w:rPr>
          <w:rFonts w:hint="eastAsia" w:ascii="黑体" w:hAnsi="黑体" w:eastAsia="黑体" w:cs="宋体"/>
          <w:b w:val="0"/>
          <w:bCs w:val="0"/>
          <w:snapToGrid/>
          <w:color w:val="auto"/>
          <w:szCs w:val="32"/>
        </w:rPr>
      </w:pPr>
    </w:p>
    <w:p>
      <w:pPr>
        <w:widowControl/>
        <w:shd w:val="clear" w:color="auto" w:fill="FFFFFF"/>
        <w:autoSpaceDE/>
        <w:autoSpaceDN/>
        <w:snapToGrid/>
        <w:spacing w:line="240" w:lineRule="auto"/>
        <w:ind w:firstLine="790" w:firstLineChars="250"/>
        <w:rPr>
          <w:rFonts w:hint="eastAsia" w:ascii="黑体" w:hAnsi="黑体" w:eastAsia="黑体" w:cs="宋体"/>
          <w:b w:val="0"/>
          <w:bCs w:val="0"/>
          <w:snapToGrid/>
          <w:color w:val="auto"/>
          <w:szCs w:val="32"/>
        </w:rPr>
      </w:pPr>
      <w:r>
        <w:rPr>
          <w:rFonts w:hint="eastAsia" w:ascii="黑体" w:hAnsi="黑体" w:eastAsia="黑体" w:cs="宋体"/>
          <w:b w:val="0"/>
          <w:bCs w:val="0"/>
          <w:snapToGrid/>
          <w:color w:val="auto"/>
          <w:szCs w:val="32"/>
        </w:rPr>
        <w:t>四、政府信息公开行政复议、行政诉讼情况</w:t>
      </w:r>
    </w:p>
    <w:p>
      <w:pPr>
        <w:widowControl/>
        <w:shd w:val="clear" w:color="auto" w:fill="FFFFFF"/>
        <w:autoSpaceDE/>
        <w:autoSpaceDN/>
        <w:snapToGrid/>
        <w:spacing w:line="240" w:lineRule="auto"/>
        <w:ind w:firstLine="0"/>
        <w:jc w:val="center"/>
        <w:rPr>
          <w:rFonts w:hint="eastAsia" w:ascii="宋体" w:hAnsi="宋体" w:eastAsia="宋体" w:cs="宋体"/>
          <w:snapToGrid/>
          <w:color w:val="auto"/>
          <w:sz w:val="24"/>
          <w:szCs w:val="24"/>
        </w:rPr>
      </w:pPr>
    </w:p>
    <w:tbl>
      <w:tblPr>
        <w:tblStyle w:val="9"/>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结果</w:t>
            </w:r>
            <w:r>
              <w:rPr>
                <w:rFonts w:hint="eastAsia" w:ascii="宋体" w:hAnsi="宋体" w:eastAsia="宋体" w:cs="宋体"/>
                <w:snapToGrid/>
                <w:color w:val="auto"/>
                <w:sz w:val="20"/>
              </w:rPr>
              <w:br w:type="textWrapping"/>
            </w:r>
            <w:r>
              <w:rPr>
                <w:rFonts w:hint="eastAsia" w:ascii="宋体" w:hAnsi="宋体" w:eastAsia="宋体" w:cs="宋体"/>
                <w:snapToGrid/>
                <w:color w:val="auto"/>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其他</w:t>
            </w:r>
            <w:r>
              <w:rPr>
                <w:rFonts w:hint="eastAsia" w:ascii="宋体" w:hAnsi="宋体" w:eastAsia="宋体" w:cs="宋体"/>
                <w:snapToGrid/>
                <w:color w:val="auto"/>
                <w:sz w:val="20"/>
              </w:rPr>
              <w:br w:type="textWrapping"/>
            </w:r>
            <w:r>
              <w:rPr>
                <w:rFonts w:hint="eastAsia" w:ascii="宋体" w:hAnsi="宋体" w:eastAsia="宋体" w:cs="宋体"/>
                <w:snapToGrid/>
                <w:color w:val="auto"/>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尚未</w:t>
            </w:r>
            <w:r>
              <w:rPr>
                <w:rFonts w:hint="eastAsia" w:ascii="宋体" w:hAnsi="宋体" w:eastAsia="宋体" w:cs="宋体"/>
                <w:snapToGrid/>
                <w:color w:val="auto"/>
                <w:sz w:val="20"/>
              </w:rPr>
              <w:br w:type="textWrapping"/>
            </w:r>
            <w:r>
              <w:rPr>
                <w:rFonts w:hint="eastAsia" w:ascii="宋体" w:hAnsi="宋体" w:eastAsia="宋体" w:cs="宋体"/>
                <w:snapToGrid/>
                <w:color w:val="auto"/>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color w:val="auto"/>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结果</w:t>
            </w:r>
            <w:r>
              <w:rPr>
                <w:rFonts w:hint="eastAsia" w:ascii="宋体" w:hAnsi="宋体" w:eastAsia="宋体" w:cs="宋体"/>
                <w:snapToGrid/>
                <w:color w:val="auto"/>
                <w:sz w:val="20"/>
              </w:rPr>
              <w:br w:type="textWrapping"/>
            </w:r>
            <w:r>
              <w:rPr>
                <w:rFonts w:hint="eastAsia" w:ascii="宋体" w:hAnsi="宋体" w:eastAsia="宋体" w:cs="宋体"/>
                <w:snapToGrid/>
                <w:color w:val="auto"/>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结果</w:t>
            </w:r>
            <w:r>
              <w:rPr>
                <w:rFonts w:hint="eastAsia" w:ascii="宋体" w:hAnsi="宋体" w:eastAsia="宋体" w:cs="宋体"/>
                <w:snapToGrid/>
                <w:color w:val="auto"/>
                <w:sz w:val="20"/>
              </w:rPr>
              <w:br w:type="textWrapping"/>
            </w:r>
            <w:r>
              <w:rPr>
                <w:rFonts w:hint="eastAsia" w:ascii="宋体" w:hAnsi="宋体" w:eastAsia="宋体" w:cs="宋体"/>
                <w:snapToGrid/>
                <w:color w:val="auto"/>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其他</w:t>
            </w:r>
            <w:r>
              <w:rPr>
                <w:rFonts w:hint="eastAsia" w:ascii="宋体" w:hAnsi="宋体" w:eastAsia="宋体" w:cs="宋体"/>
                <w:snapToGrid/>
                <w:color w:val="auto"/>
                <w:sz w:val="20"/>
              </w:rPr>
              <w:br w:type="textWrapping"/>
            </w:r>
            <w:r>
              <w:rPr>
                <w:rFonts w:hint="eastAsia" w:ascii="宋体" w:hAnsi="宋体" w:eastAsia="宋体" w:cs="宋体"/>
                <w:snapToGrid/>
                <w:color w:val="auto"/>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尚未</w:t>
            </w:r>
            <w:r>
              <w:rPr>
                <w:rFonts w:hint="eastAsia" w:ascii="宋体" w:hAnsi="宋体" w:eastAsia="宋体" w:cs="宋体"/>
                <w:snapToGrid/>
                <w:color w:val="auto"/>
                <w:sz w:val="20"/>
              </w:rPr>
              <w:br w:type="textWrapping"/>
            </w:r>
            <w:r>
              <w:rPr>
                <w:rFonts w:hint="eastAsia" w:ascii="宋体" w:hAnsi="宋体" w:eastAsia="宋体" w:cs="宋体"/>
                <w:snapToGrid/>
                <w:color w:val="auto"/>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结果</w:t>
            </w:r>
            <w:r>
              <w:rPr>
                <w:rFonts w:hint="eastAsia" w:ascii="宋体" w:hAnsi="宋体" w:eastAsia="宋体" w:cs="宋体"/>
                <w:snapToGrid/>
                <w:color w:val="auto"/>
                <w:sz w:val="20"/>
              </w:rPr>
              <w:br w:type="textWrapping"/>
            </w:r>
            <w:r>
              <w:rPr>
                <w:rFonts w:hint="eastAsia" w:ascii="宋体" w:hAnsi="宋体" w:eastAsia="宋体" w:cs="宋体"/>
                <w:snapToGrid/>
                <w:color w:val="auto"/>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结果</w:t>
            </w:r>
            <w:r>
              <w:rPr>
                <w:rFonts w:hint="eastAsia" w:ascii="宋体" w:hAnsi="宋体" w:eastAsia="宋体" w:cs="宋体"/>
                <w:snapToGrid/>
                <w:color w:val="auto"/>
                <w:sz w:val="20"/>
              </w:rPr>
              <w:br w:type="textWrapping"/>
            </w:r>
            <w:r>
              <w:rPr>
                <w:rFonts w:hint="eastAsia" w:ascii="宋体" w:hAnsi="宋体" w:eastAsia="宋体" w:cs="宋体"/>
                <w:snapToGrid/>
                <w:color w:val="auto"/>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其他</w:t>
            </w:r>
            <w:r>
              <w:rPr>
                <w:rFonts w:hint="eastAsia" w:ascii="宋体" w:hAnsi="宋体" w:eastAsia="宋体" w:cs="宋体"/>
                <w:snapToGrid/>
                <w:color w:val="auto"/>
                <w:sz w:val="20"/>
              </w:rPr>
              <w:br w:type="textWrapping"/>
            </w:r>
            <w:r>
              <w:rPr>
                <w:rFonts w:hint="eastAsia" w:ascii="宋体" w:hAnsi="宋体" w:eastAsia="宋体" w:cs="宋体"/>
                <w:snapToGrid/>
                <w:color w:val="auto"/>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尚未</w:t>
            </w:r>
            <w:r>
              <w:rPr>
                <w:rFonts w:hint="eastAsia" w:ascii="宋体" w:hAnsi="宋体" w:eastAsia="宋体" w:cs="宋体"/>
                <w:snapToGrid/>
                <w:color w:val="auto"/>
                <w:sz w:val="20"/>
              </w:rPr>
              <w:br w:type="textWrapping"/>
            </w:r>
            <w:r>
              <w:rPr>
                <w:rFonts w:hint="eastAsia" w:ascii="宋体" w:hAnsi="宋体" w:eastAsia="宋体" w:cs="宋体"/>
                <w:snapToGrid/>
                <w:color w:val="auto"/>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lang w:val="en-US" w:eastAsia="zh-CN"/>
              </w:rPr>
              <w:t>0</w:t>
            </w:r>
            <w:r>
              <w:rPr>
                <w:rFonts w:hint="eastAsia" w:ascii="宋体" w:hAnsi="宋体" w:eastAsia="宋体" w:cs="宋体"/>
                <w:snapToGrid/>
                <w:color w:val="auto"/>
                <w:sz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lang w:val="en-US" w:eastAsia="zh-CN"/>
              </w:rPr>
              <w:t>0</w:t>
            </w:r>
            <w:r>
              <w:rPr>
                <w:rFonts w:hint="eastAsia" w:ascii="宋体" w:hAnsi="宋体" w:eastAsia="宋体" w:cs="宋体"/>
                <w:snapToGrid/>
                <w:color w:val="auto"/>
                <w:sz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4"/>
                <w:szCs w:val="24"/>
                <w:lang w:val="en-US" w:eastAsia="zh-CN"/>
              </w:rPr>
            </w:pPr>
            <w:r>
              <w:rPr>
                <w:rFonts w:hint="eastAsia" w:ascii="宋体" w:hAnsi="宋体" w:eastAsia="宋体" w:cs="宋体"/>
                <w:snapToGrid/>
                <w:color w:val="auto"/>
                <w:sz w:val="20"/>
              </w:rPr>
              <w:t> </w:t>
            </w:r>
            <w:r>
              <w:rPr>
                <w:rFonts w:hint="eastAsia" w:ascii="宋体" w:hAnsi="宋体" w:eastAsia="宋体" w:cs="宋体"/>
                <w:snapToGrid/>
                <w:color w:val="auto"/>
                <w:sz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4"/>
                <w:szCs w:val="24"/>
                <w:lang w:val="en-US" w:eastAsia="zh-CN"/>
              </w:rPr>
            </w:pPr>
            <w:r>
              <w:rPr>
                <w:rFonts w:hint="eastAsia" w:ascii="宋体" w:hAnsi="宋体" w:eastAsia="宋体" w:cs="宋体"/>
                <w:snapToGrid/>
                <w:color w:val="auto"/>
                <w:sz w:val="20"/>
              </w:rPr>
              <w:t> </w:t>
            </w:r>
            <w:r>
              <w:rPr>
                <w:rFonts w:hint="eastAsia" w:ascii="宋体" w:hAnsi="宋体" w:eastAsia="宋体" w:cs="宋体"/>
                <w:snapToGrid/>
                <w:color w:val="auto"/>
                <w:sz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4"/>
                <w:szCs w:val="24"/>
                <w:lang w:val="en-US" w:eastAsia="zh-CN"/>
              </w:rPr>
            </w:pPr>
            <w:r>
              <w:rPr>
                <w:rFonts w:hint="eastAsia" w:ascii="宋体" w:hAnsi="宋体" w:eastAsia="宋体" w:cs="宋体"/>
                <w:snapToGrid/>
                <w:color w:val="auto"/>
                <w:sz w:val="20"/>
              </w:rPr>
              <w:t> </w:t>
            </w:r>
            <w:r>
              <w:rPr>
                <w:rFonts w:hint="eastAsia" w:ascii="宋体" w:hAnsi="宋体" w:eastAsia="宋体" w:cs="宋体"/>
                <w:snapToGrid/>
                <w:color w:val="auto"/>
                <w:sz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4"/>
                <w:szCs w:val="24"/>
                <w:lang w:val="en-US" w:eastAsia="zh-CN"/>
              </w:rPr>
            </w:pPr>
            <w:r>
              <w:rPr>
                <w:rFonts w:hint="eastAsia" w:ascii="宋体" w:hAnsi="宋体" w:eastAsia="宋体" w:cs="宋体"/>
                <w:snapToGrid/>
                <w:color w:val="auto"/>
                <w:sz w:val="20"/>
              </w:rPr>
              <w:t> </w:t>
            </w:r>
            <w:r>
              <w:rPr>
                <w:rFonts w:hint="eastAsia" w:ascii="宋体" w:hAnsi="宋体" w:eastAsia="宋体" w:cs="宋体"/>
                <w:snapToGrid/>
                <w:color w:val="auto"/>
                <w:sz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lang w:val="en-US" w:eastAsia="zh-CN"/>
              </w:rPr>
              <w:t>0</w:t>
            </w:r>
            <w:r>
              <w:rPr>
                <w:rFonts w:hint="eastAsia" w:ascii="宋体" w:hAnsi="宋体" w:eastAsia="宋体" w:cs="宋体"/>
                <w:snapToGrid/>
                <w:color w:val="auto"/>
                <w:sz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4"/>
                <w:szCs w:val="24"/>
                <w:lang w:val="en-US" w:eastAsia="zh-CN"/>
              </w:rPr>
            </w:pPr>
            <w:r>
              <w:rPr>
                <w:rFonts w:hint="eastAsia" w:ascii="宋体" w:hAnsi="宋体" w:eastAsia="宋体" w:cs="宋体"/>
                <w:snapToGrid/>
                <w:color w:val="auto"/>
                <w:sz w:val="20"/>
              </w:rPr>
              <w:t> </w:t>
            </w:r>
            <w:r>
              <w:rPr>
                <w:rFonts w:hint="eastAsia" w:ascii="宋体" w:hAnsi="宋体" w:eastAsia="宋体" w:cs="宋体"/>
                <w:snapToGrid/>
                <w:color w:val="auto"/>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4"/>
                <w:szCs w:val="24"/>
                <w:lang w:val="en-US" w:eastAsia="zh-CN"/>
              </w:rPr>
            </w:pPr>
            <w:r>
              <w:rPr>
                <w:rFonts w:hint="eastAsia" w:ascii="宋体" w:hAnsi="宋体" w:eastAsia="宋体" w:cs="宋体"/>
                <w:snapToGrid/>
                <w:color w:val="auto"/>
                <w:sz w:val="20"/>
              </w:rPr>
              <w:t> </w:t>
            </w:r>
            <w:r>
              <w:rPr>
                <w:rFonts w:hint="eastAsia" w:ascii="宋体" w:hAnsi="宋体" w:eastAsia="宋体" w:cs="宋体"/>
                <w:snapToGrid/>
                <w:color w:val="auto"/>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4"/>
                <w:szCs w:val="24"/>
                <w:lang w:val="en-US" w:eastAsia="zh-CN"/>
              </w:rPr>
            </w:pPr>
            <w:r>
              <w:rPr>
                <w:rFonts w:hint="eastAsia" w:ascii="宋体" w:hAnsi="宋体" w:eastAsia="宋体" w:cs="宋体"/>
                <w:snapToGrid/>
                <w:color w:val="auto"/>
                <w:sz w:val="20"/>
              </w:rPr>
              <w:t> </w:t>
            </w:r>
            <w:r>
              <w:rPr>
                <w:rFonts w:hint="eastAsia" w:ascii="宋体" w:hAnsi="宋体" w:eastAsia="宋体" w:cs="宋体"/>
                <w:snapToGrid/>
                <w:color w:val="auto"/>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auto"/>
                <w:sz w:val="24"/>
                <w:szCs w:val="24"/>
              </w:rPr>
            </w:pPr>
            <w:r>
              <w:rPr>
                <w:rFonts w:hint="eastAsia" w:ascii="宋体" w:hAnsi="宋体" w:eastAsia="宋体" w:cs="宋体"/>
                <w:snapToGrid/>
                <w:color w:val="auto"/>
                <w:sz w:val="20"/>
                <w:lang w:val="en-US" w:eastAsia="zh-CN"/>
              </w:rPr>
              <w:t>0</w:t>
            </w:r>
            <w:r>
              <w:rPr>
                <w:rFonts w:hint="eastAsia" w:ascii="宋体" w:hAnsi="宋体" w:eastAsia="宋体" w:cs="宋体"/>
                <w:snapToGrid/>
                <w:color w:val="auto"/>
                <w:sz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4"/>
                <w:szCs w:val="24"/>
                <w:lang w:val="en-US" w:eastAsia="zh-CN"/>
              </w:rPr>
            </w:pPr>
            <w:r>
              <w:rPr>
                <w:rFonts w:hint="eastAsia" w:ascii="宋体" w:hAnsi="宋体" w:eastAsia="宋体" w:cs="宋体"/>
                <w:snapToGrid/>
                <w:color w:val="auto"/>
                <w:sz w:val="20"/>
              </w:rPr>
              <w:t> </w:t>
            </w:r>
            <w:r>
              <w:rPr>
                <w:rFonts w:hint="eastAsia" w:ascii="宋体" w:hAnsi="宋体" w:eastAsia="宋体" w:cs="宋体"/>
                <w:snapToGrid/>
                <w:color w:val="auto"/>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4"/>
                <w:szCs w:val="24"/>
                <w:lang w:val="en-US" w:eastAsia="zh-CN"/>
              </w:rPr>
            </w:pPr>
            <w:r>
              <w:rPr>
                <w:rFonts w:hint="eastAsia" w:ascii="宋体" w:hAnsi="宋体" w:eastAsia="宋体" w:cs="宋体"/>
                <w:snapToGrid/>
                <w:color w:val="auto"/>
                <w:sz w:val="20"/>
              </w:rPr>
              <w:t> </w:t>
            </w:r>
            <w:r>
              <w:rPr>
                <w:rFonts w:hint="eastAsia" w:ascii="宋体" w:hAnsi="宋体" w:eastAsia="宋体" w:cs="宋体"/>
                <w:snapToGrid/>
                <w:color w:val="auto"/>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4"/>
                <w:szCs w:val="24"/>
                <w:lang w:val="en-US" w:eastAsia="zh-CN"/>
              </w:rPr>
            </w:pPr>
            <w:r>
              <w:rPr>
                <w:rFonts w:hint="eastAsia" w:ascii="宋体" w:hAnsi="宋体" w:eastAsia="宋体" w:cs="宋体"/>
                <w:snapToGrid/>
                <w:color w:val="auto"/>
                <w:sz w:val="20"/>
              </w:rPr>
              <w:t> </w:t>
            </w:r>
            <w:r>
              <w:rPr>
                <w:rFonts w:hint="eastAsia" w:ascii="宋体" w:hAnsi="宋体" w:eastAsia="宋体" w:cs="宋体"/>
                <w:snapToGrid/>
                <w:color w:val="auto"/>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color w:val="auto"/>
                <w:sz w:val="24"/>
                <w:szCs w:val="24"/>
                <w:lang w:val="en-US" w:eastAsia="zh-CN"/>
              </w:rPr>
            </w:pPr>
            <w:r>
              <w:rPr>
                <w:rFonts w:hint="eastAsia" w:ascii="宋体" w:hAnsi="宋体" w:eastAsia="宋体" w:cs="宋体"/>
                <w:snapToGrid/>
                <w:color w:val="auto"/>
                <w:sz w:val="20"/>
                <w:lang w:val="en-US" w:eastAsia="zh-CN"/>
              </w:rPr>
              <w:t>0</w:t>
            </w:r>
          </w:p>
        </w:tc>
      </w:tr>
    </w:tbl>
    <w:p>
      <w:pPr>
        <w:widowControl/>
        <w:autoSpaceDE/>
        <w:autoSpaceDN/>
        <w:snapToGrid/>
        <w:spacing w:line="240" w:lineRule="auto"/>
        <w:ind w:firstLine="0"/>
        <w:jc w:val="left"/>
        <w:rPr>
          <w:rFonts w:hint="eastAsia" w:ascii="宋体" w:hAnsi="宋体" w:eastAsia="宋体" w:cs="宋体"/>
          <w:snapToGrid/>
          <w:color w:val="auto"/>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90" w:firstLineChars="250"/>
        <w:textAlignment w:val="auto"/>
        <w:rPr>
          <w:rFonts w:ascii="黑体" w:hAnsi="黑体" w:eastAsia="黑体" w:cs="宋体"/>
          <w:b w:val="0"/>
          <w:bCs w:val="0"/>
          <w:snapToGrid/>
          <w:color w:val="auto"/>
          <w:szCs w:val="32"/>
        </w:rPr>
      </w:pPr>
      <w:r>
        <w:rPr>
          <w:rFonts w:hint="eastAsia" w:ascii="黑体" w:hAnsi="黑体" w:eastAsia="黑体" w:cs="宋体"/>
          <w:b w:val="0"/>
          <w:bCs w:val="0"/>
          <w:snapToGrid/>
          <w:color w:val="auto"/>
          <w:szCs w:val="32"/>
        </w:rPr>
        <w:t>五、存在的主要问题及改进情况</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948" w:firstLineChars="3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20</w:t>
      </w:r>
      <w:r>
        <w:rPr>
          <w:rFonts w:hint="eastAsia" w:ascii="仿宋_GB2312" w:hAnsi="仿宋_GB2312" w:eastAsia="仿宋_GB2312" w:cs="仿宋_GB2312"/>
          <w:color w:val="auto"/>
          <w:sz w:val="32"/>
          <w:szCs w:val="32"/>
          <w:shd w:val="clear" w:color="auto" w:fill="FFFFFF"/>
          <w:lang w:val="en-US" w:eastAsia="zh-CN"/>
        </w:rPr>
        <w:t>23</w:t>
      </w:r>
      <w:r>
        <w:rPr>
          <w:rFonts w:hint="eastAsia" w:ascii="仿宋_GB2312" w:hAnsi="仿宋_GB2312" w:eastAsia="仿宋_GB2312" w:cs="仿宋_GB2312"/>
          <w:color w:val="auto"/>
          <w:sz w:val="32"/>
          <w:szCs w:val="32"/>
          <w:shd w:val="clear" w:color="auto" w:fill="FFFFFF"/>
        </w:rPr>
        <w:t>年，我</w:t>
      </w:r>
      <w:r>
        <w:rPr>
          <w:rFonts w:hint="eastAsia" w:ascii="仿宋_GB2312" w:hAnsi="仿宋_GB2312" w:eastAsia="仿宋_GB2312" w:cs="仿宋_GB2312"/>
          <w:color w:val="auto"/>
          <w:sz w:val="32"/>
          <w:szCs w:val="32"/>
          <w:shd w:val="clear" w:color="auto" w:fill="FFFFFF"/>
          <w:lang w:eastAsia="zh-CN"/>
        </w:rPr>
        <w:t>局</w:t>
      </w:r>
      <w:r>
        <w:rPr>
          <w:rFonts w:hint="eastAsia" w:ascii="仿宋_GB2312" w:hAnsi="仿宋_GB2312" w:eastAsia="仿宋_GB2312" w:cs="仿宋_GB2312"/>
          <w:color w:val="auto"/>
          <w:sz w:val="32"/>
          <w:szCs w:val="32"/>
          <w:shd w:val="clear" w:color="auto" w:fill="FFFFFF"/>
        </w:rPr>
        <w:t>认真贯彻落实《中华人民共和国政府信息公开条例》，全面完成了20</w:t>
      </w:r>
      <w:r>
        <w:rPr>
          <w:rFonts w:hint="eastAsia" w:ascii="仿宋_GB2312" w:hAnsi="仿宋_GB2312" w:eastAsia="仿宋_GB2312" w:cs="仿宋_GB2312"/>
          <w:color w:val="auto"/>
          <w:sz w:val="32"/>
          <w:szCs w:val="32"/>
          <w:shd w:val="clear" w:color="auto" w:fill="FFFFFF"/>
          <w:lang w:val="en-US" w:eastAsia="zh-CN"/>
        </w:rPr>
        <w:t>23</w:t>
      </w:r>
      <w:r>
        <w:rPr>
          <w:rFonts w:hint="eastAsia" w:ascii="仿宋_GB2312" w:hAnsi="仿宋_GB2312" w:eastAsia="仿宋_GB2312" w:cs="仿宋_GB2312"/>
          <w:color w:val="auto"/>
          <w:sz w:val="32"/>
          <w:szCs w:val="32"/>
          <w:shd w:val="clear" w:color="auto" w:fill="FFFFFF"/>
        </w:rPr>
        <w:t>年度政务公开工作任务，但仍存在一些问题和不足，</w:t>
      </w:r>
      <w:r>
        <w:rPr>
          <w:rFonts w:hint="eastAsia" w:ascii="仿宋_GB2312" w:hAnsi="仿宋_GB2312" w:eastAsia="仿宋_GB2312" w:cs="仿宋_GB2312"/>
          <w:color w:val="auto"/>
          <w:sz w:val="32"/>
          <w:szCs w:val="32"/>
          <w:shd w:val="clear" w:color="auto" w:fill="FFFFFF"/>
          <w:lang w:eastAsia="zh-CN"/>
        </w:rPr>
        <w:t>如</w:t>
      </w:r>
      <w:r>
        <w:rPr>
          <w:rFonts w:hint="eastAsia" w:ascii="仿宋_GB2312" w:hAnsi="仿宋_GB2312" w:eastAsia="仿宋_GB2312" w:cs="仿宋_GB2312"/>
          <w:color w:val="auto"/>
          <w:sz w:val="32"/>
          <w:szCs w:val="32"/>
          <w:shd w:val="clear" w:color="auto" w:fill="FFFFFF"/>
        </w:rPr>
        <w:t>政务公开信息</w:t>
      </w:r>
      <w:r>
        <w:rPr>
          <w:rFonts w:hint="eastAsia" w:ascii="仿宋_GB2312" w:hAnsi="仿宋_GB2312" w:eastAsia="仿宋_GB2312" w:cs="仿宋_GB2312"/>
          <w:color w:val="auto"/>
          <w:sz w:val="32"/>
          <w:szCs w:val="32"/>
          <w:shd w:val="clear" w:color="auto" w:fill="FFFFFF"/>
          <w:lang w:eastAsia="zh-CN"/>
        </w:rPr>
        <w:t>内容偏向工作动态类信息。</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2"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下一步，</w:t>
      </w:r>
      <w:r>
        <w:rPr>
          <w:rFonts w:hint="eastAsia" w:ascii="仿宋_GB2312" w:hAnsi="仿宋_GB2312" w:eastAsia="仿宋_GB2312" w:cs="仿宋_GB2312"/>
          <w:color w:val="auto"/>
          <w:sz w:val="32"/>
          <w:szCs w:val="32"/>
          <w:shd w:val="clear" w:color="auto" w:fill="FFFFFF"/>
          <w:lang w:eastAsia="zh-CN"/>
        </w:rPr>
        <w:t>区保税管理局将</w:t>
      </w:r>
      <w:r>
        <w:rPr>
          <w:rFonts w:hint="eastAsia" w:ascii="仿宋_GB2312" w:hAnsi="仿宋_GB2312" w:eastAsia="仿宋_GB2312" w:cs="仿宋_GB2312"/>
          <w:color w:val="auto"/>
          <w:sz w:val="32"/>
          <w:szCs w:val="32"/>
          <w:shd w:val="clear" w:color="auto" w:fill="FFFFFF"/>
        </w:rPr>
        <w:t>深入贯彻落实《中华人民共和国政府信息公开条例》等</w:t>
      </w:r>
      <w:r>
        <w:rPr>
          <w:rFonts w:hint="eastAsia" w:ascii="仿宋_GB2312" w:hAnsi="仿宋_GB2312" w:eastAsia="仿宋_GB2312" w:cs="仿宋_GB2312"/>
          <w:color w:val="auto"/>
          <w:sz w:val="32"/>
          <w:szCs w:val="32"/>
          <w:shd w:val="clear" w:color="auto" w:fill="FFFFFF"/>
          <w:lang w:eastAsia="zh-CN"/>
        </w:rPr>
        <w:t>文件</w:t>
      </w:r>
      <w:r>
        <w:rPr>
          <w:rFonts w:hint="eastAsia" w:ascii="仿宋_GB2312" w:hAnsi="仿宋_GB2312" w:eastAsia="仿宋_GB2312" w:cs="仿宋_GB2312"/>
          <w:color w:val="auto"/>
          <w:sz w:val="32"/>
          <w:szCs w:val="32"/>
          <w:shd w:val="clear" w:color="auto" w:fill="FFFFFF"/>
        </w:rPr>
        <w:t>精神，严格对照政府信息公开工作</w:t>
      </w:r>
      <w:r>
        <w:rPr>
          <w:rFonts w:hint="eastAsia" w:ascii="仿宋_GB2312" w:hAnsi="仿宋_GB2312" w:eastAsia="仿宋_GB2312" w:cs="仿宋_GB2312"/>
          <w:color w:val="auto"/>
          <w:sz w:val="32"/>
          <w:szCs w:val="32"/>
          <w:shd w:val="clear" w:color="auto" w:fill="FFFFFF"/>
          <w:lang w:eastAsia="zh-CN"/>
        </w:rPr>
        <w:t>要求</w:t>
      </w:r>
      <w:r>
        <w:rPr>
          <w:rFonts w:hint="eastAsia" w:ascii="仿宋_GB2312" w:hAnsi="仿宋_GB2312" w:eastAsia="仿宋_GB2312" w:cs="仿宋_GB2312"/>
          <w:color w:val="auto"/>
          <w:sz w:val="32"/>
          <w:szCs w:val="32"/>
          <w:shd w:val="clear" w:color="auto" w:fill="FFFFFF"/>
        </w:rPr>
        <w:t>，认真梳理信息公开事项，加强政务公开工作。</w:t>
      </w:r>
      <w:r>
        <w:rPr>
          <w:rFonts w:hint="eastAsia" w:ascii="仿宋_GB2312" w:hAnsi="仿宋_GB2312" w:eastAsia="仿宋_GB2312" w:cs="仿宋_GB2312"/>
          <w:b/>
          <w:bCs/>
          <w:color w:val="auto"/>
          <w:sz w:val="32"/>
          <w:szCs w:val="32"/>
          <w:shd w:val="clear" w:color="auto" w:fill="FFFFFF"/>
          <w:lang w:eastAsia="zh-CN"/>
        </w:rPr>
        <w:t>一是</w:t>
      </w:r>
      <w:r>
        <w:rPr>
          <w:rFonts w:hint="eastAsia" w:ascii="仿宋_GB2312" w:hAnsi="仿宋_GB2312" w:eastAsia="仿宋_GB2312" w:cs="仿宋_GB2312"/>
          <w:b w:val="0"/>
          <w:bCs w:val="0"/>
          <w:color w:val="auto"/>
          <w:sz w:val="32"/>
          <w:szCs w:val="32"/>
          <w:shd w:val="clear" w:color="auto" w:fill="FFFFFF"/>
          <w:lang w:eastAsia="zh-CN"/>
        </w:rPr>
        <w:t>加强组织领导。</w:t>
      </w:r>
      <w:r>
        <w:rPr>
          <w:rFonts w:hint="eastAsia" w:ascii="仿宋_GB2312" w:hAnsi="仿宋_GB2312" w:eastAsia="仿宋_GB2312" w:cs="仿宋_GB2312"/>
          <w:color w:val="auto"/>
          <w:sz w:val="32"/>
          <w:szCs w:val="32"/>
          <w:shd w:val="clear" w:color="auto" w:fill="FFFFFF"/>
          <w:lang w:eastAsia="zh-CN"/>
        </w:rPr>
        <w:t>坚持把政务公开工作作为经常性工作列入重要议事日程，从转变政府职能、执政为民、加强党的执政能力建设、优化营商环境的高度认识并积极推进政务信息公开。</w:t>
      </w:r>
      <w:r>
        <w:rPr>
          <w:rFonts w:hint="eastAsia" w:ascii="仿宋_GB2312" w:hAnsi="仿宋_GB2312" w:eastAsia="仿宋_GB2312" w:cs="仿宋_GB2312"/>
          <w:b/>
          <w:bCs/>
          <w:color w:val="auto"/>
          <w:sz w:val="32"/>
          <w:szCs w:val="32"/>
          <w:shd w:val="clear" w:color="auto" w:fill="FFFFFF"/>
          <w:lang w:eastAsia="zh-CN"/>
        </w:rPr>
        <w:t>二是</w:t>
      </w:r>
      <w:r>
        <w:rPr>
          <w:rFonts w:hint="eastAsia" w:ascii="仿宋_GB2312" w:hAnsi="仿宋_GB2312" w:eastAsia="仿宋_GB2312" w:cs="仿宋_GB2312"/>
          <w:b w:val="0"/>
          <w:bCs w:val="0"/>
          <w:color w:val="auto"/>
          <w:sz w:val="32"/>
          <w:szCs w:val="32"/>
          <w:shd w:val="clear" w:color="auto" w:fill="FFFFFF"/>
          <w:lang w:eastAsia="zh-CN"/>
        </w:rPr>
        <w:t>充分用好宣传平台</w:t>
      </w:r>
      <w:r>
        <w:rPr>
          <w:rFonts w:hint="eastAsia" w:ascii="仿宋_GB2312" w:hAnsi="仿宋_GB2312" w:eastAsia="仿宋_GB2312" w:cs="仿宋_GB2312"/>
          <w:color w:val="auto"/>
          <w:sz w:val="32"/>
          <w:szCs w:val="32"/>
          <w:shd w:val="clear" w:color="auto" w:fill="FFFFFF"/>
          <w:lang w:eastAsia="zh-CN"/>
        </w:rPr>
        <w:t>。充分运用赣州经济技术开发区网站等平台发布信息，运用新闻发布会等多种形式加大政务公开的宣传力度，</w:t>
      </w:r>
      <w:r>
        <w:rPr>
          <w:rFonts w:hint="eastAsia" w:ascii="仿宋_GB2312" w:hAnsi="仿宋_GB2312" w:eastAsia="仿宋_GB2312" w:cs="仿宋_GB2312"/>
          <w:color w:val="auto"/>
          <w:sz w:val="32"/>
          <w:szCs w:val="32"/>
          <w:shd w:val="clear" w:color="auto" w:fill="FFFFFF"/>
        </w:rPr>
        <w:t>更好的服务于群众的政务公开需求，确保政府信息公开规范化、制度化，深入高效地开展政府信息公开工作。</w:t>
      </w:r>
      <w:r>
        <w:rPr>
          <w:rFonts w:hint="eastAsia" w:ascii="仿宋_GB2312" w:hAnsi="仿宋_GB2312" w:eastAsia="仿宋_GB2312" w:cs="仿宋_GB2312"/>
          <w:b/>
          <w:bCs/>
          <w:color w:val="auto"/>
          <w:sz w:val="32"/>
          <w:szCs w:val="32"/>
          <w:shd w:val="clear" w:color="auto" w:fill="FFFFFF"/>
          <w:lang w:eastAsia="zh-CN"/>
        </w:rPr>
        <w:t>三是</w:t>
      </w:r>
      <w:r>
        <w:rPr>
          <w:rFonts w:hint="eastAsia" w:ascii="仿宋_GB2312" w:hAnsi="仿宋_GB2312" w:eastAsia="仿宋_GB2312" w:cs="仿宋_GB2312"/>
          <w:b w:val="0"/>
          <w:bCs w:val="0"/>
          <w:color w:val="auto"/>
          <w:sz w:val="32"/>
          <w:szCs w:val="32"/>
          <w:shd w:val="clear" w:color="auto" w:fill="FFFFFF"/>
          <w:lang w:eastAsia="zh-CN"/>
        </w:rPr>
        <w:t>健全政务公开制度</w:t>
      </w:r>
      <w:r>
        <w:rPr>
          <w:rFonts w:hint="eastAsia" w:ascii="仿宋_GB2312" w:hAnsi="仿宋_GB2312" w:eastAsia="仿宋_GB2312" w:cs="仿宋_GB2312"/>
          <w:color w:val="auto"/>
          <w:sz w:val="32"/>
          <w:szCs w:val="32"/>
          <w:shd w:val="clear" w:color="auto" w:fill="FFFFFF"/>
          <w:lang w:eastAsia="zh-CN"/>
        </w:rPr>
        <w:t>。完善信息发布、政策解读、舆情回应、重大决策预公开、政府信息管理、依申请公开等制度规范。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firstLine="632" w:firstLineChars="200"/>
        <w:textAlignment w:val="auto"/>
        <w:rPr>
          <w:rFonts w:hint="eastAsia" w:ascii="黑体" w:hAnsi="黑体" w:eastAsia="黑体" w:cs="宋体"/>
          <w:b w:val="0"/>
          <w:bCs w:val="0"/>
          <w:snapToGrid/>
          <w:color w:val="auto"/>
          <w:szCs w:val="32"/>
        </w:rPr>
      </w:pPr>
      <w:r>
        <w:rPr>
          <w:rFonts w:hint="eastAsia" w:ascii="黑体" w:hAnsi="黑体" w:eastAsia="黑体" w:cs="宋体"/>
          <w:b w:val="0"/>
          <w:bCs w:val="0"/>
          <w:snapToGrid/>
          <w:color w:val="auto"/>
          <w:szCs w:val="32"/>
        </w:rPr>
        <w:t>六、其他需要报告的事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firstLine="632" w:firstLineChars="200"/>
        <w:textAlignment w:val="auto"/>
        <w:rPr>
          <w:rFonts w:hint="eastAsia" w:ascii="仿宋_GB2312" w:hAnsi="仿宋_GB2312" w:eastAsia="仿宋_GB2312" w:cs="仿宋_GB2312"/>
          <w:snapToGrid/>
          <w:color w:val="auto"/>
          <w:sz w:val="32"/>
          <w:szCs w:val="32"/>
          <w:shd w:val="clear" w:color="auto" w:fill="FFFFFF"/>
          <w:lang w:val="en-US" w:eastAsia="zh-CN" w:bidi="ar-SA"/>
        </w:rPr>
      </w:pPr>
      <w:r>
        <w:rPr>
          <w:rFonts w:hint="eastAsia" w:ascii="仿宋_GB2312" w:hAnsi="仿宋_GB2312" w:eastAsia="仿宋_GB2312" w:cs="仿宋_GB2312"/>
          <w:snapToGrid/>
          <w:color w:val="auto"/>
          <w:sz w:val="32"/>
          <w:szCs w:val="32"/>
          <w:shd w:val="clear" w:color="auto" w:fill="FFFFFF"/>
          <w:lang w:val="en-US" w:eastAsia="zh-CN" w:bidi="ar-SA"/>
        </w:rPr>
        <w:t>无</w:t>
      </w:r>
    </w:p>
    <w:p>
      <w:pPr>
        <w:pStyle w:val="2"/>
        <w:pageBreakBefore w:val="0"/>
        <w:kinsoku/>
        <w:wordWrap/>
        <w:overflowPunct/>
        <w:topLinePunct w:val="0"/>
        <w:bidi w:val="0"/>
        <w:adjustRightInd/>
        <w:spacing w:line="600" w:lineRule="exact"/>
        <w:textAlignment w:val="auto"/>
        <w:rPr>
          <w:rFonts w:hint="eastAsia" w:ascii="仿宋_GB2312" w:hAnsi="仿宋_GB2312" w:eastAsia="仿宋_GB2312" w:cs="仿宋_GB2312"/>
          <w:snapToGrid/>
          <w:color w:val="auto"/>
          <w:sz w:val="32"/>
          <w:szCs w:val="32"/>
          <w:shd w:val="clear" w:color="auto" w:fill="FFFFFF"/>
          <w:lang w:val="en-US" w:eastAsia="zh-CN" w:bidi="ar-SA"/>
        </w:rPr>
      </w:pPr>
    </w:p>
    <w:p>
      <w:pPr>
        <w:pageBreakBefore w:val="0"/>
        <w:kinsoku/>
        <w:wordWrap/>
        <w:overflowPunct/>
        <w:topLinePunct w:val="0"/>
        <w:bidi w:val="0"/>
        <w:adjustRightInd/>
        <w:spacing w:line="600" w:lineRule="exact"/>
        <w:textAlignment w:val="auto"/>
        <w:rPr>
          <w:rFonts w:hint="eastAsia"/>
          <w:color w:val="auto"/>
          <w:lang w:val="en-US" w:eastAsia="zh-CN"/>
        </w:rPr>
      </w:pPr>
    </w:p>
    <w:p>
      <w:pPr>
        <w:pageBreakBefore w:val="0"/>
        <w:kinsoku/>
        <w:wordWrap/>
        <w:overflowPunct/>
        <w:topLinePunct w:val="0"/>
        <w:bidi w:val="0"/>
        <w:adjustRightInd/>
        <w:spacing w:line="600" w:lineRule="exact"/>
        <w:textAlignment w:val="auto"/>
        <w:rPr>
          <w:rFonts w:hint="eastAsia" w:ascii="仿宋_GB2312" w:hAnsi="仿宋_GB2312" w:eastAsia="仿宋_GB2312" w:cs="仿宋_GB2312"/>
          <w:snapToGrid/>
          <w:color w:val="auto"/>
          <w:sz w:val="32"/>
          <w:szCs w:val="32"/>
          <w:shd w:val="clear" w:color="auto" w:fill="FFFFFF"/>
          <w:lang w:val="en-US" w:eastAsia="zh-CN" w:bidi="ar-SA"/>
        </w:rPr>
      </w:pPr>
      <w:r>
        <w:rPr>
          <w:rFonts w:hint="eastAsia" w:ascii="仿宋_GB2312" w:hAnsi="仿宋_GB2312" w:eastAsia="仿宋_GB2312" w:cs="仿宋_GB2312"/>
          <w:snapToGrid/>
          <w:color w:val="auto"/>
          <w:sz w:val="32"/>
          <w:szCs w:val="32"/>
          <w:shd w:val="clear" w:color="auto" w:fill="FFFFFF"/>
          <w:lang w:val="en-US" w:eastAsia="zh-CN" w:bidi="ar-SA"/>
        </w:rPr>
        <w:t xml:space="preserve">                        赣州经济技术开发区保税管理局</w:t>
      </w:r>
    </w:p>
    <w:p>
      <w:pPr>
        <w:pStyle w:val="2"/>
        <w:pageBreakBefore w:val="0"/>
        <w:kinsoku/>
        <w:wordWrap/>
        <w:overflowPunct/>
        <w:topLinePunct w:val="0"/>
        <w:bidi w:val="0"/>
        <w:adjustRightInd/>
        <w:spacing w:line="600" w:lineRule="exact"/>
        <w:textAlignment w:val="auto"/>
        <w:rPr>
          <w:rFonts w:hint="default"/>
          <w:b w:val="0"/>
          <w:bCs w:val="0"/>
          <w:color w:val="auto"/>
          <w:sz w:val="32"/>
          <w:szCs w:val="32"/>
          <w:lang w:val="en-US"/>
        </w:rPr>
      </w:pPr>
      <w:r>
        <w:rPr>
          <w:rFonts w:hint="eastAsia" w:ascii="仿宋_GB2312" w:hAnsi="仿宋_GB2312" w:eastAsia="仿宋_GB2312" w:cs="仿宋_GB2312"/>
          <w:b w:val="0"/>
          <w:bCs w:val="0"/>
          <w:snapToGrid/>
          <w:color w:val="auto"/>
          <w:sz w:val="32"/>
          <w:szCs w:val="32"/>
          <w:shd w:val="clear" w:color="auto" w:fill="FFFFFF"/>
          <w:lang w:val="en-US" w:eastAsia="zh-CN" w:bidi="ar-SA"/>
        </w:rPr>
        <w:t xml:space="preserve">                               2024年1月2</w:t>
      </w:r>
      <w:r>
        <w:rPr>
          <w:rFonts w:hint="default" w:ascii="仿宋_GB2312" w:hAnsi="仿宋_GB2312" w:eastAsia="仿宋_GB2312" w:cs="仿宋_GB2312"/>
          <w:b w:val="0"/>
          <w:bCs w:val="0"/>
          <w:snapToGrid/>
          <w:color w:val="auto"/>
          <w:sz w:val="32"/>
          <w:szCs w:val="32"/>
          <w:shd w:val="clear" w:color="auto" w:fill="FFFFFF"/>
          <w:lang w:val="en-US" w:eastAsia="zh-CN" w:bidi="ar-SA"/>
        </w:rPr>
        <w:t>4</w:t>
      </w:r>
      <w:r>
        <w:rPr>
          <w:rFonts w:hint="eastAsia" w:ascii="仿宋_GB2312" w:hAnsi="仿宋_GB2312" w:eastAsia="仿宋_GB2312" w:cs="仿宋_GB2312"/>
          <w:b w:val="0"/>
          <w:bCs w:val="0"/>
          <w:snapToGrid/>
          <w:color w:val="auto"/>
          <w:sz w:val="32"/>
          <w:szCs w:val="32"/>
          <w:shd w:val="clear" w:color="auto" w:fill="FFFFFF"/>
          <w:lang w:val="en-US" w:eastAsia="zh-CN" w:bidi="ar-SA"/>
        </w:rPr>
        <w:t xml:space="preserve">日   </w:t>
      </w:r>
    </w:p>
    <w:sectPr>
      <w:headerReference r:id="rId5" w:type="default"/>
      <w:footerReference r:id="rId6" w:type="default"/>
      <w:pgSz w:w="11906" w:h="16838"/>
      <w:pgMar w:top="1814" w:right="1531" w:bottom="1985" w:left="1531" w:header="720" w:footer="1474" w:gutter="0"/>
      <w:paperSrc w:first="2" w:other="2"/>
      <w:pgNumType w:start="1"/>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_GBK">
    <w:panose1 w:val="02000000000000000000"/>
    <w:charset w:val="86"/>
    <w:family w:val="script"/>
    <w:pitch w:val="default"/>
    <w:sig w:usb0="00000001" w:usb1="08000000" w:usb2="00000000" w:usb3="00000000" w:csb0="00040000" w:csb1="00000000"/>
  </w:font>
  <w:font w:name="汉鼎简大宋">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Ubuntu">
    <w:panose1 w:val="020B0504030602030204"/>
    <w:charset w:val="00"/>
    <w:family w:val="auto"/>
    <w:pitch w:val="default"/>
    <w:sig w:usb0="E00002FF" w:usb1="5000205B" w:usb2="00000000" w:usb3="00000000" w:csb0="2000009F" w:csb1="5601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w:rPr>
        <w:rFonts w:hint="eastAsia"/>
      </w:rPr>
      <w:t xml:space="preserve">— </w:t>
    </w:r>
    <w:r>
      <w:fldChar w:fldCharType="begin"/>
    </w:r>
    <w:r>
      <w:rPr>
        <w:rStyle w:val="12"/>
      </w:rPr>
      <w:instrText xml:space="preserve"> PAGE </w:instrText>
    </w:r>
    <w:r>
      <w:fldChar w:fldCharType="separate"/>
    </w:r>
    <w:r>
      <w:rPr>
        <w:rStyle w:val="12"/>
      </w:rPr>
      <w:t>1</w:t>
    </w:r>
    <w:r>
      <w:fldChar w:fldCharType="end"/>
    </w:r>
    <w:r>
      <w:rPr>
        <w:rStyle w:val="12"/>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0"/>
  <w:drawingGridHorizontalSpacing w:val="315"/>
  <w:drawingGridVerticalSpacing w:val="2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43"/>
    <w:rsid w:val="0000134B"/>
    <w:rsid w:val="00001659"/>
    <w:rsid w:val="00001875"/>
    <w:rsid w:val="00003673"/>
    <w:rsid w:val="00004A01"/>
    <w:rsid w:val="00004A56"/>
    <w:rsid w:val="00007038"/>
    <w:rsid w:val="00007582"/>
    <w:rsid w:val="0000773B"/>
    <w:rsid w:val="000127F2"/>
    <w:rsid w:val="00015FB0"/>
    <w:rsid w:val="000164F7"/>
    <w:rsid w:val="00017D52"/>
    <w:rsid w:val="000209CA"/>
    <w:rsid w:val="000218A7"/>
    <w:rsid w:val="0002221F"/>
    <w:rsid w:val="000232E8"/>
    <w:rsid w:val="00027496"/>
    <w:rsid w:val="00027C6A"/>
    <w:rsid w:val="000301A9"/>
    <w:rsid w:val="00033B08"/>
    <w:rsid w:val="00033B8A"/>
    <w:rsid w:val="00034A9D"/>
    <w:rsid w:val="00036143"/>
    <w:rsid w:val="00040164"/>
    <w:rsid w:val="00044A09"/>
    <w:rsid w:val="00045622"/>
    <w:rsid w:val="00045F11"/>
    <w:rsid w:val="00050FAF"/>
    <w:rsid w:val="0005315D"/>
    <w:rsid w:val="00053DAC"/>
    <w:rsid w:val="00060751"/>
    <w:rsid w:val="00061D77"/>
    <w:rsid w:val="00062F4B"/>
    <w:rsid w:val="00063425"/>
    <w:rsid w:val="00063ACD"/>
    <w:rsid w:val="000647CF"/>
    <w:rsid w:val="000659D4"/>
    <w:rsid w:val="00072238"/>
    <w:rsid w:val="000726BB"/>
    <w:rsid w:val="000729E8"/>
    <w:rsid w:val="00072A3C"/>
    <w:rsid w:val="00073FA8"/>
    <w:rsid w:val="00075295"/>
    <w:rsid w:val="000765F5"/>
    <w:rsid w:val="00077C2D"/>
    <w:rsid w:val="000838EB"/>
    <w:rsid w:val="00085AE0"/>
    <w:rsid w:val="000879D7"/>
    <w:rsid w:val="00087E07"/>
    <w:rsid w:val="0009065B"/>
    <w:rsid w:val="00091B99"/>
    <w:rsid w:val="00091BF9"/>
    <w:rsid w:val="00091C79"/>
    <w:rsid w:val="00093970"/>
    <w:rsid w:val="000944DF"/>
    <w:rsid w:val="00094CDE"/>
    <w:rsid w:val="000969C8"/>
    <w:rsid w:val="000A010A"/>
    <w:rsid w:val="000A0B38"/>
    <w:rsid w:val="000A4896"/>
    <w:rsid w:val="000A5FA4"/>
    <w:rsid w:val="000B0D0B"/>
    <w:rsid w:val="000B2D05"/>
    <w:rsid w:val="000B4DFA"/>
    <w:rsid w:val="000B59A7"/>
    <w:rsid w:val="000B5E15"/>
    <w:rsid w:val="000B6BFE"/>
    <w:rsid w:val="000B746E"/>
    <w:rsid w:val="000C03BF"/>
    <w:rsid w:val="000C0BA7"/>
    <w:rsid w:val="000C0CEA"/>
    <w:rsid w:val="000C251D"/>
    <w:rsid w:val="000C3D38"/>
    <w:rsid w:val="000C65D5"/>
    <w:rsid w:val="000C6B0A"/>
    <w:rsid w:val="000D04DB"/>
    <w:rsid w:val="000D10E8"/>
    <w:rsid w:val="000D1BFC"/>
    <w:rsid w:val="000D4993"/>
    <w:rsid w:val="000D4EBE"/>
    <w:rsid w:val="000D5295"/>
    <w:rsid w:val="000D65C4"/>
    <w:rsid w:val="000D6ECC"/>
    <w:rsid w:val="000D74D1"/>
    <w:rsid w:val="000D7C0A"/>
    <w:rsid w:val="000E2183"/>
    <w:rsid w:val="000E2E35"/>
    <w:rsid w:val="000E3774"/>
    <w:rsid w:val="000E594A"/>
    <w:rsid w:val="000E732B"/>
    <w:rsid w:val="000F40FF"/>
    <w:rsid w:val="001008EA"/>
    <w:rsid w:val="00101B6F"/>
    <w:rsid w:val="001023F5"/>
    <w:rsid w:val="00102766"/>
    <w:rsid w:val="00103872"/>
    <w:rsid w:val="001054F0"/>
    <w:rsid w:val="00105E5A"/>
    <w:rsid w:val="00107199"/>
    <w:rsid w:val="00110EE9"/>
    <w:rsid w:val="00113062"/>
    <w:rsid w:val="001136CF"/>
    <w:rsid w:val="001144B2"/>
    <w:rsid w:val="00116138"/>
    <w:rsid w:val="0011728B"/>
    <w:rsid w:val="00117FA8"/>
    <w:rsid w:val="00121078"/>
    <w:rsid w:val="0012131A"/>
    <w:rsid w:val="00121830"/>
    <w:rsid w:val="00121EAA"/>
    <w:rsid w:val="001244D0"/>
    <w:rsid w:val="00125542"/>
    <w:rsid w:val="00126920"/>
    <w:rsid w:val="00127C77"/>
    <w:rsid w:val="00140C5F"/>
    <w:rsid w:val="001415EC"/>
    <w:rsid w:val="00141EBE"/>
    <w:rsid w:val="001431A3"/>
    <w:rsid w:val="00143685"/>
    <w:rsid w:val="00143CE8"/>
    <w:rsid w:val="0014620C"/>
    <w:rsid w:val="001474FD"/>
    <w:rsid w:val="00147DB7"/>
    <w:rsid w:val="00147FEB"/>
    <w:rsid w:val="001500E6"/>
    <w:rsid w:val="0015137A"/>
    <w:rsid w:val="00151AB3"/>
    <w:rsid w:val="00152765"/>
    <w:rsid w:val="0015558F"/>
    <w:rsid w:val="0015632F"/>
    <w:rsid w:val="00156836"/>
    <w:rsid w:val="001640C7"/>
    <w:rsid w:val="001662A0"/>
    <w:rsid w:val="001672CC"/>
    <w:rsid w:val="001735B0"/>
    <w:rsid w:val="0017396D"/>
    <w:rsid w:val="00173EFF"/>
    <w:rsid w:val="00174190"/>
    <w:rsid w:val="00174ECA"/>
    <w:rsid w:val="00176092"/>
    <w:rsid w:val="00180B3F"/>
    <w:rsid w:val="00182172"/>
    <w:rsid w:val="001855BB"/>
    <w:rsid w:val="00186FB0"/>
    <w:rsid w:val="001871BC"/>
    <w:rsid w:val="00187D72"/>
    <w:rsid w:val="001908A7"/>
    <w:rsid w:val="00192229"/>
    <w:rsid w:val="001929CE"/>
    <w:rsid w:val="00192D4A"/>
    <w:rsid w:val="00193824"/>
    <w:rsid w:val="001951CD"/>
    <w:rsid w:val="00195240"/>
    <w:rsid w:val="00195306"/>
    <w:rsid w:val="001955D4"/>
    <w:rsid w:val="00195BB1"/>
    <w:rsid w:val="00197D4D"/>
    <w:rsid w:val="001A0D4F"/>
    <w:rsid w:val="001B42F5"/>
    <w:rsid w:val="001B4454"/>
    <w:rsid w:val="001B4B73"/>
    <w:rsid w:val="001B69E4"/>
    <w:rsid w:val="001C096D"/>
    <w:rsid w:val="001C1322"/>
    <w:rsid w:val="001C1CDB"/>
    <w:rsid w:val="001C2484"/>
    <w:rsid w:val="001C393B"/>
    <w:rsid w:val="001C450B"/>
    <w:rsid w:val="001C5D91"/>
    <w:rsid w:val="001C75F9"/>
    <w:rsid w:val="001D325E"/>
    <w:rsid w:val="001E0C28"/>
    <w:rsid w:val="001E2028"/>
    <w:rsid w:val="001E51DD"/>
    <w:rsid w:val="001E5D81"/>
    <w:rsid w:val="001F062E"/>
    <w:rsid w:val="001F0DCC"/>
    <w:rsid w:val="001F1006"/>
    <w:rsid w:val="001F1817"/>
    <w:rsid w:val="001F307C"/>
    <w:rsid w:val="001F3980"/>
    <w:rsid w:val="001F7E03"/>
    <w:rsid w:val="00200C01"/>
    <w:rsid w:val="00201A1E"/>
    <w:rsid w:val="002025DD"/>
    <w:rsid w:val="00203100"/>
    <w:rsid w:val="00203EDB"/>
    <w:rsid w:val="00204AB2"/>
    <w:rsid w:val="0020587D"/>
    <w:rsid w:val="002110CF"/>
    <w:rsid w:val="00214305"/>
    <w:rsid w:val="00216A1B"/>
    <w:rsid w:val="00220D37"/>
    <w:rsid w:val="00222160"/>
    <w:rsid w:val="0022336B"/>
    <w:rsid w:val="002255D6"/>
    <w:rsid w:val="00225CC1"/>
    <w:rsid w:val="00226706"/>
    <w:rsid w:val="00227687"/>
    <w:rsid w:val="00231E40"/>
    <w:rsid w:val="00231FA6"/>
    <w:rsid w:val="00232161"/>
    <w:rsid w:val="0023390D"/>
    <w:rsid w:val="00241976"/>
    <w:rsid w:val="00241DBD"/>
    <w:rsid w:val="0024268F"/>
    <w:rsid w:val="00244F4E"/>
    <w:rsid w:val="0024566B"/>
    <w:rsid w:val="002470C9"/>
    <w:rsid w:val="00250453"/>
    <w:rsid w:val="00250777"/>
    <w:rsid w:val="002541AA"/>
    <w:rsid w:val="00257709"/>
    <w:rsid w:val="00257A41"/>
    <w:rsid w:val="0026082A"/>
    <w:rsid w:val="00260CD2"/>
    <w:rsid w:val="00262BE1"/>
    <w:rsid w:val="00263B5D"/>
    <w:rsid w:val="00263BF4"/>
    <w:rsid w:val="002650FB"/>
    <w:rsid w:val="00265DFA"/>
    <w:rsid w:val="00265EB8"/>
    <w:rsid w:val="00270225"/>
    <w:rsid w:val="00271135"/>
    <w:rsid w:val="0027122B"/>
    <w:rsid w:val="0027122E"/>
    <w:rsid w:val="00273114"/>
    <w:rsid w:val="00277DD9"/>
    <w:rsid w:val="00280B42"/>
    <w:rsid w:val="002816CA"/>
    <w:rsid w:val="00282982"/>
    <w:rsid w:val="00286BA7"/>
    <w:rsid w:val="00287049"/>
    <w:rsid w:val="00287DCE"/>
    <w:rsid w:val="00290177"/>
    <w:rsid w:val="00291E0A"/>
    <w:rsid w:val="0029266F"/>
    <w:rsid w:val="00292826"/>
    <w:rsid w:val="00295A3E"/>
    <w:rsid w:val="00296093"/>
    <w:rsid w:val="002A05A9"/>
    <w:rsid w:val="002A2A9F"/>
    <w:rsid w:val="002A4292"/>
    <w:rsid w:val="002A65E6"/>
    <w:rsid w:val="002A6613"/>
    <w:rsid w:val="002A6CF3"/>
    <w:rsid w:val="002B067D"/>
    <w:rsid w:val="002B2B7F"/>
    <w:rsid w:val="002B3136"/>
    <w:rsid w:val="002B5814"/>
    <w:rsid w:val="002B5FA0"/>
    <w:rsid w:val="002B6537"/>
    <w:rsid w:val="002C130F"/>
    <w:rsid w:val="002C2714"/>
    <w:rsid w:val="002C5A39"/>
    <w:rsid w:val="002D076B"/>
    <w:rsid w:val="002D0890"/>
    <w:rsid w:val="002D366A"/>
    <w:rsid w:val="002D6CBD"/>
    <w:rsid w:val="002D7341"/>
    <w:rsid w:val="002D77A0"/>
    <w:rsid w:val="002E068F"/>
    <w:rsid w:val="002E2AA0"/>
    <w:rsid w:val="002E2E17"/>
    <w:rsid w:val="002E4BE1"/>
    <w:rsid w:val="002E4C89"/>
    <w:rsid w:val="002E51A0"/>
    <w:rsid w:val="002E7B53"/>
    <w:rsid w:val="002F20CE"/>
    <w:rsid w:val="002F398B"/>
    <w:rsid w:val="00300149"/>
    <w:rsid w:val="00301B51"/>
    <w:rsid w:val="00302C6D"/>
    <w:rsid w:val="003039DE"/>
    <w:rsid w:val="003067CD"/>
    <w:rsid w:val="00310AE6"/>
    <w:rsid w:val="0031161D"/>
    <w:rsid w:val="003125C4"/>
    <w:rsid w:val="00312BCE"/>
    <w:rsid w:val="00314133"/>
    <w:rsid w:val="00314712"/>
    <w:rsid w:val="0031695C"/>
    <w:rsid w:val="0031713D"/>
    <w:rsid w:val="0032114E"/>
    <w:rsid w:val="003220DC"/>
    <w:rsid w:val="00322294"/>
    <w:rsid w:val="00323342"/>
    <w:rsid w:val="0032403C"/>
    <w:rsid w:val="003249B5"/>
    <w:rsid w:val="00325E5A"/>
    <w:rsid w:val="003268F2"/>
    <w:rsid w:val="00326A3B"/>
    <w:rsid w:val="00331296"/>
    <w:rsid w:val="00331E86"/>
    <w:rsid w:val="00335EF0"/>
    <w:rsid w:val="0034036C"/>
    <w:rsid w:val="00342D71"/>
    <w:rsid w:val="00343EE2"/>
    <w:rsid w:val="003461B5"/>
    <w:rsid w:val="003462BE"/>
    <w:rsid w:val="00347686"/>
    <w:rsid w:val="00353E4F"/>
    <w:rsid w:val="003562D9"/>
    <w:rsid w:val="00356FE0"/>
    <w:rsid w:val="00357EF0"/>
    <w:rsid w:val="003605D4"/>
    <w:rsid w:val="00362595"/>
    <w:rsid w:val="00364C13"/>
    <w:rsid w:val="003655B0"/>
    <w:rsid w:val="00365E1A"/>
    <w:rsid w:val="003668B7"/>
    <w:rsid w:val="00374E3F"/>
    <w:rsid w:val="003772B3"/>
    <w:rsid w:val="00377E57"/>
    <w:rsid w:val="00383ED7"/>
    <w:rsid w:val="00385ADE"/>
    <w:rsid w:val="00387861"/>
    <w:rsid w:val="003905A2"/>
    <w:rsid w:val="00391F91"/>
    <w:rsid w:val="003924B2"/>
    <w:rsid w:val="00394230"/>
    <w:rsid w:val="00395FB2"/>
    <w:rsid w:val="00396524"/>
    <w:rsid w:val="00396561"/>
    <w:rsid w:val="003A1E65"/>
    <w:rsid w:val="003A5C38"/>
    <w:rsid w:val="003A6466"/>
    <w:rsid w:val="003A770E"/>
    <w:rsid w:val="003B2C26"/>
    <w:rsid w:val="003B2F45"/>
    <w:rsid w:val="003B3E16"/>
    <w:rsid w:val="003B4104"/>
    <w:rsid w:val="003B5532"/>
    <w:rsid w:val="003C1466"/>
    <w:rsid w:val="003C46EB"/>
    <w:rsid w:val="003C7988"/>
    <w:rsid w:val="003D26EC"/>
    <w:rsid w:val="003D4B44"/>
    <w:rsid w:val="003D71DA"/>
    <w:rsid w:val="003E42FA"/>
    <w:rsid w:val="003E6C55"/>
    <w:rsid w:val="003E72D4"/>
    <w:rsid w:val="003E7E53"/>
    <w:rsid w:val="003F3AE4"/>
    <w:rsid w:val="003F4C75"/>
    <w:rsid w:val="003F7003"/>
    <w:rsid w:val="00401662"/>
    <w:rsid w:val="0040403F"/>
    <w:rsid w:val="00406159"/>
    <w:rsid w:val="00413618"/>
    <w:rsid w:val="00413AB9"/>
    <w:rsid w:val="00416127"/>
    <w:rsid w:val="004162B4"/>
    <w:rsid w:val="00416533"/>
    <w:rsid w:val="00417FC2"/>
    <w:rsid w:val="00423FAE"/>
    <w:rsid w:val="00424219"/>
    <w:rsid w:val="0042548F"/>
    <w:rsid w:val="004275AB"/>
    <w:rsid w:val="004304C3"/>
    <w:rsid w:val="0043074D"/>
    <w:rsid w:val="004324ED"/>
    <w:rsid w:val="00432652"/>
    <w:rsid w:val="00435081"/>
    <w:rsid w:val="004356B3"/>
    <w:rsid w:val="0043769D"/>
    <w:rsid w:val="00441E33"/>
    <w:rsid w:val="00444BD9"/>
    <w:rsid w:val="004459B1"/>
    <w:rsid w:val="0044635D"/>
    <w:rsid w:val="00451060"/>
    <w:rsid w:val="00452884"/>
    <w:rsid w:val="00454608"/>
    <w:rsid w:val="0045786B"/>
    <w:rsid w:val="00457E6D"/>
    <w:rsid w:val="00460B9C"/>
    <w:rsid w:val="004638FD"/>
    <w:rsid w:val="00465D70"/>
    <w:rsid w:val="00470A5E"/>
    <w:rsid w:val="00473F83"/>
    <w:rsid w:val="0047537F"/>
    <w:rsid w:val="00476349"/>
    <w:rsid w:val="00480F59"/>
    <w:rsid w:val="00481410"/>
    <w:rsid w:val="00482E04"/>
    <w:rsid w:val="00483602"/>
    <w:rsid w:val="0048562A"/>
    <w:rsid w:val="004874A6"/>
    <w:rsid w:val="00492215"/>
    <w:rsid w:val="0049497B"/>
    <w:rsid w:val="004A1C31"/>
    <w:rsid w:val="004A2D72"/>
    <w:rsid w:val="004A3EC0"/>
    <w:rsid w:val="004A4033"/>
    <w:rsid w:val="004A4812"/>
    <w:rsid w:val="004A541F"/>
    <w:rsid w:val="004A6FB9"/>
    <w:rsid w:val="004B180C"/>
    <w:rsid w:val="004B21B0"/>
    <w:rsid w:val="004B2982"/>
    <w:rsid w:val="004B3B84"/>
    <w:rsid w:val="004B5229"/>
    <w:rsid w:val="004B5332"/>
    <w:rsid w:val="004B53B6"/>
    <w:rsid w:val="004B7D8B"/>
    <w:rsid w:val="004C03CA"/>
    <w:rsid w:val="004C0486"/>
    <w:rsid w:val="004C1094"/>
    <w:rsid w:val="004C1655"/>
    <w:rsid w:val="004C2504"/>
    <w:rsid w:val="004C56DD"/>
    <w:rsid w:val="004C7340"/>
    <w:rsid w:val="004C73CB"/>
    <w:rsid w:val="004C79EF"/>
    <w:rsid w:val="004D08A5"/>
    <w:rsid w:val="004D3E50"/>
    <w:rsid w:val="004D415E"/>
    <w:rsid w:val="004D6722"/>
    <w:rsid w:val="004D69F0"/>
    <w:rsid w:val="004E19E2"/>
    <w:rsid w:val="004E316E"/>
    <w:rsid w:val="004E3A89"/>
    <w:rsid w:val="004E62C2"/>
    <w:rsid w:val="004F0FAE"/>
    <w:rsid w:val="004F1344"/>
    <w:rsid w:val="004F453D"/>
    <w:rsid w:val="004F4B51"/>
    <w:rsid w:val="004F5171"/>
    <w:rsid w:val="004F58AC"/>
    <w:rsid w:val="004F6614"/>
    <w:rsid w:val="004F7583"/>
    <w:rsid w:val="005007BB"/>
    <w:rsid w:val="0050161B"/>
    <w:rsid w:val="005025FC"/>
    <w:rsid w:val="00503277"/>
    <w:rsid w:val="00504760"/>
    <w:rsid w:val="005047B6"/>
    <w:rsid w:val="005067BA"/>
    <w:rsid w:val="00507FD3"/>
    <w:rsid w:val="005116D3"/>
    <w:rsid w:val="00512C61"/>
    <w:rsid w:val="00514372"/>
    <w:rsid w:val="00514B99"/>
    <w:rsid w:val="0051535D"/>
    <w:rsid w:val="00515F71"/>
    <w:rsid w:val="00522113"/>
    <w:rsid w:val="005224BE"/>
    <w:rsid w:val="005226E4"/>
    <w:rsid w:val="00523254"/>
    <w:rsid w:val="00527BB5"/>
    <w:rsid w:val="00530E8E"/>
    <w:rsid w:val="0053327D"/>
    <w:rsid w:val="005348EF"/>
    <w:rsid w:val="00534C52"/>
    <w:rsid w:val="00541ED8"/>
    <w:rsid w:val="00546542"/>
    <w:rsid w:val="00551E62"/>
    <w:rsid w:val="00552442"/>
    <w:rsid w:val="0055369E"/>
    <w:rsid w:val="0056078E"/>
    <w:rsid w:val="0056250C"/>
    <w:rsid w:val="00563BB0"/>
    <w:rsid w:val="00563E7B"/>
    <w:rsid w:val="00564513"/>
    <w:rsid w:val="0056696A"/>
    <w:rsid w:val="00571A84"/>
    <w:rsid w:val="00571EB9"/>
    <w:rsid w:val="00572F0E"/>
    <w:rsid w:val="00575364"/>
    <w:rsid w:val="005754DD"/>
    <w:rsid w:val="005766CB"/>
    <w:rsid w:val="00576CD0"/>
    <w:rsid w:val="0057773D"/>
    <w:rsid w:val="00580D27"/>
    <w:rsid w:val="0058195E"/>
    <w:rsid w:val="00581960"/>
    <w:rsid w:val="005841ED"/>
    <w:rsid w:val="00584D13"/>
    <w:rsid w:val="005864A0"/>
    <w:rsid w:val="005872E5"/>
    <w:rsid w:val="005915C9"/>
    <w:rsid w:val="005916E5"/>
    <w:rsid w:val="00594767"/>
    <w:rsid w:val="0059531A"/>
    <w:rsid w:val="005956AE"/>
    <w:rsid w:val="00596182"/>
    <w:rsid w:val="005A226E"/>
    <w:rsid w:val="005B00E7"/>
    <w:rsid w:val="005B2636"/>
    <w:rsid w:val="005B3121"/>
    <w:rsid w:val="005B6BE1"/>
    <w:rsid w:val="005B6F5E"/>
    <w:rsid w:val="005C2A26"/>
    <w:rsid w:val="005C3841"/>
    <w:rsid w:val="005D0F25"/>
    <w:rsid w:val="005D1512"/>
    <w:rsid w:val="005D2069"/>
    <w:rsid w:val="005D49E3"/>
    <w:rsid w:val="005D7E34"/>
    <w:rsid w:val="005E2D4C"/>
    <w:rsid w:val="005E3090"/>
    <w:rsid w:val="005E4D6C"/>
    <w:rsid w:val="005E4E42"/>
    <w:rsid w:val="005E5CE6"/>
    <w:rsid w:val="005E6E8F"/>
    <w:rsid w:val="005F17FD"/>
    <w:rsid w:val="005F2312"/>
    <w:rsid w:val="005F2D59"/>
    <w:rsid w:val="005F35B4"/>
    <w:rsid w:val="005F5F62"/>
    <w:rsid w:val="005F5F80"/>
    <w:rsid w:val="005F6C21"/>
    <w:rsid w:val="005F7035"/>
    <w:rsid w:val="00605438"/>
    <w:rsid w:val="0060788A"/>
    <w:rsid w:val="006105DD"/>
    <w:rsid w:val="00613C22"/>
    <w:rsid w:val="006156E5"/>
    <w:rsid w:val="00615ABE"/>
    <w:rsid w:val="00615F68"/>
    <w:rsid w:val="0061616A"/>
    <w:rsid w:val="00617450"/>
    <w:rsid w:val="00617929"/>
    <w:rsid w:val="00621516"/>
    <w:rsid w:val="0062173B"/>
    <w:rsid w:val="00623EDE"/>
    <w:rsid w:val="00625D32"/>
    <w:rsid w:val="00626C5A"/>
    <w:rsid w:val="006317CE"/>
    <w:rsid w:val="00631FB4"/>
    <w:rsid w:val="006367B0"/>
    <w:rsid w:val="00637A70"/>
    <w:rsid w:val="006409BA"/>
    <w:rsid w:val="00643F86"/>
    <w:rsid w:val="0064618B"/>
    <w:rsid w:val="006473B5"/>
    <w:rsid w:val="00647549"/>
    <w:rsid w:val="00652F9A"/>
    <w:rsid w:val="006533DE"/>
    <w:rsid w:val="00654AA2"/>
    <w:rsid w:val="00656B0D"/>
    <w:rsid w:val="006577CF"/>
    <w:rsid w:val="0065785E"/>
    <w:rsid w:val="00657E5A"/>
    <w:rsid w:val="00660B58"/>
    <w:rsid w:val="00664B2A"/>
    <w:rsid w:val="006669C5"/>
    <w:rsid w:val="00666A3C"/>
    <w:rsid w:val="00670890"/>
    <w:rsid w:val="006734CF"/>
    <w:rsid w:val="006744FB"/>
    <w:rsid w:val="00676C5B"/>
    <w:rsid w:val="00680A03"/>
    <w:rsid w:val="00682EB0"/>
    <w:rsid w:val="0068332A"/>
    <w:rsid w:val="006833ED"/>
    <w:rsid w:val="00683706"/>
    <w:rsid w:val="00684AA3"/>
    <w:rsid w:val="00685117"/>
    <w:rsid w:val="00685DA7"/>
    <w:rsid w:val="00687241"/>
    <w:rsid w:val="00691A4E"/>
    <w:rsid w:val="006939AF"/>
    <w:rsid w:val="00693F46"/>
    <w:rsid w:val="006942FB"/>
    <w:rsid w:val="00695755"/>
    <w:rsid w:val="00695DB1"/>
    <w:rsid w:val="00696A5E"/>
    <w:rsid w:val="006A073B"/>
    <w:rsid w:val="006A0F6B"/>
    <w:rsid w:val="006A2775"/>
    <w:rsid w:val="006A5027"/>
    <w:rsid w:val="006A5FA3"/>
    <w:rsid w:val="006A7A85"/>
    <w:rsid w:val="006A7C2F"/>
    <w:rsid w:val="006A7FBF"/>
    <w:rsid w:val="006B6710"/>
    <w:rsid w:val="006C291A"/>
    <w:rsid w:val="006C697A"/>
    <w:rsid w:val="006C6E23"/>
    <w:rsid w:val="006D0191"/>
    <w:rsid w:val="006D13EB"/>
    <w:rsid w:val="006D3858"/>
    <w:rsid w:val="006D441B"/>
    <w:rsid w:val="006D44B4"/>
    <w:rsid w:val="006D4C23"/>
    <w:rsid w:val="006D5386"/>
    <w:rsid w:val="006D53AD"/>
    <w:rsid w:val="006E1470"/>
    <w:rsid w:val="006E1A70"/>
    <w:rsid w:val="006E351F"/>
    <w:rsid w:val="006E4BD5"/>
    <w:rsid w:val="006F053A"/>
    <w:rsid w:val="006F115A"/>
    <w:rsid w:val="006F3536"/>
    <w:rsid w:val="006F529C"/>
    <w:rsid w:val="006F6727"/>
    <w:rsid w:val="006F702F"/>
    <w:rsid w:val="007004DE"/>
    <w:rsid w:val="007038CE"/>
    <w:rsid w:val="00706CC0"/>
    <w:rsid w:val="00714CE2"/>
    <w:rsid w:val="00715BDB"/>
    <w:rsid w:val="00720DCD"/>
    <w:rsid w:val="00722F7B"/>
    <w:rsid w:val="00724408"/>
    <w:rsid w:val="00724B95"/>
    <w:rsid w:val="007260CB"/>
    <w:rsid w:val="0072714B"/>
    <w:rsid w:val="00730D6F"/>
    <w:rsid w:val="00742848"/>
    <w:rsid w:val="00743C93"/>
    <w:rsid w:val="00744A41"/>
    <w:rsid w:val="0074662C"/>
    <w:rsid w:val="007522FB"/>
    <w:rsid w:val="007527C8"/>
    <w:rsid w:val="007531D3"/>
    <w:rsid w:val="00754080"/>
    <w:rsid w:val="007560B6"/>
    <w:rsid w:val="00756292"/>
    <w:rsid w:val="0075644A"/>
    <w:rsid w:val="00757FEB"/>
    <w:rsid w:val="00767D57"/>
    <w:rsid w:val="007704A9"/>
    <w:rsid w:val="007740EC"/>
    <w:rsid w:val="0077487B"/>
    <w:rsid w:val="00775A48"/>
    <w:rsid w:val="0078207D"/>
    <w:rsid w:val="007846CD"/>
    <w:rsid w:val="00785A49"/>
    <w:rsid w:val="00785F0F"/>
    <w:rsid w:val="00787378"/>
    <w:rsid w:val="007944A0"/>
    <w:rsid w:val="0079512A"/>
    <w:rsid w:val="007963B0"/>
    <w:rsid w:val="00797449"/>
    <w:rsid w:val="007A1170"/>
    <w:rsid w:val="007A5A47"/>
    <w:rsid w:val="007A5F01"/>
    <w:rsid w:val="007A6609"/>
    <w:rsid w:val="007A71F5"/>
    <w:rsid w:val="007A7212"/>
    <w:rsid w:val="007B0493"/>
    <w:rsid w:val="007B0FFA"/>
    <w:rsid w:val="007B117C"/>
    <w:rsid w:val="007B1729"/>
    <w:rsid w:val="007B3D5B"/>
    <w:rsid w:val="007B422C"/>
    <w:rsid w:val="007B467B"/>
    <w:rsid w:val="007B6BFE"/>
    <w:rsid w:val="007C2AB6"/>
    <w:rsid w:val="007C485A"/>
    <w:rsid w:val="007C65CA"/>
    <w:rsid w:val="007D361F"/>
    <w:rsid w:val="007D7744"/>
    <w:rsid w:val="007D7918"/>
    <w:rsid w:val="007D7F36"/>
    <w:rsid w:val="007E29C3"/>
    <w:rsid w:val="007E2C80"/>
    <w:rsid w:val="007E5B85"/>
    <w:rsid w:val="007E5F85"/>
    <w:rsid w:val="007E6324"/>
    <w:rsid w:val="007E71E9"/>
    <w:rsid w:val="007F0BE0"/>
    <w:rsid w:val="007F0F47"/>
    <w:rsid w:val="007F232C"/>
    <w:rsid w:val="007F339E"/>
    <w:rsid w:val="007F5687"/>
    <w:rsid w:val="007F59D1"/>
    <w:rsid w:val="007F616E"/>
    <w:rsid w:val="00801530"/>
    <w:rsid w:val="00802A15"/>
    <w:rsid w:val="00803329"/>
    <w:rsid w:val="00803C50"/>
    <w:rsid w:val="00803EAD"/>
    <w:rsid w:val="00803EEA"/>
    <w:rsid w:val="00804C16"/>
    <w:rsid w:val="00806A47"/>
    <w:rsid w:val="00810611"/>
    <w:rsid w:val="008109AB"/>
    <w:rsid w:val="008144C3"/>
    <w:rsid w:val="00815F33"/>
    <w:rsid w:val="008232EA"/>
    <w:rsid w:val="00824CA5"/>
    <w:rsid w:val="008265BB"/>
    <w:rsid w:val="00827638"/>
    <w:rsid w:val="008307AE"/>
    <w:rsid w:val="00830B08"/>
    <w:rsid w:val="00831596"/>
    <w:rsid w:val="0083542A"/>
    <w:rsid w:val="00840705"/>
    <w:rsid w:val="00842C19"/>
    <w:rsid w:val="00843137"/>
    <w:rsid w:val="00843185"/>
    <w:rsid w:val="008511B6"/>
    <w:rsid w:val="008528E2"/>
    <w:rsid w:val="00854E64"/>
    <w:rsid w:val="00855FD3"/>
    <w:rsid w:val="00857CD2"/>
    <w:rsid w:val="0086033E"/>
    <w:rsid w:val="0086073D"/>
    <w:rsid w:val="0086077F"/>
    <w:rsid w:val="008631D1"/>
    <w:rsid w:val="00864C3B"/>
    <w:rsid w:val="00867B38"/>
    <w:rsid w:val="00874153"/>
    <w:rsid w:val="00875195"/>
    <w:rsid w:val="008805B6"/>
    <w:rsid w:val="00880E58"/>
    <w:rsid w:val="00882798"/>
    <w:rsid w:val="008854B2"/>
    <w:rsid w:val="008860B9"/>
    <w:rsid w:val="00886C1D"/>
    <w:rsid w:val="0088731D"/>
    <w:rsid w:val="00891407"/>
    <w:rsid w:val="0089401D"/>
    <w:rsid w:val="00897A96"/>
    <w:rsid w:val="008A0BCD"/>
    <w:rsid w:val="008A1318"/>
    <w:rsid w:val="008A5DE3"/>
    <w:rsid w:val="008B0399"/>
    <w:rsid w:val="008B273D"/>
    <w:rsid w:val="008B327F"/>
    <w:rsid w:val="008B3CE1"/>
    <w:rsid w:val="008B51A9"/>
    <w:rsid w:val="008B56D9"/>
    <w:rsid w:val="008B66B1"/>
    <w:rsid w:val="008B68F2"/>
    <w:rsid w:val="008B7FDC"/>
    <w:rsid w:val="008C0DC8"/>
    <w:rsid w:val="008C0DDC"/>
    <w:rsid w:val="008C30B0"/>
    <w:rsid w:val="008C4367"/>
    <w:rsid w:val="008C72DF"/>
    <w:rsid w:val="008D28FF"/>
    <w:rsid w:val="008D2C00"/>
    <w:rsid w:val="008D2EB8"/>
    <w:rsid w:val="008D3B10"/>
    <w:rsid w:val="008D5281"/>
    <w:rsid w:val="008E0BAD"/>
    <w:rsid w:val="008E10B7"/>
    <w:rsid w:val="008E264F"/>
    <w:rsid w:val="008E30B7"/>
    <w:rsid w:val="008E32AF"/>
    <w:rsid w:val="008E33A0"/>
    <w:rsid w:val="008E602E"/>
    <w:rsid w:val="008E62BB"/>
    <w:rsid w:val="008E71C5"/>
    <w:rsid w:val="008E75C0"/>
    <w:rsid w:val="008E7EF9"/>
    <w:rsid w:val="008F047B"/>
    <w:rsid w:val="008F074F"/>
    <w:rsid w:val="008F17E0"/>
    <w:rsid w:val="008F20E7"/>
    <w:rsid w:val="008F44FF"/>
    <w:rsid w:val="008F5FCC"/>
    <w:rsid w:val="009021CC"/>
    <w:rsid w:val="00904CEC"/>
    <w:rsid w:val="00905A68"/>
    <w:rsid w:val="009103A5"/>
    <w:rsid w:val="009147A3"/>
    <w:rsid w:val="009147A6"/>
    <w:rsid w:val="00914810"/>
    <w:rsid w:val="00915897"/>
    <w:rsid w:val="00915A10"/>
    <w:rsid w:val="00915ECE"/>
    <w:rsid w:val="009175A8"/>
    <w:rsid w:val="00920C40"/>
    <w:rsid w:val="00921827"/>
    <w:rsid w:val="009232F0"/>
    <w:rsid w:val="00925650"/>
    <w:rsid w:val="00926A45"/>
    <w:rsid w:val="0092798E"/>
    <w:rsid w:val="009304AA"/>
    <w:rsid w:val="00931F58"/>
    <w:rsid w:val="0093781D"/>
    <w:rsid w:val="00940A7B"/>
    <w:rsid w:val="00945A1A"/>
    <w:rsid w:val="009461BD"/>
    <w:rsid w:val="009541A7"/>
    <w:rsid w:val="00965AEA"/>
    <w:rsid w:val="009746DA"/>
    <w:rsid w:val="00974842"/>
    <w:rsid w:val="00977161"/>
    <w:rsid w:val="0097746B"/>
    <w:rsid w:val="00977837"/>
    <w:rsid w:val="00980595"/>
    <w:rsid w:val="00985C84"/>
    <w:rsid w:val="00997CDE"/>
    <w:rsid w:val="009A272F"/>
    <w:rsid w:val="009A4C74"/>
    <w:rsid w:val="009B14E5"/>
    <w:rsid w:val="009B1C9D"/>
    <w:rsid w:val="009B33CA"/>
    <w:rsid w:val="009B3ED2"/>
    <w:rsid w:val="009B44EA"/>
    <w:rsid w:val="009B5F87"/>
    <w:rsid w:val="009C0296"/>
    <w:rsid w:val="009C10F3"/>
    <w:rsid w:val="009C1581"/>
    <w:rsid w:val="009C209E"/>
    <w:rsid w:val="009C2690"/>
    <w:rsid w:val="009C679A"/>
    <w:rsid w:val="009C6A2E"/>
    <w:rsid w:val="009C6B43"/>
    <w:rsid w:val="009D0D34"/>
    <w:rsid w:val="009D3AB5"/>
    <w:rsid w:val="009D452B"/>
    <w:rsid w:val="009D4624"/>
    <w:rsid w:val="009D5C79"/>
    <w:rsid w:val="009D67C2"/>
    <w:rsid w:val="009D7CAA"/>
    <w:rsid w:val="009E7F32"/>
    <w:rsid w:val="009F1CD5"/>
    <w:rsid w:val="009F3DC7"/>
    <w:rsid w:val="009F62F4"/>
    <w:rsid w:val="009F749E"/>
    <w:rsid w:val="009F77FD"/>
    <w:rsid w:val="00A0121A"/>
    <w:rsid w:val="00A0466D"/>
    <w:rsid w:val="00A1283B"/>
    <w:rsid w:val="00A15BD6"/>
    <w:rsid w:val="00A161AB"/>
    <w:rsid w:val="00A20C35"/>
    <w:rsid w:val="00A21760"/>
    <w:rsid w:val="00A22A75"/>
    <w:rsid w:val="00A23058"/>
    <w:rsid w:val="00A2356F"/>
    <w:rsid w:val="00A273E9"/>
    <w:rsid w:val="00A27D52"/>
    <w:rsid w:val="00A34321"/>
    <w:rsid w:val="00A34ED2"/>
    <w:rsid w:val="00A3642B"/>
    <w:rsid w:val="00A4249B"/>
    <w:rsid w:val="00A4490C"/>
    <w:rsid w:val="00A44957"/>
    <w:rsid w:val="00A44A07"/>
    <w:rsid w:val="00A5339B"/>
    <w:rsid w:val="00A56AF2"/>
    <w:rsid w:val="00A65FF1"/>
    <w:rsid w:val="00A66552"/>
    <w:rsid w:val="00A66DE2"/>
    <w:rsid w:val="00A67CA4"/>
    <w:rsid w:val="00A7050B"/>
    <w:rsid w:val="00A7227D"/>
    <w:rsid w:val="00A73F35"/>
    <w:rsid w:val="00A7507B"/>
    <w:rsid w:val="00A75A1D"/>
    <w:rsid w:val="00A763B3"/>
    <w:rsid w:val="00A80EB1"/>
    <w:rsid w:val="00A8474E"/>
    <w:rsid w:val="00A85F92"/>
    <w:rsid w:val="00A868B7"/>
    <w:rsid w:val="00A90759"/>
    <w:rsid w:val="00A90EC4"/>
    <w:rsid w:val="00A911BE"/>
    <w:rsid w:val="00A91D55"/>
    <w:rsid w:val="00A94EBE"/>
    <w:rsid w:val="00A94F8B"/>
    <w:rsid w:val="00AA01BB"/>
    <w:rsid w:val="00AA1541"/>
    <w:rsid w:val="00AA3B7E"/>
    <w:rsid w:val="00AB0CB8"/>
    <w:rsid w:val="00AB1171"/>
    <w:rsid w:val="00AB1EDD"/>
    <w:rsid w:val="00AB292F"/>
    <w:rsid w:val="00AC094F"/>
    <w:rsid w:val="00AC11D3"/>
    <w:rsid w:val="00AC2B1F"/>
    <w:rsid w:val="00AC7D21"/>
    <w:rsid w:val="00AD1EAA"/>
    <w:rsid w:val="00AD4FC4"/>
    <w:rsid w:val="00AD5B54"/>
    <w:rsid w:val="00AD6E75"/>
    <w:rsid w:val="00AD7B43"/>
    <w:rsid w:val="00AE0688"/>
    <w:rsid w:val="00AE08B6"/>
    <w:rsid w:val="00AE1A5B"/>
    <w:rsid w:val="00AE257C"/>
    <w:rsid w:val="00AE4850"/>
    <w:rsid w:val="00AE6118"/>
    <w:rsid w:val="00AF023B"/>
    <w:rsid w:val="00AF0249"/>
    <w:rsid w:val="00B00C42"/>
    <w:rsid w:val="00B01510"/>
    <w:rsid w:val="00B0290A"/>
    <w:rsid w:val="00B046D1"/>
    <w:rsid w:val="00B057D0"/>
    <w:rsid w:val="00B069F4"/>
    <w:rsid w:val="00B11D4D"/>
    <w:rsid w:val="00B12738"/>
    <w:rsid w:val="00B12E47"/>
    <w:rsid w:val="00B205F2"/>
    <w:rsid w:val="00B2207F"/>
    <w:rsid w:val="00B24DFE"/>
    <w:rsid w:val="00B26E65"/>
    <w:rsid w:val="00B310BF"/>
    <w:rsid w:val="00B330B3"/>
    <w:rsid w:val="00B3503C"/>
    <w:rsid w:val="00B35ED5"/>
    <w:rsid w:val="00B36855"/>
    <w:rsid w:val="00B376C6"/>
    <w:rsid w:val="00B4069C"/>
    <w:rsid w:val="00B40F2A"/>
    <w:rsid w:val="00B41313"/>
    <w:rsid w:val="00B44DE6"/>
    <w:rsid w:val="00B459F3"/>
    <w:rsid w:val="00B477E9"/>
    <w:rsid w:val="00B47FA8"/>
    <w:rsid w:val="00B50832"/>
    <w:rsid w:val="00B50F67"/>
    <w:rsid w:val="00B5282E"/>
    <w:rsid w:val="00B535CB"/>
    <w:rsid w:val="00B557E2"/>
    <w:rsid w:val="00B55D5B"/>
    <w:rsid w:val="00B561F6"/>
    <w:rsid w:val="00B623FC"/>
    <w:rsid w:val="00B64CF7"/>
    <w:rsid w:val="00B656D3"/>
    <w:rsid w:val="00B67631"/>
    <w:rsid w:val="00B67E5E"/>
    <w:rsid w:val="00B711F6"/>
    <w:rsid w:val="00B72FEB"/>
    <w:rsid w:val="00B737EE"/>
    <w:rsid w:val="00B747D0"/>
    <w:rsid w:val="00B748E3"/>
    <w:rsid w:val="00B77097"/>
    <w:rsid w:val="00B77F6E"/>
    <w:rsid w:val="00B82A83"/>
    <w:rsid w:val="00B83CD1"/>
    <w:rsid w:val="00B907EF"/>
    <w:rsid w:val="00B90F71"/>
    <w:rsid w:val="00B91124"/>
    <w:rsid w:val="00B911B6"/>
    <w:rsid w:val="00B91EA2"/>
    <w:rsid w:val="00BA2C81"/>
    <w:rsid w:val="00BA2F54"/>
    <w:rsid w:val="00BA310A"/>
    <w:rsid w:val="00BA406A"/>
    <w:rsid w:val="00BA56F7"/>
    <w:rsid w:val="00BA6C50"/>
    <w:rsid w:val="00BB0FB8"/>
    <w:rsid w:val="00BB18AC"/>
    <w:rsid w:val="00BB2ECD"/>
    <w:rsid w:val="00BB58DA"/>
    <w:rsid w:val="00BB6337"/>
    <w:rsid w:val="00BC29CD"/>
    <w:rsid w:val="00BC381C"/>
    <w:rsid w:val="00BC6909"/>
    <w:rsid w:val="00BC7FE3"/>
    <w:rsid w:val="00BD04A6"/>
    <w:rsid w:val="00BD0BD7"/>
    <w:rsid w:val="00BD165E"/>
    <w:rsid w:val="00BD4C44"/>
    <w:rsid w:val="00BD607E"/>
    <w:rsid w:val="00BD6126"/>
    <w:rsid w:val="00BD6A98"/>
    <w:rsid w:val="00BD7046"/>
    <w:rsid w:val="00BE0D17"/>
    <w:rsid w:val="00BE35A9"/>
    <w:rsid w:val="00BE4455"/>
    <w:rsid w:val="00BE6856"/>
    <w:rsid w:val="00BF2B5F"/>
    <w:rsid w:val="00BF33A4"/>
    <w:rsid w:val="00BF4AD4"/>
    <w:rsid w:val="00BF72F8"/>
    <w:rsid w:val="00BF7C52"/>
    <w:rsid w:val="00C0422E"/>
    <w:rsid w:val="00C04388"/>
    <w:rsid w:val="00C07969"/>
    <w:rsid w:val="00C100DA"/>
    <w:rsid w:val="00C10A65"/>
    <w:rsid w:val="00C12239"/>
    <w:rsid w:val="00C17D20"/>
    <w:rsid w:val="00C17F92"/>
    <w:rsid w:val="00C25E2C"/>
    <w:rsid w:val="00C26238"/>
    <w:rsid w:val="00C330A3"/>
    <w:rsid w:val="00C333C4"/>
    <w:rsid w:val="00C34C9A"/>
    <w:rsid w:val="00C350DA"/>
    <w:rsid w:val="00C3788F"/>
    <w:rsid w:val="00C42A0A"/>
    <w:rsid w:val="00C42C11"/>
    <w:rsid w:val="00C43820"/>
    <w:rsid w:val="00C4574C"/>
    <w:rsid w:val="00C464DF"/>
    <w:rsid w:val="00C500F9"/>
    <w:rsid w:val="00C533BB"/>
    <w:rsid w:val="00C54266"/>
    <w:rsid w:val="00C5499A"/>
    <w:rsid w:val="00C62786"/>
    <w:rsid w:val="00C66A6D"/>
    <w:rsid w:val="00C732DA"/>
    <w:rsid w:val="00C747D5"/>
    <w:rsid w:val="00C7566B"/>
    <w:rsid w:val="00C75B8C"/>
    <w:rsid w:val="00C76B3D"/>
    <w:rsid w:val="00C76BD6"/>
    <w:rsid w:val="00C77558"/>
    <w:rsid w:val="00C7797F"/>
    <w:rsid w:val="00C80835"/>
    <w:rsid w:val="00C80D82"/>
    <w:rsid w:val="00C8498A"/>
    <w:rsid w:val="00C86ECB"/>
    <w:rsid w:val="00C9026D"/>
    <w:rsid w:val="00C91584"/>
    <w:rsid w:val="00C91E16"/>
    <w:rsid w:val="00C92070"/>
    <w:rsid w:val="00C94A3D"/>
    <w:rsid w:val="00C95A09"/>
    <w:rsid w:val="00C96D5D"/>
    <w:rsid w:val="00C96FE2"/>
    <w:rsid w:val="00C979BE"/>
    <w:rsid w:val="00CA2008"/>
    <w:rsid w:val="00CA344B"/>
    <w:rsid w:val="00CA50B9"/>
    <w:rsid w:val="00CA60AD"/>
    <w:rsid w:val="00CA7576"/>
    <w:rsid w:val="00CB0F49"/>
    <w:rsid w:val="00CB5665"/>
    <w:rsid w:val="00CB5848"/>
    <w:rsid w:val="00CB6949"/>
    <w:rsid w:val="00CB799D"/>
    <w:rsid w:val="00CC1236"/>
    <w:rsid w:val="00CC2309"/>
    <w:rsid w:val="00CC26E2"/>
    <w:rsid w:val="00CC5525"/>
    <w:rsid w:val="00CC6866"/>
    <w:rsid w:val="00CD1671"/>
    <w:rsid w:val="00CD1C8E"/>
    <w:rsid w:val="00CD1D9B"/>
    <w:rsid w:val="00CD1E1C"/>
    <w:rsid w:val="00CD34F4"/>
    <w:rsid w:val="00CD491B"/>
    <w:rsid w:val="00CD546D"/>
    <w:rsid w:val="00CD6751"/>
    <w:rsid w:val="00CD6F10"/>
    <w:rsid w:val="00CD74B7"/>
    <w:rsid w:val="00CE0A5A"/>
    <w:rsid w:val="00CE0EF9"/>
    <w:rsid w:val="00CE32EB"/>
    <w:rsid w:val="00CE52FC"/>
    <w:rsid w:val="00CE6949"/>
    <w:rsid w:val="00CF152F"/>
    <w:rsid w:val="00CF5746"/>
    <w:rsid w:val="00CF7470"/>
    <w:rsid w:val="00CF7817"/>
    <w:rsid w:val="00D00F7D"/>
    <w:rsid w:val="00D011FB"/>
    <w:rsid w:val="00D02300"/>
    <w:rsid w:val="00D048EB"/>
    <w:rsid w:val="00D062EA"/>
    <w:rsid w:val="00D06D9C"/>
    <w:rsid w:val="00D10DC1"/>
    <w:rsid w:val="00D111A5"/>
    <w:rsid w:val="00D111AB"/>
    <w:rsid w:val="00D12219"/>
    <w:rsid w:val="00D12ADC"/>
    <w:rsid w:val="00D12D16"/>
    <w:rsid w:val="00D163B1"/>
    <w:rsid w:val="00D16EC5"/>
    <w:rsid w:val="00D2011F"/>
    <w:rsid w:val="00D27203"/>
    <w:rsid w:val="00D2752C"/>
    <w:rsid w:val="00D27CDD"/>
    <w:rsid w:val="00D31D41"/>
    <w:rsid w:val="00D3471A"/>
    <w:rsid w:val="00D3614A"/>
    <w:rsid w:val="00D37D0F"/>
    <w:rsid w:val="00D400C4"/>
    <w:rsid w:val="00D43950"/>
    <w:rsid w:val="00D46E27"/>
    <w:rsid w:val="00D51EC9"/>
    <w:rsid w:val="00D53C77"/>
    <w:rsid w:val="00D54446"/>
    <w:rsid w:val="00D57B73"/>
    <w:rsid w:val="00D57E74"/>
    <w:rsid w:val="00D6102B"/>
    <w:rsid w:val="00D62C6C"/>
    <w:rsid w:val="00D674A7"/>
    <w:rsid w:val="00D676A7"/>
    <w:rsid w:val="00D743FE"/>
    <w:rsid w:val="00D75C9A"/>
    <w:rsid w:val="00D76523"/>
    <w:rsid w:val="00D80C50"/>
    <w:rsid w:val="00D80F6D"/>
    <w:rsid w:val="00D8263B"/>
    <w:rsid w:val="00D836C6"/>
    <w:rsid w:val="00D842AF"/>
    <w:rsid w:val="00D85C9B"/>
    <w:rsid w:val="00D873E5"/>
    <w:rsid w:val="00D910EF"/>
    <w:rsid w:val="00D912CD"/>
    <w:rsid w:val="00D9307D"/>
    <w:rsid w:val="00D937DA"/>
    <w:rsid w:val="00D955AD"/>
    <w:rsid w:val="00D95707"/>
    <w:rsid w:val="00D95E17"/>
    <w:rsid w:val="00D967DB"/>
    <w:rsid w:val="00D976F5"/>
    <w:rsid w:val="00DA3523"/>
    <w:rsid w:val="00DA3808"/>
    <w:rsid w:val="00DA46D0"/>
    <w:rsid w:val="00DA624F"/>
    <w:rsid w:val="00DA7CFD"/>
    <w:rsid w:val="00DB2086"/>
    <w:rsid w:val="00DB2A12"/>
    <w:rsid w:val="00DB4967"/>
    <w:rsid w:val="00DB4AF8"/>
    <w:rsid w:val="00DB56BB"/>
    <w:rsid w:val="00DB58B3"/>
    <w:rsid w:val="00DB6963"/>
    <w:rsid w:val="00DB6D55"/>
    <w:rsid w:val="00DB7376"/>
    <w:rsid w:val="00DB7B70"/>
    <w:rsid w:val="00DB7E95"/>
    <w:rsid w:val="00DC023B"/>
    <w:rsid w:val="00DC07E1"/>
    <w:rsid w:val="00DC22F1"/>
    <w:rsid w:val="00DC4D5D"/>
    <w:rsid w:val="00DC5C0C"/>
    <w:rsid w:val="00DC6046"/>
    <w:rsid w:val="00DC702C"/>
    <w:rsid w:val="00DC7E0E"/>
    <w:rsid w:val="00DD04D5"/>
    <w:rsid w:val="00DD0BF8"/>
    <w:rsid w:val="00DD1456"/>
    <w:rsid w:val="00DD7BF2"/>
    <w:rsid w:val="00DE4429"/>
    <w:rsid w:val="00DE7873"/>
    <w:rsid w:val="00DF03D0"/>
    <w:rsid w:val="00DF0A9D"/>
    <w:rsid w:val="00DF2138"/>
    <w:rsid w:val="00DF32EE"/>
    <w:rsid w:val="00DF34DB"/>
    <w:rsid w:val="00DF4E3E"/>
    <w:rsid w:val="00DF655E"/>
    <w:rsid w:val="00DF7C7B"/>
    <w:rsid w:val="00E01A06"/>
    <w:rsid w:val="00E04965"/>
    <w:rsid w:val="00E0540B"/>
    <w:rsid w:val="00E05F15"/>
    <w:rsid w:val="00E10BF8"/>
    <w:rsid w:val="00E114CD"/>
    <w:rsid w:val="00E11F70"/>
    <w:rsid w:val="00E127AF"/>
    <w:rsid w:val="00E144CF"/>
    <w:rsid w:val="00E16CEA"/>
    <w:rsid w:val="00E20D1E"/>
    <w:rsid w:val="00E21A19"/>
    <w:rsid w:val="00E21C31"/>
    <w:rsid w:val="00E2232C"/>
    <w:rsid w:val="00E223C4"/>
    <w:rsid w:val="00E2279F"/>
    <w:rsid w:val="00E229EF"/>
    <w:rsid w:val="00E22F94"/>
    <w:rsid w:val="00E238F4"/>
    <w:rsid w:val="00E25037"/>
    <w:rsid w:val="00E250EE"/>
    <w:rsid w:val="00E265F9"/>
    <w:rsid w:val="00E3042A"/>
    <w:rsid w:val="00E337C7"/>
    <w:rsid w:val="00E36BA7"/>
    <w:rsid w:val="00E37129"/>
    <w:rsid w:val="00E42861"/>
    <w:rsid w:val="00E43BA8"/>
    <w:rsid w:val="00E4468A"/>
    <w:rsid w:val="00E45642"/>
    <w:rsid w:val="00E45B12"/>
    <w:rsid w:val="00E47775"/>
    <w:rsid w:val="00E51F2F"/>
    <w:rsid w:val="00E51F55"/>
    <w:rsid w:val="00E61D52"/>
    <w:rsid w:val="00E63863"/>
    <w:rsid w:val="00E65E0D"/>
    <w:rsid w:val="00E66374"/>
    <w:rsid w:val="00E71987"/>
    <w:rsid w:val="00E72273"/>
    <w:rsid w:val="00E7480F"/>
    <w:rsid w:val="00E74CAF"/>
    <w:rsid w:val="00E74E15"/>
    <w:rsid w:val="00E7512F"/>
    <w:rsid w:val="00E75FE6"/>
    <w:rsid w:val="00E76289"/>
    <w:rsid w:val="00E7686C"/>
    <w:rsid w:val="00E76C15"/>
    <w:rsid w:val="00E80175"/>
    <w:rsid w:val="00E868BF"/>
    <w:rsid w:val="00E91DBE"/>
    <w:rsid w:val="00E91DFD"/>
    <w:rsid w:val="00E92F80"/>
    <w:rsid w:val="00E93F40"/>
    <w:rsid w:val="00E96E94"/>
    <w:rsid w:val="00E9792E"/>
    <w:rsid w:val="00EA0DC7"/>
    <w:rsid w:val="00EA216B"/>
    <w:rsid w:val="00EA26BD"/>
    <w:rsid w:val="00EA2BB3"/>
    <w:rsid w:val="00EA3869"/>
    <w:rsid w:val="00EA4B1B"/>
    <w:rsid w:val="00EA4E87"/>
    <w:rsid w:val="00EB24B6"/>
    <w:rsid w:val="00EB25E1"/>
    <w:rsid w:val="00EB336C"/>
    <w:rsid w:val="00EB6D3E"/>
    <w:rsid w:val="00EB7548"/>
    <w:rsid w:val="00EB7A46"/>
    <w:rsid w:val="00EC0B55"/>
    <w:rsid w:val="00EC21A5"/>
    <w:rsid w:val="00EC2DD6"/>
    <w:rsid w:val="00EC4788"/>
    <w:rsid w:val="00EC4E82"/>
    <w:rsid w:val="00EC6E7B"/>
    <w:rsid w:val="00EC798C"/>
    <w:rsid w:val="00ED2101"/>
    <w:rsid w:val="00ED2A45"/>
    <w:rsid w:val="00ED2CA3"/>
    <w:rsid w:val="00EE1271"/>
    <w:rsid w:val="00EE1C5F"/>
    <w:rsid w:val="00EE65F3"/>
    <w:rsid w:val="00EE7CF0"/>
    <w:rsid w:val="00EE7D55"/>
    <w:rsid w:val="00EF1A72"/>
    <w:rsid w:val="00EF1DE6"/>
    <w:rsid w:val="00EF3E43"/>
    <w:rsid w:val="00EF42D6"/>
    <w:rsid w:val="00EF4964"/>
    <w:rsid w:val="00EF4F64"/>
    <w:rsid w:val="00EF52A1"/>
    <w:rsid w:val="00EF7B73"/>
    <w:rsid w:val="00F01125"/>
    <w:rsid w:val="00F01C68"/>
    <w:rsid w:val="00F03901"/>
    <w:rsid w:val="00F05DB0"/>
    <w:rsid w:val="00F06522"/>
    <w:rsid w:val="00F11CCA"/>
    <w:rsid w:val="00F11EDE"/>
    <w:rsid w:val="00F12EDB"/>
    <w:rsid w:val="00F146FA"/>
    <w:rsid w:val="00F14A29"/>
    <w:rsid w:val="00F15780"/>
    <w:rsid w:val="00F15E8E"/>
    <w:rsid w:val="00F22CB5"/>
    <w:rsid w:val="00F23D1C"/>
    <w:rsid w:val="00F24B46"/>
    <w:rsid w:val="00F31F2A"/>
    <w:rsid w:val="00F36460"/>
    <w:rsid w:val="00F4050F"/>
    <w:rsid w:val="00F431BA"/>
    <w:rsid w:val="00F43829"/>
    <w:rsid w:val="00F4404A"/>
    <w:rsid w:val="00F44EEB"/>
    <w:rsid w:val="00F53EC7"/>
    <w:rsid w:val="00F55E29"/>
    <w:rsid w:val="00F573C1"/>
    <w:rsid w:val="00F577C7"/>
    <w:rsid w:val="00F603B3"/>
    <w:rsid w:val="00F62D6D"/>
    <w:rsid w:val="00F63B43"/>
    <w:rsid w:val="00F67443"/>
    <w:rsid w:val="00F70253"/>
    <w:rsid w:val="00F70FA4"/>
    <w:rsid w:val="00F71257"/>
    <w:rsid w:val="00F713DC"/>
    <w:rsid w:val="00F7232A"/>
    <w:rsid w:val="00F747CA"/>
    <w:rsid w:val="00F753D8"/>
    <w:rsid w:val="00F76998"/>
    <w:rsid w:val="00F8346B"/>
    <w:rsid w:val="00F842E3"/>
    <w:rsid w:val="00F86DCE"/>
    <w:rsid w:val="00F918B1"/>
    <w:rsid w:val="00FA233B"/>
    <w:rsid w:val="00FA51F1"/>
    <w:rsid w:val="00FA6DCB"/>
    <w:rsid w:val="00FA7D00"/>
    <w:rsid w:val="00FB065F"/>
    <w:rsid w:val="00FB0666"/>
    <w:rsid w:val="00FB2539"/>
    <w:rsid w:val="00FB2868"/>
    <w:rsid w:val="00FB3AA0"/>
    <w:rsid w:val="00FB3C56"/>
    <w:rsid w:val="00FB4F07"/>
    <w:rsid w:val="00FB57A2"/>
    <w:rsid w:val="00FB7297"/>
    <w:rsid w:val="00FB72D8"/>
    <w:rsid w:val="00FC03DC"/>
    <w:rsid w:val="00FC136E"/>
    <w:rsid w:val="00FC1C00"/>
    <w:rsid w:val="00FC5842"/>
    <w:rsid w:val="00FC5DFB"/>
    <w:rsid w:val="00FC710B"/>
    <w:rsid w:val="00FC7237"/>
    <w:rsid w:val="00FC78F5"/>
    <w:rsid w:val="00FC7921"/>
    <w:rsid w:val="00FD25CC"/>
    <w:rsid w:val="00FD3577"/>
    <w:rsid w:val="00FD4312"/>
    <w:rsid w:val="00FD7D45"/>
    <w:rsid w:val="00FE013F"/>
    <w:rsid w:val="00FE1199"/>
    <w:rsid w:val="00FE21D0"/>
    <w:rsid w:val="00FE2CFE"/>
    <w:rsid w:val="00FE2DA9"/>
    <w:rsid w:val="00FE44CB"/>
    <w:rsid w:val="00FE5FB8"/>
    <w:rsid w:val="00FF32E1"/>
    <w:rsid w:val="00FF4751"/>
    <w:rsid w:val="05CE4EAA"/>
    <w:rsid w:val="0DC34D4B"/>
    <w:rsid w:val="11150CB2"/>
    <w:rsid w:val="11740211"/>
    <w:rsid w:val="23F5AC33"/>
    <w:rsid w:val="2C087BF6"/>
    <w:rsid w:val="2E4732D5"/>
    <w:rsid w:val="30C218B7"/>
    <w:rsid w:val="3147651D"/>
    <w:rsid w:val="3EFFED92"/>
    <w:rsid w:val="4DDA1757"/>
    <w:rsid w:val="53DFB9CE"/>
    <w:rsid w:val="562821F7"/>
    <w:rsid w:val="57C9A0AE"/>
    <w:rsid w:val="5EFE7199"/>
    <w:rsid w:val="65693AD9"/>
    <w:rsid w:val="667F5AA4"/>
    <w:rsid w:val="6AA04060"/>
    <w:rsid w:val="6FCB19B0"/>
    <w:rsid w:val="7AFF2757"/>
    <w:rsid w:val="7E6363F0"/>
    <w:rsid w:val="7F1F151B"/>
    <w:rsid w:val="7F764707"/>
    <w:rsid w:val="A5FDBB7B"/>
    <w:rsid w:val="AFE281E8"/>
    <w:rsid w:val="CFA76547"/>
    <w:rsid w:val="D2FB53AD"/>
    <w:rsid w:val="D6E50D1A"/>
    <w:rsid w:val="DDDF8334"/>
    <w:rsid w:val="EF5B0D57"/>
    <w:rsid w:val="F6DF1E80"/>
    <w:rsid w:val="FEF7C648"/>
    <w:rsid w:val="FF7D0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3">
    <w:name w:val="heading 1"/>
    <w:basedOn w:val="1"/>
    <w:next w:val="1"/>
    <w:qFormat/>
    <w:uiPriority w:val="0"/>
    <w:pPr>
      <w:keepNext/>
      <w:keepLines/>
      <w:spacing w:before="340" w:after="330" w:line="578" w:lineRule="atLeast"/>
      <w:outlineLvl w:val="0"/>
    </w:pPr>
    <w:rPr>
      <w:b/>
      <w:kern w:val="44"/>
      <w:sz w:val="44"/>
    </w:rPr>
  </w:style>
  <w:style w:type="paragraph" w:styleId="2">
    <w:name w:val="heading 4"/>
    <w:next w:val="1"/>
    <w:qFormat/>
    <w:uiPriority w:val="0"/>
    <w:pPr>
      <w:keepNext/>
      <w:keepLines/>
      <w:widowControl w:val="0"/>
      <w:spacing w:before="60" w:beforeLines="0" w:after="60" w:afterLines="0" w:line="312" w:lineRule="auto"/>
      <w:ind w:left="0" w:leftChars="0" w:firstLine="880" w:firstLineChars="200"/>
      <w:jc w:val="both"/>
      <w:outlineLvl w:val="3"/>
    </w:pPr>
    <w:rPr>
      <w:rFonts w:ascii="Cambria" w:hAnsi="Cambria" w:eastAsia="宋体" w:cs="Times New Roman"/>
      <w:b/>
      <w:bCs/>
      <w:kern w:val="2"/>
      <w:sz w:val="24"/>
      <w:szCs w:val="28"/>
      <w:lang w:val="en-US" w:eastAsia="zh-CN" w:bidi="ar-SA"/>
    </w:rPr>
  </w:style>
  <w:style w:type="character" w:default="1" w:styleId="10">
    <w:name w:val="Default Paragraph Font"/>
    <w:link w:val="11"/>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adjustRightInd w:val="0"/>
      <w:snapToGrid/>
      <w:ind w:firstLine="0"/>
      <w:jc w:val="left"/>
    </w:pPr>
    <w:rPr>
      <w:spacing w:val="-25"/>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pacing w:line="400" w:lineRule="atLeast"/>
      <w:ind w:firstLine="0"/>
      <w:jc w:val="center"/>
    </w:pPr>
    <w:rPr>
      <w:sz w:val="28"/>
    </w:rPr>
  </w:style>
  <w:style w:type="paragraph" w:styleId="7">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8">
    <w:name w:val="Normal (Web)"/>
    <w:basedOn w:val="1"/>
    <w:unhideWhenUsed/>
    <w:qFormat/>
    <w:uiPriority w:val="99"/>
    <w:pPr>
      <w:widowControl/>
      <w:autoSpaceDE/>
      <w:autoSpaceDN/>
      <w:snapToGrid/>
      <w:spacing w:before="100" w:beforeAutospacing="1" w:after="100" w:afterAutospacing="1" w:line="240" w:lineRule="auto"/>
      <w:ind w:firstLine="0"/>
      <w:jc w:val="left"/>
    </w:pPr>
    <w:rPr>
      <w:rFonts w:ascii="宋体" w:hAnsi="宋体" w:eastAsia="宋体" w:cs="宋体"/>
      <w:snapToGrid/>
      <w:sz w:val="24"/>
      <w:szCs w:val="24"/>
    </w:rPr>
  </w:style>
  <w:style w:type="paragraph" w:customStyle="1" w:styleId="11">
    <w:name w:val="_Style 24"/>
    <w:basedOn w:val="1"/>
    <w:link w:val="10"/>
    <w:qFormat/>
    <w:uiPriority w:val="0"/>
    <w:pPr>
      <w:autoSpaceDE/>
      <w:autoSpaceDN/>
      <w:snapToGrid/>
      <w:spacing w:line="240" w:lineRule="auto"/>
      <w:ind w:firstLine="0"/>
    </w:pPr>
    <w:rPr>
      <w:rFonts w:eastAsia="宋体"/>
      <w:snapToGrid/>
      <w:kern w:val="2"/>
      <w:sz w:val="21"/>
      <w:szCs w:val="32"/>
    </w:rPr>
  </w:style>
  <w:style w:type="character" w:styleId="12">
    <w:name w:val="page number"/>
    <w:basedOn w:val="10"/>
    <w:qFormat/>
    <w:uiPriority w:val="0"/>
  </w:style>
  <w:style w:type="character" w:customStyle="1" w:styleId="13">
    <w:name w:val="articlebody"/>
    <w:basedOn w:val="10"/>
    <w:qFormat/>
    <w:uiPriority w:val="0"/>
  </w:style>
  <w:style w:type="paragraph" w:customStyle="1" w:styleId="14">
    <w:name w:val="抄送栏"/>
    <w:basedOn w:val="1"/>
    <w:qFormat/>
    <w:uiPriority w:val="0"/>
    <w:pPr>
      <w:adjustRightInd w:val="0"/>
      <w:snapToGrid/>
      <w:spacing w:line="454" w:lineRule="atLeast"/>
      <w:ind w:left="1310" w:right="357" w:hanging="953"/>
    </w:pPr>
  </w:style>
  <w:style w:type="paragraph" w:customStyle="1" w:styleId="15">
    <w:name w:val="印数"/>
    <w:basedOn w:val="16"/>
    <w:qFormat/>
    <w:uiPriority w:val="0"/>
    <w:pPr>
      <w:tabs>
        <w:tab w:val="right" w:pos="8465"/>
      </w:tabs>
      <w:spacing w:line="400" w:lineRule="atLeast"/>
      <w:jc w:val="right"/>
    </w:pPr>
  </w:style>
  <w:style w:type="paragraph" w:customStyle="1" w:styleId="16">
    <w:name w:val="印发栏"/>
    <w:basedOn w:val="4"/>
    <w:qFormat/>
    <w:uiPriority w:val="0"/>
    <w:pPr>
      <w:tabs>
        <w:tab w:val="right" w:pos="8465"/>
      </w:tabs>
      <w:spacing w:line="454" w:lineRule="atLeast"/>
      <w:ind w:left="357" w:right="357"/>
    </w:pPr>
    <w:rPr>
      <w:spacing w:val="0"/>
    </w:rPr>
  </w:style>
  <w:style w:type="paragraph" w:customStyle="1" w:styleId="17">
    <w:name w:val="主题词"/>
    <w:basedOn w:val="1"/>
    <w:qFormat/>
    <w:uiPriority w:val="0"/>
    <w:pPr>
      <w:adjustRightInd w:val="0"/>
      <w:snapToGrid/>
      <w:spacing w:line="240" w:lineRule="atLeast"/>
      <w:ind w:firstLine="0"/>
      <w:jc w:val="left"/>
    </w:pPr>
    <w:rPr>
      <w:rFonts w:ascii="宋体" w:eastAsia="宋体"/>
      <w:b/>
    </w:rPr>
  </w:style>
  <w:style w:type="paragraph" w:customStyle="1" w:styleId="18">
    <w:name w:val="线型"/>
    <w:basedOn w:val="14"/>
    <w:qFormat/>
    <w:uiPriority w:val="0"/>
    <w:pPr>
      <w:spacing w:line="240" w:lineRule="auto"/>
      <w:ind w:left="0" w:firstLine="0"/>
      <w:jc w:val="center"/>
    </w:pPr>
    <w:rPr>
      <w:sz w:val="21"/>
    </w:rPr>
  </w:style>
  <w:style w:type="paragraph" w:customStyle="1" w:styleId="19">
    <w:name w:val="默认段落字体 Para Char Char Char Char"/>
    <w:basedOn w:val="1"/>
    <w:qFormat/>
    <w:uiPriority w:val="0"/>
    <w:pPr>
      <w:autoSpaceDE/>
      <w:autoSpaceDN/>
      <w:snapToGrid/>
      <w:spacing w:line="240" w:lineRule="auto"/>
      <w:ind w:firstLine="0"/>
    </w:pPr>
    <w:rPr>
      <w:rFonts w:eastAsia="宋体"/>
      <w:snapToGrid/>
      <w:kern w:val="2"/>
      <w:sz w:val="24"/>
      <w:szCs w:val="24"/>
    </w:rPr>
  </w:style>
  <w:style w:type="paragraph" w:customStyle="1" w:styleId="20">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21">
    <w:name w:val="文头"/>
    <w:basedOn w:val="1"/>
    <w:qFormat/>
    <w:uiPriority w:val="0"/>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22">
    <w:name w:val=" Char"/>
    <w:basedOn w:val="1"/>
    <w:semiHidden/>
    <w:qFormat/>
    <w:locked/>
    <w:uiPriority w:val="0"/>
    <w:pPr>
      <w:autoSpaceDE/>
      <w:autoSpaceDN/>
      <w:snapToGrid/>
      <w:spacing w:line="360" w:lineRule="auto"/>
      <w:ind w:firstLine="0"/>
    </w:pPr>
    <w:rPr>
      <w:rFonts w:ascii="宋体" w:eastAsia="宋体"/>
      <w:snapToGrid/>
      <w:kern w:val="2"/>
      <w:sz w:val="24"/>
      <w:szCs w:val="24"/>
    </w:rPr>
  </w:style>
  <w:style w:type="paragraph" w:customStyle="1" w:styleId="23">
    <w:name w:val="紧急程度"/>
    <w:basedOn w:val="24"/>
    <w:qFormat/>
    <w:uiPriority w:val="0"/>
    <w:pPr>
      <w:overflowPunct w:val="0"/>
    </w:pPr>
    <w:rPr>
      <w:sz w:val="32"/>
    </w:rPr>
  </w:style>
  <w:style w:type="paragraph" w:customStyle="1" w:styleId="24">
    <w:name w:val="密级"/>
    <w:basedOn w:val="1"/>
    <w:qFormat/>
    <w:uiPriority w:val="0"/>
    <w:pPr>
      <w:adjustRightInd w:val="0"/>
      <w:spacing w:line="440" w:lineRule="atLeast"/>
      <w:ind w:firstLine="0"/>
      <w:jc w:val="right"/>
    </w:pPr>
    <w:rPr>
      <w:rFonts w:ascii="黑体" w:eastAsia="黑体"/>
      <w:sz w:val="30"/>
    </w:rPr>
  </w:style>
  <w:style w:type="paragraph" w:customStyle="1" w:styleId="25">
    <w:name w:val="红线"/>
    <w:basedOn w:val="3"/>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6">
    <w:name w:val="样式1"/>
    <w:basedOn w:val="1"/>
    <w:qFormat/>
    <w:uiPriority w:val="0"/>
  </w:style>
  <w:style w:type="paragraph" w:customStyle="1" w:styleId="27">
    <w:name w:val="标题2"/>
    <w:basedOn w:val="1"/>
    <w:next w:val="1"/>
    <w:qFormat/>
    <w:uiPriority w:val="0"/>
    <w:pPr>
      <w:ind w:firstLine="0"/>
      <w:jc w:val="center"/>
    </w:pPr>
    <w:rPr>
      <w:rFonts w:eastAsia="方正楷体_GBK"/>
    </w:rPr>
  </w:style>
  <w:style w:type="paragraph" w:customStyle="1" w:styleId="28">
    <w:name w:val="附件栏"/>
    <w:basedOn w:val="1"/>
    <w:qFormat/>
    <w:uiPriority w:val="0"/>
  </w:style>
  <w:style w:type="paragraph" w:customStyle="1" w:styleId="29">
    <w:name w:val="标题3"/>
    <w:basedOn w:val="1"/>
    <w:next w:val="1"/>
    <w:qFormat/>
    <w:uiPriority w:val="0"/>
    <w:rPr>
      <w:rFonts w:eastAsia="方正黑体_GBK"/>
    </w:rPr>
  </w:style>
  <w:style w:type="paragraph" w:customStyle="1" w:styleId="30">
    <w:name w:val=" Char Char Char Char Char Char Char Char Char Char Char Char Char"/>
    <w:basedOn w:val="1"/>
    <w:qFormat/>
    <w:uiPriority w:val="0"/>
    <w:pPr>
      <w:widowControl/>
      <w:autoSpaceDE/>
      <w:autoSpaceDN/>
      <w:snapToGrid/>
      <w:spacing w:after="160" w:line="240" w:lineRule="exact"/>
      <w:ind w:firstLine="0"/>
      <w:jc w:val="left"/>
    </w:pPr>
    <w:rPr>
      <w:rFonts w:ascii="Arial" w:hAnsi="Arial" w:eastAsia="Times New Roman" w:cs="Verdana"/>
      <w:b/>
      <w:snapToGrid/>
      <w:sz w:val="24"/>
      <w:szCs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user\Desktop\&#20844;&#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公文模板.dot</Template>
  <Company>UQi.me</Company>
  <Pages>11</Pages>
  <Words>722</Words>
  <Characters>4117</Characters>
  <Lines>34</Lines>
  <Paragraphs>9</Paragraphs>
  <TotalTime>8</TotalTime>
  <ScaleCrop>false</ScaleCrop>
  <LinksUpToDate>false</LinksUpToDate>
  <CharactersWithSpaces>4830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2021-10-02T14:22:00Z</dcterms:created>
  <dc:creator>user</dc:creator>
  <cp:lastModifiedBy>user</cp:lastModifiedBy>
  <cp:lastPrinted>2024-01-31T09:08:00Z</cp:lastPrinted>
  <dcterms:modified xsi:type="dcterms:W3CDTF">2024-02-22T15:09:52Z</dcterms:modified>
  <dc:title>苏政办发模板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589E4DEFF32A44728F573C6425C0AC5B</vt:lpwstr>
  </property>
</Properties>
</file>